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D59B4" w14:textId="77777777" w:rsidR="00A75E40" w:rsidRPr="009110F7" w:rsidRDefault="00BF4329" w:rsidP="00E67696">
      <w:pPr>
        <w:rPr>
          <w:lang w:eastAsia="ar-SA"/>
        </w:rPr>
        <w:sectPr w:rsidR="00A75E40" w:rsidRPr="009110F7" w:rsidSect="0085114D">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153790F7" wp14:editId="0FC115F8">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3C55A8"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">
                <o:lock v:ext="edit" aspectratio="t"/>
                <v:rect id="Rectangle 9"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fillcolor="#0071bc" stroked="f">
                  <o:lock v:ext="edit" aspectratio="t"/>
                </v:rect>
                <v:rect id="Rectangle 10"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fillcolor="#0071bc" stroked="f">
                  <o:lock v:ext="edit" aspectratio="t"/>
                </v:rect>
                <v:rect id="Rectangle 11"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7D749472" wp14:editId="7C6FD2F2">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E9AC955" w14:textId="77777777" w:rsidR="0052200D" w:rsidRDefault="0052200D" w:rsidP="004924DC">
                            <w:r>
                              <w:t>Z</w:t>
                            </w:r>
                            <w:r w:rsidRPr="006C5577">
                              <w:t xml:space="preserve">pracoval: </w:t>
                            </w:r>
                            <w:r>
                              <w:t>o</w:t>
                            </w:r>
                            <w:r w:rsidRPr="006C5577">
                              <w:t>dbor</w:t>
                            </w:r>
                            <w:r>
                              <w:t xml:space="preserve"> Kancelář předsedy, oddělení svodných analýz</w:t>
                            </w:r>
                          </w:p>
                          <w:p w14:paraId="132AD0FF" w14:textId="77777777" w:rsidR="0052200D" w:rsidRPr="006C5577" w:rsidRDefault="0052200D" w:rsidP="004924DC">
                            <w:r w:rsidRPr="006C5577">
                              <w:t xml:space="preserve">Ředitel odboru: </w:t>
                            </w:r>
                            <w:proofErr w:type="spellStart"/>
                            <w:r>
                              <w:t>Egor</w:t>
                            </w:r>
                            <w:proofErr w:type="spellEnd"/>
                            <w:r>
                              <w:t xml:space="preserve"> </w:t>
                            </w:r>
                            <w:proofErr w:type="spellStart"/>
                            <w:r>
                              <w:t>Sidorov</w:t>
                            </w:r>
                            <w:proofErr w:type="spellEnd"/>
                            <w:r>
                              <w:t>, Ph.D.</w:t>
                            </w:r>
                          </w:p>
                          <w:p w14:paraId="6CA077B6" w14:textId="77777777" w:rsidR="0052200D" w:rsidRPr="006C5577" w:rsidRDefault="0052200D" w:rsidP="004924DC">
                            <w:r w:rsidRPr="006C5577">
                              <w:t xml:space="preserve">Kontaktní osoba: </w:t>
                            </w:r>
                            <w:r>
                              <w:t>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49472"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" filled="f" stroked="f">
                <v:textbox inset="0,0,0,0">
                  <w:txbxContent>
                    <w:p w14:paraId="7E9AC955" w14:textId="77777777" w:rsidR="0052200D" w:rsidRDefault="0052200D" w:rsidP="004924DC">
                      <w:r>
                        <w:t>Z</w:t>
                      </w:r>
                      <w:r w:rsidRPr="006C5577">
                        <w:t xml:space="preserve">pracoval: </w:t>
                      </w:r>
                      <w:r>
                        <w:t>o</w:t>
                      </w:r>
                      <w:r w:rsidRPr="006C5577">
                        <w:t>dbor</w:t>
                      </w:r>
                      <w:r>
                        <w:t xml:space="preserve"> Kancelář předsedy, oddělení svodných analýz</w:t>
                      </w:r>
                    </w:p>
                    <w:p w14:paraId="132AD0FF" w14:textId="77777777" w:rsidR="0052200D" w:rsidRPr="006C5577" w:rsidRDefault="0052200D" w:rsidP="004924DC">
                      <w:r w:rsidRPr="006C5577">
                        <w:t xml:space="preserve">Ředitel odboru: </w:t>
                      </w:r>
                      <w:proofErr w:type="spellStart"/>
                      <w:r>
                        <w:t>Egor</w:t>
                      </w:r>
                      <w:proofErr w:type="spellEnd"/>
                      <w:r>
                        <w:t xml:space="preserve"> </w:t>
                      </w:r>
                      <w:proofErr w:type="spellStart"/>
                      <w:r>
                        <w:t>Sidorov</w:t>
                      </w:r>
                      <w:proofErr w:type="spellEnd"/>
                      <w:r>
                        <w:t>, Ph.D.</w:t>
                      </w:r>
                    </w:p>
                    <w:p w14:paraId="6CA077B6" w14:textId="77777777" w:rsidR="0052200D" w:rsidRPr="006C5577" w:rsidRDefault="0052200D" w:rsidP="004924DC">
                      <w:r w:rsidRPr="006C5577">
                        <w:t xml:space="preserve">Kontaktní osoba: </w:t>
                      </w:r>
                      <w:r>
                        <w:t>Karolína Zábojníková</w:t>
                      </w:r>
                      <w:r w:rsidRPr="006C5577">
                        <w:t>,</w:t>
                      </w:r>
                      <w:r>
                        <w:t xml:space="preserve"> e-mail: karolina.zabojnikova@czso.cz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8FC7FBA" wp14:editId="39BCFF7A">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DD19A4A" w14:textId="77777777" w:rsidR="0052200D" w:rsidRPr="004924DC" w:rsidRDefault="0052200D" w:rsidP="004924DC">
                            <w:pPr>
                              <w:pStyle w:val="TLIdentifikace-sted"/>
                            </w:pPr>
                            <w:r>
                              <w:t>souhrnná data o České republice</w:t>
                            </w:r>
                          </w:p>
                          <w:p w14:paraId="6D18FF6B" w14:textId="77777777" w:rsidR="0052200D" w:rsidRPr="004924DC" w:rsidRDefault="0052200D" w:rsidP="004924DC">
                            <w:pPr>
                              <w:pStyle w:val="TLIdentifikace-sted"/>
                            </w:pPr>
                            <w:r>
                              <w:t>Praha, 14. 6. 2019</w:t>
                            </w:r>
                          </w:p>
                          <w:p w14:paraId="730B937E" w14:textId="77777777" w:rsidR="0052200D" w:rsidRPr="004924DC" w:rsidRDefault="0052200D" w:rsidP="004924DC">
                            <w:pPr>
                              <w:pStyle w:val="TLIdentifikace-sted"/>
                            </w:pPr>
                            <w:r w:rsidRPr="004924DC">
                              <w:t xml:space="preserve">Kód publikace: </w:t>
                            </w:r>
                            <w:r>
                              <w:t>320193-19</w:t>
                            </w:r>
                          </w:p>
                          <w:p w14:paraId="1E265112" w14:textId="77777777" w:rsidR="0052200D" w:rsidRPr="004924DC" w:rsidRDefault="0052200D" w:rsidP="004924DC">
                            <w:pPr>
                              <w:pStyle w:val="TLIdentifikace-sted"/>
                            </w:pPr>
                            <w:r w:rsidRPr="004924DC">
                              <w:t>Č.</w:t>
                            </w:r>
                            <w:r>
                              <w:t> </w:t>
                            </w:r>
                            <w:r w:rsidRPr="004924DC">
                              <w:t xml:space="preserve">j.: </w:t>
                            </w:r>
                            <w:r>
                              <w:t>CSU – 02193/2019</w:t>
                            </w:r>
                            <w:r w:rsidRPr="000F090B">
                              <w:t>-01</w:t>
                            </w:r>
                          </w:p>
                          <w:p w14:paraId="3F00E29A" w14:textId="77777777" w:rsidR="0052200D" w:rsidRPr="004924DC" w:rsidRDefault="0052200D" w:rsidP="004924DC">
                            <w:pPr>
                              <w:pStyle w:val="TLIdentifikace-sted"/>
                            </w:pPr>
                            <w:r w:rsidRPr="004924DC">
                              <w:t>Pořadové číslo v</w:t>
                            </w:r>
                            <w:r>
                              <w:t> </w:t>
                            </w:r>
                            <w:r w:rsidRPr="004924DC">
                              <w:t xml:space="preserve">roce: </w:t>
                            </w:r>
                            <w:r>
                              <w:t>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8FC7FBA"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" filled="f" stroked="f">
                <v:textbox style="mso-fit-shape-to-text:t" inset="0,0,0,0">
                  <w:txbxContent>
                    <w:p w14:paraId="7DD19A4A" w14:textId="77777777" w:rsidR="0052200D" w:rsidRPr="004924DC" w:rsidRDefault="0052200D" w:rsidP="004924DC">
                      <w:pPr>
                        <w:pStyle w:val="TLIdentifikace-sted"/>
                      </w:pPr>
                      <w:r>
                        <w:t>souhrnná data o České republice</w:t>
                      </w:r>
                    </w:p>
                    <w:p w14:paraId="6D18FF6B" w14:textId="77777777" w:rsidR="0052200D" w:rsidRPr="004924DC" w:rsidRDefault="0052200D" w:rsidP="004924DC">
                      <w:pPr>
                        <w:pStyle w:val="TLIdentifikace-sted"/>
                      </w:pPr>
                      <w:r>
                        <w:t>Praha, 14. 6. 2019</w:t>
                      </w:r>
                    </w:p>
                    <w:p w14:paraId="730B937E" w14:textId="77777777" w:rsidR="0052200D" w:rsidRPr="004924DC" w:rsidRDefault="0052200D" w:rsidP="004924DC">
                      <w:pPr>
                        <w:pStyle w:val="TLIdentifikace-sted"/>
                      </w:pPr>
                      <w:r w:rsidRPr="004924DC">
                        <w:t xml:space="preserve">Kód publikace: </w:t>
                      </w:r>
                      <w:r>
                        <w:t>320193-19</w:t>
                      </w:r>
                    </w:p>
                    <w:p w14:paraId="1E265112" w14:textId="77777777" w:rsidR="0052200D" w:rsidRPr="004924DC" w:rsidRDefault="0052200D" w:rsidP="004924DC">
                      <w:pPr>
                        <w:pStyle w:val="TLIdentifikace-sted"/>
                      </w:pPr>
                      <w:r w:rsidRPr="004924DC">
                        <w:t>Č.</w:t>
                      </w:r>
                      <w:r>
                        <w:t> </w:t>
                      </w:r>
                      <w:r w:rsidRPr="004924DC">
                        <w:t xml:space="preserve">j.: </w:t>
                      </w:r>
                      <w:r>
                        <w:t>CSU – 02193/2019</w:t>
                      </w:r>
                      <w:r w:rsidRPr="000F090B">
                        <w:t>-01</w:t>
                      </w:r>
                    </w:p>
                    <w:p w14:paraId="3F00E29A" w14:textId="77777777" w:rsidR="0052200D" w:rsidRPr="004924DC" w:rsidRDefault="0052200D" w:rsidP="004924DC">
                      <w:pPr>
                        <w:pStyle w:val="TLIdentifikace-sted"/>
                      </w:pPr>
                      <w:r w:rsidRPr="004924DC">
                        <w:t>Pořadové číslo v</w:t>
                      </w:r>
                      <w:r>
                        <w:t> </w:t>
                      </w:r>
                      <w:r w:rsidRPr="004924DC">
                        <w:t xml:space="preserve">roce: </w:t>
                      </w:r>
                      <w:r>
                        <w:t>1</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22A1BD4B" wp14:editId="31E7B52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6763847" w14:textId="77777777" w:rsidR="0052200D" w:rsidRPr="000E6FBD" w:rsidRDefault="0052200D" w:rsidP="000E6FBD">
                            <w:pPr>
                              <w:pStyle w:val="Nzev"/>
                            </w:pPr>
                            <w:r>
                              <w:t>Vývoj ekonomiky české republiky</w:t>
                            </w:r>
                          </w:p>
                          <w:p w14:paraId="0059A4DC" w14:textId="77777777" w:rsidR="0052200D" w:rsidRPr="0012192F" w:rsidRDefault="0052200D" w:rsidP="0012192F">
                            <w:pPr>
                              <w:pStyle w:val="Podnadpis"/>
                            </w:pPr>
                          </w:p>
                          <w:p w14:paraId="0A162DB8" w14:textId="77777777" w:rsidR="0052200D" w:rsidRPr="0012192F" w:rsidRDefault="0052200D" w:rsidP="000F090B">
                            <w:pPr>
                              <w:pStyle w:val="Podnadpis"/>
                            </w:pPr>
                            <w:r>
                              <w:t>1. čtvrtletí 2019</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A1BD4B"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" filled="f" stroked="f">
                <v:textbox style="mso-fit-shape-to-text:t" inset="0,0,0,0">
                  <w:txbxContent>
                    <w:p w14:paraId="06763847" w14:textId="77777777" w:rsidR="0052200D" w:rsidRPr="000E6FBD" w:rsidRDefault="0052200D" w:rsidP="000E6FBD">
                      <w:pPr>
                        <w:pStyle w:val="Nzev"/>
                      </w:pPr>
                      <w:r>
                        <w:t>Vývoj ekonomiky české republiky</w:t>
                      </w:r>
                    </w:p>
                    <w:p w14:paraId="0059A4DC" w14:textId="77777777" w:rsidR="0052200D" w:rsidRPr="0012192F" w:rsidRDefault="0052200D" w:rsidP="0012192F">
                      <w:pPr>
                        <w:pStyle w:val="Podnadpis"/>
                      </w:pPr>
                    </w:p>
                    <w:p w14:paraId="0A162DB8" w14:textId="77777777" w:rsidR="0052200D" w:rsidRPr="0012192F" w:rsidRDefault="0052200D" w:rsidP="000F090B">
                      <w:pPr>
                        <w:pStyle w:val="Podnadpis"/>
                      </w:pPr>
                      <w:r>
                        <w:t>1. čtvrtletí 2019</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211D308C" wp14:editId="77DC381B">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04B1224" w14:textId="77777777" w:rsidR="0052200D" w:rsidRPr="004924DC" w:rsidRDefault="0052200D" w:rsidP="004924DC">
                            <w:r w:rsidRPr="004924DC">
                              <w:t xml:space="preserve">© Český statistický úřad, </w:t>
                            </w:r>
                            <w:r>
                              <w:t>Praha</w:t>
                            </w:r>
                            <w:r w:rsidRPr="004924DC">
                              <w:t xml:space="preserve">, </w:t>
                            </w:r>
                            <w:r>
                              <w:t>2019</w:t>
                            </w:r>
                          </w:p>
                          <w:p w14:paraId="6B03C3EF" w14:textId="77777777" w:rsidR="0052200D" w:rsidRPr="005251DD" w:rsidRDefault="0052200D" w:rsidP="00665BA4"/>
                          <w:p w14:paraId="0A8089AF" w14:textId="77777777" w:rsidR="0052200D" w:rsidRPr="005251DD" w:rsidRDefault="0052200D" w:rsidP="00FC684B"/>
                          <w:p w14:paraId="002EBABF" w14:textId="77777777" w:rsidR="0052200D" w:rsidRDefault="0052200D"/>
                          <w:p w14:paraId="1BBEDF65" w14:textId="77777777" w:rsidR="0052200D" w:rsidRPr="00097407" w:rsidRDefault="0052200D"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048CED67" w14:textId="77777777" w:rsidR="0052200D" w:rsidRPr="005251DD" w:rsidRDefault="0052200D" w:rsidP="00665BA4"/>
                          <w:p w14:paraId="2D7C43C3" w14:textId="77777777" w:rsidR="0052200D" w:rsidRPr="005251DD" w:rsidRDefault="0052200D"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D308C"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" filled="f" stroked="f">
                <v:textbox inset="0,0,0,0">
                  <w:txbxContent>
                    <w:p w14:paraId="504B1224" w14:textId="77777777" w:rsidR="0052200D" w:rsidRPr="004924DC" w:rsidRDefault="0052200D" w:rsidP="004924DC">
                      <w:r w:rsidRPr="004924DC">
                        <w:t xml:space="preserve">© Český statistický úřad, </w:t>
                      </w:r>
                      <w:r>
                        <w:t>Praha</w:t>
                      </w:r>
                      <w:r w:rsidRPr="004924DC">
                        <w:t xml:space="preserve">, </w:t>
                      </w:r>
                      <w:r>
                        <w:t>2019</w:t>
                      </w:r>
                    </w:p>
                    <w:p w14:paraId="6B03C3EF" w14:textId="77777777" w:rsidR="0052200D" w:rsidRPr="005251DD" w:rsidRDefault="0052200D" w:rsidP="00665BA4"/>
                    <w:p w14:paraId="0A8089AF" w14:textId="77777777" w:rsidR="0052200D" w:rsidRPr="005251DD" w:rsidRDefault="0052200D" w:rsidP="00FC684B"/>
                    <w:p w14:paraId="002EBABF" w14:textId="77777777" w:rsidR="0052200D" w:rsidRDefault="0052200D"/>
                    <w:p w14:paraId="1BBEDF65" w14:textId="77777777" w:rsidR="0052200D" w:rsidRPr="00097407" w:rsidRDefault="0052200D"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048CED67" w14:textId="77777777" w:rsidR="0052200D" w:rsidRPr="005251DD" w:rsidRDefault="0052200D" w:rsidP="00665BA4"/>
                    <w:p w14:paraId="2D7C43C3" w14:textId="77777777" w:rsidR="0052200D" w:rsidRPr="005251DD" w:rsidRDefault="0052200D" w:rsidP="00FC684B"/>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3632" behindDoc="0" locked="1" layoutInCell="0" allowOverlap="1" wp14:anchorId="56616E6D" wp14:editId="72D626EF">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A05505" id="Přímá spojnice 33" o:spid="_x0000_s1026"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rsidRPr="009110F7">
        <w:br w:type="page"/>
      </w:r>
      <w:r w:rsidR="00D57677" w:rsidRPr="009110F7">
        <w:lastRenderedPageBreak/>
        <w:br w:type="page"/>
      </w:r>
      <w:r>
        <w:rPr>
          <w:noProof/>
        </w:rPr>
        <mc:AlternateContent>
          <mc:Choice Requires="wps">
            <w:drawing>
              <wp:anchor distT="0" distB="0" distL="114300" distR="114300" simplePos="0" relativeHeight="251659776" behindDoc="0" locked="1" layoutInCell="1" allowOverlap="1" wp14:anchorId="1CA088C6" wp14:editId="55ABE7C6">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8541332" w14:textId="77777777" w:rsidR="0052200D" w:rsidRPr="006F5416" w:rsidRDefault="0052200D" w:rsidP="006F5416">
                            <w:pPr>
                              <w:pStyle w:val="TLKontaktyerven"/>
                            </w:pPr>
                            <w:r w:rsidRPr="006F5416">
                              <w:t>KONTAKTY V ÚSTŘEDÍ</w:t>
                            </w:r>
                          </w:p>
                          <w:p w14:paraId="3C71345D" w14:textId="77777777" w:rsidR="0052200D" w:rsidRPr="007D40DF" w:rsidRDefault="0052200D"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5DF2AD66" w14:textId="77777777" w:rsidR="0052200D" w:rsidRPr="00D235B7" w:rsidRDefault="0052200D"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1F3052F" w14:textId="77777777" w:rsidR="0052200D" w:rsidRPr="00D235B7" w:rsidRDefault="0052200D"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31AC1D4" w14:textId="77777777" w:rsidR="0052200D" w:rsidRPr="00D235B7" w:rsidRDefault="0052200D"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548AAF1E" w14:textId="77777777" w:rsidR="0052200D" w:rsidRPr="00D235B7" w:rsidRDefault="0052200D"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676CE837" w14:textId="77777777" w:rsidR="0052200D" w:rsidRPr="004A61C5" w:rsidRDefault="0052200D" w:rsidP="00825C4D">
                            <w:pPr>
                              <w:pStyle w:val="TLKontakty"/>
                              <w:spacing w:after="80" w:line="240" w:lineRule="auto"/>
                              <w:contextualSpacing w:val="0"/>
                              <w:rPr>
                                <w:color w:val="auto"/>
                              </w:rPr>
                            </w:pPr>
                          </w:p>
                          <w:p w14:paraId="58156969" w14:textId="77777777" w:rsidR="0052200D" w:rsidRPr="00D66223" w:rsidRDefault="0052200D" w:rsidP="00D66223">
                            <w:pPr>
                              <w:pStyle w:val="TLKontaktyerven"/>
                            </w:pPr>
                            <w:r w:rsidRPr="00D66223">
                              <w:t>INFORMAČNÍ SLUŽBY V REGIONECH</w:t>
                            </w:r>
                          </w:p>
                          <w:p w14:paraId="4879BC68" w14:textId="77777777" w:rsidR="0052200D" w:rsidRPr="00992CF3" w:rsidRDefault="0052200D"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13DC4C4" w14:textId="77777777" w:rsidR="0052200D" w:rsidRPr="00992CF3" w:rsidRDefault="0052200D"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39B244A8" w14:textId="77777777" w:rsidR="0052200D" w:rsidRPr="004A61C5" w:rsidRDefault="0052200D" w:rsidP="00825C4D">
                            <w:pPr>
                              <w:pStyle w:val="TLKontakty"/>
                              <w:spacing w:after="80" w:line="240" w:lineRule="auto"/>
                              <w:rPr>
                                <w:color w:val="auto"/>
                              </w:rPr>
                            </w:pPr>
                          </w:p>
                          <w:p w14:paraId="0700B661" w14:textId="77777777" w:rsidR="0052200D" w:rsidRPr="00992CF3" w:rsidRDefault="0052200D"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416161E8" w14:textId="77777777" w:rsidR="0052200D" w:rsidRPr="00992CF3" w:rsidRDefault="0052200D"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4FF5E3BD" w14:textId="77777777" w:rsidR="0052200D" w:rsidRPr="004A61C5" w:rsidRDefault="0052200D" w:rsidP="00825C4D">
                            <w:pPr>
                              <w:pStyle w:val="TLKontakty"/>
                              <w:spacing w:after="80" w:line="240" w:lineRule="auto"/>
                              <w:rPr>
                                <w:color w:val="auto"/>
                              </w:rPr>
                            </w:pPr>
                          </w:p>
                          <w:p w14:paraId="272E9710" w14:textId="77777777" w:rsidR="0052200D" w:rsidRPr="00992CF3" w:rsidRDefault="0052200D"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41660CA4" w14:textId="77777777" w:rsidR="0052200D" w:rsidRPr="00992CF3" w:rsidRDefault="0052200D"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02FFC287" w14:textId="77777777" w:rsidR="0052200D" w:rsidRPr="004A61C5" w:rsidRDefault="0052200D" w:rsidP="00825C4D">
                            <w:pPr>
                              <w:pStyle w:val="TLKontakty"/>
                              <w:spacing w:after="80" w:line="240" w:lineRule="auto"/>
                              <w:rPr>
                                <w:color w:val="auto"/>
                              </w:rPr>
                            </w:pPr>
                          </w:p>
                          <w:p w14:paraId="28D66B71" w14:textId="77777777" w:rsidR="0052200D" w:rsidRPr="00BC731E" w:rsidRDefault="0052200D"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44E4A2F2"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124C070B" w14:textId="77777777" w:rsidR="0052200D" w:rsidRPr="004A61C5" w:rsidRDefault="0052200D" w:rsidP="00825C4D">
                            <w:pPr>
                              <w:pStyle w:val="TLKontakty"/>
                              <w:spacing w:after="80" w:line="240" w:lineRule="auto"/>
                              <w:rPr>
                                <w:color w:val="auto"/>
                              </w:rPr>
                            </w:pPr>
                          </w:p>
                          <w:p w14:paraId="09B6DE68" w14:textId="77777777" w:rsidR="0052200D" w:rsidRPr="004A61C5" w:rsidRDefault="0052200D"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77EF21B"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C1AC3BB" w14:textId="77777777" w:rsidR="0052200D" w:rsidRPr="004A61C5" w:rsidRDefault="0052200D" w:rsidP="00825C4D">
                            <w:pPr>
                              <w:pStyle w:val="TLKontakty"/>
                              <w:spacing w:after="80" w:line="240" w:lineRule="auto"/>
                              <w:rPr>
                                <w:color w:val="auto"/>
                              </w:rPr>
                            </w:pPr>
                          </w:p>
                          <w:p w14:paraId="59D3D98A" w14:textId="77777777" w:rsidR="0052200D" w:rsidRPr="004A61C5" w:rsidRDefault="0052200D"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F4D5FAC"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465C0979" w14:textId="77777777" w:rsidR="0052200D" w:rsidRPr="004A61C5" w:rsidRDefault="0052200D" w:rsidP="00825C4D">
                            <w:pPr>
                              <w:pStyle w:val="TLKontakty"/>
                              <w:spacing w:after="80" w:line="240" w:lineRule="auto"/>
                              <w:rPr>
                                <w:color w:val="auto"/>
                              </w:rPr>
                            </w:pPr>
                          </w:p>
                          <w:p w14:paraId="53E44571" w14:textId="77777777" w:rsidR="0052200D" w:rsidRPr="004A61C5" w:rsidRDefault="0052200D"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7748DBC3"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4123AE44" w14:textId="77777777" w:rsidR="0052200D" w:rsidRPr="004A61C5" w:rsidRDefault="0052200D" w:rsidP="00825C4D">
                            <w:pPr>
                              <w:pStyle w:val="TLKontakty"/>
                              <w:spacing w:after="80" w:line="240" w:lineRule="auto"/>
                              <w:rPr>
                                <w:b w:val="0"/>
                                <w:color w:val="auto"/>
                              </w:rPr>
                            </w:pPr>
                          </w:p>
                          <w:p w14:paraId="10E14C3C" w14:textId="77777777" w:rsidR="0052200D" w:rsidRPr="004A61C5" w:rsidRDefault="0052200D"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2E3651FF"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74F45FF3" w14:textId="77777777" w:rsidR="0052200D" w:rsidRPr="004A61C5" w:rsidRDefault="0052200D" w:rsidP="00825C4D">
                            <w:pPr>
                              <w:pStyle w:val="TLKontakty"/>
                              <w:spacing w:after="80" w:line="240" w:lineRule="auto"/>
                              <w:rPr>
                                <w:color w:val="auto"/>
                              </w:rPr>
                            </w:pPr>
                          </w:p>
                          <w:p w14:paraId="5E11F5F2" w14:textId="77777777" w:rsidR="0052200D" w:rsidRPr="004A61C5" w:rsidRDefault="0052200D"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72152ABD"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31158F18" w14:textId="77777777" w:rsidR="0052200D" w:rsidRPr="004A61C5" w:rsidRDefault="0052200D" w:rsidP="00825C4D">
                            <w:pPr>
                              <w:pStyle w:val="TLKontakty"/>
                              <w:spacing w:after="80" w:line="240" w:lineRule="auto"/>
                              <w:rPr>
                                <w:b w:val="0"/>
                                <w:color w:val="auto"/>
                              </w:rPr>
                            </w:pPr>
                          </w:p>
                          <w:p w14:paraId="231F5E11" w14:textId="77777777" w:rsidR="0052200D" w:rsidRPr="004A61C5" w:rsidRDefault="0052200D"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5687D8F"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14A58016" w14:textId="77777777" w:rsidR="0052200D" w:rsidRDefault="0052200D" w:rsidP="00825C4D">
                            <w:pPr>
                              <w:pStyle w:val="TLKontakty"/>
                              <w:spacing w:after="80" w:line="240" w:lineRule="auto"/>
                            </w:pPr>
                          </w:p>
                          <w:p w14:paraId="2C2F9B1E" w14:textId="77777777" w:rsidR="0052200D" w:rsidRPr="00BC731E" w:rsidRDefault="0052200D"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395EA08C" w14:textId="77777777" w:rsidR="0052200D" w:rsidRPr="004A61C5" w:rsidRDefault="0052200D"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E41DBBE" w14:textId="77777777" w:rsidR="0052200D" w:rsidRPr="004A61C5" w:rsidRDefault="0052200D" w:rsidP="00825C4D">
                            <w:pPr>
                              <w:pStyle w:val="TLKontakty"/>
                              <w:spacing w:after="80" w:line="240" w:lineRule="auto"/>
                              <w:rPr>
                                <w:b w:val="0"/>
                                <w:color w:val="auto"/>
                              </w:rPr>
                            </w:pPr>
                          </w:p>
                          <w:p w14:paraId="3F9813C4" w14:textId="77777777" w:rsidR="0052200D" w:rsidRPr="005E7C78" w:rsidRDefault="0052200D"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483B16E7" w14:textId="77777777" w:rsidR="0052200D" w:rsidRPr="005E7C78" w:rsidRDefault="0052200D"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1DEA6773" w14:textId="77777777" w:rsidR="0052200D" w:rsidRPr="005E7C78" w:rsidRDefault="0052200D" w:rsidP="00825C4D">
                            <w:pPr>
                              <w:pStyle w:val="TLKontakty"/>
                              <w:spacing w:after="80" w:line="240" w:lineRule="auto"/>
                              <w:rPr>
                                <w:b w:val="0"/>
                                <w:color w:val="auto"/>
                              </w:rPr>
                            </w:pPr>
                          </w:p>
                          <w:p w14:paraId="448F5DDA" w14:textId="77777777" w:rsidR="0052200D" w:rsidRPr="005E7C78" w:rsidRDefault="0052200D"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103B14" w14:textId="77777777" w:rsidR="0052200D" w:rsidRDefault="0052200D"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48B741A9" w14:textId="77777777" w:rsidR="0052200D" w:rsidRPr="005E7C78" w:rsidRDefault="0052200D" w:rsidP="00095135">
                            <w:pPr>
                              <w:pStyle w:val="TLKontakty"/>
                              <w:spacing w:after="80" w:line="240" w:lineRule="auto"/>
                              <w:rPr>
                                <w:b w:val="0"/>
                                <w:color w:val="auto"/>
                              </w:rPr>
                            </w:pPr>
                          </w:p>
                          <w:p w14:paraId="395ED09A" w14:textId="77777777" w:rsidR="0052200D" w:rsidRPr="005E7C78" w:rsidRDefault="0052200D"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0575867B" w14:textId="77777777" w:rsidR="0052200D" w:rsidRPr="00095135" w:rsidRDefault="0052200D"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A088C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B7Ir+ksCAABDBAAADgAAAAAAAAAAAAAAAAAuAgAAZHJzL2Uyb0RvYy54bWxQSwECLQAUAAYACAAA&#10;ACEArRpGXOAAAAANAQAADwAAAAAAAAAAAAAAAAClBAAAZHJzL2Rvd25yZXYueG1sUEsFBgAAAAAE&#10;AAQA8wAAALIFAAAAAA==&#10;" filled="f" stroked="f">
                <v:textbox style="mso-fit-shape-to-text:t" inset="0,0,0,0">
                  <w:txbxContent>
                    <w:p w14:paraId="28541332" w14:textId="77777777" w:rsidR="0052200D" w:rsidRPr="006F5416" w:rsidRDefault="0052200D" w:rsidP="006F5416">
                      <w:pPr>
                        <w:pStyle w:val="TLKontaktyerven"/>
                      </w:pPr>
                      <w:r w:rsidRPr="006F5416">
                        <w:t>KONTAKTY V ÚSTŘEDÍ</w:t>
                      </w:r>
                    </w:p>
                    <w:p w14:paraId="3C71345D" w14:textId="77777777" w:rsidR="0052200D" w:rsidRPr="007D40DF" w:rsidRDefault="0052200D"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5DF2AD66" w14:textId="77777777" w:rsidR="0052200D" w:rsidRPr="00D235B7" w:rsidRDefault="0052200D"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1F3052F" w14:textId="77777777" w:rsidR="0052200D" w:rsidRPr="00D235B7" w:rsidRDefault="0052200D"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31AC1D4" w14:textId="77777777" w:rsidR="0052200D" w:rsidRPr="00D235B7" w:rsidRDefault="0052200D"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548AAF1E" w14:textId="77777777" w:rsidR="0052200D" w:rsidRPr="00D235B7" w:rsidRDefault="0052200D"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676CE837" w14:textId="77777777" w:rsidR="0052200D" w:rsidRPr="004A61C5" w:rsidRDefault="0052200D" w:rsidP="00825C4D">
                      <w:pPr>
                        <w:pStyle w:val="TLKontakty"/>
                        <w:spacing w:after="80" w:line="240" w:lineRule="auto"/>
                        <w:contextualSpacing w:val="0"/>
                        <w:rPr>
                          <w:color w:val="auto"/>
                        </w:rPr>
                      </w:pPr>
                    </w:p>
                    <w:p w14:paraId="58156969" w14:textId="77777777" w:rsidR="0052200D" w:rsidRPr="00D66223" w:rsidRDefault="0052200D" w:rsidP="00D66223">
                      <w:pPr>
                        <w:pStyle w:val="TLKontaktyerven"/>
                      </w:pPr>
                      <w:r w:rsidRPr="00D66223">
                        <w:t>INFORMAČNÍ SLUŽBY V REGIONECH</w:t>
                      </w:r>
                    </w:p>
                    <w:p w14:paraId="4879BC68" w14:textId="77777777" w:rsidR="0052200D" w:rsidRPr="00992CF3" w:rsidRDefault="0052200D"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13DC4C4" w14:textId="77777777" w:rsidR="0052200D" w:rsidRPr="00992CF3" w:rsidRDefault="0052200D"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39B244A8" w14:textId="77777777" w:rsidR="0052200D" w:rsidRPr="004A61C5" w:rsidRDefault="0052200D" w:rsidP="00825C4D">
                      <w:pPr>
                        <w:pStyle w:val="TLKontakty"/>
                        <w:spacing w:after="80" w:line="240" w:lineRule="auto"/>
                        <w:rPr>
                          <w:color w:val="auto"/>
                        </w:rPr>
                      </w:pPr>
                    </w:p>
                    <w:p w14:paraId="0700B661" w14:textId="77777777" w:rsidR="0052200D" w:rsidRPr="00992CF3" w:rsidRDefault="0052200D"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416161E8" w14:textId="77777777" w:rsidR="0052200D" w:rsidRPr="00992CF3" w:rsidRDefault="0052200D"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4FF5E3BD" w14:textId="77777777" w:rsidR="0052200D" w:rsidRPr="004A61C5" w:rsidRDefault="0052200D" w:rsidP="00825C4D">
                      <w:pPr>
                        <w:pStyle w:val="TLKontakty"/>
                        <w:spacing w:after="80" w:line="240" w:lineRule="auto"/>
                        <w:rPr>
                          <w:color w:val="auto"/>
                        </w:rPr>
                      </w:pPr>
                    </w:p>
                    <w:p w14:paraId="272E9710" w14:textId="77777777" w:rsidR="0052200D" w:rsidRPr="00992CF3" w:rsidRDefault="0052200D"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41660CA4" w14:textId="77777777" w:rsidR="0052200D" w:rsidRPr="00992CF3" w:rsidRDefault="0052200D"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02FFC287" w14:textId="77777777" w:rsidR="0052200D" w:rsidRPr="004A61C5" w:rsidRDefault="0052200D" w:rsidP="00825C4D">
                      <w:pPr>
                        <w:pStyle w:val="TLKontakty"/>
                        <w:spacing w:after="80" w:line="240" w:lineRule="auto"/>
                        <w:rPr>
                          <w:color w:val="auto"/>
                        </w:rPr>
                      </w:pPr>
                    </w:p>
                    <w:p w14:paraId="28D66B71" w14:textId="77777777" w:rsidR="0052200D" w:rsidRPr="00BC731E" w:rsidRDefault="0052200D"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44E4A2F2"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124C070B" w14:textId="77777777" w:rsidR="0052200D" w:rsidRPr="004A61C5" w:rsidRDefault="0052200D" w:rsidP="00825C4D">
                      <w:pPr>
                        <w:pStyle w:val="TLKontakty"/>
                        <w:spacing w:after="80" w:line="240" w:lineRule="auto"/>
                        <w:rPr>
                          <w:color w:val="auto"/>
                        </w:rPr>
                      </w:pPr>
                    </w:p>
                    <w:p w14:paraId="09B6DE68" w14:textId="77777777" w:rsidR="0052200D" w:rsidRPr="004A61C5" w:rsidRDefault="0052200D"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77EF21B"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C1AC3BB" w14:textId="77777777" w:rsidR="0052200D" w:rsidRPr="004A61C5" w:rsidRDefault="0052200D" w:rsidP="00825C4D">
                      <w:pPr>
                        <w:pStyle w:val="TLKontakty"/>
                        <w:spacing w:after="80" w:line="240" w:lineRule="auto"/>
                        <w:rPr>
                          <w:color w:val="auto"/>
                        </w:rPr>
                      </w:pPr>
                    </w:p>
                    <w:p w14:paraId="59D3D98A" w14:textId="77777777" w:rsidR="0052200D" w:rsidRPr="004A61C5" w:rsidRDefault="0052200D"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F4D5FAC"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465C0979" w14:textId="77777777" w:rsidR="0052200D" w:rsidRPr="004A61C5" w:rsidRDefault="0052200D" w:rsidP="00825C4D">
                      <w:pPr>
                        <w:pStyle w:val="TLKontakty"/>
                        <w:spacing w:after="80" w:line="240" w:lineRule="auto"/>
                        <w:rPr>
                          <w:color w:val="auto"/>
                        </w:rPr>
                      </w:pPr>
                    </w:p>
                    <w:p w14:paraId="53E44571" w14:textId="77777777" w:rsidR="0052200D" w:rsidRPr="004A61C5" w:rsidRDefault="0052200D"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7748DBC3"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4123AE44" w14:textId="77777777" w:rsidR="0052200D" w:rsidRPr="004A61C5" w:rsidRDefault="0052200D" w:rsidP="00825C4D">
                      <w:pPr>
                        <w:pStyle w:val="TLKontakty"/>
                        <w:spacing w:after="80" w:line="240" w:lineRule="auto"/>
                        <w:rPr>
                          <w:b w:val="0"/>
                          <w:color w:val="auto"/>
                        </w:rPr>
                      </w:pPr>
                    </w:p>
                    <w:p w14:paraId="10E14C3C" w14:textId="77777777" w:rsidR="0052200D" w:rsidRPr="004A61C5" w:rsidRDefault="0052200D"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2E3651FF"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74F45FF3" w14:textId="77777777" w:rsidR="0052200D" w:rsidRPr="004A61C5" w:rsidRDefault="0052200D" w:rsidP="00825C4D">
                      <w:pPr>
                        <w:pStyle w:val="TLKontakty"/>
                        <w:spacing w:after="80" w:line="240" w:lineRule="auto"/>
                        <w:rPr>
                          <w:color w:val="auto"/>
                        </w:rPr>
                      </w:pPr>
                    </w:p>
                    <w:p w14:paraId="5E11F5F2" w14:textId="77777777" w:rsidR="0052200D" w:rsidRPr="004A61C5" w:rsidRDefault="0052200D"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72152ABD"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31158F18" w14:textId="77777777" w:rsidR="0052200D" w:rsidRPr="004A61C5" w:rsidRDefault="0052200D" w:rsidP="00825C4D">
                      <w:pPr>
                        <w:pStyle w:val="TLKontakty"/>
                        <w:spacing w:after="80" w:line="240" w:lineRule="auto"/>
                        <w:rPr>
                          <w:b w:val="0"/>
                          <w:color w:val="auto"/>
                        </w:rPr>
                      </w:pPr>
                    </w:p>
                    <w:p w14:paraId="231F5E11" w14:textId="77777777" w:rsidR="0052200D" w:rsidRPr="004A61C5" w:rsidRDefault="0052200D"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5687D8F" w14:textId="77777777" w:rsidR="0052200D" w:rsidRPr="004A61C5" w:rsidRDefault="0052200D"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14A58016" w14:textId="77777777" w:rsidR="0052200D" w:rsidRDefault="0052200D" w:rsidP="00825C4D">
                      <w:pPr>
                        <w:pStyle w:val="TLKontakty"/>
                        <w:spacing w:after="80" w:line="240" w:lineRule="auto"/>
                      </w:pPr>
                    </w:p>
                    <w:p w14:paraId="2C2F9B1E" w14:textId="77777777" w:rsidR="0052200D" w:rsidRPr="00BC731E" w:rsidRDefault="0052200D"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395EA08C" w14:textId="77777777" w:rsidR="0052200D" w:rsidRPr="004A61C5" w:rsidRDefault="0052200D"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E41DBBE" w14:textId="77777777" w:rsidR="0052200D" w:rsidRPr="004A61C5" w:rsidRDefault="0052200D" w:rsidP="00825C4D">
                      <w:pPr>
                        <w:pStyle w:val="TLKontakty"/>
                        <w:spacing w:after="80" w:line="240" w:lineRule="auto"/>
                        <w:rPr>
                          <w:b w:val="0"/>
                          <w:color w:val="auto"/>
                        </w:rPr>
                      </w:pPr>
                    </w:p>
                    <w:p w14:paraId="3F9813C4" w14:textId="77777777" w:rsidR="0052200D" w:rsidRPr="005E7C78" w:rsidRDefault="0052200D"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483B16E7" w14:textId="77777777" w:rsidR="0052200D" w:rsidRPr="005E7C78" w:rsidRDefault="0052200D"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1DEA6773" w14:textId="77777777" w:rsidR="0052200D" w:rsidRPr="005E7C78" w:rsidRDefault="0052200D" w:rsidP="00825C4D">
                      <w:pPr>
                        <w:pStyle w:val="TLKontakty"/>
                        <w:spacing w:after="80" w:line="240" w:lineRule="auto"/>
                        <w:rPr>
                          <w:b w:val="0"/>
                          <w:color w:val="auto"/>
                        </w:rPr>
                      </w:pPr>
                    </w:p>
                    <w:p w14:paraId="448F5DDA" w14:textId="77777777" w:rsidR="0052200D" w:rsidRPr="005E7C78" w:rsidRDefault="0052200D"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103B14" w14:textId="77777777" w:rsidR="0052200D" w:rsidRDefault="0052200D"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48B741A9" w14:textId="77777777" w:rsidR="0052200D" w:rsidRPr="005E7C78" w:rsidRDefault="0052200D" w:rsidP="00095135">
                      <w:pPr>
                        <w:pStyle w:val="TLKontakty"/>
                        <w:spacing w:after="80" w:line="240" w:lineRule="auto"/>
                        <w:rPr>
                          <w:b w:val="0"/>
                          <w:color w:val="auto"/>
                        </w:rPr>
                      </w:pPr>
                    </w:p>
                    <w:p w14:paraId="395ED09A" w14:textId="77777777" w:rsidR="0052200D" w:rsidRPr="005E7C78" w:rsidRDefault="0052200D"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0575867B" w14:textId="77777777" w:rsidR="0052200D" w:rsidRPr="00095135" w:rsidRDefault="0052200D"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3EE77A96" wp14:editId="5156964C">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AD0B002" w14:textId="77777777" w:rsidR="0052200D" w:rsidRPr="00321924" w:rsidRDefault="0052200D" w:rsidP="00A16E1D">
                            <w:pPr>
                              <w:jc w:val="left"/>
                            </w:pPr>
                            <w:r w:rsidRPr="00321924">
                              <w:br/>
                              <w:t xml:space="preserve">© Český statistický úřad, </w:t>
                            </w:r>
                            <w:r>
                              <w:t>Praha, 2019</w:t>
                            </w:r>
                          </w:p>
                          <w:p w14:paraId="52FD100C" w14:textId="77777777" w:rsidR="0052200D" w:rsidRDefault="0052200D"/>
                          <w:p w14:paraId="515D7599" w14:textId="77777777" w:rsidR="0052200D" w:rsidRPr="00841D9F" w:rsidRDefault="0052200D" w:rsidP="000A3A2C">
                            <w:r w:rsidRPr="00841D9F">
                              <w:rPr>
                                <w:szCs w:val="26"/>
                              </w:rPr>
                              <w:t>ISBN XX-XXXX-XXX-X</w:t>
                            </w:r>
                            <w:r>
                              <w:rPr>
                                <w:szCs w:val="26"/>
                              </w:rPr>
                              <w:t> </w:t>
                            </w:r>
                            <w:r w:rsidRPr="00841D9F">
                              <w:rPr>
                                <w:szCs w:val="26"/>
                              </w:rPr>
                              <w:t xml:space="preserve"> </w:t>
                            </w:r>
                            <w:r w:rsidRPr="00841D9F">
                              <w:t>(pouze u</w:t>
                            </w:r>
                            <w:r>
                              <w:t> </w:t>
                            </w:r>
                            <w:r w:rsidRPr="00841D9F">
                              <w:t>nepravidelných a ročních publikací)</w:t>
                            </w:r>
                          </w:p>
                          <w:p w14:paraId="0975553D" w14:textId="77777777" w:rsidR="0052200D" w:rsidRPr="00AF2852" w:rsidRDefault="0052200D"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7A96"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" filled="f" stroked="f">
                <v:textbox inset="0,0,0,0">
                  <w:txbxContent>
                    <w:p w14:paraId="1AD0B002" w14:textId="77777777" w:rsidR="0052200D" w:rsidRPr="00321924" w:rsidRDefault="0052200D" w:rsidP="00A16E1D">
                      <w:pPr>
                        <w:jc w:val="left"/>
                      </w:pPr>
                      <w:r w:rsidRPr="00321924">
                        <w:br/>
                        <w:t xml:space="preserve">© Český statistický úřad, </w:t>
                      </w:r>
                      <w:r>
                        <w:t>Praha, 2019</w:t>
                      </w:r>
                    </w:p>
                    <w:p w14:paraId="52FD100C" w14:textId="77777777" w:rsidR="0052200D" w:rsidRDefault="0052200D"/>
                    <w:p w14:paraId="515D7599" w14:textId="77777777" w:rsidR="0052200D" w:rsidRPr="00841D9F" w:rsidRDefault="0052200D" w:rsidP="000A3A2C">
                      <w:r w:rsidRPr="00841D9F">
                        <w:rPr>
                          <w:szCs w:val="26"/>
                        </w:rPr>
                        <w:t>ISBN XX-XXXX-XXX-X</w:t>
                      </w:r>
                      <w:r>
                        <w:rPr>
                          <w:szCs w:val="26"/>
                        </w:rPr>
                        <w:t> </w:t>
                      </w:r>
                      <w:r w:rsidRPr="00841D9F">
                        <w:rPr>
                          <w:szCs w:val="26"/>
                        </w:rPr>
                        <w:t xml:space="preserve"> </w:t>
                      </w:r>
                      <w:r w:rsidRPr="00841D9F">
                        <w:t>(pouze u</w:t>
                      </w:r>
                      <w:r>
                        <w:t> </w:t>
                      </w:r>
                      <w:r w:rsidRPr="00841D9F">
                        <w:t>nepravidelných a ročních publikací)</w:t>
                      </w:r>
                    </w:p>
                    <w:p w14:paraId="0975553D" w14:textId="77777777" w:rsidR="0052200D" w:rsidRPr="00AF2852" w:rsidRDefault="0052200D"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01D0B83B" wp14:editId="3F386203">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6FEE0FA" w14:textId="77777777" w:rsidR="0052200D" w:rsidRPr="009A1902" w:rsidRDefault="0052200D"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D0B83B"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" filled="f" stroked="f">
                <v:textbox style="mso-fit-shape-to-text:t" inset="0,0,0,0">
                  <w:txbxContent>
                    <w:p w14:paraId="26FEE0FA" w14:textId="77777777" w:rsidR="0052200D" w:rsidRPr="009A1902" w:rsidRDefault="0052200D"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v:textbox>
                <w10:wrap anchorx="page" anchory="page"/>
                <w10:anchorlock/>
              </v:shape>
            </w:pict>
          </mc:Fallback>
        </mc:AlternateContent>
      </w:r>
    </w:p>
    <w:sdt>
      <w:sdtPr>
        <w:rPr>
          <w:b w:val="0"/>
          <w:color w:val="auto"/>
          <w:sz w:val="20"/>
        </w:rPr>
        <w:id w:val="5357999"/>
        <w:docPartObj>
          <w:docPartGallery w:val="Table of Contents"/>
          <w:docPartUnique/>
        </w:docPartObj>
      </w:sdtPr>
      <w:sdtEndPr/>
      <w:sdtContent>
        <w:p w14:paraId="74D73AA9" w14:textId="77777777" w:rsidR="00867DAB" w:rsidRPr="009110F7" w:rsidRDefault="00867DAB" w:rsidP="00867DAB">
          <w:pPr>
            <w:pStyle w:val="Obsah"/>
          </w:pPr>
          <w:r w:rsidRPr="009110F7">
            <w:t>Obsah</w:t>
          </w:r>
        </w:p>
        <w:p w14:paraId="20B027A3" w14:textId="6F94430C" w:rsidR="00CC612B" w:rsidRDefault="007D42E5">
          <w:pPr>
            <w:pStyle w:val="Obsah1"/>
            <w:rPr>
              <w:rFonts w:asciiTheme="minorHAnsi" w:eastAsiaTheme="minorEastAsia" w:hAnsiTheme="minorHAnsi" w:cstheme="minorBidi"/>
              <w:noProof/>
              <w:sz w:val="22"/>
              <w:szCs w:val="22"/>
            </w:rPr>
          </w:pPr>
          <w:r w:rsidRPr="009110F7">
            <w:fldChar w:fldCharType="begin"/>
          </w:r>
          <w:r w:rsidR="00867DAB" w:rsidRPr="009110F7">
            <w:instrText xml:space="preserve"> TOC \o "1-3" \h \z \u </w:instrText>
          </w:r>
          <w:r w:rsidRPr="009110F7">
            <w:fldChar w:fldCharType="separate"/>
          </w:r>
          <w:hyperlink w:anchor="_Toc11320627" w:history="1">
            <w:r w:rsidR="00CC612B" w:rsidRPr="00E556A4">
              <w:rPr>
                <w:rStyle w:val="Hypertextovodkaz"/>
                <w:noProof/>
              </w:rPr>
              <w:t>1. Shrnutí</w:t>
            </w:r>
            <w:r w:rsidR="00CC612B">
              <w:rPr>
                <w:noProof/>
                <w:webHidden/>
              </w:rPr>
              <w:tab/>
            </w:r>
            <w:r w:rsidR="00CC612B">
              <w:rPr>
                <w:noProof/>
                <w:webHidden/>
              </w:rPr>
              <w:fldChar w:fldCharType="begin"/>
            </w:r>
            <w:r w:rsidR="00CC612B">
              <w:rPr>
                <w:noProof/>
                <w:webHidden/>
              </w:rPr>
              <w:instrText xml:space="preserve"> PAGEREF _Toc11320627 \h </w:instrText>
            </w:r>
            <w:r w:rsidR="00CC612B">
              <w:rPr>
                <w:noProof/>
                <w:webHidden/>
              </w:rPr>
            </w:r>
            <w:r w:rsidR="00CC612B">
              <w:rPr>
                <w:noProof/>
                <w:webHidden/>
              </w:rPr>
              <w:fldChar w:fldCharType="separate"/>
            </w:r>
            <w:r w:rsidR="00CC612B">
              <w:rPr>
                <w:noProof/>
                <w:webHidden/>
              </w:rPr>
              <w:t>4</w:t>
            </w:r>
            <w:r w:rsidR="00CC612B">
              <w:rPr>
                <w:noProof/>
                <w:webHidden/>
              </w:rPr>
              <w:fldChar w:fldCharType="end"/>
            </w:r>
          </w:hyperlink>
        </w:p>
        <w:p w14:paraId="20ED65FE" w14:textId="5503A95D" w:rsidR="00CC612B" w:rsidRDefault="007A282C">
          <w:pPr>
            <w:pStyle w:val="Obsah1"/>
            <w:rPr>
              <w:rFonts w:asciiTheme="minorHAnsi" w:eastAsiaTheme="minorEastAsia" w:hAnsiTheme="minorHAnsi" w:cstheme="minorBidi"/>
              <w:noProof/>
              <w:sz w:val="22"/>
              <w:szCs w:val="22"/>
            </w:rPr>
          </w:pPr>
          <w:hyperlink w:anchor="_Toc11320628" w:history="1">
            <w:r w:rsidR="00CC612B" w:rsidRPr="00E556A4">
              <w:rPr>
                <w:rStyle w:val="Hypertextovodkaz"/>
                <w:noProof/>
              </w:rPr>
              <w:t>2. Souhrnná výkonnost</w:t>
            </w:r>
            <w:r w:rsidR="00CC612B">
              <w:rPr>
                <w:noProof/>
                <w:webHidden/>
              </w:rPr>
              <w:tab/>
            </w:r>
            <w:r w:rsidR="00CC612B">
              <w:rPr>
                <w:noProof/>
                <w:webHidden/>
              </w:rPr>
              <w:fldChar w:fldCharType="begin"/>
            </w:r>
            <w:r w:rsidR="00CC612B">
              <w:rPr>
                <w:noProof/>
                <w:webHidden/>
              </w:rPr>
              <w:instrText xml:space="preserve"> PAGEREF _Toc11320628 \h </w:instrText>
            </w:r>
            <w:r w:rsidR="00CC612B">
              <w:rPr>
                <w:noProof/>
                <w:webHidden/>
              </w:rPr>
            </w:r>
            <w:r w:rsidR="00CC612B">
              <w:rPr>
                <w:noProof/>
                <w:webHidden/>
              </w:rPr>
              <w:fldChar w:fldCharType="separate"/>
            </w:r>
            <w:r w:rsidR="00CC612B">
              <w:rPr>
                <w:noProof/>
                <w:webHidden/>
              </w:rPr>
              <w:t>5</w:t>
            </w:r>
            <w:r w:rsidR="00CC612B">
              <w:rPr>
                <w:noProof/>
                <w:webHidden/>
              </w:rPr>
              <w:fldChar w:fldCharType="end"/>
            </w:r>
          </w:hyperlink>
        </w:p>
        <w:p w14:paraId="4E6E8994" w14:textId="18EC4D71" w:rsidR="00CC612B" w:rsidRDefault="007A282C">
          <w:pPr>
            <w:pStyle w:val="Obsah1"/>
            <w:rPr>
              <w:rFonts w:asciiTheme="minorHAnsi" w:eastAsiaTheme="minorEastAsia" w:hAnsiTheme="minorHAnsi" w:cstheme="minorBidi"/>
              <w:noProof/>
              <w:sz w:val="22"/>
              <w:szCs w:val="22"/>
            </w:rPr>
          </w:pPr>
          <w:hyperlink w:anchor="_Toc11320629" w:history="1">
            <w:r w:rsidR="00CC612B" w:rsidRPr="00E556A4">
              <w:rPr>
                <w:rStyle w:val="Hypertextovodkaz"/>
                <w:noProof/>
              </w:rPr>
              <w:t>3. Výkonnost odvětví</w:t>
            </w:r>
            <w:r w:rsidR="00CC612B">
              <w:rPr>
                <w:noProof/>
                <w:webHidden/>
              </w:rPr>
              <w:tab/>
            </w:r>
            <w:r w:rsidR="00CC612B">
              <w:rPr>
                <w:noProof/>
                <w:webHidden/>
              </w:rPr>
              <w:fldChar w:fldCharType="begin"/>
            </w:r>
            <w:r w:rsidR="00CC612B">
              <w:rPr>
                <w:noProof/>
                <w:webHidden/>
              </w:rPr>
              <w:instrText xml:space="preserve"> PAGEREF _Toc11320629 \h </w:instrText>
            </w:r>
            <w:r w:rsidR="00CC612B">
              <w:rPr>
                <w:noProof/>
                <w:webHidden/>
              </w:rPr>
            </w:r>
            <w:r w:rsidR="00CC612B">
              <w:rPr>
                <w:noProof/>
                <w:webHidden/>
              </w:rPr>
              <w:fldChar w:fldCharType="separate"/>
            </w:r>
            <w:r w:rsidR="00CC612B">
              <w:rPr>
                <w:noProof/>
                <w:webHidden/>
              </w:rPr>
              <w:t>9</w:t>
            </w:r>
            <w:r w:rsidR="00CC612B">
              <w:rPr>
                <w:noProof/>
                <w:webHidden/>
              </w:rPr>
              <w:fldChar w:fldCharType="end"/>
            </w:r>
          </w:hyperlink>
        </w:p>
        <w:p w14:paraId="01A0D779" w14:textId="2052CE02" w:rsidR="00CC612B" w:rsidRDefault="007A282C">
          <w:pPr>
            <w:pStyle w:val="Obsah1"/>
            <w:rPr>
              <w:rFonts w:asciiTheme="minorHAnsi" w:eastAsiaTheme="minorEastAsia" w:hAnsiTheme="minorHAnsi" w:cstheme="minorBidi"/>
              <w:noProof/>
              <w:sz w:val="22"/>
              <w:szCs w:val="22"/>
            </w:rPr>
          </w:pPr>
          <w:hyperlink w:anchor="_Toc11320630" w:history="1">
            <w:r w:rsidR="00CC612B" w:rsidRPr="00E556A4">
              <w:rPr>
                <w:rStyle w:val="Hypertextovodkaz"/>
                <w:noProof/>
              </w:rPr>
              <w:t>4. Vnější vztahy</w:t>
            </w:r>
            <w:r w:rsidR="00CC612B">
              <w:rPr>
                <w:noProof/>
                <w:webHidden/>
              </w:rPr>
              <w:tab/>
            </w:r>
            <w:r w:rsidR="00CC612B">
              <w:rPr>
                <w:noProof/>
                <w:webHidden/>
              </w:rPr>
              <w:fldChar w:fldCharType="begin"/>
            </w:r>
            <w:r w:rsidR="00CC612B">
              <w:rPr>
                <w:noProof/>
                <w:webHidden/>
              </w:rPr>
              <w:instrText xml:space="preserve"> PAGEREF _Toc11320630 \h </w:instrText>
            </w:r>
            <w:r w:rsidR="00CC612B">
              <w:rPr>
                <w:noProof/>
                <w:webHidden/>
              </w:rPr>
            </w:r>
            <w:r w:rsidR="00CC612B">
              <w:rPr>
                <w:noProof/>
                <w:webHidden/>
              </w:rPr>
              <w:fldChar w:fldCharType="separate"/>
            </w:r>
            <w:r w:rsidR="00CC612B">
              <w:rPr>
                <w:noProof/>
                <w:webHidden/>
              </w:rPr>
              <w:t>15</w:t>
            </w:r>
            <w:r w:rsidR="00CC612B">
              <w:rPr>
                <w:noProof/>
                <w:webHidden/>
              </w:rPr>
              <w:fldChar w:fldCharType="end"/>
            </w:r>
          </w:hyperlink>
        </w:p>
        <w:p w14:paraId="1276F53B" w14:textId="3888BDEC" w:rsidR="00CC612B" w:rsidRDefault="007A282C">
          <w:pPr>
            <w:pStyle w:val="Obsah1"/>
            <w:rPr>
              <w:rFonts w:asciiTheme="minorHAnsi" w:eastAsiaTheme="minorEastAsia" w:hAnsiTheme="minorHAnsi" w:cstheme="minorBidi"/>
              <w:noProof/>
              <w:sz w:val="22"/>
              <w:szCs w:val="22"/>
            </w:rPr>
          </w:pPr>
          <w:hyperlink w:anchor="_Toc11320631" w:history="1">
            <w:r w:rsidR="00CC612B" w:rsidRPr="00E556A4">
              <w:rPr>
                <w:rStyle w:val="Hypertextovodkaz"/>
                <w:noProof/>
              </w:rPr>
              <w:t>5. Ceny</w:t>
            </w:r>
            <w:r w:rsidR="00CC612B">
              <w:rPr>
                <w:noProof/>
                <w:webHidden/>
              </w:rPr>
              <w:tab/>
            </w:r>
            <w:r w:rsidR="00CC612B">
              <w:rPr>
                <w:noProof/>
                <w:webHidden/>
              </w:rPr>
              <w:fldChar w:fldCharType="begin"/>
            </w:r>
            <w:r w:rsidR="00CC612B">
              <w:rPr>
                <w:noProof/>
                <w:webHidden/>
              </w:rPr>
              <w:instrText xml:space="preserve"> PAGEREF _Toc11320631 \h </w:instrText>
            </w:r>
            <w:r w:rsidR="00CC612B">
              <w:rPr>
                <w:noProof/>
                <w:webHidden/>
              </w:rPr>
            </w:r>
            <w:r w:rsidR="00CC612B">
              <w:rPr>
                <w:noProof/>
                <w:webHidden/>
              </w:rPr>
              <w:fldChar w:fldCharType="separate"/>
            </w:r>
            <w:r w:rsidR="00CC612B">
              <w:rPr>
                <w:noProof/>
                <w:webHidden/>
              </w:rPr>
              <w:t>17</w:t>
            </w:r>
            <w:r w:rsidR="00CC612B">
              <w:rPr>
                <w:noProof/>
                <w:webHidden/>
              </w:rPr>
              <w:fldChar w:fldCharType="end"/>
            </w:r>
          </w:hyperlink>
        </w:p>
        <w:p w14:paraId="78AA9BB8" w14:textId="47FDCBFC" w:rsidR="00CC612B" w:rsidRDefault="007A282C">
          <w:pPr>
            <w:pStyle w:val="Obsah1"/>
            <w:rPr>
              <w:rFonts w:asciiTheme="minorHAnsi" w:eastAsiaTheme="minorEastAsia" w:hAnsiTheme="minorHAnsi" w:cstheme="minorBidi"/>
              <w:noProof/>
              <w:sz w:val="22"/>
              <w:szCs w:val="22"/>
            </w:rPr>
          </w:pPr>
          <w:hyperlink w:anchor="_Toc11320632" w:history="1">
            <w:r w:rsidR="00CC612B" w:rsidRPr="00E556A4">
              <w:rPr>
                <w:rStyle w:val="Hypertextovodkaz"/>
                <w:noProof/>
              </w:rPr>
              <w:t>6. Trh práce</w:t>
            </w:r>
            <w:r w:rsidR="00CC612B">
              <w:rPr>
                <w:noProof/>
                <w:webHidden/>
              </w:rPr>
              <w:tab/>
            </w:r>
            <w:r w:rsidR="00CC612B">
              <w:rPr>
                <w:noProof/>
                <w:webHidden/>
              </w:rPr>
              <w:fldChar w:fldCharType="begin"/>
            </w:r>
            <w:r w:rsidR="00CC612B">
              <w:rPr>
                <w:noProof/>
                <w:webHidden/>
              </w:rPr>
              <w:instrText xml:space="preserve"> PAGEREF _Toc11320632 \h </w:instrText>
            </w:r>
            <w:r w:rsidR="00CC612B">
              <w:rPr>
                <w:noProof/>
                <w:webHidden/>
              </w:rPr>
            </w:r>
            <w:r w:rsidR="00CC612B">
              <w:rPr>
                <w:noProof/>
                <w:webHidden/>
              </w:rPr>
              <w:fldChar w:fldCharType="separate"/>
            </w:r>
            <w:r w:rsidR="00CC612B">
              <w:rPr>
                <w:noProof/>
                <w:webHidden/>
              </w:rPr>
              <w:t>21</w:t>
            </w:r>
            <w:r w:rsidR="00CC612B">
              <w:rPr>
                <w:noProof/>
                <w:webHidden/>
              </w:rPr>
              <w:fldChar w:fldCharType="end"/>
            </w:r>
          </w:hyperlink>
        </w:p>
        <w:p w14:paraId="4424CB88" w14:textId="6C78403F" w:rsidR="00CC612B" w:rsidRDefault="007A282C">
          <w:pPr>
            <w:pStyle w:val="Obsah1"/>
            <w:rPr>
              <w:rFonts w:asciiTheme="minorHAnsi" w:eastAsiaTheme="minorEastAsia" w:hAnsiTheme="minorHAnsi" w:cstheme="minorBidi"/>
              <w:noProof/>
              <w:sz w:val="22"/>
              <w:szCs w:val="22"/>
            </w:rPr>
          </w:pPr>
          <w:hyperlink w:anchor="_Toc11320633" w:history="1">
            <w:r w:rsidR="00CC612B" w:rsidRPr="00E556A4">
              <w:rPr>
                <w:rStyle w:val="Hypertextovodkaz"/>
                <w:noProof/>
              </w:rPr>
              <w:t>7. Měnové podmínky</w:t>
            </w:r>
            <w:r w:rsidR="00CC612B">
              <w:rPr>
                <w:noProof/>
                <w:webHidden/>
              </w:rPr>
              <w:tab/>
            </w:r>
            <w:r w:rsidR="00CC612B">
              <w:rPr>
                <w:noProof/>
                <w:webHidden/>
              </w:rPr>
              <w:fldChar w:fldCharType="begin"/>
            </w:r>
            <w:r w:rsidR="00CC612B">
              <w:rPr>
                <w:noProof/>
                <w:webHidden/>
              </w:rPr>
              <w:instrText xml:space="preserve"> PAGEREF _Toc11320633 \h </w:instrText>
            </w:r>
            <w:r w:rsidR="00CC612B">
              <w:rPr>
                <w:noProof/>
                <w:webHidden/>
              </w:rPr>
            </w:r>
            <w:r w:rsidR="00CC612B">
              <w:rPr>
                <w:noProof/>
                <w:webHidden/>
              </w:rPr>
              <w:fldChar w:fldCharType="separate"/>
            </w:r>
            <w:r w:rsidR="00CC612B">
              <w:rPr>
                <w:noProof/>
                <w:webHidden/>
              </w:rPr>
              <w:t>25</w:t>
            </w:r>
            <w:r w:rsidR="00CC612B">
              <w:rPr>
                <w:noProof/>
                <w:webHidden/>
              </w:rPr>
              <w:fldChar w:fldCharType="end"/>
            </w:r>
          </w:hyperlink>
        </w:p>
        <w:p w14:paraId="52A0EF01" w14:textId="66ACD982" w:rsidR="00CC612B" w:rsidRDefault="007A282C">
          <w:pPr>
            <w:pStyle w:val="Obsah1"/>
            <w:rPr>
              <w:rFonts w:asciiTheme="minorHAnsi" w:eastAsiaTheme="minorEastAsia" w:hAnsiTheme="minorHAnsi" w:cstheme="minorBidi"/>
              <w:noProof/>
              <w:sz w:val="22"/>
              <w:szCs w:val="22"/>
            </w:rPr>
          </w:pPr>
          <w:hyperlink w:anchor="_Toc11320634" w:history="1">
            <w:r w:rsidR="00CC612B" w:rsidRPr="00E556A4">
              <w:rPr>
                <w:rStyle w:val="Hypertextovodkaz"/>
                <w:noProof/>
              </w:rPr>
              <w:t>8. Státní rozpočet</w:t>
            </w:r>
            <w:r w:rsidR="00CC612B">
              <w:rPr>
                <w:noProof/>
                <w:webHidden/>
              </w:rPr>
              <w:tab/>
            </w:r>
            <w:r w:rsidR="00CC612B">
              <w:rPr>
                <w:noProof/>
                <w:webHidden/>
              </w:rPr>
              <w:fldChar w:fldCharType="begin"/>
            </w:r>
            <w:r w:rsidR="00CC612B">
              <w:rPr>
                <w:noProof/>
                <w:webHidden/>
              </w:rPr>
              <w:instrText xml:space="preserve"> PAGEREF _Toc11320634 \h </w:instrText>
            </w:r>
            <w:r w:rsidR="00CC612B">
              <w:rPr>
                <w:noProof/>
                <w:webHidden/>
              </w:rPr>
            </w:r>
            <w:r w:rsidR="00CC612B">
              <w:rPr>
                <w:noProof/>
                <w:webHidden/>
              </w:rPr>
              <w:fldChar w:fldCharType="separate"/>
            </w:r>
            <w:r w:rsidR="00CC612B">
              <w:rPr>
                <w:noProof/>
                <w:webHidden/>
              </w:rPr>
              <w:t>27</w:t>
            </w:r>
            <w:r w:rsidR="00CC612B">
              <w:rPr>
                <w:noProof/>
                <w:webHidden/>
              </w:rPr>
              <w:fldChar w:fldCharType="end"/>
            </w:r>
          </w:hyperlink>
        </w:p>
        <w:p w14:paraId="75243E96" w14:textId="3F399FB1" w:rsidR="00867DAB" w:rsidRPr="009110F7" w:rsidRDefault="007D42E5">
          <w:r w:rsidRPr="009110F7">
            <w:fldChar w:fldCharType="end"/>
          </w:r>
        </w:p>
      </w:sdtContent>
    </w:sdt>
    <w:p w14:paraId="0A820079" w14:textId="77777777" w:rsidR="00003F5C" w:rsidRPr="009110F7" w:rsidRDefault="00003F5C" w:rsidP="00003F5C">
      <w:pPr>
        <w:pStyle w:val="Textpoznpodarou"/>
        <w:jc w:val="both"/>
        <w:rPr>
          <w:rFonts w:cs="Arial"/>
          <w:color w:val="000000"/>
        </w:rPr>
      </w:pPr>
    </w:p>
    <w:p w14:paraId="3858DEBA" w14:textId="77777777" w:rsidR="00003F5C" w:rsidRPr="009110F7" w:rsidRDefault="00003F5C" w:rsidP="00003F5C">
      <w:pPr>
        <w:pStyle w:val="Textpoznpodarou"/>
        <w:jc w:val="both"/>
        <w:rPr>
          <w:rFonts w:cs="Arial"/>
          <w:color w:val="000000"/>
        </w:rPr>
      </w:pPr>
    </w:p>
    <w:p w14:paraId="446544F6" w14:textId="77777777" w:rsidR="00003F5C" w:rsidRPr="009110F7" w:rsidRDefault="00003F5C" w:rsidP="00003F5C">
      <w:pPr>
        <w:pStyle w:val="Textpoznpodarou"/>
        <w:jc w:val="both"/>
        <w:rPr>
          <w:rFonts w:cs="Arial"/>
          <w:color w:val="000000"/>
        </w:rPr>
      </w:pPr>
    </w:p>
    <w:p w14:paraId="7C135E77" w14:textId="77777777" w:rsidR="00003F5C" w:rsidRPr="009110F7" w:rsidRDefault="00003F5C" w:rsidP="00003F5C">
      <w:pPr>
        <w:pStyle w:val="Textpoznpodarou"/>
        <w:jc w:val="both"/>
        <w:rPr>
          <w:rFonts w:cs="Arial"/>
          <w:color w:val="000000"/>
        </w:rPr>
      </w:pPr>
    </w:p>
    <w:p w14:paraId="0E1BF7EA" w14:textId="77777777" w:rsidR="00003F5C" w:rsidRPr="009110F7" w:rsidRDefault="00003F5C" w:rsidP="00003F5C">
      <w:pPr>
        <w:pStyle w:val="Textpoznpodarou"/>
        <w:jc w:val="both"/>
        <w:rPr>
          <w:rFonts w:cs="Arial"/>
          <w:color w:val="000000"/>
        </w:rPr>
      </w:pPr>
    </w:p>
    <w:p w14:paraId="62028913" w14:textId="77777777" w:rsidR="00003F5C" w:rsidRPr="009110F7" w:rsidRDefault="00003F5C" w:rsidP="00003F5C">
      <w:pPr>
        <w:pStyle w:val="Textpoznpodarou"/>
        <w:jc w:val="both"/>
        <w:rPr>
          <w:rFonts w:cs="Arial"/>
          <w:color w:val="000000"/>
        </w:rPr>
      </w:pPr>
    </w:p>
    <w:p w14:paraId="1651792B" w14:textId="77777777" w:rsidR="00003F5C" w:rsidRPr="009110F7" w:rsidRDefault="00003F5C" w:rsidP="00003F5C">
      <w:pPr>
        <w:pStyle w:val="Textpoznpodarou"/>
        <w:jc w:val="both"/>
        <w:rPr>
          <w:rFonts w:cs="Arial"/>
          <w:color w:val="000000"/>
        </w:rPr>
      </w:pPr>
      <w:r w:rsidRPr="009110F7">
        <w:rPr>
          <w:rFonts w:cs="Arial"/>
          <w:color w:val="000000"/>
        </w:rPr>
        <w:t>Zdroje dat v celé analýze: ČSÚ, MF</w:t>
      </w:r>
      <w:r w:rsidR="00A45489" w:rsidRPr="009110F7">
        <w:rPr>
          <w:rFonts w:cs="Arial"/>
          <w:color w:val="000000"/>
        </w:rPr>
        <w:t> </w:t>
      </w:r>
      <w:r w:rsidRPr="009110F7">
        <w:rPr>
          <w:rFonts w:cs="Arial"/>
          <w:color w:val="000000"/>
        </w:rPr>
        <w:t xml:space="preserve">ČR, ČNB, MPSV, ČSSZ, </w:t>
      </w:r>
      <w:proofErr w:type="spellStart"/>
      <w:r w:rsidRPr="009110F7">
        <w:rPr>
          <w:rFonts w:cs="Arial"/>
          <w:color w:val="000000"/>
        </w:rPr>
        <w:t>Eurostat</w:t>
      </w:r>
      <w:proofErr w:type="spellEnd"/>
      <w:r w:rsidRPr="009110F7">
        <w:rPr>
          <w:rFonts w:cs="Arial"/>
          <w:color w:val="000000"/>
        </w:rPr>
        <w:t>, propočty ČSÚ.</w:t>
      </w:r>
    </w:p>
    <w:p w14:paraId="4EA2233D" w14:textId="77777777" w:rsidR="00003F5C" w:rsidRPr="009110F7" w:rsidRDefault="00003F5C" w:rsidP="00003F5C">
      <w:pPr>
        <w:pStyle w:val="Textpoznpodarou"/>
        <w:jc w:val="both"/>
        <w:rPr>
          <w:rFonts w:cs="Arial"/>
          <w:color w:val="000000"/>
        </w:rPr>
      </w:pPr>
      <w:r w:rsidRPr="009110F7">
        <w:rPr>
          <w:rFonts w:cs="Arial"/>
          <w:color w:val="000000"/>
        </w:rPr>
        <w:t xml:space="preserve">Poslední informace uváděné v této publikaci </w:t>
      </w:r>
      <w:r w:rsidR="00FA6CB6" w:rsidRPr="009110F7">
        <w:rPr>
          <w:rFonts w:cs="Arial"/>
          <w:color w:val="000000"/>
        </w:rPr>
        <w:t>pocházejí ze 7. června</w:t>
      </w:r>
      <w:r w:rsidRPr="009110F7">
        <w:rPr>
          <w:rFonts w:cs="Arial"/>
          <w:color w:val="000000"/>
        </w:rPr>
        <w:t xml:space="preserve"> </w:t>
      </w:r>
      <w:r w:rsidR="00F37EDC">
        <w:rPr>
          <w:rFonts w:cs="Arial"/>
          <w:color w:val="000000"/>
        </w:rPr>
        <w:t>2019</w:t>
      </w:r>
      <w:r w:rsidRPr="009110F7">
        <w:rPr>
          <w:rFonts w:cs="Arial"/>
          <w:color w:val="000000"/>
        </w:rPr>
        <w:t>.</w:t>
      </w:r>
    </w:p>
    <w:p w14:paraId="3D2EB2FA" w14:textId="77777777" w:rsidR="00EE4B1B" w:rsidRPr="000350C8" w:rsidRDefault="00087F2B" w:rsidP="00CC612B">
      <w:pPr>
        <w:pStyle w:val="Nadpis1"/>
      </w:pPr>
      <w:r w:rsidRPr="009110F7">
        <w:br w:type="page"/>
      </w:r>
      <w:bookmarkStart w:id="0" w:name="_Toc444112494"/>
      <w:bookmarkStart w:id="1" w:name="_Toc511215208"/>
      <w:r w:rsidR="001554C2" w:rsidRPr="009110F7">
        <w:lastRenderedPageBreak/>
        <w:t xml:space="preserve"> </w:t>
      </w:r>
      <w:bookmarkStart w:id="2" w:name="_Toc11320627"/>
      <w:r w:rsidR="001554C2" w:rsidRPr="000350C8">
        <w:t>1. Shrnutí</w:t>
      </w:r>
      <w:bookmarkEnd w:id="0"/>
      <w:bookmarkEnd w:id="1"/>
      <w:bookmarkEnd w:id="2"/>
    </w:p>
    <w:p w14:paraId="4394F62A" w14:textId="77777777" w:rsidR="00144588" w:rsidRPr="00144588" w:rsidRDefault="00144588" w:rsidP="00BA4E19">
      <w:pPr>
        <w:pStyle w:val="Normalodrka"/>
        <w:spacing w:after="100"/>
      </w:pPr>
      <w:r>
        <w:t>Meziroční nárůst hrubého domácího produktu (HDP) v 1. čtvrtletí dosáhl 2,6</w:t>
      </w:r>
      <w:r w:rsidR="00870ECD">
        <w:t> %</w:t>
      </w:r>
      <w:r w:rsidRPr="00144588">
        <w:rPr>
          <w:rStyle w:val="Znakapoznpodarou"/>
          <w:spacing w:val="-4"/>
          <w:szCs w:val="20"/>
        </w:rPr>
        <w:footnoteReference w:id="1"/>
      </w:r>
      <w:r>
        <w:t>, stejně jako v předchozím kvartálu</w:t>
      </w:r>
      <w:r w:rsidRPr="00144588">
        <w:rPr>
          <w:spacing w:val="2"/>
        </w:rPr>
        <w:t>.</w:t>
      </w:r>
      <w:r>
        <w:rPr>
          <w:spacing w:val="2"/>
        </w:rPr>
        <w:t xml:space="preserve"> I nadále tvořila dominantní sílu v ekonomice domácí poptávka, a to zejména výdaje na konečnou spotřebu domácností i vládních institucí (2,9</w:t>
      </w:r>
      <w:r w:rsidR="00870ECD">
        <w:rPr>
          <w:spacing w:val="2"/>
        </w:rPr>
        <w:t> %</w:t>
      </w:r>
      <w:r>
        <w:rPr>
          <w:spacing w:val="2"/>
        </w:rPr>
        <w:t>). Meziroční dynamika investiční aktivity se v 1. čtvrtletí neudržela na vysokých hodnotách minulého roku (3,4</w:t>
      </w:r>
      <w:r w:rsidR="00870ECD">
        <w:rPr>
          <w:spacing w:val="2"/>
        </w:rPr>
        <w:t> %</w:t>
      </w:r>
      <w:r>
        <w:rPr>
          <w:spacing w:val="2"/>
        </w:rPr>
        <w:t>). Mezičtvrtletní přírůstek HDP činil 0,6</w:t>
      </w:r>
      <w:r w:rsidR="00870ECD">
        <w:rPr>
          <w:spacing w:val="2"/>
        </w:rPr>
        <w:t> %</w:t>
      </w:r>
      <w:r>
        <w:rPr>
          <w:spacing w:val="2"/>
        </w:rPr>
        <w:t xml:space="preserve">. V rámci EU </w:t>
      </w:r>
      <w:r w:rsidR="006D317E">
        <w:rPr>
          <w:spacing w:val="2"/>
        </w:rPr>
        <w:t>rostl HDP Česka nadprůměrně. Celkově se HDP v Unii meziročně zvýšil o 1,5</w:t>
      </w:r>
      <w:r w:rsidR="00870ECD">
        <w:rPr>
          <w:spacing w:val="2"/>
        </w:rPr>
        <w:t> %</w:t>
      </w:r>
      <w:r w:rsidR="006D317E">
        <w:rPr>
          <w:spacing w:val="2"/>
        </w:rPr>
        <w:t xml:space="preserve">, </w:t>
      </w:r>
      <w:proofErr w:type="spellStart"/>
      <w:r w:rsidR="006D317E">
        <w:rPr>
          <w:spacing w:val="2"/>
        </w:rPr>
        <w:t>mezičtvrtletně</w:t>
      </w:r>
      <w:proofErr w:type="spellEnd"/>
      <w:r w:rsidR="006D317E">
        <w:rPr>
          <w:spacing w:val="2"/>
        </w:rPr>
        <w:t xml:space="preserve"> o 0,5</w:t>
      </w:r>
      <w:r w:rsidR="00870ECD">
        <w:rPr>
          <w:spacing w:val="2"/>
        </w:rPr>
        <w:t> %</w:t>
      </w:r>
      <w:r w:rsidR="006D317E">
        <w:rPr>
          <w:spacing w:val="2"/>
        </w:rPr>
        <w:t>.</w:t>
      </w:r>
    </w:p>
    <w:p w14:paraId="44B47ED3" w14:textId="77777777" w:rsidR="00C32631" w:rsidRPr="00F21337" w:rsidRDefault="00AE30BE" w:rsidP="00F21337">
      <w:pPr>
        <w:pStyle w:val="Normalodrka"/>
        <w:spacing w:after="100"/>
        <w:rPr>
          <w:spacing w:val="2"/>
        </w:rPr>
      </w:pPr>
      <w:r w:rsidRPr="008C1717">
        <w:rPr>
          <w:spacing w:val="2"/>
        </w:rPr>
        <w:t>Hrub</w:t>
      </w:r>
      <w:r w:rsidR="008C1717" w:rsidRPr="008C1717">
        <w:rPr>
          <w:spacing w:val="2"/>
        </w:rPr>
        <w:t>á přidaná hodnota vzrostla o 2,6</w:t>
      </w:r>
      <w:r w:rsidR="00870ECD">
        <w:rPr>
          <w:spacing w:val="2"/>
        </w:rPr>
        <w:t> %</w:t>
      </w:r>
      <w:r w:rsidRPr="008C1717">
        <w:rPr>
          <w:spacing w:val="2"/>
        </w:rPr>
        <w:t xml:space="preserve">. </w:t>
      </w:r>
      <w:r w:rsidR="00FE346B">
        <w:t>Hlavním zdrojem růstu ekonomiky na produkční straně byly již druhým rokem v řadě služby, jejich příspěvek činil 1,8</w:t>
      </w:r>
      <w:r w:rsidR="00870ECD">
        <w:t> p. b.</w:t>
      </w:r>
      <w:r w:rsidR="008F5383">
        <w:t xml:space="preserve"> Svižný růst zaznamenaly</w:t>
      </w:r>
      <w:r w:rsidR="00952B7B">
        <w:t xml:space="preserve"> zejména</w:t>
      </w:r>
      <w:r w:rsidR="008F5383">
        <w:rPr>
          <w:spacing w:val="-4"/>
        </w:rPr>
        <w:t xml:space="preserve"> informační</w:t>
      </w:r>
      <w:r w:rsidR="00FE346B" w:rsidRPr="005C012F">
        <w:rPr>
          <w:spacing w:val="-4"/>
        </w:rPr>
        <w:t xml:space="preserve"> a </w:t>
      </w:r>
      <w:r w:rsidR="008F5383">
        <w:rPr>
          <w:spacing w:val="-4"/>
        </w:rPr>
        <w:t>komunikační</w:t>
      </w:r>
      <w:r w:rsidR="00952B7B">
        <w:rPr>
          <w:spacing w:val="-4"/>
        </w:rPr>
        <w:t xml:space="preserve"> činnost</w:t>
      </w:r>
      <w:r w:rsidR="008F5383">
        <w:rPr>
          <w:spacing w:val="-4"/>
        </w:rPr>
        <w:t>i</w:t>
      </w:r>
      <w:r w:rsidR="00E953F6">
        <w:rPr>
          <w:spacing w:val="-4"/>
        </w:rPr>
        <w:t xml:space="preserve"> (</w:t>
      </w:r>
      <w:r w:rsidR="00FE346B" w:rsidRPr="005C012F">
        <w:rPr>
          <w:spacing w:val="-4"/>
        </w:rPr>
        <w:t>4,8</w:t>
      </w:r>
      <w:r w:rsidR="00870ECD">
        <w:rPr>
          <w:spacing w:val="-4"/>
        </w:rPr>
        <w:t> %</w:t>
      </w:r>
      <w:r w:rsidR="008F5383">
        <w:rPr>
          <w:spacing w:val="-4"/>
        </w:rPr>
        <w:t>) i</w:t>
      </w:r>
      <w:r w:rsidR="00FE346B" w:rsidRPr="005C012F">
        <w:rPr>
          <w:spacing w:val="-4"/>
        </w:rPr>
        <w:t> </w:t>
      </w:r>
      <w:r w:rsidR="008F5383">
        <w:rPr>
          <w:spacing w:val="-4"/>
        </w:rPr>
        <w:t>odvětví peněžnictví a</w:t>
      </w:r>
      <w:r w:rsidR="00952B7B">
        <w:rPr>
          <w:spacing w:val="-4"/>
        </w:rPr>
        <w:t xml:space="preserve"> pojišťovnictví (4,3</w:t>
      </w:r>
      <w:r w:rsidR="00870ECD">
        <w:rPr>
          <w:spacing w:val="-4"/>
        </w:rPr>
        <w:t> %</w:t>
      </w:r>
      <w:r w:rsidR="00952B7B">
        <w:rPr>
          <w:spacing w:val="-4"/>
        </w:rPr>
        <w:t xml:space="preserve">). </w:t>
      </w:r>
      <w:r w:rsidR="008F5383">
        <w:rPr>
          <w:spacing w:val="-4"/>
        </w:rPr>
        <w:t xml:space="preserve">Díky vysoké spotřebitelské důvěře prosperoval i obchod. </w:t>
      </w:r>
      <w:r w:rsidR="00F21337">
        <w:rPr>
          <w:spacing w:val="-4"/>
        </w:rPr>
        <w:t>Naopak vlivem méně příznivého vývoje vnějších faktorů zvolnil růst výkon</w:t>
      </w:r>
      <w:r w:rsidR="00162F81">
        <w:rPr>
          <w:spacing w:val="-4"/>
        </w:rPr>
        <w:t>u</w:t>
      </w:r>
      <w:r w:rsidR="00F21337">
        <w:rPr>
          <w:spacing w:val="-4"/>
        </w:rPr>
        <w:t xml:space="preserve"> ve </w:t>
      </w:r>
      <w:r w:rsidR="00F21337" w:rsidRPr="00F21337">
        <w:rPr>
          <w:spacing w:val="2"/>
        </w:rPr>
        <w:t>zpracovatelském průmyslu</w:t>
      </w:r>
      <w:r w:rsidR="00F21337">
        <w:rPr>
          <w:spacing w:val="2"/>
        </w:rPr>
        <w:t xml:space="preserve"> </w:t>
      </w:r>
      <w:r w:rsidR="00BA4E19">
        <w:rPr>
          <w:spacing w:val="2"/>
        </w:rPr>
        <w:t>(</w:t>
      </w:r>
      <w:r w:rsidR="00E953F6">
        <w:rPr>
          <w:spacing w:val="2"/>
        </w:rPr>
        <w:t xml:space="preserve">na </w:t>
      </w:r>
      <w:r w:rsidR="00BA4E19">
        <w:rPr>
          <w:spacing w:val="2"/>
        </w:rPr>
        <w:t>2,5</w:t>
      </w:r>
      <w:r w:rsidR="00870ECD">
        <w:rPr>
          <w:spacing w:val="2"/>
        </w:rPr>
        <w:t> %</w:t>
      </w:r>
      <w:r w:rsidR="00BA4E19">
        <w:rPr>
          <w:spacing w:val="2"/>
        </w:rPr>
        <w:t>)</w:t>
      </w:r>
      <w:r w:rsidR="00162F81">
        <w:rPr>
          <w:spacing w:val="2"/>
        </w:rPr>
        <w:t>,</w:t>
      </w:r>
      <w:r w:rsidR="00BA4E19">
        <w:rPr>
          <w:spacing w:val="2"/>
        </w:rPr>
        <w:t xml:space="preserve"> </w:t>
      </w:r>
      <w:r w:rsidR="00F21337">
        <w:rPr>
          <w:spacing w:val="2"/>
        </w:rPr>
        <w:t>především vlivem tradičních exportní</w:t>
      </w:r>
      <w:r w:rsidR="00BA4E19">
        <w:rPr>
          <w:spacing w:val="2"/>
        </w:rPr>
        <w:t>ch</w:t>
      </w:r>
      <w:r w:rsidR="00F21337">
        <w:rPr>
          <w:spacing w:val="2"/>
        </w:rPr>
        <w:t xml:space="preserve"> oborů.</w:t>
      </w:r>
      <w:r w:rsidR="00BA4E19">
        <w:rPr>
          <w:spacing w:val="2"/>
        </w:rPr>
        <w:t xml:space="preserve"> Po loňském obratu pokračoval růst stavebnictví, jemuž pomáhala silná domácí poptávka podpořená i veřejnými zakázkami </w:t>
      </w:r>
    </w:p>
    <w:p w14:paraId="5B724F20" w14:textId="77777777" w:rsidR="00144588" w:rsidRPr="00E60043" w:rsidRDefault="00144588" w:rsidP="00E60043">
      <w:pPr>
        <w:pStyle w:val="Normalodrka"/>
        <w:spacing w:after="100"/>
        <w:rPr>
          <w:spacing w:val="2"/>
        </w:rPr>
      </w:pPr>
      <w:r>
        <w:rPr>
          <w:spacing w:val="2"/>
        </w:rPr>
        <w:t xml:space="preserve">Hodnota vývozu zboží v 1. čtvrtletí dosáhla </w:t>
      </w:r>
      <w:r w:rsidR="00E60043">
        <w:rPr>
          <w:spacing w:val="2"/>
        </w:rPr>
        <w:t>937,9</w:t>
      </w:r>
      <w:r w:rsidR="00870ECD">
        <w:rPr>
          <w:spacing w:val="2"/>
        </w:rPr>
        <w:t> mld</w:t>
      </w:r>
      <w:r>
        <w:rPr>
          <w:spacing w:val="2"/>
        </w:rPr>
        <w:t xml:space="preserve">. korun. To je o </w:t>
      </w:r>
      <w:r w:rsidR="00E60043">
        <w:rPr>
          <w:spacing w:val="2"/>
        </w:rPr>
        <w:t>37,4</w:t>
      </w:r>
      <w:r w:rsidR="00870ECD">
        <w:rPr>
          <w:spacing w:val="2"/>
        </w:rPr>
        <w:t> mld</w:t>
      </w:r>
      <w:r w:rsidRPr="00E60043">
        <w:rPr>
          <w:spacing w:val="2"/>
        </w:rPr>
        <w:t>. více než ve stejném období minulého roku.</w:t>
      </w:r>
      <w:r w:rsidR="00E60043">
        <w:rPr>
          <w:spacing w:val="2"/>
        </w:rPr>
        <w:t xml:space="preserve"> Meziročně rostl vývoz všech klíčových artiklů, tedy motorových vozidel (2,7</w:t>
      </w:r>
      <w:r w:rsidR="00870ECD">
        <w:rPr>
          <w:spacing w:val="2"/>
        </w:rPr>
        <w:t> %</w:t>
      </w:r>
      <w:r w:rsidR="00E60043">
        <w:rPr>
          <w:spacing w:val="2"/>
        </w:rPr>
        <w:t>), strojů a zařízení (3,8</w:t>
      </w:r>
      <w:r w:rsidR="00870ECD">
        <w:rPr>
          <w:spacing w:val="2"/>
        </w:rPr>
        <w:t> %</w:t>
      </w:r>
      <w:r w:rsidR="00E60043">
        <w:rPr>
          <w:spacing w:val="2"/>
        </w:rPr>
        <w:t>), elektrických zařízení (2,2</w:t>
      </w:r>
      <w:r w:rsidR="00870ECD">
        <w:rPr>
          <w:spacing w:val="2"/>
        </w:rPr>
        <w:t> %</w:t>
      </w:r>
      <w:r w:rsidR="00E60043">
        <w:rPr>
          <w:spacing w:val="2"/>
        </w:rPr>
        <w:t>) i kovodělných výrobků (3,2</w:t>
      </w:r>
      <w:r w:rsidR="00870ECD">
        <w:rPr>
          <w:spacing w:val="2"/>
        </w:rPr>
        <w:t> %</w:t>
      </w:r>
      <w:r w:rsidR="00E60043">
        <w:rPr>
          <w:spacing w:val="2"/>
        </w:rPr>
        <w:t>). Rostl zejména export do Evropské unie. Po loňské stagnaci opět posílil růst hodnoty vývozu do Německa. Dovoz rostl rychleji než vývoz, což vedlo také k mírnému zhoršení přebytku bilance obchodu se zbožím o 1,8</w:t>
      </w:r>
      <w:r w:rsidR="00870ECD">
        <w:rPr>
          <w:spacing w:val="2"/>
        </w:rPr>
        <w:t> mld</w:t>
      </w:r>
      <w:r w:rsidR="00E60043">
        <w:rPr>
          <w:spacing w:val="2"/>
        </w:rPr>
        <w:t>. korun na 54,3</w:t>
      </w:r>
      <w:r w:rsidR="00870ECD">
        <w:rPr>
          <w:spacing w:val="2"/>
        </w:rPr>
        <w:t> mld</w:t>
      </w:r>
      <w:r w:rsidR="00E60043">
        <w:rPr>
          <w:spacing w:val="2"/>
        </w:rPr>
        <w:t>.</w:t>
      </w:r>
    </w:p>
    <w:p w14:paraId="4B525CBC" w14:textId="080D9D86" w:rsidR="0045321B" w:rsidRDefault="0045321B" w:rsidP="00AE30BE">
      <w:pPr>
        <w:pStyle w:val="Normalodrka"/>
        <w:spacing w:after="100"/>
        <w:rPr>
          <w:spacing w:val="2"/>
        </w:rPr>
      </w:pPr>
      <w:r>
        <w:rPr>
          <w:spacing w:val="2"/>
        </w:rPr>
        <w:t>Cenová hladina</w:t>
      </w:r>
      <w:r w:rsidR="00127E15">
        <w:rPr>
          <w:spacing w:val="2"/>
        </w:rPr>
        <w:t xml:space="preserve"> měřená deflátorem HDP</w:t>
      </w:r>
      <w:r>
        <w:rPr>
          <w:spacing w:val="2"/>
        </w:rPr>
        <w:t xml:space="preserve"> se v 1. čtvrtletí meziročně zvýšila o</w:t>
      </w:r>
      <w:r w:rsidR="00127E15">
        <w:rPr>
          <w:spacing w:val="2"/>
        </w:rPr>
        <w:t xml:space="preserve"> 3,1</w:t>
      </w:r>
      <w:r w:rsidR="00870ECD">
        <w:rPr>
          <w:spacing w:val="2"/>
        </w:rPr>
        <w:t> %</w:t>
      </w:r>
      <w:r w:rsidR="00127E15">
        <w:rPr>
          <w:spacing w:val="2"/>
        </w:rPr>
        <w:t xml:space="preserve">, zejména pod vlivem rostoucích cen spotřebních a kapitálových statků. </w:t>
      </w:r>
      <w:r w:rsidR="0080158A">
        <w:rPr>
          <w:spacing w:val="2"/>
        </w:rPr>
        <w:t>Index spotřebitelských cen v 1. čtvrtletí meziročně vzrostl o 2,7</w:t>
      </w:r>
      <w:r w:rsidR="00870ECD">
        <w:rPr>
          <w:spacing w:val="2"/>
        </w:rPr>
        <w:t> %</w:t>
      </w:r>
      <w:r w:rsidR="0080158A">
        <w:rPr>
          <w:spacing w:val="2"/>
        </w:rPr>
        <w:t>. Hlavní</w:t>
      </w:r>
      <w:r w:rsidR="00473482">
        <w:rPr>
          <w:spacing w:val="2"/>
        </w:rPr>
        <w:t xml:space="preserve"> vliv měla zrychlující dynamika cen bydlení a energií (5,4</w:t>
      </w:r>
      <w:r w:rsidR="00870ECD">
        <w:rPr>
          <w:spacing w:val="2"/>
        </w:rPr>
        <w:t> %</w:t>
      </w:r>
      <w:r w:rsidR="00473482">
        <w:rPr>
          <w:spacing w:val="2"/>
        </w:rPr>
        <w:t>). Rostly totiž ceny nájmů i imputovaného nájemného a zejména ceny elektřiny. Meziroční růst cen průmy</w:t>
      </w:r>
      <w:r w:rsidR="008C1717">
        <w:rPr>
          <w:spacing w:val="2"/>
        </w:rPr>
        <w:t>slových výrobců dosáhl 3,5</w:t>
      </w:r>
      <w:r w:rsidR="00870ECD">
        <w:rPr>
          <w:spacing w:val="2"/>
        </w:rPr>
        <w:t> %</w:t>
      </w:r>
      <w:r w:rsidR="008C1717">
        <w:rPr>
          <w:spacing w:val="2"/>
        </w:rPr>
        <w:t>.</w:t>
      </w:r>
    </w:p>
    <w:p w14:paraId="31BC7788" w14:textId="77777777" w:rsidR="008C1717" w:rsidRPr="00144588" w:rsidRDefault="00AC2118" w:rsidP="00D75AC1">
      <w:pPr>
        <w:pStyle w:val="Normalodrka"/>
        <w:spacing w:after="100"/>
        <w:rPr>
          <w:spacing w:val="2"/>
        </w:rPr>
      </w:pPr>
      <w:r w:rsidRPr="00AC2118">
        <w:rPr>
          <w:spacing w:val="-2"/>
        </w:rPr>
        <w:t>Počet pracovníků</w:t>
      </w:r>
      <w:r w:rsidRPr="00AC2118">
        <w:rPr>
          <w:rStyle w:val="Znakapoznpodarou"/>
          <w:color w:val="0D0D0D" w:themeColor="text1" w:themeTint="F2"/>
          <w:spacing w:val="-2"/>
        </w:rPr>
        <w:footnoteReference w:id="2"/>
      </w:r>
      <w:r w:rsidRPr="00AC2118">
        <w:rPr>
          <w:spacing w:val="-2"/>
        </w:rPr>
        <w:t xml:space="preserve"> </w:t>
      </w:r>
      <w:r>
        <w:rPr>
          <w:spacing w:val="-2"/>
        </w:rPr>
        <w:t>se</w:t>
      </w:r>
      <w:r>
        <w:rPr>
          <w:spacing w:val="2"/>
        </w:rPr>
        <w:t xml:space="preserve"> </w:t>
      </w:r>
      <w:r w:rsidRPr="0045321B">
        <w:t xml:space="preserve">v 1. čtvrtletí </w:t>
      </w:r>
      <w:r>
        <w:rPr>
          <w:spacing w:val="2"/>
        </w:rPr>
        <w:t>m</w:t>
      </w:r>
      <w:r w:rsidRPr="00AC2118">
        <w:rPr>
          <w:spacing w:val="-2"/>
        </w:rPr>
        <w:t>eziročně</w:t>
      </w:r>
      <w:r>
        <w:rPr>
          <w:spacing w:val="-2"/>
        </w:rPr>
        <w:t xml:space="preserve"> zvýšil</w:t>
      </w:r>
      <w:r w:rsidR="00C755F9">
        <w:rPr>
          <w:spacing w:val="-2"/>
        </w:rPr>
        <w:t xml:space="preserve"> o 1,4</w:t>
      </w:r>
      <w:r w:rsidR="00870ECD">
        <w:rPr>
          <w:spacing w:val="-2"/>
        </w:rPr>
        <w:t> %</w:t>
      </w:r>
      <w:r w:rsidR="00C755F9">
        <w:rPr>
          <w:spacing w:val="-2"/>
        </w:rPr>
        <w:t xml:space="preserve"> (</w:t>
      </w:r>
      <w:r>
        <w:rPr>
          <w:spacing w:val="-2"/>
        </w:rPr>
        <w:t>oproti poslední čtvrtině loňského roku o 0,5</w:t>
      </w:r>
      <w:r w:rsidR="00870ECD">
        <w:rPr>
          <w:spacing w:val="-2"/>
        </w:rPr>
        <w:t> %</w:t>
      </w:r>
      <w:r w:rsidR="00C755F9">
        <w:rPr>
          <w:spacing w:val="-2"/>
        </w:rPr>
        <w:t>)</w:t>
      </w:r>
      <w:r>
        <w:rPr>
          <w:spacing w:val="-2"/>
        </w:rPr>
        <w:t>.</w:t>
      </w:r>
      <w:r w:rsidR="00C755F9" w:rsidRPr="00C755F9">
        <w:rPr>
          <w:spacing w:val="-4"/>
        </w:rPr>
        <w:t xml:space="preserve"> </w:t>
      </w:r>
      <w:r w:rsidR="00C755F9" w:rsidRPr="005E4DD8">
        <w:rPr>
          <w:spacing w:val="-4"/>
        </w:rPr>
        <w:t xml:space="preserve">K vyšší zaměstnanosti přispěl téměř </w:t>
      </w:r>
      <w:r w:rsidR="00C755F9">
        <w:rPr>
          <w:spacing w:val="-4"/>
        </w:rPr>
        <w:t>ze tří čtvrtin sektor služeb</w:t>
      </w:r>
      <w:r w:rsidR="00813D58">
        <w:rPr>
          <w:spacing w:val="-4"/>
        </w:rPr>
        <w:t xml:space="preserve">, tažený i silnou poptávkou v oblasti IT. Ve </w:t>
      </w:r>
      <w:r w:rsidR="00813D58" w:rsidRPr="005E4DD8">
        <w:rPr>
          <w:spacing w:val="-4"/>
        </w:rPr>
        <w:t>zpracovatelském průmyslu</w:t>
      </w:r>
      <w:r w:rsidR="00813D58">
        <w:rPr>
          <w:spacing w:val="-4"/>
        </w:rPr>
        <w:t xml:space="preserve"> meziroční růst zvolnil (pod 1</w:t>
      </w:r>
      <w:r w:rsidR="00870ECD">
        <w:rPr>
          <w:spacing w:val="-4"/>
        </w:rPr>
        <w:t> %</w:t>
      </w:r>
      <w:r w:rsidR="00813D58">
        <w:rPr>
          <w:spacing w:val="-4"/>
        </w:rPr>
        <w:t xml:space="preserve">), ve stavebnictví pracovníků poprvé od konce roku 2010 přibylo. </w:t>
      </w:r>
      <w:r w:rsidR="007124D7">
        <w:rPr>
          <w:spacing w:val="-4"/>
        </w:rPr>
        <w:t xml:space="preserve">Na zaměstnanost pozitivně </w:t>
      </w:r>
      <w:r w:rsidR="007124D7" w:rsidRPr="0077605B">
        <w:rPr>
          <w:spacing w:val="-4"/>
        </w:rPr>
        <w:t xml:space="preserve">působilo prodlužování zákonného i skutečného věku odchodu do důchodu i pokračující zahraniční migrace. </w:t>
      </w:r>
      <w:r w:rsidR="007124D7" w:rsidRPr="0077605B">
        <w:rPr>
          <w:spacing w:val="-2"/>
        </w:rPr>
        <w:t>Obecná míra nezaměstnanosti narážela</w:t>
      </w:r>
      <w:r w:rsidR="00B36BDC">
        <w:rPr>
          <w:spacing w:val="-2"/>
        </w:rPr>
        <w:t xml:space="preserve"> u mužů na své limity, u</w:t>
      </w:r>
      <w:r w:rsidR="00B36BDC" w:rsidRPr="0045321B">
        <w:t> </w:t>
      </w:r>
      <w:r w:rsidR="007124D7">
        <w:rPr>
          <w:spacing w:val="-2"/>
        </w:rPr>
        <w:t xml:space="preserve">žen ale stále mírně klesala. </w:t>
      </w:r>
      <w:r w:rsidR="00B36BDC">
        <w:rPr>
          <w:spacing w:val="-2"/>
        </w:rPr>
        <w:t>Růst nabídky volných míst prostřednictvím úřadů práce pokračoval, byl ale z územního i kvalifikačního hlediska</w:t>
      </w:r>
      <w:r w:rsidR="00B36BDC" w:rsidRPr="00B36BDC">
        <w:rPr>
          <w:spacing w:val="-2"/>
        </w:rPr>
        <w:t xml:space="preserve"> </w:t>
      </w:r>
      <w:r w:rsidR="00B36BDC">
        <w:rPr>
          <w:spacing w:val="-2"/>
        </w:rPr>
        <w:t xml:space="preserve">značně </w:t>
      </w:r>
      <w:r w:rsidR="00B36BDC" w:rsidRPr="00E6324D">
        <w:rPr>
          <w:spacing w:val="-2"/>
        </w:rPr>
        <w:t xml:space="preserve">nerovnoměrný. </w:t>
      </w:r>
      <w:r w:rsidR="00E6324D" w:rsidRPr="00E6324D">
        <w:rPr>
          <w:spacing w:val="-2"/>
        </w:rPr>
        <w:t>Neuspokojená poptávka po pracovnících udržovala vysoký růst průměrných mezd v ekonomice (7,4</w:t>
      </w:r>
      <w:r w:rsidR="00870ECD">
        <w:rPr>
          <w:spacing w:val="-2"/>
        </w:rPr>
        <w:t> %</w:t>
      </w:r>
      <w:r w:rsidR="00E6324D" w:rsidRPr="00E6324D">
        <w:rPr>
          <w:spacing w:val="-2"/>
        </w:rPr>
        <w:t>).</w:t>
      </w:r>
      <w:r w:rsidR="00E6324D">
        <w:rPr>
          <w:spacing w:val="-2"/>
        </w:rPr>
        <w:t xml:space="preserve"> V některých odvětvích (průmysl) lze ale náznaky slabšího růstu vystopovat.</w:t>
      </w:r>
      <w:r w:rsidR="00521CAD">
        <w:rPr>
          <w:spacing w:val="-2"/>
        </w:rPr>
        <w:t xml:space="preserve"> Kupní síla zaměstnaneckých výdělků </w:t>
      </w:r>
      <w:r w:rsidR="00D75AC1">
        <w:rPr>
          <w:spacing w:val="-3"/>
        </w:rPr>
        <w:t>byla meziročně o 4,6</w:t>
      </w:r>
      <w:r w:rsidR="00870ECD">
        <w:rPr>
          <w:spacing w:val="-3"/>
        </w:rPr>
        <w:t> %</w:t>
      </w:r>
      <w:r w:rsidR="00D75AC1">
        <w:rPr>
          <w:spacing w:val="-3"/>
        </w:rPr>
        <w:t xml:space="preserve"> vyšší. V rámci 1.</w:t>
      </w:r>
      <w:r w:rsidR="0026564B">
        <w:rPr>
          <w:spacing w:val="-3"/>
        </w:rPr>
        <w:t> </w:t>
      </w:r>
      <w:r w:rsidR="00D75AC1">
        <w:rPr>
          <w:spacing w:val="-3"/>
        </w:rPr>
        <w:t>čtvrtletí šlo o druhé nejsilnější tempo za posledních dvanáct let</w:t>
      </w:r>
      <w:r w:rsidR="0026564B">
        <w:rPr>
          <w:spacing w:val="-3"/>
        </w:rPr>
        <w:t>.</w:t>
      </w:r>
    </w:p>
    <w:p w14:paraId="68CCA2D6" w14:textId="77777777" w:rsidR="00B61FF6" w:rsidRDefault="0045321B" w:rsidP="00B61FF6">
      <w:pPr>
        <w:pStyle w:val="Normalodrka"/>
        <w:spacing w:after="100"/>
      </w:pPr>
      <w:proofErr w:type="spellStart"/>
      <w:r w:rsidRPr="0045321B">
        <w:t>Měnověpolitické</w:t>
      </w:r>
      <w:proofErr w:type="spellEnd"/>
      <w:r w:rsidRPr="0045321B">
        <w:t xml:space="preserve"> sazby se v 1. čtvrtletí neměnily.</w:t>
      </w:r>
      <w:r w:rsidR="00473482">
        <w:t xml:space="preserve"> Mírně se však zvyšovaly sazby na klientských účtech</w:t>
      </w:r>
      <w:r w:rsidR="000A212B">
        <w:t>.</w:t>
      </w:r>
      <w:r w:rsidR="00473482">
        <w:t xml:space="preserve"> Výrazné byly změny zejména v oblasti termínovaných vkladů, kde se zvyšovalo úročení, ale také objem uložených prostředků. Počet nových hypotečních smluv i objem nově poskytnutých hypotečních úvěrů v 1.</w:t>
      </w:r>
      <w:r w:rsidR="000A212B">
        <w:t> </w:t>
      </w:r>
      <w:r w:rsidR="00473482">
        <w:t>čtvrtletí zaznamenal propad.</w:t>
      </w:r>
    </w:p>
    <w:p w14:paraId="3F711D3A" w14:textId="7F43D844" w:rsidR="00B61FF6" w:rsidRPr="00B61FF6" w:rsidRDefault="008F5383" w:rsidP="00B61FF6">
      <w:pPr>
        <w:pStyle w:val="Normalodrka"/>
        <w:spacing w:after="0"/>
      </w:pPr>
      <w:r>
        <w:t>Hospodaření státního rozpočtu dosáhlo (dle pokladního plnění) v rámci 1. čtvrtletí mírné</w:t>
      </w:r>
      <w:r w:rsidR="00B5642C">
        <w:t>ho</w:t>
      </w:r>
      <w:r>
        <w:t xml:space="preserve"> deficitu </w:t>
      </w:r>
      <w:r w:rsidR="00B5642C">
        <w:t xml:space="preserve">ve výši </w:t>
      </w:r>
      <w:r w:rsidRPr="00B61FF6">
        <w:rPr>
          <w:spacing w:val="-4"/>
        </w:rPr>
        <w:t>9,2</w:t>
      </w:r>
      <w:r w:rsidR="00870ECD" w:rsidRPr="00B61FF6">
        <w:rPr>
          <w:spacing w:val="-4"/>
        </w:rPr>
        <w:t> mld</w:t>
      </w:r>
      <w:r w:rsidRPr="00B61FF6">
        <w:rPr>
          <w:spacing w:val="-4"/>
        </w:rPr>
        <w:t xml:space="preserve">. korun. </w:t>
      </w:r>
      <w:r>
        <w:t>Růstové tempo celostátního výběru daňového inkasa zvolnilo na čtyřleté minimum (3,</w:t>
      </w:r>
      <w:r w:rsidR="00D06B56">
        <w:t>2</w:t>
      </w:r>
      <w:r w:rsidR="00870ECD">
        <w:t> %</w:t>
      </w:r>
      <w:r>
        <w:t xml:space="preserve"> meziročně), </w:t>
      </w:r>
      <w:r w:rsidRPr="00B61FF6">
        <w:rPr>
          <w:spacing w:val="-4"/>
        </w:rPr>
        <w:t xml:space="preserve">mírněji oslabilo i tempo výběru pojistného na sociální zabezpečení. Naopak celkové výdaje byly meziročně vyšší skoro o sedminu. Na </w:t>
      </w:r>
      <w:r w:rsidR="00591E9E" w:rsidRPr="00B61FF6">
        <w:rPr>
          <w:spacing w:val="-4"/>
        </w:rPr>
        <w:t>straně běžných</w:t>
      </w:r>
      <w:r w:rsidRPr="00B61FF6">
        <w:rPr>
          <w:spacing w:val="-4"/>
        </w:rPr>
        <w:t xml:space="preserve"> výdajů je táhl </w:t>
      </w:r>
      <w:r>
        <w:t xml:space="preserve">svižný růst </w:t>
      </w:r>
      <w:r w:rsidR="00591E9E">
        <w:t>výdajů na důchody</w:t>
      </w:r>
      <w:r>
        <w:t xml:space="preserve"> (8,5</w:t>
      </w:r>
      <w:r w:rsidR="00870ECD">
        <w:t> %</w:t>
      </w:r>
      <w:r>
        <w:t xml:space="preserve">), na platy v rozpočtové sféře i vyšší odvody do rozpočtu EU. </w:t>
      </w:r>
      <w:r w:rsidRPr="00B61FF6">
        <w:rPr>
          <w:spacing w:val="-2"/>
        </w:rPr>
        <w:t>Čerpání prostředků z rozpočtu EU ve srovnání s nízkou loňskou základnou zrychlilo, což se projevilo na kapitálových výdajích (+40</w:t>
      </w:r>
      <w:r w:rsidR="00870ECD" w:rsidRPr="00B61FF6">
        <w:rPr>
          <w:spacing w:val="-2"/>
        </w:rPr>
        <w:t> %</w:t>
      </w:r>
      <w:r w:rsidRPr="00B61FF6">
        <w:rPr>
          <w:spacing w:val="-2"/>
        </w:rPr>
        <w:t xml:space="preserve">). </w:t>
      </w:r>
      <w:r>
        <w:t xml:space="preserve">Saldo důchodového účtu zůstalo vyrovnané. </w:t>
      </w:r>
      <w:r w:rsidR="00286220">
        <w:t>Mezičtvrtletní r</w:t>
      </w:r>
      <w:r>
        <w:t xml:space="preserve">ůst výše státního dluhu </w:t>
      </w:r>
      <w:r w:rsidRPr="00B61FF6">
        <w:rPr>
          <w:rFonts w:cs="Arial"/>
          <w:color w:val="0D0D0D" w:themeColor="text1" w:themeTint="F2"/>
          <w:spacing w:val="-4"/>
        </w:rPr>
        <w:t>(+6,8</w:t>
      </w:r>
      <w:r>
        <w:t> </w:t>
      </w:r>
      <w:r w:rsidRPr="00B61FF6">
        <w:rPr>
          <w:rFonts w:cs="Arial"/>
          <w:color w:val="0D0D0D" w:themeColor="text1" w:themeTint="F2"/>
          <w:spacing w:val="-4"/>
        </w:rPr>
        <w:t>%, resp. 110</w:t>
      </w:r>
      <w:r w:rsidR="00870ECD" w:rsidRPr="00B61FF6">
        <w:rPr>
          <w:rFonts w:cs="Arial"/>
          <w:color w:val="0D0D0D" w:themeColor="text1" w:themeTint="F2"/>
          <w:spacing w:val="-4"/>
        </w:rPr>
        <w:t> mld</w:t>
      </w:r>
      <w:r w:rsidRPr="00B61FF6">
        <w:rPr>
          <w:rFonts w:cs="Arial"/>
          <w:color w:val="0D0D0D" w:themeColor="text1" w:themeTint="F2"/>
          <w:spacing w:val="-4"/>
        </w:rPr>
        <w:t xml:space="preserve">. korun) souvisel </w:t>
      </w:r>
      <w:r w:rsidR="00591E9E" w:rsidRPr="00B61FF6">
        <w:rPr>
          <w:rFonts w:cs="Arial"/>
          <w:color w:val="0D0D0D" w:themeColor="text1" w:themeTint="F2"/>
          <w:spacing w:val="-4"/>
        </w:rPr>
        <w:t xml:space="preserve">převážně </w:t>
      </w:r>
      <w:r w:rsidRPr="00B61FF6">
        <w:rPr>
          <w:rFonts w:cs="Arial"/>
          <w:color w:val="0D0D0D" w:themeColor="text1" w:themeTint="F2"/>
          <w:spacing w:val="-4"/>
        </w:rPr>
        <w:t>s krátkodobými faktory.</w:t>
      </w:r>
    </w:p>
    <w:p w14:paraId="5DF8C97B" w14:textId="03C88A5F" w:rsidR="00C62828" w:rsidRPr="009110F7" w:rsidRDefault="00C62828" w:rsidP="00CC612B">
      <w:pPr>
        <w:pStyle w:val="Nadpis1"/>
      </w:pPr>
      <w:bookmarkStart w:id="3" w:name="_Toc11320628"/>
      <w:r w:rsidRPr="0077605B">
        <w:lastRenderedPageBreak/>
        <w:t>2. Souhrnná výkonnost</w:t>
      </w:r>
      <w:bookmarkEnd w:id="3"/>
    </w:p>
    <w:tbl>
      <w:tblPr>
        <w:tblW w:w="9639" w:type="dxa"/>
        <w:tblInd w:w="-15" w:type="dxa"/>
        <w:tblCellMar>
          <w:left w:w="0" w:type="dxa"/>
          <w:right w:w="0" w:type="dxa"/>
        </w:tblCellMar>
        <w:tblLook w:val="00A0" w:firstRow="1" w:lastRow="0" w:firstColumn="1" w:lastColumn="0" w:noHBand="0" w:noVBand="0"/>
      </w:tblPr>
      <w:tblGrid>
        <w:gridCol w:w="1888"/>
        <w:gridCol w:w="250"/>
        <w:gridCol w:w="7501"/>
      </w:tblGrid>
      <w:tr w:rsidR="00FA6CB6" w:rsidRPr="009110F7" w14:paraId="71FBA8C8" w14:textId="77777777" w:rsidTr="00486132">
        <w:trPr>
          <w:trHeight w:val="145"/>
        </w:trPr>
        <w:tc>
          <w:tcPr>
            <w:tcW w:w="1888" w:type="dxa"/>
            <w:shd w:val="clear" w:color="auto" w:fill="auto"/>
            <w:tcMar>
              <w:left w:w="0" w:type="dxa"/>
            </w:tcMar>
          </w:tcPr>
          <w:p w14:paraId="2C565CE2" w14:textId="77777777" w:rsidR="00FA6CB6" w:rsidRDefault="00FA6CB6" w:rsidP="00FA6CB6">
            <w:pPr>
              <w:pStyle w:val="Marginlie"/>
            </w:pPr>
            <w:r>
              <w:t>Hrubý domácí produkt si udržel meziroční dynamiku z konce loňského roku.</w:t>
            </w:r>
          </w:p>
        </w:tc>
        <w:tc>
          <w:tcPr>
            <w:tcW w:w="250" w:type="dxa"/>
            <w:shd w:val="clear" w:color="auto" w:fill="auto"/>
            <w:tcMar>
              <w:left w:w="0" w:type="dxa"/>
            </w:tcMar>
          </w:tcPr>
          <w:p w14:paraId="083624D8" w14:textId="77777777" w:rsidR="00FA6CB6" w:rsidRDefault="00FA6CB6" w:rsidP="00FA6CB6">
            <w:pPr>
              <w:pStyle w:val="Textpoznpodarou"/>
              <w:jc w:val="both"/>
              <w:rPr>
                <w:spacing w:val="-4"/>
              </w:rPr>
            </w:pPr>
          </w:p>
        </w:tc>
        <w:tc>
          <w:tcPr>
            <w:tcW w:w="7501" w:type="dxa"/>
            <w:shd w:val="clear" w:color="auto" w:fill="auto"/>
            <w:tcMar>
              <w:left w:w="0" w:type="dxa"/>
            </w:tcMar>
          </w:tcPr>
          <w:p w14:paraId="203024AC" w14:textId="591D6A25" w:rsidR="00FA6CB6" w:rsidRPr="00B83E07" w:rsidRDefault="00572900" w:rsidP="00572900">
            <w:pPr>
              <w:spacing w:after="220"/>
              <w:rPr>
                <w:spacing w:val="-2"/>
              </w:rPr>
            </w:pPr>
            <w:r>
              <w:rPr>
                <w:spacing w:val="-2"/>
              </w:rPr>
              <w:t>V 1. čtvrtletí 2019 se hrubý domácí produkt (HDP) meziročně zvýšil o 2,6</w:t>
            </w:r>
            <w:r w:rsidR="00870ECD">
              <w:rPr>
                <w:spacing w:val="-2"/>
              </w:rPr>
              <w:t> %</w:t>
            </w:r>
            <w:r w:rsidRPr="00B83E07">
              <w:rPr>
                <w:rStyle w:val="Znakapoznpodarou"/>
                <w:rFonts w:cs="Arial"/>
                <w:spacing w:val="-2"/>
              </w:rPr>
              <w:footnoteReference w:id="3"/>
            </w:r>
            <w:r>
              <w:rPr>
                <w:spacing w:val="-2"/>
              </w:rPr>
              <w:t xml:space="preserve">, stejně jako v předchozím čtvrtletí. </w:t>
            </w:r>
            <w:r w:rsidR="00FA6CB6">
              <w:rPr>
                <w:spacing w:val="-2"/>
              </w:rPr>
              <w:t xml:space="preserve">Vstup do roku 2019 </w:t>
            </w:r>
            <w:r>
              <w:rPr>
                <w:spacing w:val="-2"/>
              </w:rPr>
              <w:t xml:space="preserve">tak </w:t>
            </w:r>
            <w:r w:rsidR="00FA6CB6">
              <w:rPr>
                <w:spacing w:val="-2"/>
              </w:rPr>
              <w:t>nepřinesl výraznější zpomalení růstu</w:t>
            </w:r>
            <w:r>
              <w:rPr>
                <w:spacing w:val="-2"/>
              </w:rPr>
              <w:t xml:space="preserve"> </w:t>
            </w:r>
            <w:r w:rsidR="00FA6CB6">
              <w:rPr>
                <w:spacing w:val="-2"/>
              </w:rPr>
              <w:t>HDP. I tentokrát byla hlavním tahounem meziroční</w:t>
            </w:r>
            <w:r w:rsidR="00CB64E1">
              <w:rPr>
                <w:spacing w:val="-2"/>
              </w:rPr>
              <w:t xml:space="preserve"> dynamiky spotřeba domácností a</w:t>
            </w:r>
            <w:r w:rsidR="00837E48">
              <w:t> </w:t>
            </w:r>
            <w:r w:rsidR="00FA6CB6">
              <w:rPr>
                <w:spacing w:val="-2"/>
              </w:rPr>
              <w:t>vládních institucí (příspěvek 1,8</w:t>
            </w:r>
            <w:r w:rsidR="00870ECD">
              <w:rPr>
                <w:spacing w:val="-2"/>
              </w:rPr>
              <w:t> p. b.</w:t>
            </w:r>
            <w:r w:rsidR="00FA6CB6" w:rsidRPr="009110F7">
              <w:rPr>
                <w:rStyle w:val="Znakapoznpodarou"/>
              </w:rPr>
              <w:footnoteReference w:id="4"/>
            </w:r>
            <w:r w:rsidR="00FA6CB6">
              <w:rPr>
                <w:spacing w:val="-2"/>
              </w:rPr>
              <w:t>). Oslabil příspěvek investiční aktivity (0,2</w:t>
            </w:r>
            <w:r w:rsidR="00870ECD">
              <w:rPr>
                <w:spacing w:val="-2"/>
              </w:rPr>
              <w:t> p. b.</w:t>
            </w:r>
            <w:r w:rsidR="00FA6CB6">
              <w:rPr>
                <w:spacing w:val="-2"/>
              </w:rPr>
              <w:t>). Zahraniční poptávka k růstu i nadále mírně přispívala (0,6</w:t>
            </w:r>
            <w:r w:rsidR="00870ECD">
              <w:rPr>
                <w:spacing w:val="-2"/>
              </w:rPr>
              <w:t> p. b.</w:t>
            </w:r>
            <w:r w:rsidR="00FA6CB6">
              <w:rPr>
                <w:spacing w:val="-2"/>
              </w:rPr>
              <w:t>). Mezičtvrtletní přírůstek HDP v 1. čtvrtletí dosáhl 0,6</w:t>
            </w:r>
            <w:r w:rsidR="00870ECD">
              <w:rPr>
                <w:spacing w:val="-2"/>
              </w:rPr>
              <w:t> %</w:t>
            </w:r>
            <w:r w:rsidR="00FA6CB6">
              <w:rPr>
                <w:spacing w:val="-2"/>
              </w:rPr>
              <w:t>. To znamenalo mírné zpomalení oproti tempu ze závěru minulého roku. Uvedené tempo však ukazuje, že se česká ekonomika drží na růstové trajektorii navzdory vnějším rizikům souvisejícím například s</w:t>
            </w:r>
            <w:r w:rsidR="0052200D">
              <w:rPr>
                <w:spacing w:val="-2"/>
              </w:rPr>
              <w:t xml:space="preserve"> očekávaným </w:t>
            </w:r>
            <w:r w:rsidR="00FA6CB6">
              <w:rPr>
                <w:spacing w:val="-2"/>
              </w:rPr>
              <w:t xml:space="preserve">odchodem Velké Británie z EU nebo možným zavedením nových omezení mezinárodního obchodu. Pokles důvěry v ekonomiku zachycený v konjunkturálních průzkumech se zatím do reálné ekonomiky nepromítl. Hrubá přidaná hodnota (HPH) v 1. kvartálu meziročně </w:t>
            </w:r>
            <w:r w:rsidR="00CB64E1">
              <w:rPr>
                <w:spacing w:val="-2"/>
              </w:rPr>
              <w:t>vzrostla o</w:t>
            </w:r>
            <w:r w:rsidR="00837E48">
              <w:t> </w:t>
            </w:r>
            <w:r w:rsidR="00FA6CB6">
              <w:rPr>
                <w:spacing w:val="-2"/>
              </w:rPr>
              <w:t>2,6</w:t>
            </w:r>
            <w:r w:rsidR="00870ECD">
              <w:rPr>
                <w:spacing w:val="-2"/>
              </w:rPr>
              <w:t> %</w:t>
            </w:r>
            <w:r w:rsidR="00FA6CB6">
              <w:rPr>
                <w:spacing w:val="-2"/>
              </w:rPr>
              <w:t>. Mezičtvrtletní přírůstek činil 0,6</w:t>
            </w:r>
            <w:r w:rsidR="00870ECD">
              <w:rPr>
                <w:spacing w:val="-2"/>
              </w:rPr>
              <w:t> %</w:t>
            </w:r>
            <w:r w:rsidR="00FA6CB6">
              <w:rPr>
                <w:spacing w:val="-2"/>
              </w:rPr>
              <w:t>. Největší vliv na meziroční dynamiku si opět vydobyla odvětví služeb. Zpracovatelský průmysl si udržel stejnou výši příspěvku jako v předchozím čtvrtletí.</w:t>
            </w:r>
          </w:p>
        </w:tc>
      </w:tr>
      <w:tr w:rsidR="00FA6CB6" w:rsidRPr="009110F7" w14:paraId="737E5CC8" w14:textId="77777777" w:rsidTr="00486132">
        <w:trPr>
          <w:trHeight w:val="170"/>
        </w:trPr>
        <w:tc>
          <w:tcPr>
            <w:tcW w:w="1888" w:type="dxa"/>
            <w:vMerge w:val="restart"/>
            <w:shd w:val="clear" w:color="auto" w:fill="auto"/>
            <w:tcMar>
              <w:left w:w="0" w:type="dxa"/>
            </w:tcMar>
          </w:tcPr>
          <w:p w14:paraId="5E86F9BD" w14:textId="77777777" w:rsidR="00FA6CB6" w:rsidRDefault="00FA6CB6" w:rsidP="00FA6CB6">
            <w:pPr>
              <w:pStyle w:val="Marginlie"/>
            </w:pPr>
          </w:p>
        </w:tc>
        <w:tc>
          <w:tcPr>
            <w:tcW w:w="250" w:type="dxa"/>
            <w:vMerge w:val="restart"/>
            <w:shd w:val="clear" w:color="auto" w:fill="auto"/>
            <w:tcMar>
              <w:left w:w="0" w:type="dxa"/>
            </w:tcMar>
          </w:tcPr>
          <w:p w14:paraId="7B27B5E0" w14:textId="77777777" w:rsidR="00FA6CB6" w:rsidRDefault="00FA6CB6" w:rsidP="00FA6CB6">
            <w:pPr>
              <w:pStyle w:val="Textpoznpodarou"/>
              <w:jc w:val="both"/>
              <w:rPr>
                <w:spacing w:val="-4"/>
              </w:rPr>
            </w:pPr>
          </w:p>
        </w:tc>
        <w:tc>
          <w:tcPr>
            <w:tcW w:w="7501" w:type="dxa"/>
            <w:shd w:val="clear" w:color="auto" w:fill="auto"/>
            <w:tcMar>
              <w:left w:w="0" w:type="dxa"/>
            </w:tcMar>
          </w:tcPr>
          <w:p w14:paraId="3D7959FF" w14:textId="77777777" w:rsidR="00FA6CB6" w:rsidRPr="001208E3" w:rsidRDefault="00FA6CB6" w:rsidP="00FA6CB6">
            <w:pPr>
              <w:spacing w:after="0"/>
              <w:rPr>
                <w:b/>
                <w:szCs w:val="20"/>
              </w:rPr>
            </w:pPr>
            <w:r w:rsidRPr="001208E3">
              <w:rPr>
                <w:rFonts w:cs="Arial"/>
                <w:b/>
                <w:bCs/>
                <w:color w:val="000000"/>
                <w:szCs w:val="20"/>
              </w:rPr>
              <w:t xml:space="preserve">Graf č. 1  </w:t>
            </w:r>
            <w:r w:rsidRPr="001208E3">
              <w:rPr>
                <w:rFonts w:cs="Arial"/>
                <w:b/>
                <w:szCs w:val="20"/>
                <w:lang w:eastAsia="en-US"/>
              </w:rPr>
              <w:t xml:space="preserve">HDP </w:t>
            </w:r>
            <w:r w:rsidRPr="001208E3">
              <w:rPr>
                <w:rFonts w:cs="Arial"/>
                <w:szCs w:val="20"/>
                <w:lang w:eastAsia="en-US"/>
              </w:rPr>
              <w:t>(objemové indexy, očištěno o sezónní a kalendářní vlivy, v %)</w:t>
            </w:r>
          </w:p>
        </w:tc>
      </w:tr>
      <w:tr w:rsidR="00FA6CB6" w:rsidRPr="009110F7" w14:paraId="7D447A6C" w14:textId="77777777" w:rsidTr="00486132">
        <w:trPr>
          <w:trHeight w:val="170"/>
        </w:trPr>
        <w:tc>
          <w:tcPr>
            <w:tcW w:w="1888" w:type="dxa"/>
            <w:vMerge/>
            <w:shd w:val="clear" w:color="auto" w:fill="auto"/>
            <w:tcMar>
              <w:left w:w="0" w:type="dxa"/>
            </w:tcMar>
          </w:tcPr>
          <w:p w14:paraId="51BA59FE" w14:textId="77777777" w:rsidR="00FA6CB6" w:rsidRPr="009110F7" w:rsidRDefault="00FA6CB6" w:rsidP="00FA6CB6">
            <w:pPr>
              <w:pStyle w:val="Marginlie"/>
            </w:pPr>
          </w:p>
        </w:tc>
        <w:tc>
          <w:tcPr>
            <w:tcW w:w="250" w:type="dxa"/>
            <w:vMerge/>
            <w:shd w:val="clear" w:color="auto" w:fill="auto"/>
            <w:tcMar>
              <w:left w:w="0" w:type="dxa"/>
            </w:tcMar>
          </w:tcPr>
          <w:p w14:paraId="751B507E" w14:textId="77777777" w:rsidR="00FA6CB6" w:rsidRPr="009110F7" w:rsidRDefault="00FA6CB6" w:rsidP="00FA6CB6">
            <w:pPr>
              <w:pStyle w:val="Textpoznpodarou"/>
              <w:jc w:val="both"/>
              <w:rPr>
                <w:spacing w:val="-4"/>
              </w:rPr>
            </w:pPr>
          </w:p>
        </w:tc>
        <w:tc>
          <w:tcPr>
            <w:tcW w:w="7501" w:type="dxa"/>
            <w:shd w:val="clear" w:color="auto" w:fill="auto"/>
            <w:tcMar>
              <w:left w:w="0" w:type="dxa"/>
            </w:tcMar>
          </w:tcPr>
          <w:p w14:paraId="33EBEF34" w14:textId="77777777" w:rsidR="00FA6CB6" w:rsidRPr="009110F7" w:rsidRDefault="00FA6CB6" w:rsidP="00FA6CB6">
            <w:pPr>
              <w:spacing w:after="0"/>
            </w:pPr>
            <w:r>
              <w:rPr>
                <w:noProof/>
              </w:rPr>
              <w:drawing>
                <wp:inline distT="0" distB="0" distL="0" distR="0" wp14:anchorId="7114D7DE" wp14:editId="47AA5B21">
                  <wp:extent cx="4737600" cy="3553200"/>
                  <wp:effectExtent l="0" t="0" r="63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A6CB6" w:rsidRPr="009110F7" w14:paraId="1971686F" w14:textId="77777777" w:rsidTr="00486132">
        <w:trPr>
          <w:trHeight w:val="170"/>
        </w:trPr>
        <w:tc>
          <w:tcPr>
            <w:tcW w:w="1888" w:type="dxa"/>
            <w:vMerge/>
            <w:shd w:val="clear" w:color="auto" w:fill="auto"/>
            <w:tcMar>
              <w:left w:w="0" w:type="dxa"/>
            </w:tcMar>
          </w:tcPr>
          <w:p w14:paraId="47198DF3" w14:textId="77777777" w:rsidR="00FA6CB6" w:rsidRPr="009110F7" w:rsidRDefault="00FA6CB6" w:rsidP="00FA6CB6">
            <w:pPr>
              <w:pStyle w:val="Marginlie"/>
            </w:pPr>
          </w:p>
        </w:tc>
        <w:tc>
          <w:tcPr>
            <w:tcW w:w="250" w:type="dxa"/>
            <w:vMerge/>
            <w:shd w:val="clear" w:color="auto" w:fill="auto"/>
            <w:tcMar>
              <w:left w:w="0" w:type="dxa"/>
            </w:tcMar>
          </w:tcPr>
          <w:p w14:paraId="3A6781EA" w14:textId="77777777" w:rsidR="00FA6CB6" w:rsidRPr="009110F7" w:rsidRDefault="00FA6CB6" w:rsidP="00FA6CB6">
            <w:pPr>
              <w:pStyle w:val="Textpoznpodarou"/>
              <w:jc w:val="both"/>
              <w:rPr>
                <w:spacing w:val="-4"/>
              </w:rPr>
            </w:pPr>
          </w:p>
        </w:tc>
        <w:tc>
          <w:tcPr>
            <w:tcW w:w="7501" w:type="dxa"/>
            <w:shd w:val="clear" w:color="auto" w:fill="auto"/>
            <w:tcMar>
              <w:left w:w="0" w:type="dxa"/>
            </w:tcMar>
          </w:tcPr>
          <w:p w14:paraId="2FEFB14B" w14:textId="77777777" w:rsidR="00FA6CB6" w:rsidRPr="009110F7" w:rsidRDefault="00FA6CB6" w:rsidP="00FA6CB6">
            <w:pPr>
              <w:spacing w:after="220"/>
              <w:rPr>
                <w:sz w:val="14"/>
                <w:szCs w:val="14"/>
              </w:rPr>
            </w:pPr>
            <w:r>
              <w:rPr>
                <w:sz w:val="14"/>
                <w:szCs w:val="14"/>
              </w:rPr>
              <w:t xml:space="preserve">Zdroj: ČSÚ, </w:t>
            </w:r>
            <w:proofErr w:type="spellStart"/>
            <w:r>
              <w:rPr>
                <w:sz w:val="14"/>
                <w:szCs w:val="14"/>
              </w:rPr>
              <w:t>Eurostat</w:t>
            </w:r>
            <w:proofErr w:type="spellEnd"/>
          </w:p>
        </w:tc>
      </w:tr>
      <w:tr w:rsidR="00FA6CB6" w:rsidRPr="009110F7" w14:paraId="235CAA10" w14:textId="77777777" w:rsidTr="00486132">
        <w:trPr>
          <w:trHeight w:val="145"/>
        </w:trPr>
        <w:tc>
          <w:tcPr>
            <w:tcW w:w="1888" w:type="dxa"/>
            <w:shd w:val="clear" w:color="auto" w:fill="auto"/>
            <w:tcMar>
              <w:left w:w="0" w:type="dxa"/>
            </w:tcMar>
          </w:tcPr>
          <w:p w14:paraId="2EC02A2A" w14:textId="77777777" w:rsidR="00FA6CB6" w:rsidRDefault="002721F5" w:rsidP="00FA6CB6">
            <w:pPr>
              <w:pStyle w:val="Marginlie"/>
            </w:pPr>
            <w:r>
              <w:t>Dynamika meziročního růstu HDP v Evropské unii se nezměnila oproti konci roku 2018.</w:t>
            </w:r>
          </w:p>
        </w:tc>
        <w:tc>
          <w:tcPr>
            <w:tcW w:w="250" w:type="dxa"/>
            <w:shd w:val="clear" w:color="auto" w:fill="auto"/>
            <w:tcMar>
              <w:left w:w="0" w:type="dxa"/>
            </w:tcMar>
          </w:tcPr>
          <w:p w14:paraId="1D1E5DCF" w14:textId="77777777" w:rsidR="00FA6CB6" w:rsidRDefault="00FA6CB6" w:rsidP="00FA6CB6">
            <w:pPr>
              <w:pStyle w:val="Textpoznpodarou"/>
              <w:jc w:val="both"/>
              <w:rPr>
                <w:spacing w:val="-4"/>
              </w:rPr>
            </w:pPr>
          </w:p>
        </w:tc>
        <w:tc>
          <w:tcPr>
            <w:tcW w:w="7501" w:type="dxa"/>
            <w:shd w:val="clear" w:color="auto" w:fill="auto"/>
            <w:tcMar>
              <w:left w:w="0" w:type="dxa"/>
            </w:tcMar>
          </w:tcPr>
          <w:p w14:paraId="31018BCB" w14:textId="40CB4D78" w:rsidR="00FA6CB6" w:rsidRDefault="00FA6CB6" w:rsidP="004C5AE8">
            <w:r>
              <w:t>Meziroční tempo růstu HDP v</w:t>
            </w:r>
            <w:r w:rsidR="00881CD7">
              <w:t> EU28</w:t>
            </w:r>
            <w:r>
              <w:t xml:space="preserve"> činilo 1,5</w:t>
            </w:r>
            <w:r w:rsidR="00870ECD">
              <w:t> %</w:t>
            </w:r>
            <w:r>
              <w:t>, stejně jako v předchozím kvartálu.</w:t>
            </w:r>
            <w:r w:rsidR="000C4769">
              <w:t xml:space="preserve"> </w:t>
            </w:r>
            <w:r w:rsidR="004C5AE8">
              <w:t xml:space="preserve">Růst podpořily zejména investiční výdaje doprovázené mírným zvýšením spotřeby. </w:t>
            </w:r>
            <w:r w:rsidR="000C4769">
              <w:t>Dostupné údaje</w:t>
            </w:r>
            <w:r w:rsidR="000C4769" w:rsidRPr="009110F7">
              <w:rPr>
                <w:rStyle w:val="Znakapoznpodarou"/>
                <w:spacing w:val="-2"/>
              </w:rPr>
              <w:footnoteReference w:id="5"/>
            </w:r>
            <w:r w:rsidR="000C4769">
              <w:t xml:space="preserve"> ukazují, že </w:t>
            </w:r>
            <w:r w:rsidR="004C5AE8">
              <w:t>ne</w:t>
            </w:r>
            <w:r w:rsidR="00881CD7">
              <w:t>j</w:t>
            </w:r>
            <w:r w:rsidR="004C5AE8">
              <w:t xml:space="preserve">silnějšího meziročního přírůstku HDP </w:t>
            </w:r>
            <w:r w:rsidR="00881CD7">
              <w:t xml:space="preserve">dosáhly </w:t>
            </w:r>
            <w:r w:rsidR="004C5AE8">
              <w:t>Maďarsko (5,2</w:t>
            </w:r>
            <w:r w:rsidR="00870ECD">
              <w:t> %</w:t>
            </w:r>
            <w:r w:rsidR="004C5AE8">
              <w:t>), Rumunsko (5,1</w:t>
            </w:r>
            <w:r w:rsidR="00870ECD">
              <w:t> %</w:t>
            </w:r>
            <w:r w:rsidR="004C5AE8">
              <w:t>) a Polsko (4,7</w:t>
            </w:r>
            <w:r w:rsidR="00870ECD">
              <w:t> %</w:t>
            </w:r>
            <w:r w:rsidR="004C5AE8">
              <w:t>). Jedinou zemí, kde došlo v 1.</w:t>
            </w:r>
            <w:r w:rsidR="00837E48">
              <w:t> </w:t>
            </w:r>
            <w:r w:rsidR="004C5AE8">
              <w:t>čtvrtletí k meziročnímu poklesu HDP</w:t>
            </w:r>
            <w:r w:rsidR="00CB64E1">
              <w:t>,</w:t>
            </w:r>
            <w:r w:rsidR="004C5AE8">
              <w:t xml:space="preserve"> byla Itálie (</w:t>
            </w:r>
            <w:r w:rsidR="00881CD7">
              <w:t>–</w:t>
            </w:r>
            <w:r w:rsidR="004C5AE8">
              <w:t>0,1</w:t>
            </w:r>
            <w:r w:rsidR="00870ECD">
              <w:t> %</w:t>
            </w:r>
            <w:r w:rsidR="004C5AE8">
              <w:t>). V Německu se růst držel pod 1</w:t>
            </w:r>
            <w:r w:rsidR="00870ECD">
              <w:t> %</w:t>
            </w:r>
            <w:r w:rsidR="004C5AE8">
              <w:t xml:space="preserve"> (0,7</w:t>
            </w:r>
            <w:r w:rsidR="00870ECD">
              <w:t> %</w:t>
            </w:r>
            <w:r w:rsidR="004C5AE8">
              <w:t>) a sho</w:t>
            </w:r>
            <w:r w:rsidR="006F2A65">
              <w:t>d</w:t>
            </w:r>
            <w:r w:rsidR="004C5AE8">
              <w:t>ně o 1,2</w:t>
            </w:r>
            <w:r w:rsidR="00870ECD">
              <w:t> %</w:t>
            </w:r>
            <w:r w:rsidR="004C5AE8">
              <w:t xml:space="preserve"> se zvýšil HDP ve Finsku, Francii a Belgii. </w:t>
            </w:r>
            <w:proofErr w:type="spellStart"/>
            <w:r w:rsidR="004C5AE8">
              <w:t>Mezičtvrtletně</w:t>
            </w:r>
            <w:proofErr w:type="spellEnd"/>
            <w:r w:rsidR="004C5AE8">
              <w:t xml:space="preserve"> vzrostla ekonomika EU o 0,5</w:t>
            </w:r>
            <w:r w:rsidR="00870ECD">
              <w:t> %</w:t>
            </w:r>
            <w:r w:rsidR="004C5AE8">
              <w:t>, takže po slabším 2. pololetí loňského roku růst opět zrychlil.</w:t>
            </w:r>
            <w:r w:rsidR="006F2A65">
              <w:t xml:space="preserve"> Z jednotlivých zemí EU nejvíce </w:t>
            </w:r>
            <w:proofErr w:type="spellStart"/>
            <w:r w:rsidR="006F2A65">
              <w:t>mezičtvrtletně</w:t>
            </w:r>
            <w:proofErr w:type="spellEnd"/>
            <w:r w:rsidR="006F2A65">
              <w:t xml:space="preserve"> narostly </w:t>
            </w:r>
            <w:r w:rsidR="006F2A65">
              <w:lastRenderedPageBreak/>
              <w:t>ekonomiky Chorvatska (1,8</w:t>
            </w:r>
            <w:r w:rsidR="00870ECD">
              <w:t> %</w:t>
            </w:r>
            <w:r w:rsidR="006F2A65">
              <w:t>), Maďarska a Polska (shodně 1,5</w:t>
            </w:r>
            <w:r w:rsidR="00870ECD">
              <w:t> %</w:t>
            </w:r>
            <w:r w:rsidR="006F2A65">
              <w:t xml:space="preserve">). </w:t>
            </w:r>
            <w:proofErr w:type="spellStart"/>
            <w:r w:rsidR="006F2A65">
              <w:t>Mezikvartální</w:t>
            </w:r>
            <w:proofErr w:type="spellEnd"/>
            <w:r w:rsidR="006F2A65">
              <w:t xml:space="preserve"> pokles se objevil v Lotyšsku (</w:t>
            </w:r>
            <w:r w:rsidR="00881CD7">
              <w:t>–</w:t>
            </w:r>
            <w:r w:rsidR="006F2A65">
              <w:t>0,1</w:t>
            </w:r>
            <w:r w:rsidR="00870ECD">
              <w:t> %</w:t>
            </w:r>
            <w:r w:rsidR="006F2A65">
              <w:t>). Německo, které je klíčovým ekonomickým partnerem pro většinu Unie</w:t>
            </w:r>
            <w:r w:rsidR="005F480F">
              <w:t>,</w:t>
            </w:r>
            <w:r w:rsidR="006F2A65">
              <w:t xml:space="preserve"> dosáhlo mezičtvrtletního nárůstu o 0,4</w:t>
            </w:r>
            <w:r w:rsidR="00870ECD">
              <w:t> %</w:t>
            </w:r>
            <w:r w:rsidR="006F2A65">
              <w:t>.</w:t>
            </w:r>
          </w:p>
        </w:tc>
      </w:tr>
      <w:tr w:rsidR="00FA6CB6" w:rsidRPr="009110F7" w14:paraId="157F568A" w14:textId="77777777" w:rsidTr="00486132">
        <w:trPr>
          <w:trHeight w:val="170"/>
        </w:trPr>
        <w:tc>
          <w:tcPr>
            <w:tcW w:w="1888" w:type="dxa"/>
            <w:vMerge w:val="restart"/>
            <w:shd w:val="clear" w:color="auto" w:fill="auto"/>
            <w:tcMar>
              <w:left w:w="0" w:type="dxa"/>
            </w:tcMar>
          </w:tcPr>
          <w:p w14:paraId="34F4EDF2" w14:textId="77777777" w:rsidR="00FA6CB6" w:rsidRDefault="00FA6CB6" w:rsidP="00FA6CB6">
            <w:pPr>
              <w:pStyle w:val="Marginlie"/>
            </w:pPr>
          </w:p>
        </w:tc>
        <w:tc>
          <w:tcPr>
            <w:tcW w:w="250" w:type="dxa"/>
            <w:vMerge w:val="restart"/>
            <w:shd w:val="clear" w:color="auto" w:fill="auto"/>
            <w:tcMar>
              <w:left w:w="0" w:type="dxa"/>
            </w:tcMar>
          </w:tcPr>
          <w:p w14:paraId="3359375B" w14:textId="77777777" w:rsidR="00FA6CB6" w:rsidRDefault="00FA6CB6" w:rsidP="00FA6CB6">
            <w:pPr>
              <w:pStyle w:val="Textpoznpodarou"/>
              <w:jc w:val="both"/>
              <w:rPr>
                <w:spacing w:val="-4"/>
              </w:rPr>
            </w:pPr>
          </w:p>
        </w:tc>
        <w:tc>
          <w:tcPr>
            <w:tcW w:w="7501" w:type="dxa"/>
            <w:shd w:val="clear" w:color="auto" w:fill="auto"/>
            <w:tcMar>
              <w:left w:w="0" w:type="dxa"/>
            </w:tcMar>
          </w:tcPr>
          <w:p w14:paraId="00AD5AC1" w14:textId="6725E983" w:rsidR="00FA6CB6" w:rsidRPr="001208E3" w:rsidRDefault="00FA6CB6" w:rsidP="000A212B">
            <w:pPr>
              <w:spacing w:after="0"/>
              <w:rPr>
                <w:b/>
                <w:szCs w:val="20"/>
              </w:rPr>
            </w:pPr>
            <w:r w:rsidRPr="001208E3">
              <w:rPr>
                <w:b/>
                <w:spacing w:val="-4"/>
                <w:szCs w:val="20"/>
                <w:lang w:eastAsia="en-US"/>
              </w:rPr>
              <w:t xml:space="preserve">Graf č. 2  </w:t>
            </w:r>
            <w:r w:rsidRPr="001208E3">
              <w:rPr>
                <w:rFonts w:cs="Arial"/>
                <w:b/>
                <w:szCs w:val="20"/>
                <w:lang w:eastAsia="en-US"/>
              </w:rPr>
              <w:t xml:space="preserve">HDP </w:t>
            </w:r>
            <w:r w:rsidRPr="001208E3">
              <w:rPr>
                <w:rFonts w:cs="Arial"/>
                <w:szCs w:val="20"/>
                <w:lang w:eastAsia="en-US"/>
              </w:rPr>
              <w:t>(objemové indexy, očištěno o sezónní a kalendářní vlivy, meziročně v %, pravá osa a indikátory důvěry (2005 = 100, levá osa)</w:t>
            </w:r>
          </w:p>
        </w:tc>
      </w:tr>
      <w:tr w:rsidR="00FA6CB6" w:rsidRPr="009110F7" w14:paraId="622B20A1" w14:textId="77777777" w:rsidTr="00486132">
        <w:trPr>
          <w:trHeight w:val="170"/>
        </w:trPr>
        <w:tc>
          <w:tcPr>
            <w:tcW w:w="1888" w:type="dxa"/>
            <w:vMerge/>
            <w:shd w:val="clear" w:color="auto" w:fill="auto"/>
            <w:tcMar>
              <w:left w:w="0" w:type="dxa"/>
            </w:tcMar>
          </w:tcPr>
          <w:p w14:paraId="512796FE" w14:textId="77777777" w:rsidR="00FA6CB6" w:rsidRPr="009110F7" w:rsidRDefault="00FA6CB6" w:rsidP="00FA6CB6">
            <w:pPr>
              <w:pStyle w:val="Marginlie"/>
            </w:pPr>
          </w:p>
        </w:tc>
        <w:tc>
          <w:tcPr>
            <w:tcW w:w="250" w:type="dxa"/>
            <w:vMerge/>
            <w:shd w:val="clear" w:color="auto" w:fill="auto"/>
            <w:tcMar>
              <w:left w:w="0" w:type="dxa"/>
            </w:tcMar>
          </w:tcPr>
          <w:p w14:paraId="76D86FB7" w14:textId="77777777" w:rsidR="00FA6CB6" w:rsidRPr="009110F7" w:rsidRDefault="00FA6CB6" w:rsidP="00FA6CB6">
            <w:pPr>
              <w:pStyle w:val="Textpoznpodarou"/>
              <w:jc w:val="both"/>
              <w:rPr>
                <w:spacing w:val="-4"/>
              </w:rPr>
            </w:pPr>
          </w:p>
        </w:tc>
        <w:tc>
          <w:tcPr>
            <w:tcW w:w="7501" w:type="dxa"/>
            <w:shd w:val="clear" w:color="auto" w:fill="auto"/>
            <w:tcMar>
              <w:left w:w="0" w:type="dxa"/>
            </w:tcMar>
          </w:tcPr>
          <w:p w14:paraId="6842B51E" w14:textId="77777777" w:rsidR="00FA6CB6" w:rsidRPr="009110F7" w:rsidRDefault="00FA6CB6" w:rsidP="00FA6CB6">
            <w:pPr>
              <w:spacing w:after="0"/>
            </w:pPr>
            <w:r>
              <w:rPr>
                <w:noProof/>
              </w:rPr>
              <w:drawing>
                <wp:inline distT="0" distB="0" distL="0" distR="0" wp14:anchorId="6D76E803" wp14:editId="05AFB1EE">
                  <wp:extent cx="4737600" cy="3553200"/>
                  <wp:effectExtent l="0" t="0" r="635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A6CB6" w:rsidRPr="009110F7" w14:paraId="4CCCC2F2" w14:textId="77777777" w:rsidTr="00486132">
        <w:trPr>
          <w:trHeight w:val="170"/>
        </w:trPr>
        <w:tc>
          <w:tcPr>
            <w:tcW w:w="1888" w:type="dxa"/>
            <w:vMerge/>
            <w:shd w:val="clear" w:color="auto" w:fill="auto"/>
            <w:tcMar>
              <w:left w:w="0" w:type="dxa"/>
            </w:tcMar>
          </w:tcPr>
          <w:p w14:paraId="2B8FAD70" w14:textId="77777777" w:rsidR="00FA6CB6" w:rsidRPr="009110F7" w:rsidRDefault="00FA6CB6" w:rsidP="00FA6CB6">
            <w:pPr>
              <w:pStyle w:val="Marginlie"/>
            </w:pPr>
          </w:p>
        </w:tc>
        <w:tc>
          <w:tcPr>
            <w:tcW w:w="250" w:type="dxa"/>
            <w:vMerge/>
            <w:shd w:val="clear" w:color="auto" w:fill="auto"/>
            <w:tcMar>
              <w:left w:w="0" w:type="dxa"/>
            </w:tcMar>
          </w:tcPr>
          <w:p w14:paraId="41FD5936" w14:textId="77777777" w:rsidR="00FA6CB6" w:rsidRPr="009110F7" w:rsidRDefault="00FA6CB6" w:rsidP="00FA6CB6">
            <w:pPr>
              <w:pStyle w:val="Textpoznpodarou"/>
              <w:jc w:val="both"/>
              <w:rPr>
                <w:spacing w:val="-4"/>
              </w:rPr>
            </w:pPr>
          </w:p>
        </w:tc>
        <w:tc>
          <w:tcPr>
            <w:tcW w:w="7501" w:type="dxa"/>
            <w:shd w:val="clear" w:color="auto" w:fill="auto"/>
            <w:tcMar>
              <w:left w:w="0" w:type="dxa"/>
            </w:tcMar>
          </w:tcPr>
          <w:p w14:paraId="2F5436F3" w14:textId="77777777" w:rsidR="00FA6CB6" w:rsidRPr="009110F7" w:rsidRDefault="00FA6CB6" w:rsidP="00FA6CB6">
            <w:pPr>
              <w:rPr>
                <w:sz w:val="14"/>
                <w:szCs w:val="14"/>
              </w:rPr>
            </w:pPr>
            <w:r>
              <w:rPr>
                <w:sz w:val="14"/>
                <w:szCs w:val="14"/>
              </w:rPr>
              <w:t>Zdroj: ČSÚ</w:t>
            </w:r>
          </w:p>
        </w:tc>
      </w:tr>
      <w:tr w:rsidR="00FA6CB6" w:rsidRPr="009110F7" w14:paraId="1FF501B1" w14:textId="77777777" w:rsidTr="00486132">
        <w:trPr>
          <w:trHeight w:val="145"/>
        </w:trPr>
        <w:tc>
          <w:tcPr>
            <w:tcW w:w="1888" w:type="dxa"/>
            <w:shd w:val="clear" w:color="auto" w:fill="auto"/>
            <w:tcMar>
              <w:left w:w="0" w:type="dxa"/>
            </w:tcMar>
          </w:tcPr>
          <w:p w14:paraId="665FA05E" w14:textId="77777777" w:rsidR="00FA6CB6" w:rsidRDefault="00FA6CB6" w:rsidP="00FA6CB6">
            <w:pPr>
              <w:pStyle w:val="Marginlie"/>
            </w:pPr>
            <w:r>
              <w:t>Domácí spotřeba byla hlavním tahounem růstu. Mezičtvrtletní dynamika byla dokonce nejsilnější od roku 2008.</w:t>
            </w:r>
          </w:p>
        </w:tc>
        <w:tc>
          <w:tcPr>
            <w:tcW w:w="250" w:type="dxa"/>
            <w:shd w:val="clear" w:color="auto" w:fill="auto"/>
            <w:tcMar>
              <w:left w:w="0" w:type="dxa"/>
            </w:tcMar>
          </w:tcPr>
          <w:p w14:paraId="7D9829E9" w14:textId="77777777" w:rsidR="00FA6CB6" w:rsidRDefault="00FA6CB6" w:rsidP="00FA6CB6">
            <w:pPr>
              <w:pStyle w:val="Textpoznpodarou"/>
              <w:jc w:val="both"/>
              <w:rPr>
                <w:spacing w:val="-4"/>
              </w:rPr>
            </w:pPr>
          </w:p>
        </w:tc>
        <w:tc>
          <w:tcPr>
            <w:tcW w:w="7501" w:type="dxa"/>
            <w:shd w:val="clear" w:color="auto" w:fill="auto"/>
            <w:tcMar>
              <w:left w:w="0" w:type="dxa"/>
            </w:tcMar>
          </w:tcPr>
          <w:p w14:paraId="518CC1D6" w14:textId="5BBF564F" w:rsidR="00FA6CB6" w:rsidRDefault="00FA6CB6" w:rsidP="0052200D">
            <w:r>
              <w:t>Meziroční zvýšení výdajů na konečnou spotřebu v 1. čtvrtletí 2019 dosáhlo 2,9</w:t>
            </w:r>
            <w:r w:rsidR="00870ECD">
              <w:t> %</w:t>
            </w:r>
            <w:r>
              <w:t>. U</w:t>
            </w:r>
            <w:r w:rsidR="00664205">
              <w:t> </w:t>
            </w:r>
            <w:r>
              <w:t>domácností přírůstek činil 2,7</w:t>
            </w:r>
            <w:r w:rsidR="00870ECD">
              <w:t> %</w:t>
            </w:r>
            <w:r>
              <w:t>, v porovnání se 4. čtvrtletím tak meziroční tempo mírně zrychlilo. Zvýšil se tedy i příspěvek spotřeby domácností k růstu HDP na 1,1 p. b. Spotřeba vládních institucí se meziročně zvýšila o 3,4</w:t>
            </w:r>
            <w:r w:rsidR="00870ECD">
              <w:t> %</w:t>
            </w:r>
            <w:r>
              <w:t>. Do nárůstu se mimo jiné promítal pokračující nárůst mzdových nákladů, a to přímo vyplacených v sektoru vládních institucí, ale také nepřímo prostřednictvím spotřebovaných služeb a výrobků. Příspěvek k růstu HDP ze st</w:t>
            </w:r>
            <w:r w:rsidR="00486132">
              <w:t>r</w:t>
            </w:r>
            <w:r>
              <w:t>any vládní spotřeby činil 0,6</w:t>
            </w:r>
            <w:r w:rsidR="00870ECD">
              <w:t> p. b.</w:t>
            </w:r>
            <w:r>
              <w:t xml:space="preserve"> Mezičtvrtletní růst spotřeby dosáhl 1,6</w:t>
            </w:r>
            <w:r w:rsidR="00870ECD">
              <w:t> %</w:t>
            </w:r>
            <w:r>
              <w:t xml:space="preserve">, nejvíce od 2. čtvrtletí 2008. Stejné výše dosahoval mezičtvrtletní přírůstek spotřeby domácností i vládních institucí. Pokles důvěry spotřebitelů ani tempa růstu mezd tak zatím neměl větší vliv na vývoj výdajů </w:t>
            </w:r>
            <w:r w:rsidR="0052200D">
              <w:t>domácností</w:t>
            </w:r>
            <w:r>
              <w:t>.</w:t>
            </w:r>
          </w:p>
        </w:tc>
      </w:tr>
      <w:tr w:rsidR="00FA6CB6" w:rsidRPr="009110F7" w14:paraId="4126DD65" w14:textId="77777777" w:rsidTr="00486132">
        <w:trPr>
          <w:trHeight w:val="170"/>
        </w:trPr>
        <w:tc>
          <w:tcPr>
            <w:tcW w:w="1888" w:type="dxa"/>
            <w:vMerge w:val="restart"/>
            <w:shd w:val="clear" w:color="auto" w:fill="auto"/>
            <w:tcMar>
              <w:left w:w="0" w:type="dxa"/>
            </w:tcMar>
          </w:tcPr>
          <w:p w14:paraId="154E99B4" w14:textId="02EB7D81" w:rsidR="00FA6CB6" w:rsidRDefault="00FA6CB6" w:rsidP="00FA6CB6">
            <w:pPr>
              <w:pStyle w:val="Marginlie"/>
            </w:pPr>
            <w:r>
              <w:t xml:space="preserve">Domácnosti mohly i nadále prosperovat ze silně rostoucího objemu mezd </w:t>
            </w:r>
            <w:r w:rsidR="00664205">
              <w:br/>
            </w:r>
            <w:r>
              <w:t>a platů.</w:t>
            </w:r>
          </w:p>
        </w:tc>
        <w:tc>
          <w:tcPr>
            <w:tcW w:w="250" w:type="dxa"/>
            <w:vMerge w:val="restart"/>
            <w:shd w:val="clear" w:color="auto" w:fill="auto"/>
            <w:tcMar>
              <w:left w:w="0" w:type="dxa"/>
            </w:tcMar>
          </w:tcPr>
          <w:p w14:paraId="036B3CED" w14:textId="77777777" w:rsidR="00FA6CB6" w:rsidRDefault="00FA6CB6" w:rsidP="00FA6CB6">
            <w:pPr>
              <w:pStyle w:val="Textpoznpodarou"/>
              <w:jc w:val="both"/>
              <w:rPr>
                <w:spacing w:val="-4"/>
              </w:rPr>
            </w:pPr>
          </w:p>
        </w:tc>
        <w:tc>
          <w:tcPr>
            <w:tcW w:w="7501" w:type="dxa"/>
            <w:shd w:val="clear" w:color="auto" w:fill="auto"/>
            <w:tcMar>
              <w:left w:w="0" w:type="dxa"/>
            </w:tcMar>
          </w:tcPr>
          <w:p w14:paraId="440CFBDB" w14:textId="1D8B85C5" w:rsidR="00FA6CB6" w:rsidRDefault="00FA6CB6" w:rsidP="00FA6CB6">
            <w:r>
              <w:t>Objem vyplacených mezd a platů se v 1. čtvrtletí meziročně zvýšil o 8,1</w:t>
            </w:r>
            <w:r w:rsidR="00870ECD">
              <w:t> %</w:t>
            </w:r>
            <w:r>
              <w:t>. Meziroční dynamika tak v porovnání se závěrem loňského roku vzrostla (jak je v 1. kvartálu obvyklé). Zaměstnanost meziročně vzrostla o 1,4</w:t>
            </w:r>
            <w:r w:rsidR="00870ECD">
              <w:t> %</w:t>
            </w:r>
            <w:r w:rsidRPr="00B83E07">
              <w:rPr>
                <w:rStyle w:val="Znakapoznpodarou"/>
                <w:spacing w:val="-2"/>
              </w:rPr>
              <w:footnoteReference w:id="6"/>
            </w:r>
            <w:r>
              <w:t>, růst mzdových prostředků se tak promítl zejména do zvyšování průměrné mzdy. V 1. čtvrtletí také posílil cenový růst, což se odrazilo na reálném tempu růstu objemu mezd a platů (5,2</w:t>
            </w:r>
            <w:r w:rsidR="00870ECD">
              <w:t> %</w:t>
            </w:r>
            <w:r w:rsidRPr="00B83E07">
              <w:rPr>
                <w:rStyle w:val="Znakapoznpodarou"/>
                <w:spacing w:val="-2"/>
              </w:rPr>
              <w:footnoteReference w:id="7"/>
            </w:r>
            <w:r>
              <w:t>). Nejvýrazněji se navyšoval objem vyplacených prostředků v odvětví činností v oblasti nemovitostí (11,4</w:t>
            </w:r>
            <w:r w:rsidR="00870ECD">
              <w:t> %</w:t>
            </w:r>
            <w:r>
              <w:t>), ale celkovou dynamiku ne</w:t>
            </w:r>
            <w:r w:rsidR="00664205">
              <w:t>j</w:t>
            </w:r>
            <w:r>
              <w:t>více ovlivnil 10,0% nárůst v odvětvích s dominancí veřejného sektoru</w:t>
            </w:r>
            <w:r>
              <w:rPr>
                <w:rStyle w:val="Znakapoznpodarou"/>
                <w:spacing w:val="-2"/>
              </w:rPr>
              <w:footnoteReference w:id="8"/>
            </w:r>
            <w:r>
              <w:t xml:space="preserve">, která zaměstnávají podstatnou část pracovníků ve službách. Poměrně výrazná dynamika přetrvala i v seskupení obchod, doprava, </w:t>
            </w:r>
            <w:r>
              <w:lastRenderedPageBreak/>
              <w:t>ubytování a pohostinství (8,4</w:t>
            </w:r>
            <w:r w:rsidR="00870ECD">
              <w:t> %</w:t>
            </w:r>
            <w:r>
              <w:t>) a informačních a komunikačních činnostech (8,1</w:t>
            </w:r>
            <w:r w:rsidR="00870ECD">
              <w:t> %</w:t>
            </w:r>
            <w:r>
              <w:t>). Období mimořádně vysokého růstu mezd ve zpracovatelském průmyslu</w:t>
            </w:r>
            <w:r w:rsidR="00664205">
              <w:t>,</w:t>
            </w:r>
            <w:r>
              <w:t xml:space="preserve"> trvající od 2. čtvrtletí 2017</w:t>
            </w:r>
            <w:r w:rsidR="00664205">
              <w:t>,</w:t>
            </w:r>
            <w:r>
              <w:t xml:space="preserve"> patrně skončilo, i když se meziroční dynamika dostala na solidních 6,4</w:t>
            </w:r>
            <w:r w:rsidR="00870ECD">
              <w:t> %</w:t>
            </w:r>
            <w:r>
              <w:t>. Mírněji než v loňském roce se zvýšil objem mezd také ve stavebnictví (6,4</w:t>
            </w:r>
            <w:r w:rsidR="00870ECD">
              <w:t> %</w:t>
            </w:r>
            <w:r>
              <w:t>).</w:t>
            </w:r>
          </w:p>
        </w:tc>
      </w:tr>
      <w:tr w:rsidR="00FA6CB6" w:rsidRPr="009110F7" w14:paraId="0BCD4CBC" w14:textId="77777777" w:rsidTr="00486132">
        <w:trPr>
          <w:trHeight w:val="170"/>
        </w:trPr>
        <w:tc>
          <w:tcPr>
            <w:tcW w:w="1888" w:type="dxa"/>
            <w:vMerge/>
            <w:shd w:val="clear" w:color="auto" w:fill="auto"/>
            <w:tcMar>
              <w:left w:w="0" w:type="dxa"/>
            </w:tcMar>
          </w:tcPr>
          <w:p w14:paraId="0B08478F" w14:textId="77777777" w:rsidR="00FA6CB6" w:rsidRDefault="00FA6CB6" w:rsidP="00FA6CB6">
            <w:pPr>
              <w:pStyle w:val="Marginlie"/>
            </w:pPr>
          </w:p>
        </w:tc>
        <w:tc>
          <w:tcPr>
            <w:tcW w:w="250" w:type="dxa"/>
            <w:vMerge/>
            <w:shd w:val="clear" w:color="auto" w:fill="auto"/>
            <w:tcMar>
              <w:left w:w="0" w:type="dxa"/>
            </w:tcMar>
          </w:tcPr>
          <w:p w14:paraId="57ADE096" w14:textId="77777777" w:rsidR="00FA6CB6" w:rsidRDefault="00FA6CB6" w:rsidP="00FA6CB6">
            <w:pPr>
              <w:pStyle w:val="Textpoznpodarou"/>
              <w:jc w:val="both"/>
              <w:rPr>
                <w:spacing w:val="-4"/>
              </w:rPr>
            </w:pPr>
          </w:p>
        </w:tc>
        <w:tc>
          <w:tcPr>
            <w:tcW w:w="7501" w:type="dxa"/>
            <w:shd w:val="clear" w:color="auto" w:fill="auto"/>
            <w:tcMar>
              <w:left w:w="0" w:type="dxa"/>
            </w:tcMar>
          </w:tcPr>
          <w:p w14:paraId="448DB7B4" w14:textId="77777777" w:rsidR="00FA6CB6" w:rsidRPr="001208E3" w:rsidRDefault="00FA6CB6" w:rsidP="00FA6CB6">
            <w:pPr>
              <w:spacing w:after="0"/>
              <w:rPr>
                <w:szCs w:val="20"/>
              </w:rPr>
            </w:pPr>
            <w:r w:rsidRPr="001208E3">
              <w:rPr>
                <w:b/>
                <w:szCs w:val="20"/>
              </w:rPr>
              <w:t xml:space="preserve">Graf č. 3  </w:t>
            </w:r>
            <w:r w:rsidRPr="001208E3">
              <w:rPr>
                <w:rFonts w:cs="Arial"/>
                <w:b/>
                <w:szCs w:val="20"/>
                <w:lang w:eastAsia="en-US"/>
              </w:rPr>
              <w:t xml:space="preserve">Příspěvky výdajových složek k reálné změně HDP* </w:t>
            </w:r>
            <w:r w:rsidRPr="001208E3">
              <w:rPr>
                <w:rFonts w:cs="Arial"/>
                <w:szCs w:val="20"/>
                <w:lang w:eastAsia="en-US"/>
              </w:rPr>
              <w:t>(objemové indexy, meziroční růst, příspěvky v p. b., HDP v %)</w:t>
            </w:r>
          </w:p>
        </w:tc>
      </w:tr>
      <w:tr w:rsidR="00FA6CB6" w:rsidRPr="009110F7" w14:paraId="45BA167C" w14:textId="77777777" w:rsidTr="00486132">
        <w:trPr>
          <w:trHeight w:val="170"/>
        </w:trPr>
        <w:tc>
          <w:tcPr>
            <w:tcW w:w="1888" w:type="dxa"/>
            <w:vMerge/>
            <w:shd w:val="clear" w:color="auto" w:fill="auto"/>
            <w:tcMar>
              <w:left w:w="0" w:type="dxa"/>
            </w:tcMar>
          </w:tcPr>
          <w:p w14:paraId="5E0581B1" w14:textId="77777777" w:rsidR="00FA6CB6" w:rsidRPr="009110F7" w:rsidRDefault="00FA6CB6" w:rsidP="00FA6CB6">
            <w:pPr>
              <w:pStyle w:val="Marginlie"/>
            </w:pPr>
          </w:p>
        </w:tc>
        <w:tc>
          <w:tcPr>
            <w:tcW w:w="250" w:type="dxa"/>
            <w:vMerge/>
            <w:shd w:val="clear" w:color="auto" w:fill="auto"/>
            <w:tcMar>
              <w:left w:w="0" w:type="dxa"/>
            </w:tcMar>
          </w:tcPr>
          <w:p w14:paraId="144D4263" w14:textId="77777777" w:rsidR="00FA6CB6" w:rsidRPr="009110F7" w:rsidRDefault="00FA6CB6" w:rsidP="00FA6CB6">
            <w:pPr>
              <w:pStyle w:val="Textpoznpodarou"/>
              <w:jc w:val="both"/>
              <w:rPr>
                <w:spacing w:val="-4"/>
              </w:rPr>
            </w:pPr>
          </w:p>
        </w:tc>
        <w:tc>
          <w:tcPr>
            <w:tcW w:w="7501" w:type="dxa"/>
            <w:shd w:val="clear" w:color="auto" w:fill="auto"/>
            <w:tcMar>
              <w:left w:w="0" w:type="dxa"/>
            </w:tcMar>
          </w:tcPr>
          <w:p w14:paraId="72F896B2" w14:textId="77777777" w:rsidR="00FA6CB6" w:rsidRPr="009110F7" w:rsidRDefault="00FA6CB6" w:rsidP="00FA6CB6">
            <w:pPr>
              <w:spacing w:after="0"/>
            </w:pPr>
            <w:r>
              <w:rPr>
                <w:noProof/>
              </w:rPr>
              <w:drawing>
                <wp:inline distT="0" distB="0" distL="0" distR="0" wp14:anchorId="4049AE3C" wp14:editId="65AE052B">
                  <wp:extent cx="4737600" cy="3553200"/>
                  <wp:effectExtent l="0" t="0" r="635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A6CB6" w:rsidRPr="009110F7" w14:paraId="3D0E6D58" w14:textId="77777777" w:rsidTr="00486132">
        <w:trPr>
          <w:trHeight w:val="170"/>
        </w:trPr>
        <w:tc>
          <w:tcPr>
            <w:tcW w:w="1888" w:type="dxa"/>
            <w:vMerge/>
            <w:shd w:val="clear" w:color="auto" w:fill="auto"/>
            <w:tcMar>
              <w:left w:w="0" w:type="dxa"/>
            </w:tcMar>
          </w:tcPr>
          <w:p w14:paraId="0EFD7B93" w14:textId="77777777" w:rsidR="00FA6CB6" w:rsidRPr="009110F7" w:rsidRDefault="00FA6CB6" w:rsidP="00FA6CB6">
            <w:pPr>
              <w:pStyle w:val="Marginlie"/>
            </w:pPr>
          </w:p>
        </w:tc>
        <w:tc>
          <w:tcPr>
            <w:tcW w:w="250" w:type="dxa"/>
            <w:vMerge/>
            <w:shd w:val="clear" w:color="auto" w:fill="auto"/>
            <w:tcMar>
              <w:left w:w="0" w:type="dxa"/>
            </w:tcMar>
          </w:tcPr>
          <w:p w14:paraId="2D7A78CA" w14:textId="77777777" w:rsidR="00FA6CB6" w:rsidRPr="009110F7" w:rsidRDefault="00FA6CB6" w:rsidP="00FA6CB6">
            <w:pPr>
              <w:pStyle w:val="Textpoznpodarou"/>
              <w:jc w:val="both"/>
              <w:rPr>
                <w:spacing w:val="-4"/>
              </w:rPr>
            </w:pPr>
          </w:p>
        </w:tc>
        <w:tc>
          <w:tcPr>
            <w:tcW w:w="7501" w:type="dxa"/>
            <w:shd w:val="clear" w:color="auto" w:fill="auto"/>
            <w:tcMar>
              <w:left w:w="0" w:type="dxa"/>
            </w:tcMar>
          </w:tcPr>
          <w:p w14:paraId="4E78B4AC" w14:textId="77777777" w:rsidR="00FA6CB6" w:rsidRDefault="00FA6CB6" w:rsidP="00FA6CB6">
            <w:pPr>
              <w:spacing w:after="0"/>
              <w:rPr>
                <w:sz w:val="14"/>
                <w:szCs w:val="14"/>
              </w:rPr>
            </w:pPr>
            <w:r>
              <w:rPr>
                <w:sz w:val="14"/>
                <w:szCs w:val="14"/>
              </w:rPr>
              <w:t>Zdroj: ČSÚ</w:t>
            </w:r>
          </w:p>
          <w:p w14:paraId="07B81BC8" w14:textId="77777777" w:rsidR="00FA6CB6" w:rsidRPr="009110F7" w:rsidRDefault="00FA6CB6" w:rsidP="00FA6CB6">
            <w:pPr>
              <w:rPr>
                <w:sz w:val="14"/>
                <w:szCs w:val="14"/>
              </w:rPr>
            </w:pPr>
            <w:r>
              <w:rPr>
                <w:sz w:val="14"/>
                <w:szCs w:val="14"/>
              </w:rPr>
              <w:t>*po vyloučení dovozu pro konečné užití</w:t>
            </w:r>
          </w:p>
        </w:tc>
      </w:tr>
      <w:tr w:rsidR="00FA6CB6" w:rsidRPr="009110F7" w14:paraId="2E59976F" w14:textId="77777777" w:rsidTr="00486132">
        <w:trPr>
          <w:trHeight w:val="145"/>
        </w:trPr>
        <w:tc>
          <w:tcPr>
            <w:tcW w:w="1888" w:type="dxa"/>
            <w:shd w:val="clear" w:color="auto" w:fill="auto"/>
            <w:tcMar>
              <w:left w:w="0" w:type="dxa"/>
            </w:tcMar>
          </w:tcPr>
          <w:p w14:paraId="6D85B0D1" w14:textId="1C6BAEFB" w:rsidR="00FA6CB6" w:rsidRDefault="00FA6CB6" w:rsidP="00FA6CB6">
            <w:pPr>
              <w:pStyle w:val="Marginlie"/>
            </w:pPr>
            <w:r>
              <w:t>Investiční aktivita v 1. čtvrt</w:t>
            </w:r>
            <w:r w:rsidR="008165B8">
              <w:t>-</w:t>
            </w:r>
            <w:r>
              <w:t xml:space="preserve">letí meziročně oslabila. </w:t>
            </w:r>
          </w:p>
        </w:tc>
        <w:tc>
          <w:tcPr>
            <w:tcW w:w="250" w:type="dxa"/>
            <w:shd w:val="clear" w:color="auto" w:fill="auto"/>
            <w:tcMar>
              <w:left w:w="0" w:type="dxa"/>
            </w:tcMar>
          </w:tcPr>
          <w:p w14:paraId="3CDD38B0" w14:textId="77777777" w:rsidR="00FA6CB6" w:rsidRDefault="00FA6CB6" w:rsidP="00FA6CB6">
            <w:pPr>
              <w:pStyle w:val="Textpoznpodarou"/>
              <w:jc w:val="both"/>
              <w:rPr>
                <w:spacing w:val="-4"/>
              </w:rPr>
            </w:pPr>
          </w:p>
        </w:tc>
        <w:tc>
          <w:tcPr>
            <w:tcW w:w="7501" w:type="dxa"/>
            <w:shd w:val="clear" w:color="auto" w:fill="auto"/>
            <w:tcMar>
              <w:left w:w="0" w:type="dxa"/>
            </w:tcMar>
          </w:tcPr>
          <w:p w14:paraId="0DD48E09" w14:textId="77777777" w:rsidR="00FA6CB6" w:rsidRDefault="00FA6CB6" w:rsidP="00FA6CB6">
            <w:r>
              <w:t>Výdaje na tvorbu hrubého kapitálu v 1. čtvrtletí 2019 meziročně vzrostly o 2,2</w:t>
            </w:r>
            <w:r w:rsidR="00870ECD">
              <w:t> %</w:t>
            </w:r>
            <w:r>
              <w:t>. Výrazně kleslo tempo růstu výdajů na tvorbu fixního kapitálu, které v loňském 2.</w:t>
            </w:r>
            <w:r w:rsidR="00837E48">
              <w:t> </w:t>
            </w:r>
            <w:r>
              <w:t>pololetí překračovalo 10</w:t>
            </w:r>
            <w:r w:rsidR="00870ECD">
              <w:t> %</w:t>
            </w:r>
            <w:r>
              <w:t>, tentokrát se ale dostalo na 3,4</w:t>
            </w:r>
            <w:r w:rsidR="00870ECD">
              <w:t> %</w:t>
            </w:r>
            <w:r>
              <w:t>. Výsledný příspěvek investiční aktivity (tvorby hrubého fixního kapitálu) k růstu HDP činil 0,6</w:t>
            </w:r>
            <w:r w:rsidR="00870ECD">
              <w:t> p. b.</w:t>
            </w:r>
            <w:r>
              <w:t xml:space="preserve">, opět jej však tlumil meziroční pokles tvorby zásob. V porovnání s předchozím čtvrtletím investiční aktivita poklesla. Výdaje na hrubý kapitál </w:t>
            </w:r>
            <w:r w:rsidR="00EB48D7">
              <w:t xml:space="preserve">se snížily </w:t>
            </w:r>
            <w:r>
              <w:t>o 0,4</w:t>
            </w:r>
            <w:r w:rsidR="00870ECD">
              <w:t> %</w:t>
            </w:r>
            <w:r>
              <w:t>, z toho tvorba hrubého fixního kapitálu dokonce o 2,0</w:t>
            </w:r>
            <w:r w:rsidR="00870ECD">
              <w:t> %</w:t>
            </w:r>
            <w:r>
              <w:t>. Z věcného členění tvorby hrubého fixního kapitálu</w:t>
            </w:r>
            <w:r w:rsidRPr="009110F7">
              <w:rPr>
                <w:rStyle w:val="Znakapoznpodarou"/>
              </w:rPr>
              <w:footnoteReference w:id="9"/>
            </w:r>
            <w:r>
              <w:t xml:space="preserve"> lze vidět výrazné zpomalení růstu ve všech kategoriích výdajů. Nejsilnější meziroční tempo si udržely investiční výdaje na obydlí (7,3</w:t>
            </w:r>
            <w:r w:rsidR="00870ECD">
              <w:t> %</w:t>
            </w:r>
            <w:r>
              <w:t>, nárůst v loňském roce byl 12,8 %). Výrazně zpomalil růst investic do ostatních budov a staveb (3,6</w:t>
            </w:r>
            <w:r w:rsidR="00870ECD">
              <w:t> %</w:t>
            </w:r>
            <w:r>
              <w:t>, loni 14,4</w:t>
            </w:r>
            <w:r w:rsidR="00870ECD">
              <w:t> %</w:t>
            </w:r>
            <w:r>
              <w:t>). Jen o 0,8</w:t>
            </w:r>
            <w:r w:rsidR="00870ECD">
              <w:t> %</w:t>
            </w:r>
            <w:r>
              <w:t xml:space="preserve"> vzrostly investice do dopravních prostředků a zařízení. Položka ICT, ostatní stroje a zařízení dosáhla meziročního nárůstu o 4,1</w:t>
            </w:r>
            <w:r w:rsidR="00870ECD">
              <w:t> %</w:t>
            </w:r>
            <w:r>
              <w:t xml:space="preserve"> (loni 10,1</w:t>
            </w:r>
            <w:r w:rsidR="00870ECD">
              <w:t> %</w:t>
            </w:r>
            <w:r>
              <w:t>).</w:t>
            </w:r>
          </w:p>
        </w:tc>
      </w:tr>
      <w:tr w:rsidR="00FA6CB6" w:rsidRPr="009110F7" w14:paraId="3E7DFCEA" w14:textId="77777777" w:rsidTr="00486132">
        <w:trPr>
          <w:trHeight w:val="145"/>
        </w:trPr>
        <w:tc>
          <w:tcPr>
            <w:tcW w:w="1888" w:type="dxa"/>
            <w:shd w:val="clear" w:color="auto" w:fill="auto"/>
            <w:tcMar>
              <w:left w:w="0" w:type="dxa"/>
            </w:tcMar>
          </w:tcPr>
          <w:p w14:paraId="3E133E96" w14:textId="77777777" w:rsidR="00FA6CB6" w:rsidRDefault="00FA6CB6" w:rsidP="00FA6CB6">
            <w:pPr>
              <w:pStyle w:val="Marginlie"/>
            </w:pPr>
            <w:r>
              <w:t>Přebytek bilance zahraničního obchodu se díky službám meziročně zvýšil.</w:t>
            </w:r>
          </w:p>
        </w:tc>
        <w:tc>
          <w:tcPr>
            <w:tcW w:w="250" w:type="dxa"/>
            <w:shd w:val="clear" w:color="auto" w:fill="auto"/>
            <w:tcMar>
              <w:left w:w="0" w:type="dxa"/>
            </w:tcMar>
          </w:tcPr>
          <w:p w14:paraId="0354E25A" w14:textId="77777777" w:rsidR="00FA6CB6" w:rsidRDefault="00FA6CB6" w:rsidP="00FA6CB6">
            <w:pPr>
              <w:pStyle w:val="Textpoznpodarou"/>
              <w:jc w:val="both"/>
              <w:rPr>
                <w:spacing w:val="-4"/>
              </w:rPr>
            </w:pPr>
          </w:p>
        </w:tc>
        <w:tc>
          <w:tcPr>
            <w:tcW w:w="7501" w:type="dxa"/>
            <w:shd w:val="clear" w:color="auto" w:fill="auto"/>
            <w:tcMar>
              <w:left w:w="0" w:type="dxa"/>
            </w:tcMar>
          </w:tcPr>
          <w:p w14:paraId="6A7C52B6" w14:textId="77777777" w:rsidR="00FA6CB6" w:rsidRDefault="00FA6CB6" w:rsidP="00EB48D7">
            <w:r>
              <w:t>Bilance zahraničního obchodu se zbožím a službami v 1. čtvrtletí 2019 dosáhla přebytku 90,1</w:t>
            </w:r>
            <w:r w:rsidR="00870ECD">
              <w:t> mld</w:t>
            </w:r>
            <w:r>
              <w:t>. korun</w:t>
            </w:r>
            <w:r w:rsidRPr="009110F7">
              <w:rPr>
                <w:rStyle w:val="Znakapoznpodarou"/>
              </w:rPr>
              <w:footnoteReference w:id="10"/>
            </w:r>
            <w:r>
              <w:t>. To je o 2,4</w:t>
            </w:r>
            <w:r w:rsidR="00870ECD">
              <w:t> mld</w:t>
            </w:r>
            <w:r>
              <w:t>. více než ve stejném období minulého roku</w:t>
            </w:r>
            <w:r w:rsidR="00EB48D7">
              <w:t>. Z</w:t>
            </w:r>
            <w:r>
              <w:t>astavila se tak loňská série meziročních poklesů přebytku. Za meziročním přírůstkem stál výhradně obchod se službami. Přebytek zde dosáhl 38,6</w:t>
            </w:r>
            <w:r w:rsidR="00870ECD">
              <w:t> mld</w:t>
            </w:r>
            <w:r>
              <w:t>. korun a</w:t>
            </w:r>
            <w:r w:rsidR="00837E48">
              <w:t> </w:t>
            </w:r>
            <w:r>
              <w:t>zvýšil se o 5,4</w:t>
            </w:r>
            <w:r w:rsidR="00870ECD">
              <w:t> mld</w:t>
            </w:r>
            <w:r>
              <w:t>. V případě zboží se kladné saldo meziročně snížilo o 2,9</w:t>
            </w:r>
            <w:r w:rsidR="00870ECD">
              <w:t> mld</w:t>
            </w:r>
            <w:r>
              <w:t>. korun na 51,6</w:t>
            </w:r>
            <w:r w:rsidR="00870ECD">
              <w:t> mld</w:t>
            </w:r>
            <w:r>
              <w:t xml:space="preserve">. Příspěvek salda zahraničního obchodu k růstu HDP opět mírně tlumil fakt, že část růstu spotřební i investiční poptávky saturoval dovoz. Dynamika </w:t>
            </w:r>
            <w:r>
              <w:lastRenderedPageBreak/>
              <w:t>vývozu i dovozu se v 1. čtvrtletí zmírnila ve srovnání se silným 2. pololetím loňského roku. Reálně se vývoz zvýšil o 2,0</w:t>
            </w:r>
            <w:r w:rsidR="00870ECD">
              <w:t> %</w:t>
            </w:r>
            <w:r>
              <w:t xml:space="preserve"> a dovoz o 2,1</w:t>
            </w:r>
            <w:r w:rsidR="00870ECD">
              <w:t> %</w:t>
            </w:r>
            <w:r>
              <w:t>.</w:t>
            </w:r>
          </w:p>
        </w:tc>
      </w:tr>
      <w:tr w:rsidR="00FA6CB6" w:rsidRPr="009110F7" w14:paraId="00DB0054" w14:textId="77777777" w:rsidTr="00486132">
        <w:trPr>
          <w:trHeight w:val="145"/>
        </w:trPr>
        <w:tc>
          <w:tcPr>
            <w:tcW w:w="1888" w:type="dxa"/>
            <w:shd w:val="clear" w:color="auto" w:fill="auto"/>
            <w:tcMar>
              <w:left w:w="0" w:type="dxa"/>
            </w:tcMar>
          </w:tcPr>
          <w:p w14:paraId="025C83F7" w14:textId="77777777" w:rsidR="00FA6CB6" w:rsidRDefault="00FA6CB6" w:rsidP="00FA6CB6">
            <w:pPr>
              <w:pStyle w:val="Marginlie"/>
            </w:pPr>
            <w:r>
              <w:lastRenderedPageBreak/>
              <w:t>Služby si udržely pozici tahouna růstu hrubé přidané hodnoty.</w:t>
            </w:r>
          </w:p>
        </w:tc>
        <w:tc>
          <w:tcPr>
            <w:tcW w:w="250" w:type="dxa"/>
            <w:shd w:val="clear" w:color="auto" w:fill="auto"/>
            <w:tcMar>
              <w:left w:w="0" w:type="dxa"/>
            </w:tcMar>
          </w:tcPr>
          <w:p w14:paraId="323F3DDF" w14:textId="77777777" w:rsidR="00FA6CB6" w:rsidRDefault="00FA6CB6" w:rsidP="00FA6CB6">
            <w:pPr>
              <w:pStyle w:val="Textpoznpodarou"/>
              <w:jc w:val="both"/>
              <w:rPr>
                <w:spacing w:val="-4"/>
              </w:rPr>
            </w:pPr>
          </w:p>
        </w:tc>
        <w:tc>
          <w:tcPr>
            <w:tcW w:w="7501" w:type="dxa"/>
            <w:shd w:val="clear" w:color="auto" w:fill="auto"/>
            <w:tcMar>
              <w:left w:w="0" w:type="dxa"/>
            </w:tcMar>
          </w:tcPr>
          <w:p w14:paraId="3F35751F" w14:textId="3F16E86D" w:rsidR="00FA6CB6" w:rsidRDefault="00FA6CB6" w:rsidP="00FA6CB6">
            <w:r>
              <w:t>Meziroční růst hrubé přidané hodnoty více podporovala odvětví služeb než průmysl. Služby, které stimulovala přetrvávající silná domácí poptávka, přispěly 1,8</w:t>
            </w:r>
            <w:r w:rsidR="00870ECD">
              <w:t> p. b.</w:t>
            </w:r>
            <w:r>
              <w:t xml:space="preserve"> Z nich největší příspěvek mělo seskupení obchod, doprava, ubytování a pohostinství (0,5 p. b.), ve kterém HPH meziročně vzrostla o 2,8</w:t>
            </w:r>
            <w:r w:rsidR="00870ECD">
              <w:t> %</w:t>
            </w:r>
            <w:r>
              <w:t xml:space="preserve">. </w:t>
            </w:r>
            <w:r w:rsidR="004C0B3F">
              <w:t xml:space="preserve">Jedním </w:t>
            </w:r>
            <w:r>
              <w:t xml:space="preserve">ze dvou odvětví služeb, kde posílil růst HPH, </w:t>
            </w:r>
            <w:r w:rsidR="004C0B3F">
              <w:t xml:space="preserve">bylo </w:t>
            </w:r>
            <w:r>
              <w:t>odvětví s dominancí veřejného sektoru. Zrychlení na 2,4</w:t>
            </w:r>
            <w:r w:rsidR="00870ECD">
              <w:t> %</w:t>
            </w:r>
            <w:r>
              <w:t xml:space="preserve"> zvýšilo i příspěvek k růstu HPH na 0,4</w:t>
            </w:r>
            <w:r w:rsidR="00870ECD">
              <w:t> p. b.</w:t>
            </w:r>
            <w:r>
              <w:t xml:space="preserve"> Zpomalil růst HPH v</w:t>
            </w:r>
            <w:r w:rsidR="00837E48">
              <w:t> </w:t>
            </w:r>
            <w:r>
              <w:t>informační</w:t>
            </w:r>
            <w:r w:rsidR="00837E48">
              <w:t>ch a </w:t>
            </w:r>
            <w:r>
              <w:t>komunikačních činnostech. Stále poměrně solidní přírůstek 4,8</w:t>
            </w:r>
            <w:r w:rsidR="00870ECD">
              <w:t> %</w:t>
            </w:r>
            <w:r>
              <w:t xml:space="preserve"> však stačil na příspěvek k růstu ve výši 0,3</w:t>
            </w:r>
            <w:r w:rsidR="00870ECD">
              <w:t> p. b.</w:t>
            </w:r>
            <w:r>
              <w:t xml:space="preserve"> Shodně 0,2</w:t>
            </w:r>
            <w:r w:rsidR="00870ECD">
              <w:t> p. b.</w:t>
            </w:r>
            <w:r>
              <w:t xml:space="preserve"> přispěly peněžnictví a</w:t>
            </w:r>
            <w:r w:rsidR="00837E48">
              <w:t> </w:t>
            </w:r>
            <w:r>
              <w:t>pojišťovnictví, činnosti v oblasti nemovitostí a také profesní, vědecké, technické a</w:t>
            </w:r>
            <w:r w:rsidR="00837E48">
              <w:t> </w:t>
            </w:r>
            <w:r>
              <w:t>administrativní činnosti. Posledně jmenované odvětví také posílilo svůj meziroční růst HPH na 3,0</w:t>
            </w:r>
            <w:r w:rsidR="00870ECD">
              <w:t> %</w:t>
            </w:r>
            <w:r>
              <w:t>. Průmyslová odvětví přispívala k růstu HPH slaběji. Hrubá přidaná hodnota ve zpracovatelském průmyslu, který zčásti závisí na zahraniční poptávce, vzrostla o 2,5</w:t>
            </w:r>
            <w:r w:rsidR="00870ECD">
              <w:t> %</w:t>
            </w:r>
            <w:r>
              <w:t xml:space="preserve"> a jeho příspěvek k celkovému růstu HPH činil 0,7</w:t>
            </w:r>
            <w:r w:rsidR="00870ECD">
              <w:t> p. b.</w:t>
            </w:r>
            <w:r>
              <w:t xml:space="preserve"> Ostatní průmyslová odvětví přidala 0,1</w:t>
            </w:r>
            <w:r w:rsidR="00870ECD">
              <w:t> p. b.</w:t>
            </w:r>
            <w:r>
              <w:t xml:space="preserve"> Dynamika HPH v porovnání s předchozím rokem oslabila ve stavebnictví. Meziroční přírůstek v 1. čtvrtletí dosáhl 3,1</w:t>
            </w:r>
            <w:r w:rsidR="00870ECD">
              <w:t> %</w:t>
            </w:r>
            <w:r>
              <w:t xml:space="preserve"> (loni 6,7</w:t>
            </w:r>
            <w:r w:rsidR="00870ECD">
              <w:t> %</w:t>
            </w:r>
            <w:r>
              <w:t>) a</w:t>
            </w:r>
            <w:r w:rsidR="00837E48">
              <w:t> </w:t>
            </w:r>
            <w:r>
              <w:t>příspěvek k celkovému růstu byl 0,2</w:t>
            </w:r>
            <w:r w:rsidR="00870ECD">
              <w:t> p. b.</w:t>
            </w:r>
            <w:r>
              <w:t xml:space="preserve"> </w:t>
            </w:r>
          </w:p>
        </w:tc>
      </w:tr>
      <w:tr w:rsidR="00FA6CB6" w:rsidRPr="009110F7" w14:paraId="06070C1E" w14:textId="77777777" w:rsidTr="00486132">
        <w:trPr>
          <w:trHeight w:val="170"/>
        </w:trPr>
        <w:tc>
          <w:tcPr>
            <w:tcW w:w="1888" w:type="dxa"/>
            <w:vMerge w:val="restart"/>
            <w:shd w:val="clear" w:color="auto" w:fill="auto"/>
            <w:tcMar>
              <w:left w:w="0" w:type="dxa"/>
            </w:tcMar>
          </w:tcPr>
          <w:p w14:paraId="6CA856BA" w14:textId="77777777" w:rsidR="00FA6CB6" w:rsidRDefault="00FA6CB6" w:rsidP="00FA6CB6">
            <w:pPr>
              <w:pStyle w:val="Marginlie"/>
            </w:pPr>
          </w:p>
        </w:tc>
        <w:tc>
          <w:tcPr>
            <w:tcW w:w="250" w:type="dxa"/>
            <w:vMerge w:val="restart"/>
            <w:shd w:val="clear" w:color="auto" w:fill="auto"/>
            <w:tcMar>
              <w:left w:w="0" w:type="dxa"/>
            </w:tcMar>
          </w:tcPr>
          <w:p w14:paraId="111410F7" w14:textId="77777777" w:rsidR="00FA6CB6" w:rsidRDefault="00FA6CB6" w:rsidP="00FA6CB6">
            <w:pPr>
              <w:pStyle w:val="Textpoznpodarou"/>
              <w:jc w:val="both"/>
              <w:rPr>
                <w:spacing w:val="-4"/>
              </w:rPr>
            </w:pPr>
          </w:p>
        </w:tc>
        <w:tc>
          <w:tcPr>
            <w:tcW w:w="7501" w:type="dxa"/>
            <w:shd w:val="clear" w:color="auto" w:fill="auto"/>
            <w:tcMar>
              <w:left w:w="0" w:type="dxa"/>
            </w:tcMar>
          </w:tcPr>
          <w:p w14:paraId="49DB8841" w14:textId="77777777" w:rsidR="00FA6CB6" w:rsidRPr="001208E3" w:rsidRDefault="00FA6CB6" w:rsidP="00FA6CB6">
            <w:pPr>
              <w:spacing w:after="0"/>
              <w:rPr>
                <w:szCs w:val="20"/>
              </w:rPr>
            </w:pPr>
            <w:r w:rsidRPr="001208E3">
              <w:rPr>
                <w:b/>
                <w:szCs w:val="20"/>
              </w:rPr>
              <w:t xml:space="preserve">Graf č. 4  </w:t>
            </w:r>
            <w:r w:rsidRPr="001208E3">
              <w:rPr>
                <w:rFonts w:cs="Arial"/>
                <w:b/>
                <w:szCs w:val="20"/>
                <w:lang w:eastAsia="en-US"/>
              </w:rPr>
              <w:t xml:space="preserve">Příspěvky odvětví k reálné změně HPH </w:t>
            </w:r>
            <w:r w:rsidRPr="001208E3">
              <w:rPr>
                <w:rFonts w:cs="Arial"/>
                <w:szCs w:val="20"/>
                <w:lang w:eastAsia="en-US"/>
              </w:rPr>
              <w:t>(objemové indexy, meziroční příspěvky v p. b., HPH v %)</w:t>
            </w:r>
          </w:p>
        </w:tc>
      </w:tr>
      <w:tr w:rsidR="00FA6CB6" w:rsidRPr="009110F7" w14:paraId="4580B5C3" w14:textId="77777777" w:rsidTr="00486132">
        <w:trPr>
          <w:trHeight w:val="170"/>
        </w:trPr>
        <w:tc>
          <w:tcPr>
            <w:tcW w:w="1888" w:type="dxa"/>
            <w:vMerge/>
            <w:shd w:val="clear" w:color="auto" w:fill="auto"/>
            <w:tcMar>
              <w:left w:w="0" w:type="dxa"/>
            </w:tcMar>
          </w:tcPr>
          <w:p w14:paraId="5768A0F5" w14:textId="77777777" w:rsidR="00FA6CB6" w:rsidRPr="009110F7" w:rsidRDefault="00FA6CB6" w:rsidP="00FA6CB6">
            <w:pPr>
              <w:pStyle w:val="Marginlie"/>
            </w:pPr>
          </w:p>
        </w:tc>
        <w:tc>
          <w:tcPr>
            <w:tcW w:w="250" w:type="dxa"/>
            <w:vMerge/>
            <w:shd w:val="clear" w:color="auto" w:fill="auto"/>
            <w:tcMar>
              <w:left w:w="0" w:type="dxa"/>
            </w:tcMar>
          </w:tcPr>
          <w:p w14:paraId="63F3AA79" w14:textId="77777777" w:rsidR="00FA6CB6" w:rsidRPr="009110F7" w:rsidRDefault="00FA6CB6" w:rsidP="00FA6CB6">
            <w:pPr>
              <w:pStyle w:val="Textpoznpodarou"/>
              <w:jc w:val="both"/>
              <w:rPr>
                <w:spacing w:val="-4"/>
              </w:rPr>
            </w:pPr>
          </w:p>
        </w:tc>
        <w:tc>
          <w:tcPr>
            <w:tcW w:w="7501" w:type="dxa"/>
            <w:shd w:val="clear" w:color="auto" w:fill="auto"/>
            <w:tcMar>
              <w:left w:w="0" w:type="dxa"/>
            </w:tcMar>
          </w:tcPr>
          <w:p w14:paraId="15DFCB23" w14:textId="77777777" w:rsidR="00FA6CB6" w:rsidRPr="009110F7" w:rsidRDefault="00FA6CB6" w:rsidP="00FA6CB6">
            <w:pPr>
              <w:spacing w:after="0"/>
            </w:pPr>
            <w:r>
              <w:rPr>
                <w:noProof/>
              </w:rPr>
              <w:drawing>
                <wp:inline distT="0" distB="0" distL="0" distR="0" wp14:anchorId="60092680" wp14:editId="5A16DB35">
                  <wp:extent cx="4737600" cy="3553200"/>
                  <wp:effectExtent l="0" t="0" r="635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A6CB6" w:rsidRPr="009110F7" w14:paraId="10A8BFF4" w14:textId="77777777" w:rsidTr="00486132">
        <w:trPr>
          <w:trHeight w:val="170"/>
        </w:trPr>
        <w:tc>
          <w:tcPr>
            <w:tcW w:w="1888" w:type="dxa"/>
            <w:vMerge/>
            <w:shd w:val="clear" w:color="auto" w:fill="auto"/>
            <w:tcMar>
              <w:left w:w="0" w:type="dxa"/>
            </w:tcMar>
          </w:tcPr>
          <w:p w14:paraId="75C9CE95" w14:textId="77777777" w:rsidR="00FA6CB6" w:rsidRPr="009110F7" w:rsidRDefault="00FA6CB6" w:rsidP="00FA6CB6">
            <w:pPr>
              <w:pStyle w:val="Marginlie"/>
            </w:pPr>
          </w:p>
        </w:tc>
        <w:tc>
          <w:tcPr>
            <w:tcW w:w="250" w:type="dxa"/>
            <w:vMerge/>
            <w:shd w:val="clear" w:color="auto" w:fill="auto"/>
            <w:tcMar>
              <w:left w:w="0" w:type="dxa"/>
            </w:tcMar>
          </w:tcPr>
          <w:p w14:paraId="5A0714AD" w14:textId="77777777" w:rsidR="00FA6CB6" w:rsidRPr="009110F7" w:rsidRDefault="00FA6CB6" w:rsidP="00FA6CB6">
            <w:pPr>
              <w:pStyle w:val="Textpoznpodarou"/>
              <w:jc w:val="both"/>
              <w:rPr>
                <w:spacing w:val="-4"/>
              </w:rPr>
            </w:pPr>
          </w:p>
        </w:tc>
        <w:tc>
          <w:tcPr>
            <w:tcW w:w="7501" w:type="dxa"/>
            <w:shd w:val="clear" w:color="auto" w:fill="auto"/>
            <w:tcMar>
              <w:left w:w="0" w:type="dxa"/>
            </w:tcMar>
          </w:tcPr>
          <w:p w14:paraId="5CB11613" w14:textId="77777777" w:rsidR="00FA6CB6" w:rsidRPr="009110F7" w:rsidRDefault="00FA6CB6" w:rsidP="00FA6CB6">
            <w:pPr>
              <w:rPr>
                <w:sz w:val="14"/>
                <w:szCs w:val="14"/>
              </w:rPr>
            </w:pPr>
            <w:r w:rsidRPr="00A85DE1">
              <w:rPr>
                <w:sz w:val="14"/>
                <w:szCs w:val="14"/>
              </w:rPr>
              <w:t>Zdroj: ČSÚ</w:t>
            </w:r>
          </w:p>
        </w:tc>
      </w:tr>
    </w:tbl>
    <w:p w14:paraId="34D8C071" w14:textId="77777777" w:rsidR="009A24F1" w:rsidRDefault="009A24F1">
      <w:pPr>
        <w:spacing w:after="0" w:line="240" w:lineRule="auto"/>
        <w:jc w:val="left"/>
        <w:rPr>
          <w:rFonts w:eastAsia="MS Gothic"/>
          <w:b/>
          <w:bCs/>
          <w:color w:val="71818C"/>
          <w:sz w:val="32"/>
          <w:szCs w:val="28"/>
        </w:rPr>
      </w:pPr>
      <w:r>
        <w:br w:type="page"/>
      </w:r>
    </w:p>
    <w:p w14:paraId="7A5B8FDB" w14:textId="77777777" w:rsidR="00935BD4" w:rsidRPr="009110F7" w:rsidRDefault="00935BD4" w:rsidP="001554C2">
      <w:pPr>
        <w:pStyle w:val="Nadpis11"/>
      </w:pPr>
      <w:bookmarkStart w:id="4" w:name="_Toc11320629"/>
      <w:r w:rsidRPr="009110F7">
        <w:lastRenderedPageBreak/>
        <w:t>3</w:t>
      </w:r>
      <w:r w:rsidR="001554C2" w:rsidRPr="009110F7">
        <w:t xml:space="preserve">. </w:t>
      </w:r>
      <w:bookmarkStart w:id="5" w:name="_Toc454185150"/>
      <w:bookmarkStart w:id="6" w:name="_Toc493683635"/>
      <w:r w:rsidRPr="009110F7">
        <w:t>Výkonnost odvětví</w:t>
      </w:r>
      <w:bookmarkEnd w:id="4"/>
      <w:bookmarkEnd w:id="5"/>
      <w:bookmarkEnd w:id="6"/>
    </w:p>
    <w:tbl>
      <w:tblPr>
        <w:tblW w:w="9639" w:type="dxa"/>
        <w:tblInd w:w="-15" w:type="dxa"/>
        <w:tblCellMar>
          <w:left w:w="0" w:type="dxa"/>
          <w:right w:w="0" w:type="dxa"/>
        </w:tblCellMar>
        <w:tblLook w:val="00A0" w:firstRow="1" w:lastRow="0" w:firstColumn="1" w:lastColumn="0" w:noHBand="0" w:noVBand="0"/>
      </w:tblPr>
      <w:tblGrid>
        <w:gridCol w:w="1764"/>
        <w:gridCol w:w="175"/>
        <w:gridCol w:w="7700"/>
      </w:tblGrid>
      <w:tr w:rsidR="00C35A2A" w:rsidRPr="005C012F" w14:paraId="1E57740C" w14:textId="77777777" w:rsidTr="000A3D9E">
        <w:trPr>
          <w:trHeight w:val="145"/>
        </w:trPr>
        <w:tc>
          <w:tcPr>
            <w:tcW w:w="1764" w:type="dxa"/>
            <w:shd w:val="clear" w:color="auto" w:fill="auto"/>
            <w:tcMar>
              <w:left w:w="0" w:type="dxa"/>
            </w:tcMar>
          </w:tcPr>
          <w:p w14:paraId="25AAB879" w14:textId="77777777" w:rsidR="00C35A2A" w:rsidRDefault="00C35A2A" w:rsidP="000A3D9E">
            <w:pPr>
              <w:pStyle w:val="Marginlie"/>
            </w:pPr>
            <w:r>
              <w:t>Tuzemská ekonomika v 1. čtvrtletí odolávala méně příznivým vnějším vlivům. Tempo růstu HPH zpomalovalo jen mírně.</w:t>
            </w:r>
          </w:p>
        </w:tc>
        <w:tc>
          <w:tcPr>
            <w:tcW w:w="175" w:type="dxa"/>
            <w:shd w:val="clear" w:color="auto" w:fill="auto"/>
            <w:tcMar>
              <w:left w:w="0" w:type="dxa"/>
            </w:tcMar>
          </w:tcPr>
          <w:p w14:paraId="2173D3CC" w14:textId="77777777" w:rsidR="00C35A2A" w:rsidRDefault="00C35A2A" w:rsidP="000A3D9E">
            <w:pPr>
              <w:pStyle w:val="Textpoznpodarou"/>
              <w:jc w:val="both"/>
              <w:rPr>
                <w:spacing w:val="-4"/>
              </w:rPr>
            </w:pPr>
          </w:p>
        </w:tc>
        <w:tc>
          <w:tcPr>
            <w:tcW w:w="7700" w:type="dxa"/>
            <w:shd w:val="clear" w:color="auto" w:fill="auto"/>
            <w:tcMar>
              <w:left w:w="0" w:type="dxa"/>
            </w:tcMar>
          </w:tcPr>
          <w:p w14:paraId="73910AC7" w14:textId="3BE84669" w:rsidR="00C35A2A" w:rsidRPr="005C012F" w:rsidRDefault="00C35A2A" w:rsidP="000A3D9E">
            <w:pPr>
              <w:spacing w:after="200"/>
              <w:rPr>
                <w:spacing w:val="-4"/>
              </w:rPr>
            </w:pPr>
            <w:r w:rsidRPr="005C012F">
              <w:rPr>
                <w:spacing w:val="-4"/>
              </w:rPr>
              <w:t>Navzdory množícím se méně příznivým vnějším faktorům (slabší hospodářský růst zemí</w:t>
            </w:r>
            <w:r w:rsidR="00063CEA">
              <w:rPr>
                <w:spacing w:val="-4"/>
              </w:rPr>
              <w:t>,</w:t>
            </w:r>
            <w:r w:rsidRPr="005C012F">
              <w:rPr>
                <w:spacing w:val="-4"/>
              </w:rPr>
              <w:t xml:space="preserve"> </w:t>
            </w:r>
            <w:r w:rsidR="00063CEA">
              <w:rPr>
                <w:spacing w:val="-4"/>
              </w:rPr>
              <w:t>jež jsou hlavními obchodními partnery</w:t>
            </w:r>
            <w:r w:rsidRPr="005C012F">
              <w:rPr>
                <w:spacing w:val="-4"/>
              </w:rPr>
              <w:t xml:space="preserve"> ČR, narůstající napětí v mezinárodních obchodních vztazích, přetrvávající nejistoty ohledně postavení Velké Británie vůči EU) stvrdily údaje z p</w:t>
            </w:r>
            <w:r>
              <w:rPr>
                <w:spacing w:val="-4"/>
              </w:rPr>
              <w:t>očátku roku 2019</w:t>
            </w:r>
            <w:r w:rsidRPr="005C012F">
              <w:rPr>
                <w:spacing w:val="-4"/>
              </w:rPr>
              <w:t xml:space="preserve"> solidní kondici tuzemské ekonomiky. Hrubá přidaná hodnota (HPH)</w:t>
            </w:r>
            <w:r w:rsidRPr="005C012F">
              <w:rPr>
                <w:rStyle w:val="Znakapoznpodarou"/>
                <w:spacing w:val="-4"/>
              </w:rPr>
              <w:footnoteReference w:id="11"/>
            </w:r>
            <w:r w:rsidRPr="005C012F">
              <w:rPr>
                <w:spacing w:val="-4"/>
              </w:rPr>
              <w:t xml:space="preserve"> vzrostla meziročně o 2,6</w:t>
            </w:r>
            <w:r w:rsidR="00870ECD">
              <w:rPr>
                <w:spacing w:val="-4"/>
              </w:rPr>
              <w:t> %</w:t>
            </w:r>
            <w:r w:rsidRPr="005C012F">
              <w:rPr>
                <w:spacing w:val="-4"/>
              </w:rPr>
              <w:t xml:space="preserve"> a jen mírně tak zaostala za tempem z celého loňského roku (3,0</w:t>
            </w:r>
            <w:r w:rsidR="00870ECD">
              <w:rPr>
                <w:spacing w:val="-4"/>
              </w:rPr>
              <w:t> %</w:t>
            </w:r>
            <w:r w:rsidRPr="005C012F">
              <w:rPr>
                <w:spacing w:val="-4"/>
              </w:rPr>
              <w:t>). V mezičtvrtletním vyjádření výkon všech odvětví posílil o 0,6</w:t>
            </w:r>
            <w:r w:rsidR="00870ECD">
              <w:rPr>
                <w:spacing w:val="-4"/>
              </w:rPr>
              <w:t> %</w:t>
            </w:r>
            <w:r w:rsidRPr="005C012F">
              <w:rPr>
                <w:spacing w:val="-4"/>
              </w:rPr>
              <w:t>, což ve srovnání s obdobným tempem z konce loňského roku (1,0</w:t>
            </w:r>
            <w:r w:rsidR="00870ECD">
              <w:rPr>
                <w:spacing w:val="-4"/>
              </w:rPr>
              <w:t> %</w:t>
            </w:r>
            <w:r w:rsidRPr="005C012F">
              <w:rPr>
                <w:spacing w:val="-4"/>
              </w:rPr>
              <w:t xml:space="preserve">) naznačovalo mírné zpomalení. </w:t>
            </w:r>
            <w:proofErr w:type="spellStart"/>
            <w:r w:rsidRPr="005C012F">
              <w:rPr>
                <w:spacing w:val="-4"/>
              </w:rPr>
              <w:t>Mezikvartální</w:t>
            </w:r>
            <w:proofErr w:type="spellEnd"/>
            <w:r w:rsidRPr="005C012F">
              <w:rPr>
                <w:spacing w:val="-4"/>
              </w:rPr>
              <w:t xml:space="preserve"> růst přetrvával v ekonomice již dvacet čtyři čtvrtletí v řadě, v úhrnu se za toto období HPH navýšila o 21,9</w:t>
            </w:r>
            <w:r w:rsidR="00870ECD">
              <w:rPr>
                <w:spacing w:val="-4"/>
              </w:rPr>
              <w:t> %</w:t>
            </w:r>
            <w:r w:rsidRPr="005C012F">
              <w:rPr>
                <w:spacing w:val="-4"/>
              </w:rPr>
              <w:t>.</w:t>
            </w:r>
          </w:p>
        </w:tc>
      </w:tr>
      <w:tr w:rsidR="00C35A2A" w:rsidRPr="005C012F" w14:paraId="6F6D5882" w14:textId="77777777" w:rsidTr="000A3D9E">
        <w:trPr>
          <w:trHeight w:val="145"/>
        </w:trPr>
        <w:tc>
          <w:tcPr>
            <w:tcW w:w="1764" w:type="dxa"/>
            <w:shd w:val="clear" w:color="auto" w:fill="auto"/>
            <w:tcMar>
              <w:left w:w="0" w:type="dxa"/>
            </w:tcMar>
          </w:tcPr>
          <w:p w14:paraId="1C0BBEA9" w14:textId="77777777" w:rsidR="00C35A2A" w:rsidRDefault="00C35A2A" w:rsidP="000A3D9E">
            <w:pPr>
              <w:pStyle w:val="Marginlie"/>
            </w:pPr>
            <w:r>
              <w:t>Hlavním zdrojem růstu ekonomiky na produkční straně byly již druhým rokem v řadě služby. V průmyslu HPH mírně zvolnila a v primárním sektoru se její pokles dále prohloubil.</w:t>
            </w:r>
          </w:p>
          <w:p w14:paraId="099E2C1E" w14:textId="77777777" w:rsidR="00C35A2A" w:rsidRDefault="00C35A2A" w:rsidP="000A3D9E">
            <w:pPr>
              <w:pStyle w:val="Marginlie"/>
            </w:pPr>
          </w:p>
        </w:tc>
        <w:tc>
          <w:tcPr>
            <w:tcW w:w="175" w:type="dxa"/>
            <w:shd w:val="clear" w:color="auto" w:fill="auto"/>
            <w:tcMar>
              <w:left w:w="0" w:type="dxa"/>
            </w:tcMar>
          </w:tcPr>
          <w:p w14:paraId="140F42C2" w14:textId="77777777" w:rsidR="00C35A2A" w:rsidRDefault="00C35A2A" w:rsidP="000A3D9E">
            <w:pPr>
              <w:pStyle w:val="Textpoznpodarou"/>
              <w:jc w:val="both"/>
              <w:rPr>
                <w:spacing w:val="-4"/>
              </w:rPr>
            </w:pPr>
          </w:p>
        </w:tc>
        <w:tc>
          <w:tcPr>
            <w:tcW w:w="7700" w:type="dxa"/>
            <w:shd w:val="clear" w:color="auto" w:fill="auto"/>
            <w:tcMar>
              <w:left w:w="0" w:type="dxa"/>
            </w:tcMar>
          </w:tcPr>
          <w:p w14:paraId="2880C75F" w14:textId="292C668D" w:rsidR="00C35A2A" w:rsidRPr="005C012F" w:rsidRDefault="00C35A2A" w:rsidP="00CE3E48">
            <w:pPr>
              <w:spacing w:after="200"/>
              <w:rPr>
                <w:spacing w:val="-4"/>
              </w:rPr>
            </w:pPr>
            <w:r w:rsidRPr="005C012F">
              <w:rPr>
                <w:spacing w:val="-4"/>
              </w:rPr>
              <w:t>V pozadí mírného zpomalení meziročního tempa HPH v 1. čtvrtletí 2019 (ve srovnání s celým loňským rokem) stálo dílčí zvolnění růstu ve zpracovatelském průmyslu umocněné prohloubením poklesu výkonu primárního sektoru. Naopak přidaná hodnota v terciárním sektoru vzrostla o</w:t>
            </w:r>
            <w:r>
              <w:rPr>
                <w:spacing w:val="-4"/>
              </w:rPr>
              <w:t xml:space="preserve"> rovná 3</w:t>
            </w:r>
            <w:r w:rsidR="00870ECD">
              <w:rPr>
                <w:spacing w:val="-4"/>
              </w:rPr>
              <w:t> %</w:t>
            </w:r>
            <w:r>
              <w:rPr>
                <w:spacing w:val="-4"/>
              </w:rPr>
              <w:t xml:space="preserve"> (podobn</w:t>
            </w:r>
            <w:r w:rsidRPr="005C012F">
              <w:rPr>
                <w:spacing w:val="-4"/>
              </w:rPr>
              <w:t>ě jako v roce 2018) a k růstu HPH v celé ekonomice přispěla 1,8</w:t>
            </w:r>
            <w:r w:rsidR="00870ECD">
              <w:rPr>
                <w:spacing w:val="-4"/>
              </w:rPr>
              <w:t> p. b.</w:t>
            </w:r>
            <w:r w:rsidRPr="005C012F">
              <w:rPr>
                <w:spacing w:val="-4"/>
              </w:rPr>
              <w:t xml:space="preserve"> Do výkonu služeb se otiskl dynamický růst informačních a komunikačních činností (+4,8</w:t>
            </w:r>
            <w:r w:rsidR="00870ECD">
              <w:rPr>
                <w:spacing w:val="-4"/>
              </w:rPr>
              <w:t> %</w:t>
            </w:r>
            <w:r w:rsidRPr="005C012F">
              <w:rPr>
                <w:spacing w:val="-4"/>
              </w:rPr>
              <w:t xml:space="preserve"> v</w:t>
            </w:r>
            <w:r w:rsidR="008A66B7">
              <w:rPr>
                <w:spacing w:val="-4"/>
              </w:rPr>
              <w:t> </w:t>
            </w:r>
            <w:r w:rsidRPr="005C012F">
              <w:rPr>
                <w:spacing w:val="-4"/>
              </w:rPr>
              <w:t>1</w:t>
            </w:r>
            <w:r w:rsidR="008A66B7">
              <w:rPr>
                <w:spacing w:val="-4"/>
              </w:rPr>
              <w:t>. </w:t>
            </w:r>
            <w:r w:rsidRPr="005C012F">
              <w:rPr>
                <w:spacing w:val="-4"/>
              </w:rPr>
              <w:t>čtvrtletí, resp. +6,3</w:t>
            </w:r>
            <w:r w:rsidR="00870ECD">
              <w:rPr>
                <w:spacing w:val="-4"/>
              </w:rPr>
              <w:t> %</w:t>
            </w:r>
            <w:r>
              <w:rPr>
                <w:spacing w:val="-4"/>
              </w:rPr>
              <w:t xml:space="preserve"> v ročním průměru za předešlých šest let) a</w:t>
            </w:r>
            <w:r w:rsidRPr="005C012F">
              <w:rPr>
                <w:spacing w:val="-4"/>
              </w:rPr>
              <w:t> peněžnictví i pojišťovnictví (4,3</w:t>
            </w:r>
            <w:r w:rsidR="00870ECD">
              <w:rPr>
                <w:spacing w:val="-4"/>
              </w:rPr>
              <w:t> %</w:t>
            </w:r>
            <w:r w:rsidRPr="005C012F">
              <w:rPr>
                <w:spacing w:val="-4"/>
              </w:rPr>
              <w:t>, resp. 5,5</w:t>
            </w:r>
            <w:r w:rsidR="00870ECD">
              <w:rPr>
                <w:spacing w:val="-4"/>
              </w:rPr>
              <w:t> %</w:t>
            </w:r>
            <w:r w:rsidRPr="005C012F">
              <w:rPr>
                <w:spacing w:val="-4"/>
              </w:rPr>
              <w:t>). Především ze stabilní domácí poptávky těžilo i váhově dominantní uskupení odvětví obchod, doprava, ubytování a pohostinství (+2,8</w:t>
            </w:r>
            <w:r w:rsidR="00870ECD">
              <w:rPr>
                <w:spacing w:val="-4"/>
              </w:rPr>
              <w:t> %</w:t>
            </w:r>
            <w:r w:rsidRPr="005C012F">
              <w:rPr>
                <w:spacing w:val="-4"/>
              </w:rPr>
              <w:t>). Ve srovnání s</w:t>
            </w:r>
            <w:r>
              <w:rPr>
                <w:spacing w:val="-4"/>
              </w:rPr>
              <w:t xml:space="preserve"> celým </w:t>
            </w:r>
            <w:r w:rsidRPr="005C012F">
              <w:rPr>
                <w:spacing w:val="-4"/>
              </w:rPr>
              <w:t>loňským rokem významně zrychlil růst výkonu v odvětví profesní, vědecké, technické a administrativní činnosti a také v oblasti veřejných služeb. Ve</w:t>
            </w:r>
            <w:r w:rsidR="00CE3E48">
              <w:rPr>
                <w:spacing w:val="-4"/>
              </w:rPr>
              <w:t> </w:t>
            </w:r>
            <w:r w:rsidRPr="005C012F">
              <w:rPr>
                <w:spacing w:val="-4"/>
              </w:rPr>
              <w:t xml:space="preserve">zpracovatelském průmyslu HPH navýšila o 2,5 % a </w:t>
            </w:r>
            <w:r w:rsidR="008A66B7">
              <w:rPr>
                <w:spacing w:val="-4"/>
              </w:rPr>
              <w:t>k </w:t>
            </w:r>
            <w:r w:rsidRPr="005C012F">
              <w:rPr>
                <w:spacing w:val="-4"/>
              </w:rPr>
              <w:t>růstu celé ekonomiky přispěla 0</w:t>
            </w:r>
            <w:r>
              <w:rPr>
                <w:spacing w:val="-4"/>
              </w:rPr>
              <w:t>,7</w:t>
            </w:r>
            <w:r w:rsidRPr="005C012F">
              <w:rPr>
                <w:spacing w:val="-4"/>
              </w:rPr>
              <w:t> </w:t>
            </w:r>
            <w:r>
              <w:rPr>
                <w:spacing w:val="-4"/>
              </w:rPr>
              <w:t>p.</w:t>
            </w:r>
            <w:r w:rsidRPr="005C012F">
              <w:rPr>
                <w:spacing w:val="-4"/>
              </w:rPr>
              <w:t> b. Slábnoucí růst pocítila váhově dominantní výroba dopravních prostředků (vč.</w:t>
            </w:r>
            <w:r w:rsidR="00CE3E48">
              <w:rPr>
                <w:spacing w:val="-4"/>
              </w:rPr>
              <w:t> </w:t>
            </w:r>
            <w:r w:rsidRPr="005C012F">
              <w:rPr>
                <w:spacing w:val="-4"/>
              </w:rPr>
              <w:t>návazných oborů). Dařilo se naopak výrobě strojů či pryžových a plastových výrobků. Mimo zpracovatelská odvětví pokračoval vleklý útlum v těžbě a dobývání, jenž byl plně kompenzován mírným růstem HPH v energetice. V odvětví zemědělství, lesnictví a rybářství klesla HPH o 6,3</w:t>
            </w:r>
            <w:r w:rsidR="00870ECD">
              <w:rPr>
                <w:spacing w:val="-4"/>
              </w:rPr>
              <w:t> %</w:t>
            </w:r>
            <w:r w:rsidRPr="005C012F">
              <w:rPr>
                <w:spacing w:val="-4"/>
              </w:rPr>
              <w:t>. S nižší výkonností se toto odvětví potýkalo již třetím rokem v řadě. Naopak na úspěšný loňský rok navázalo stavebnictví. HPH zde v 1. čtvrtletí posílila o 3,1</w:t>
            </w:r>
            <w:r w:rsidR="00870ECD">
              <w:rPr>
                <w:spacing w:val="-4"/>
              </w:rPr>
              <w:t> %</w:t>
            </w:r>
            <w:r w:rsidRPr="005C012F">
              <w:rPr>
                <w:spacing w:val="-4"/>
              </w:rPr>
              <w:t xml:space="preserve"> a k růstu celé ekonomiky přispěla téměř 0,2</w:t>
            </w:r>
            <w:r w:rsidR="00870ECD">
              <w:rPr>
                <w:spacing w:val="-4"/>
              </w:rPr>
              <w:t> p. b.</w:t>
            </w:r>
            <w:r w:rsidRPr="005C012F">
              <w:rPr>
                <w:spacing w:val="-4"/>
              </w:rPr>
              <w:t xml:space="preserve"> </w:t>
            </w:r>
          </w:p>
        </w:tc>
      </w:tr>
      <w:tr w:rsidR="00C35A2A" w:rsidRPr="005C012F" w14:paraId="54E8B9A2" w14:textId="77777777" w:rsidTr="000A3D9E">
        <w:trPr>
          <w:trHeight w:val="145"/>
        </w:trPr>
        <w:tc>
          <w:tcPr>
            <w:tcW w:w="1764" w:type="dxa"/>
            <w:shd w:val="clear" w:color="auto" w:fill="auto"/>
            <w:tcMar>
              <w:left w:w="0" w:type="dxa"/>
            </w:tcMar>
          </w:tcPr>
          <w:p w14:paraId="50E95AA0" w14:textId="77777777" w:rsidR="00C35A2A" w:rsidRDefault="00C35A2A" w:rsidP="000A3D9E">
            <w:pPr>
              <w:pStyle w:val="Marginlie"/>
            </w:pPr>
            <w:r>
              <w:t xml:space="preserve">Průmyslová produkce meziročně stagnovala, </w:t>
            </w:r>
            <w:proofErr w:type="spellStart"/>
            <w:r>
              <w:t>mezičtvrtletně</w:t>
            </w:r>
            <w:proofErr w:type="spellEnd"/>
            <w:r>
              <w:t xml:space="preserve"> poklesla nejvíce od konce poslední recese.</w:t>
            </w:r>
          </w:p>
        </w:tc>
        <w:tc>
          <w:tcPr>
            <w:tcW w:w="175" w:type="dxa"/>
            <w:shd w:val="clear" w:color="auto" w:fill="auto"/>
            <w:tcMar>
              <w:left w:w="0" w:type="dxa"/>
            </w:tcMar>
          </w:tcPr>
          <w:p w14:paraId="23469F71" w14:textId="77777777" w:rsidR="00C35A2A" w:rsidRDefault="00C35A2A" w:rsidP="000A3D9E">
            <w:pPr>
              <w:pStyle w:val="Textpoznpodarou"/>
              <w:jc w:val="both"/>
              <w:rPr>
                <w:spacing w:val="-4"/>
              </w:rPr>
            </w:pPr>
          </w:p>
        </w:tc>
        <w:tc>
          <w:tcPr>
            <w:tcW w:w="7700" w:type="dxa"/>
            <w:shd w:val="clear" w:color="auto" w:fill="auto"/>
            <w:tcMar>
              <w:left w:w="0" w:type="dxa"/>
            </w:tcMar>
          </w:tcPr>
          <w:p w14:paraId="675F7A6E" w14:textId="5DD9FE6A" w:rsidR="00C35A2A" w:rsidRPr="005C012F" w:rsidRDefault="00C35A2A" w:rsidP="000A3D9E">
            <w:pPr>
              <w:spacing w:after="200"/>
              <w:rPr>
                <w:spacing w:val="-4"/>
              </w:rPr>
            </w:pPr>
            <w:r w:rsidRPr="005C012F">
              <w:rPr>
                <w:spacing w:val="-4"/>
              </w:rPr>
              <w:t>Obtížnější vstup průmyslu do nového roku potvrzují i detailnější údaje z podnikových statistik. Hodnota i</w:t>
            </w:r>
            <w:r w:rsidRPr="005C012F">
              <w:rPr>
                <w:color w:val="000000" w:themeColor="text1"/>
                <w:spacing w:val="-4"/>
              </w:rPr>
              <w:t>ndexu průmyslové produkce</w:t>
            </w:r>
            <w:r w:rsidRPr="005C012F">
              <w:rPr>
                <w:color w:val="000000" w:themeColor="text1"/>
                <w:spacing w:val="-4"/>
                <w:vertAlign w:val="superscript"/>
              </w:rPr>
              <w:footnoteReference w:id="12"/>
            </w:r>
            <w:r w:rsidRPr="005C012F">
              <w:rPr>
                <w:color w:val="000000" w:themeColor="text1"/>
                <w:spacing w:val="-4"/>
              </w:rPr>
              <w:t xml:space="preserve"> se ve srovnání s posledním loňským čtvrtletím</w:t>
            </w:r>
            <w:r>
              <w:rPr>
                <w:color w:val="000000" w:themeColor="text1"/>
                <w:spacing w:val="-4"/>
              </w:rPr>
              <w:t xml:space="preserve"> snížila o 0,9</w:t>
            </w:r>
            <w:r w:rsidR="00870ECD">
              <w:rPr>
                <w:color w:val="000000" w:themeColor="text1"/>
                <w:spacing w:val="-4"/>
              </w:rPr>
              <w:t> %</w:t>
            </w:r>
            <w:r w:rsidRPr="005C012F">
              <w:rPr>
                <w:color w:val="000000" w:themeColor="text1"/>
                <w:spacing w:val="-4"/>
              </w:rPr>
              <w:t>. Šlo o nejhlubší mezičtvrtletní pokles od konce poslední recese. Podílely se na tom všechny hlavní odvětvové sekce – těžba a dobývání, zpracovatelský průmysl i</w:t>
            </w:r>
            <w:r w:rsidRPr="005C012F">
              <w:rPr>
                <w:spacing w:val="-4"/>
              </w:rPr>
              <w:t> </w:t>
            </w:r>
            <w:r w:rsidRPr="005C012F">
              <w:rPr>
                <w:color w:val="000000" w:themeColor="text1"/>
                <w:spacing w:val="-4"/>
              </w:rPr>
              <w:t>energetika. Z velké části se jednalo o opožděnou reakci na výraznější zpomalení průmyslu v eurozóně, které vrcholilo na sklonku loňského roku</w:t>
            </w:r>
            <w:r w:rsidRPr="005C012F">
              <w:rPr>
                <w:color w:val="000000" w:themeColor="text1"/>
                <w:spacing w:val="-4"/>
                <w:vertAlign w:val="superscript"/>
              </w:rPr>
              <w:footnoteReference w:id="13"/>
            </w:r>
            <w:r w:rsidRPr="005C012F">
              <w:rPr>
                <w:color w:val="000000" w:themeColor="text1"/>
                <w:spacing w:val="-4"/>
              </w:rPr>
              <w:t xml:space="preserve">. Kumulace méně příznivých vnějších faktorů s domácími vlivy (nedostatek volné pracovní síly, rostoucí náklady vlivem navyšování průměrných mezd i bobtnajících cen energií) se </w:t>
            </w:r>
            <w:r w:rsidR="00626079" w:rsidRPr="005C012F">
              <w:rPr>
                <w:color w:val="000000" w:themeColor="text1"/>
                <w:spacing w:val="-4"/>
              </w:rPr>
              <w:t>odrazil</w:t>
            </w:r>
            <w:r w:rsidR="00626079">
              <w:rPr>
                <w:color w:val="000000" w:themeColor="text1"/>
                <w:spacing w:val="-4"/>
              </w:rPr>
              <w:t>a</w:t>
            </w:r>
            <w:r w:rsidR="00626079" w:rsidRPr="005C012F">
              <w:rPr>
                <w:color w:val="000000" w:themeColor="text1"/>
                <w:spacing w:val="-4"/>
              </w:rPr>
              <w:t xml:space="preserve"> </w:t>
            </w:r>
            <w:r w:rsidRPr="005C012F">
              <w:rPr>
                <w:color w:val="000000" w:themeColor="text1"/>
                <w:spacing w:val="-4"/>
              </w:rPr>
              <w:t>ve faktické stagnaci průmyslové produkce (+0,3</w:t>
            </w:r>
            <w:r w:rsidR="00870ECD">
              <w:rPr>
                <w:color w:val="000000" w:themeColor="text1"/>
                <w:spacing w:val="-4"/>
              </w:rPr>
              <w:t> %</w:t>
            </w:r>
            <w:r w:rsidRPr="005C012F">
              <w:rPr>
                <w:color w:val="000000" w:themeColor="text1"/>
                <w:spacing w:val="-4"/>
              </w:rPr>
              <w:t xml:space="preserve"> meziročně, v 1. loňském čtvrtletí +4,2</w:t>
            </w:r>
            <w:r w:rsidR="00870ECD">
              <w:rPr>
                <w:color w:val="000000" w:themeColor="text1"/>
                <w:spacing w:val="-4"/>
              </w:rPr>
              <w:t> %</w:t>
            </w:r>
            <w:r w:rsidRPr="005C012F">
              <w:rPr>
                <w:color w:val="000000" w:themeColor="text1"/>
                <w:spacing w:val="-4"/>
              </w:rPr>
              <w:t xml:space="preserve">). </w:t>
            </w:r>
          </w:p>
        </w:tc>
      </w:tr>
      <w:tr w:rsidR="00C35A2A" w:rsidRPr="005C012F" w14:paraId="4F73E1D4" w14:textId="77777777" w:rsidTr="000A3D9E">
        <w:trPr>
          <w:trHeight w:val="145"/>
        </w:trPr>
        <w:tc>
          <w:tcPr>
            <w:tcW w:w="1764" w:type="dxa"/>
            <w:shd w:val="clear" w:color="auto" w:fill="auto"/>
            <w:tcMar>
              <w:left w:w="0" w:type="dxa"/>
            </w:tcMar>
          </w:tcPr>
          <w:p w14:paraId="7F26565D" w14:textId="77777777" w:rsidR="00C35A2A" w:rsidRDefault="00C35A2A" w:rsidP="000A3D9E">
            <w:pPr>
              <w:pStyle w:val="Marginlie"/>
              <w:rPr>
                <w:spacing w:val="-3"/>
              </w:rPr>
            </w:pPr>
            <w:r>
              <w:rPr>
                <w:spacing w:val="-3"/>
              </w:rPr>
              <w:t>Ve směru růstu průmyslové produkce působily na počátku roku nejvýznamněji energetika a odvětví výroby počítačů a</w:t>
            </w:r>
            <w:r>
              <w:t> </w:t>
            </w:r>
            <w:r>
              <w:rPr>
                <w:spacing w:val="-3"/>
              </w:rPr>
              <w:t>elektronických a</w:t>
            </w:r>
            <w:r>
              <w:t> </w:t>
            </w:r>
            <w:r>
              <w:rPr>
                <w:spacing w:val="-3"/>
              </w:rPr>
              <w:t>optických přístrojů.</w:t>
            </w:r>
          </w:p>
        </w:tc>
        <w:tc>
          <w:tcPr>
            <w:tcW w:w="175" w:type="dxa"/>
            <w:shd w:val="clear" w:color="auto" w:fill="auto"/>
            <w:tcMar>
              <w:left w:w="0" w:type="dxa"/>
            </w:tcMar>
          </w:tcPr>
          <w:p w14:paraId="7CCC17CE" w14:textId="77777777" w:rsidR="00C35A2A" w:rsidRDefault="00C35A2A" w:rsidP="000A3D9E">
            <w:pPr>
              <w:pStyle w:val="Textpoznpodarou"/>
              <w:jc w:val="both"/>
              <w:rPr>
                <w:spacing w:val="-4"/>
              </w:rPr>
            </w:pPr>
          </w:p>
        </w:tc>
        <w:tc>
          <w:tcPr>
            <w:tcW w:w="7700" w:type="dxa"/>
            <w:shd w:val="clear" w:color="auto" w:fill="auto"/>
            <w:tcMar>
              <w:left w:w="0" w:type="dxa"/>
            </w:tcMar>
          </w:tcPr>
          <w:p w14:paraId="3CBA3AF0" w14:textId="32957488" w:rsidR="00C35A2A" w:rsidRPr="005C012F" w:rsidRDefault="00C35A2A" w:rsidP="000A3D9E">
            <w:pPr>
              <w:spacing w:after="200"/>
              <w:rPr>
                <w:spacing w:val="-4"/>
              </w:rPr>
            </w:pPr>
            <w:r w:rsidRPr="005C012F">
              <w:rPr>
                <w:spacing w:val="-4"/>
              </w:rPr>
              <w:t>Z větších průmyslových oborů rostla meziročně produkce v 1. čtvrtletí významněji jen v energetice (+2,</w:t>
            </w:r>
            <w:r>
              <w:rPr>
                <w:spacing w:val="-4"/>
              </w:rPr>
              <w:t>3</w:t>
            </w:r>
            <w:r w:rsidRPr="005C012F">
              <w:rPr>
                <w:color w:val="000000" w:themeColor="text1"/>
                <w:spacing w:val="-4"/>
              </w:rPr>
              <w:t> </w:t>
            </w:r>
            <w:r w:rsidRPr="005C012F">
              <w:rPr>
                <w:spacing w:val="-4"/>
              </w:rPr>
              <w:t>%, příspěvek k růstu celého odvětví +0,3</w:t>
            </w:r>
            <w:r w:rsidR="00870ECD">
              <w:rPr>
                <w:spacing w:val="-4"/>
              </w:rPr>
              <w:t> p. b.</w:t>
            </w:r>
            <w:r w:rsidRPr="005C012F">
              <w:rPr>
                <w:spacing w:val="-4"/>
              </w:rPr>
              <w:t>), výrobě počítačů, elektron</w:t>
            </w:r>
            <w:r>
              <w:rPr>
                <w:spacing w:val="-4"/>
              </w:rPr>
              <w:t>ických a optických přístrojů (+5,2</w:t>
            </w:r>
            <w:r w:rsidR="00870ECD">
              <w:rPr>
                <w:spacing w:val="-4"/>
              </w:rPr>
              <w:t> %</w:t>
            </w:r>
            <w:r w:rsidRPr="005C012F">
              <w:rPr>
                <w:spacing w:val="-4"/>
              </w:rPr>
              <w:t>, 0,2</w:t>
            </w:r>
            <w:r w:rsidR="00870ECD">
              <w:rPr>
                <w:spacing w:val="-4"/>
              </w:rPr>
              <w:t> p. b.</w:t>
            </w:r>
            <w:r>
              <w:rPr>
                <w:spacing w:val="-4"/>
              </w:rPr>
              <w:t>) a v potravinářství (+2,0</w:t>
            </w:r>
            <w:r w:rsidR="00870ECD">
              <w:rPr>
                <w:spacing w:val="-4"/>
              </w:rPr>
              <w:t> %</w:t>
            </w:r>
            <w:r w:rsidRPr="005C012F">
              <w:rPr>
                <w:spacing w:val="-4"/>
              </w:rPr>
              <w:t>, 0,1</w:t>
            </w:r>
            <w:r w:rsidR="00870ECD">
              <w:rPr>
                <w:spacing w:val="-4"/>
              </w:rPr>
              <w:t> p. b.</w:t>
            </w:r>
            <w:r w:rsidRPr="005C012F">
              <w:rPr>
                <w:spacing w:val="-4"/>
              </w:rPr>
              <w:t xml:space="preserve">). Naopak ve směru redukce průmyslové produkce působila i přes relativně mělký pokles nejvíce výroba motorových vozidel </w:t>
            </w:r>
            <w:r>
              <w:rPr>
                <w:spacing w:val="-4"/>
              </w:rPr>
              <w:t>(–0,9</w:t>
            </w:r>
            <w:r w:rsidR="00870ECD">
              <w:rPr>
                <w:spacing w:val="-4"/>
              </w:rPr>
              <w:t> %</w:t>
            </w:r>
            <w:r>
              <w:rPr>
                <w:spacing w:val="-4"/>
              </w:rPr>
              <w:t>, příspěvek –0,2</w:t>
            </w:r>
            <w:r w:rsidR="00870ECD">
              <w:rPr>
                <w:spacing w:val="-4"/>
              </w:rPr>
              <w:t> p. b.</w:t>
            </w:r>
            <w:r w:rsidRPr="005C012F">
              <w:rPr>
                <w:spacing w:val="-4"/>
              </w:rPr>
              <w:t>)</w:t>
            </w:r>
            <w:r>
              <w:rPr>
                <w:spacing w:val="-4"/>
              </w:rPr>
              <w:t>, což dokreslují i údaje o</w:t>
            </w:r>
            <w:r w:rsidRPr="005C012F">
              <w:rPr>
                <w:spacing w:val="-4"/>
              </w:rPr>
              <w:t> fyzické produkci</w:t>
            </w:r>
            <w:r w:rsidRPr="005C012F">
              <w:rPr>
                <w:color w:val="000000" w:themeColor="text1"/>
                <w:spacing w:val="-4"/>
                <w:vertAlign w:val="superscript"/>
              </w:rPr>
              <w:footnoteReference w:id="14"/>
            </w:r>
            <w:r w:rsidRPr="005C012F">
              <w:rPr>
                <w:spacing w:val="-4"/>
              </w:rPr>
              <w:t xml:space="preserve">. Tento vývoj se odrazil i ve stagnaci nejbližších subdodavatelských </w:t>
            </w:r>
            <w:r w:rsidRPr="005C012F">
              <w:rPr>
                <w:spacing w:val="-4"/>
              </w:rPr>
              <w:lastRenderedPageBreak/>
              <w:t>odvětví (v</w:t>
            </w:r>
            <w:r w:rsidRPr="005C012F">
              <w:rPr>
                <w:color w:val="000000" w:themeColor="text1"/>
                <w:spacing w:val="-4"/>
              </w:rPr>
              <w:t> </w:t>
            </w:r>
            <w:r w:rsidRPr="005C012F">
              <w:rPr>
                <w:spacing w:val="-4"/>
              </w:rPr>
              <w:t xml:space="preserve">elektrotechnickém průmyslu přitom </w:t>
            </w:r>
            <w:r w:rsidR="00AA7752">
              <w:rPr>
                <w:spacing w:val="-4"/>
              </w:rPr>
              <w:t>v </w:t>
            </w:r>
            <w:r w:rsidRPr="005C012F">
              <w:rPr>
                <w:spacing w:val="-4"/>
              </w:rPr>
              <w:t>1. čtvrtletí 2018 rostla produkce meziročně o</w:t>
            </w:r>
            <w:r w:rsidR="00AA7752">
              <w:rPr>
                <w:spacing w:val="-4"/>
              </w:rPr>
              <w:t> </w:t>
            </w:r>
            <w:r w:rsidRPr="005C012F">
              <w:rPr>
                <w:spacing w:val="-4"/>
              </w:rPr>
              <w:t>celou desetinu). Tempo růstu letos oproti loňsku citelně zvolnilo i v dalších významných od</w:t>
            </w:r>
            <w:r>
              <w:rPr>
                <w:spacing w:val="-4"/>
              </w:rPr>
              <w:t>větvích – ve strojírenství (na 0,5</w:t>
            </w:r>
            <w:r w:rsidR="00870ECD">
              <w:rPr>
                <w:spacing w:val="-4"/>
              </w:rPr>
              <w:t> %</w:t>
            </w:r>
            <w:r>
              <w:rPr>
                <w:spacing w:val="-4"/>
              </w:rPr>
              <w:t>) či kovovýrobě (1,5</w:t>
            </w:r>
            <w:r w:rsidR="00870ECD">
              <w:rPr>
                <w:spacing w:val="-4"/>
              </w:rPr>
              <w:t> %</w:t>
            </w:r>
            <w:r w:rsidRPr="005C012F">
              <w:rPr>
                <w:spacing w:val="-4"/>
              </w:rPr>
              <w:t>). Navzdory pokračujícímu rozvoji tuzemského stavebnictví produkce ve výrobě ostatních nekovových minerálních výrobků</w:t>
            </w:r>
            <w:r>
              <w:rPr>
                <w:spacing w:val="-4"/>
              </w:rPr>
              <w:t xml:space="preserve"> klesla (o 4,4</w:t>
            </w:r>
            <w:r w:rsidR="00870ECD">
              <w:rPr>
                <w:spacing w:val="-4"/>
              </w:rPr>
              <w:t> %</w:t>
            </w:r>
            <w:r>
              <w:rPr>
                <w:spacing w:val="-4"/>
              </w:rPr>
              <w:t>, o rok dříve činil růst 9,5</w:t>
            </w:r>
            <w:r w:rsidR="00870ECD">
              <w:rPr>
                <w:spacing w:val="-4"/>
              </w:rPr>
              <w:t> %</w:t>
            </w:r>
            <w:r w:rsidRPr="005C012F">
              <w:rPr>
                <w:spacing w:val="-4"/>
              </w:rPr>
              <w:t>), neboť došlo ke snížení zahraniční poptávky. Podobný vývoj byl v menší míře patrný i v hutnictví a slévárenství. Stála za n</w:t>
            </w:r>
            <w:r>
              <w:rPr>
                <w:spacing w:val="-4"/>
              </w:rPr>
              <w:t xml:space="preserve">ím zejména slabší domácí </w:t>
            </w:r>
            <w:r w:rsidRPr="005C012F">
              <w:rPr>
                <w:spacing w:val="-4"/>
              </w:rPr>
              <w:t xml:space="preserve">poptávka. Mírné snížení produkce v chemickém průmyslu </w:t>
            </w:r>
            <w:r>
              <w:rPr>
                <w:spacing w:val="-4"/>
              </w:rPr>
              <w:t>(</w:t>
            </w:r>
            <w:r w:rsidR="00AA7752">
              <w:rPr>
                <w:spacing w:val="-4"/>
              </w:rPr>
              <w:t>–</w:t>
            </w:r>
            <w:r>
              <w:rPr>
                <w:spacing w:val="-4"/>
              </w:rPr>
              <w:t>1,5</w:t>
            </w:r>
            <w:r w:rsidR="00870ECD">
              <w:rPr>
                <w:spacing w:val="-4"/>
              </w:rPr>
              <w:t> %</w:t>
            </w:r>
            <w:r w:rsidRPr="005C012F">
              <w:rPr>
                <w:spacing w:val="-4"/>
              </w:rPr>
              <w:t>) souviselo naopak s nepravidelnostmi ve využití výrobních kapacit, jež jsou pro toto odvětví typické.</w:t>
            </w:r>
          </w:p>
        </w:tc>
      </w:tr>
      <w:tr w:rsidR="00C35A2A" w:rsidRPr="00F704D2" w14:paraId="15BC17FC" w14:textId="77777777" w:rsidTr="000A3D9E">
        <w:trPr>
          <w:trHeight w:val="170"/>
        </w:trPr>
        <w:tc>
          <w:tcPr>
            <w:tcW w:w="1764" w:type="dxa"/>
            <w:vMerge w:val="restart"/>
            <w:shd w:val="clear" w:color="auto" w:fill="auto"/>
            <w:tcMar>
              <w:left w:w="0" w:type="dxa"/>
            </w:tcMar>
          </w:tcPr>
          <w:p w14:paraId="2BAB5749" w14:textId="77777777" w:rsidR="00C35A2A" w:rsidRDefault="00C35A2A" w:rsidP="000A3D9E">
            <w:pPr>
              <w:pStyle w:val="Marginlie"/>
            </w:pPr>
          </w:p>
        </w:tc>
        <w:tc>
          <w:tcPr>
            <w:tcW w:w="175" w:type="dxa"/>
            <w:vMerge w:val="restart"/>
            <w:shd w:val="clear" w:color="auto" w:fill="auto"/>
            <w:tcMar>
              <w:left w:w="0" w:type="dxa"/>
            </w:tcMar>
          </w:tcPr>
          <w:p w14:paraId="67405A1E" w14:textId="77777777" w:rsidR="00C35A2A" w:rsidRDefault="00C35A2A" w:rsidP="000A3D9E">
            <w:pPr>
              <w:pStyle w:val="Textpoznpodarou"/>
              <w:jc w:val="both"/>
              <w:rPr>
                <w:spacing w:val="-4"/>
              </w:rPr>
            </w:pPr>
          </w:p>
        </w:tc>
        <w:tc>
          <w:tcPr>
            <w:tcW w:w="7700" w:type="dxa"/>
            <w:shd w:val="clear" w:color="auto" w:fill="auto"/>
            <w:tcMar>
              <w:left w:w="0" w:type="dxa"/>
            </w:tcMar>
          </w:tcPr>
          <w:p w14:paraId="2ACE1F7F" w14:textId="77777777" w:rsidR="00C35A2A" w:rsidRDefault="00C35A2A" w:rsidP="000A3D9E">
            <w:pPr>
              <w:spacing w:after="0"/>
              <w:rPr>
                <w:b/>
              </w:rPr>
            </w:pPr>
            <w:r w:rsidRPr="00C06323">
              <w:rPr>
                <w:rFonts w:cs="Arial"/>
                <w:b/>
                <w:bCs/>
                <w:color w:val="000000"/>
                <w:szCs w:val="20"/>
              </w:rPr>
              <w:t xml:space="preserve">Graf č. </w:t>
            </w:r>
            <w:r>
              <w:rPr>
                <w:rFonts w:cs="Arial"/>
                <w:b/>
                <w:bCs/>
                <w:color w:val="000000"/>
                <w:szCs w:val="20"/>
              </w:rPr>
              <w:t>5</w:t>
            </w:r>
            <w:r w:rsidRPr="00631BC9">
              <w:rPr>
                <w:rFonts w:cs="Arial"/>
                <w:b/>
                <w:bCs/>
                <w:color w:val="000000"/>
                <w:sz w:val="18"/>
                <w:szCs w:val="18"/>
              </w:rPr>
              <w:t xml:space="preserve"> </w:t>
            </w:r>
            <w:r>
              <w:rPr>
                <w:rFonts w:cs="Arial"/>
                <w:b/>
                <w:bCs/>
                <w:color w:val="000000"/>
                <w:sz w:val="18"/>
                <w:szCs w:val="18"/>
              </w:rPr>
              <w:t xml:space="preserve"> </w:t>
            </w:r>
            <w:r>
              <w:rPr>
                <w:b/>
              </w:rPr>
              <w:t>Příspěvky dílčích odvětví k meziroční změně průmyslové produkce</w:t>
            </w:r>
          </w:p>
          <w:p w14:paraId="409B0282" w14:textId="77777777" w:rsidR="00C35A2A" w:rsidRPr="00F704D2" w:rsidRDefault="00C35A2A" w:rsidP="000A3D9E">
            <w:pPr>
              <w:spacing w:after="0"/>
              <w:jc w:val="left"/>
              <w:rPr>
                <w:rFonts w:cs="Arial"/>
                <w:bCs/>
              </w:rPr>
            </w:pPr>
            <w:r>
              <w:t>(v procentních bodech, očištěno o kalendářní vlivy</w:t>
            </w:r>
            <w:r w:rsidRPr="001D04BA">
              <w:t>)</w:t>
            </w:r>
          </w:p>
        </w:tc>
      </w:tr>
      <w:tr w:rsidR="00C35A2A" w14:paraId="20508F7D" w14:textId="77777777" w:rsidTr="000A3D9E">
        <w:tblPrEx>
          <w:tblCellMar>
            <w:left w:w="70" w:type="dxa"/>
            <w:right w:w="70" w:type="dxa"/>
          </w:tblCellMar>
        </w:tblPrEx>
        <w:trPr>
          <w:trHeight w:val="170"/>
        </w:trPr>
        <w:tc>
          <w:tcPr>
            <w:tcW w:w="1764" w:type="dxa"/>
            <w:vMerge/>
            <w:shd w:val="clear" w:color="auto" w:fill="auto"/>
          </w:tcPr>
          <w:p w14:paraId="6BF0E175" w14:textId="77777777" w:rsidR="00C35A2A" w:rsidRDefault="00C35A2A" w:rsidP="000A3D9E">
            <w:pPr>
              <w:pStyle w:val="Marginlie"/>
            </w:pPr>
          </w:p>
        </w:tc>
        <w:tc>
          <w:tcPr>
            <w:tcW w:w="175" w:type="dxa"/>
            <w:vMerge/>
            <w:shd w:val="clear" w:color="auto" w:fill="auto"/>
          </w:tcPr>
          <w:p w14:paraId="13062737" w14:textId="77777777" w:rsidR="00C35A2A" w:rsidRDefault="00C35A2A" w:rsidP="000A3D9E">
            <w:pPr>
              <w:pStyle w:val="Textpoznpodarou"/>
              <w:jc w:val="both"/>
              <w:rPr>
                <w:spacing w:val="-4"/>
              </w:rPr>
            </w:pPr>
          </w:p>
        </w:tc>
        <w:tc>
          <w:tcPr>
            <w:tcW w:w="7700" w:type="dxa"/>
            <w:shd w:val="clear" w:color="auto" w:fill="auto"/>
          </w:tcPr>
          <w:p w14:paraId="6E1B170F" w14:textId="77777777" w:rsidR="00C35A2A" w:rsidRDefault="00C35A2A" w:rsidP="000A3D9E">
            <w:pPr>
              <w:spacing w:after="0"/>
            </w:pPr>
            <w:r w:rsidRPr="005C012F">
              <w:rPr>
                <w:noProof/>
              </w:rPr>
              <w:drawing>
                <wp:inline distT="0" distB="0" distL="0" distR="0" wp14:anchorId="39E470DF" wp14:editId="0BCAF514">
                  <wp:extent cx="4730750" cy="3384550"/>
                  <wp:effectExtent l="1905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C35A2A" w:rsidRPr="007B3A78" w14:paraId="6BB70876" w14:textId="77777777" w:rsidTr="000A3D9E">
        <w:trPr>
          <w:trHeight w:val="170"/>
        </w:trPr>
        <w:tc>
          <w:tcPr>
            <w:tcW w:w="1764" w:type="dxa"/>
            <w:vMerge/>
            <w:shd w:val="clear" w:color="auto" w:fill="auto"/>
            <w:tcMar>
              <w:left w:w="0" w:type="dxa"/>
            </w:tcMar>
          </w:tcPr>
          <w:p w14:paraId="4D9D7DC2" w14:textId="77777777" w:rsidR="00C35A2A" w:rsidRDefault="00C35A2A" w:rsidP="000A3D9E">
            <w:pPr>
              <w:pStyle w:val="Marginlie"/>
            </w:pPr>
          </w:p>
        </w:tc>
        <w:tc>
          <w:tcPr>
            <w:tcW w:w="175" w:type="dxa"/>
            <w:vMerge/>
            <w:shd w:val="clear" w:color="auto" w:fill="auto"/>
            <w:tcMar>
              <w:left w:w="0" w:type="dxa"/>
            </w:tcMar>
          </w:tcPr>
          <w:p w14:paraId="2DEE6307" w14:textId="77777777" w:rsidR="00C35A2A" w:rsidRDefault="00C35A2A" w:rsidP="000A3D9E">
            <w:pPr>
              <w:pStyle w:val="Textpoznpodarou"/>
              <w:jc w:val="both"/>
              <w:rPr>
                <w:spacing w:val="-4"/>
              </w:rPr>
            </w:pPr>
          </w:p>
        </w:tc>
        <w:tc>
          <w:tcPr>
            <w:tcW w:w="7700" w:type="dxa"/>
            <w:shd w:val="clear" w:color="auto" w:fill="auto"/>
            <w:tcMar>
              <w:left w:w="0" w:type="dxa"/>
            </w:tcMar>
          </w:tcPr>
          <w:p w14:paraId="2D59DE6F" w14:textId="77777777" w:rsidR="00C35A2A" w:rsidRPr="007B3A78" w:rsidRDefault="00C35A2A" w:rsidP="000A3D9E">
            <w:pPr>
              <w:spacing w:after="200" w:line="240" w:lineRule="auto"/>
              <w:jc w:val="left"/>
              <w:rPr>
                <w:rFonts w:cs="Arial"/>
                <w:sz w:val="14"/>
                <w:szCs w:val="14"/>
              </w:rPr>
            </w:pPr>
            <w:r w:rsidRPr="00535F78">
              <w:rPr>
                <w:rFonts w:cs="Arial"/>
                <w:sz w:val="14"/>
                <w:szCs w:val="14"/>
              </w:rPr>
              <w:t xml:space="preserve">Zdroj: </w:t>
            </w:r>
            <w:r>
              <w:rPr>
                <w:rFonts w:cs="Arial"/>
                <w:sz w:val="14"/>
                <w:szCs w:val="14"/>
              </w:rPr>
              <w:t>ČSÚ</w:t>
            </w:r>
          </w:p>
        </w:tc>
      </w:tr>
      <w:tr w:rsidR="00C35A2A" w14:paraId="169BF351" w14:textId="77777777" w:rsidTr="0052200D">
        <w:trPr>
          <w:trHeight w:val="145"/>
        </w:trPr>
        <w:tc>
          <w:tcPr>
            <w:tcW w:w="1764" w:type="dxa"/>
            <w:shd w:val="clear" w:color="auto" w:fill="auto"/>
            <w:tcMar>
              <w:left w:w="0" w:type="dxa"/>
            </w:tcMar>
          </w:tcPr>
          <w:p w14:paraId="67CC8349" w14:textId="77777777" w:rsidR="00C35A2A" w:rsidRDefault="00C35A2A" w:rsidP="000A3D9E">
            <w:pPr>
              <w:pStyle w:val="Marginlie"/>
            </w:pPr>
            <w:r>
              <w:t>Produkce klesla i ve většině menších zpracovatelských oborů.</w:t>
            </w:r>
          </w:p>
        </w:tc>
        <w:tc>
          <w:tcPr>
            <w:tcW w:w="175" w:type="dxa"/>
            <w:shd w:val="clear" w:color="auto" w:fill="auto"/>
            <w:tcMar>
              <w:left w:w="0" w:type="dxa"/>
            </w:tcMar>
          </w:tcPr>
          <w:p w14:paraId="2BD5816E" w14:textId="77777777" w:rsidR="00C35A2A" w:rsidRDefault="00C35A2A" w:rsidP="000A3D9E">
            <w:pPr>
              <w:pStyle w:val="Textpoznpodarou"/>
              <w:jc w:val="both"/>
              <w:rPr>
                <w:spacing w:val="-4"/>
              </w:rPr>
            </w:pPr>
          </w:p>
        </w:tc>
        <w:tc>
          <w:tcPr>
            <w:tcW w:w="7700" w:type="dxa"/>
            <w:shd w:val="clear" w:color="auto" w:fill="auto"/>
            <w:tcMar>
              <w:left w:w="0" w:type="dxa"/>
            </w:tcMar>
          </w:tcPr>
          <w:p w14:paraId="38D320BE" w14:textId="77777777" w:rsidR="00C35A2A" w:rsidRDefault="00C35A2A" w:rsidP="000A3D9E">
            <w:pPr>
              <w:spacing w:after="200"/>
              <w:rPr>
                <w:color w:val="000000" w:themeColor="text1"/>
                <w:spacing w:val="-4"/>
              </w:rPr>
            </w:pPr>
            <w:r>
              <w:rPr>
                <w:spacing w:val="-4"/>
              </w:rPr>
              <w:t xml:space="preserve">Na rozdíl od předešlých let se s nižší produkcí potýkala i většina menších zpracovatelských oborů. To platilo zejména pro textilní, tiskařský, dřevozpracující a nábytkářský průmysl, v dlouhodobějším útlumu pak setrval kožedělný průmysl. V mírném růstu naopak pokračovaly výroba nápojů či papírenský průmysl, jež jsou více zaměřeny na tuzemský trh. Rostoucí tuzemská i zahraniční poptávka poháněla svižný růst výkonů exportně orientovaných oborů farmaceutického průmyslu i výroby ostatních (především kolejových) dopravních prostředků. </w:t>
            </w:r>
          </w:p>
        </w:tc>
      </w:tr>
      <w:tr w:rsidR="00C35A2A" w:rsidRPr="004D53B1" w14:paraId="712F114F" w14:textId="77777777" w:rsidTr="0052200D">
        <w:trPr>
          <w:trHeight w:val="145"/>
        </w:trPr>
        <w:tc>
          <w:tcPr>
            <w:tcW w:w="1764" w:type="dxa"/>
            <w:shd w:val="clear" w:color="auto" w:fill="auto"/>
            <w:tcMar>
              <w:left w:w="0" w:type="dxa"/>
            </w:tcMar>
          </w:tcPr>
          <w:p w14:paraId="77D2192E" w14:textId="77777777" w:rsidR="00C35A2A" w:rsidRDefault="00C35A2A" w:rsidP="000A3D9E">
            <w:pPr>
              <w:pStyle w:val="Marginlie"/>
            </w:pPr>
            <w:r>
              <w:t>Pokračoval útlum těžby uhlí i růst výkonů v těžbě stavebních surovin.</w:t>
            </w:r>
          </w:p>
          <w:p w14:paraId="521CE0BD" w14:textId="77777777" w:rsidR="00C35A2A" w:rsidRDefault="00C35A2A" w:rsidP="000A3D9E">
            <w:pPr>
              <w:pStyle w:val="Marginlie"/>
            </w:pPr>
          </w:p>
          <w:p w14:paraId="38E68335" w14:textId="77777777" w:rsidR="00C35A2A" w:rsidRDefault="00C35A2A" w:rsidP="000A3D9E">
            <w:pPr>
              <w:pStyle w:val="Marginlie"/>
            </w:pPr>
          </w:p>
          <w:p w14:paraId="7E446C34" w14:textId="77777777" w:rsidR="00C35A2A" w:rsidRDefault="00C35A2A" w:rsidP="000A3D9E">
            <w:pPr>
              <w:pStyle w:val="Marginlie"/>
            </w:pPr>
            <w:r>
              <w:t>Navzdory teplejší zimě i menším odstávkám výrobních zařízení výkon energetiky mírně vzrostl.</w:t>
            </w:r>
          </w:p>
        </w:tc>
        <w:tc>
          <w:tcPr>
            <w:tcW w:w="175" w:type="dxa"/>
            <w:shd w:val="clear" w:color="auto" w:fill="auto"/>
            <w:tcMar>
              <w:left w:w="0" w:type="dxa"/>
            </w:tcMar>
          </w:tcPr>
          <w:p w14:paraId="21F812EF" w14:textId="77777777" w:rsidR="00C35A2A" w:rsidRDefault="00C35A2A" w:rsidP="000A3D9E">
            <w:pPr>
              <w:pStyle w:val="Textpoznpodarou"/>
              <w:jc w:val="both"/>
              <w:rPr>
                <w:spacing w:val="-4"/>
              </w:rPr>
            </w:pPr>
          </w:p>
        </w:tc>
        <w:tc>
          <w:tcPr>
            <w:tcW w:w="7700" w:type="dxa"/>
            <w:shd w:val="clear" w:color="auto" w:fill="auto"/>
            <w:tcMar>
              <w:left w:w="0" w:type="dxa"/>
            </w:tcMar>
          </w:tcPr>
          <w:p w14:paraId="44FB2108" w14:textId="1DDE9295" w:rsidR="00C35A2A" w:rsidRPr="004D53B1" w:rsidRDefault="00C35A2A" w:rsidP="000A3D9E">
            <w:pPr>
              <w:pStyle w:val="Textpoznpodarou"/>
              <w:spacing w:line="276" w:lineRule="auto"/>
              <w:jc w:val="both"/>
              <w:rPr>
                <w:spacing w:val="-3"/>
              </w:rPr>
            </w:pPr>
            <w:r>
              <w:rPr>
                <w:spacing w:val="-3"/>
              </w:rPr>
              <w:t>Vývoj v nezpracovatelských odvětvích průmyslu byl ovlivněn pokračujícím útlumem v odvětví těžby a dobývání (</w:t>
            </w:r>
            <w:r>
              <w:rPr>
                <w:spacing w:val="-4"/>
              </w:rPr>
              <w:t>–</w:t>
            </w:r>
            <w:r>
              <w:rPr>
                <w:spacing w:val="-3"/>
              </w:rPr>
              <w:t>2,7</w:t>
            </w:r>
            <w:r w:rsidR="00870ECD">
              <w:rPr>
                <w:spacing w:val="-3"/>
              </w:rPr>
              <w:t> %</w:t>
            </w:r>
            <w:r>
              <w:rPr>
                <w:spacing w:val="-3"/>
              </w:rPr>
              <w:t xml:space="preserve">, za posledních deset let </w:t>
            </w:r>
            <w:r>
              <w:rPr>
                <w:spacing w:val="-4"/>
              </w:rPr>
              <w:t>–</w:t>
            </w:r>
            <w:r>
              <w:rPr>
                <w:spacing w:val="-3"/>
              </w:rPr>
              <w:t>38</w:t>
            </w:r>
            <w:r w:rsidR="00870ECD">
              <w:rPr>
                <w:spacing w:val="-3"/>
              </w:rPr>
              <w:t> %</w:t>
            </w:r>
            <w:r>
              <w:rPr>
                <w:spacing w:val="-3"/>
              </w:rPr>
              <w:t>). Ten se týkal především těžby uhlí, naopak již třetím rokem v řadě přetrvával svižný růst výkonů v dosud okrajovém segmentu těžby stavebních materiálů. Mírný růst zaznamenalo odvětví energetiky, na které i v letošním roce zčásti působily odstávky výrobních zařízení. Výkon energetiky tlumilo i</w:t>
            </w:r>
            <w:r w:rsidR="00544011">
              <w:rPr>
                <w:spacing w:val="-3"/>
              </w:rPr>
              <w:t> </w:t>
            </w:r>
            <w:r>
              <w:rPr>
                <w:spacing w:val="-3"/>
              </w:rPr>
              <w:t>teplejší počasí v druhé polovině zimního období. Mírný meziroční růst fyzického množství vyrobené elektřiny (+3,4</w:t>
            </w:r>
            <w:r w:rsidR="00870ECD">
              <w:rPr>
                <w:spacing w:val="-3"/>
              </w:rPr>
              <w:t> %</w:t>
            </w:r>
            <w:r>
              <w:rPr>
                <w:spacing w:val="-3"/>
              </w:rPr>
              <w:t>) byl ovlivněn primárně vyššími výkony jaderných elektráren (+7,3</w:t>
            </w:r>
            <w:r w:rsidR="00870ECD">
              <w:rPr>
                <w:spacing w:val="-3"/>
              </w:rPr>
              <w:t> %</w:t>
            </w:r>
            <w:r>
              <w:rPr>
                <w:spacing w:val="-3"/>
              </w:rPr>
              <w:t>).</w:t>
            </w:r>
          </w:p>
        </w:tc>
      </w:tr>
      <w:tr w:rsidR="00C35A2A" w14:paraId="7A3F616C" w14:textId="77777777" w:rsidTr="0052200D">
        <w:trPr>
          <w:trHeight w:val="145"/>
        </w:trPr>
        <w:tc>
          <w:tcPr>
            <w:tcW w:w="1764" w:type="dxa"/>
            <w:shd w:val="clear" w:color="auto" w:fill="auto"/>
            <w:tcMar>
              <w:left w:w="0" w:type="dxa"/>
            </w:tcMar>
          </w:tcPr>
          <w:p w14:paraId="4F54FCA0" w14:textId="77777777" w:rsidR="00C35A2A" w:rsidRDefault="00C35A2A" w:rsidP="000A3D9E">
            <w:pPr>
              <w:pStyle w:val="Marginlie"/>
            </w:pPr>
            <w:r>
              <w:lastRenderedPageBreak/>
              <w:t>Tržby průmyslových podniků vlivem vzlínání cen v ekonomice vzrostly.</w:t>
            </w:r>
          </w:p>
        </w:tc>
        <w:tc>
          <w:tcPr>
            <w:tcW w:w="175" w:type="dxa"/>
            <w:shd w:val="clear" w:color="auto" w:fill="auto"/>
            <w:tcMar>
              <w:left w:w="0" w:type="dxa"/>
            </w:tcMar>
          </w:tcPr>
          <w:p w14:paraId="0A6C5494" w14:textId="77777777" w:rsidR="00C35A2A" w:rsidRPr="002A4B98" w:rsidRDefault="00C35A2A" w:rsidP="000A3D9E">
            <w:pPr>
              <w:pStyle w:val="Textpoznpodarou"/>
              <w:jc w:val="both"/>
              <w:rPr>
                <w:spacing w:val="-3"/>
              </w:rPr>
            </w:pPr>
          </w:p>
        </w:tc>
        <w:tc>
          <w:tcPr>
            <w:tcW w:w="7700" w:type="dxa"/>
            <w:shd w:val="clear" w:color="auto" w:fill="auto"/>
            <w:tcMar>
              <w:left w:w="0" w:type="dxa"/>
            </w:tcMar>
          </w:tcPr>
          <w:p w14:paraId="78F56C0F" w14:textId="537DBDC7" w:rsidR="00C35A2A" w:rsidRDefault="00C35A2A" w:rsidP="000A3D9E">
            <w:pPr>
              <w:pStyle w:val="Textpoznpodarou"/>
              <w:spacing w:after="200" w:line="276" w:lineRule="auto"/>
              <w:jc w:val="both"/>
              <w:rPr>
                <w:color w:val="0D0D0D" w:themeColor="text1" w:themeTint="F2"/>
                <w:spacing w:val="-4"/>
              </w:rPr>
            </w:pPr>
            <w:r>
              <w:rPr>
                <w:color w:val="0D0D0D" w:themeColor="text1" w:themeTint="F2"/>
                <w:spacing w:val="-4"/>
              </w:rPr>
              <w:t>Přestože průmyslová produkce v 1. čtvrtletí fakticky stagnovala, tržby v běžných cenách</w:t>
            </w:r>
            <w:r w:rsidR="00206516">
              <w:rPr>
                <w:color w:val="0D0D0D" w:themeColor="text1" w:themeTint="F2"/>
                <w:spacing w:val="-4"/>
              </w:rPr>
              <w:t xml:space="preserve"> </w:t>
            </w:r>
            <w:r>
              <w:rPr>
                <w:color w:val="0D0D0D" w:themeColor="text1" w:themeTint="F2"/>
                <w:spacing w:val="-4"/>
              </w:rPr>
              <w:t>vzrostly meziročně o 2,9</w:t>
            </w:r>
            <w:r w:rsidR="00870ECD">
              <w:rPr>
                <w:color w:val="0D0D0D" w:themeColor="text1" w:themeTint="F2"/>
                <w:spacing w:val="-4"/>
              </w:rPr>
              <w:t> %</w:t>
            </w:r>
            <w:r>
              <w:rPr>
                <w:color w:val="0D0D0D" w:themeColor="text1" w:themeTint="F2"/>
                <w:spacing w:val="-4"/>
              </w:rPr>
              <w:t xml:space="preserve"> (bez významnějších rozdílů dynamiky tržeb v tuzemsku a z přímého vývozu). Šlo o mírně slabší tempo než za celý rok 2018 (3,</w:t>
            </w:r>
            <w:r w:rsidR="00C300E2">
              <w:rPr>
                <w:color w:val="0D0D0D" w:themeColor="text1" w:themeTint="F2"/>
                <w:spacing w:val="-4"/>
              </w:rPr>
              <w:t>5</w:t>
            </w:r>
            <w:r w:rsidR="00870ECD">
              <w:rPr>
                <w:color w:val="0D0D0D" w:themeColor="text1" w:themeTint="F2"/>
                <w:spacing w:val="-4"/>
              </w:rPr>
              <w:t> %</w:t>
            </w:r>
            <w:r>
              <w:rPr>
                <w:color w:val="0D0D0D" w:themeColor="text1" w:themeTint="F2"/>
                <w:spacing w:val="-4"/>
              </w:rPr>
              <w:t>). To potvrzuje postupné vzlínání cen v ekonomice, v jehož pozadí stojí rostoucí cena lidské práce i ceny meziproduktů a energií (umocněné pro dovozně náročnou tuzemskou ekonomiku i oslabováním české koruny). Nejvíce rostly tržby podnikům ve farmaceutickém průmyslu (o</w:t>
            </w:r>
            <w:r w:rsidR="00A60AC1">
              <w:rPr>
                <w:color w:val="0D0D0D" w:themeColor="text1" w:themeTint="F2"/>
                <w:spacing w:val="-4"/>
              </w:rPr>
              <w:t> </w:t>
            </w:r>
            <w:r>
              <w:rPr>
                <w:color w:val="0D0D0D" w:themeColor="text1" w:themeTint="F2"/>
                <w:spacing w:val="-4"/>
              </w:rPr>
              <w:t>bezmála šestinu) a ve výrobě</w:t>
            </w:r>
            <w:r w:rsidRPr="002D47D1">
              <w:rPr>
                <w:color w:val="0D0D0D" w:themeColor="text1" w:themeTint="F2"/>
                <w:spacing w:val="-4"/>
              </w:rPr>
              <w:t xml:space="preserve"> ostatních dopravních prostředků a zařízení</w:t>
            </w:r>
            <w:r>
              <w:rPr>
                <w:color w:val="0D0D0D" w:themeColor="text1" w:themeTint="F2"/>
                <w:spacing w:val="-4"/>
              </w:rPr>
              <w:t xml:space="preserve"> (o více než desetinu). Alespoň mírně posílily tržby ve všech průmyslových oborech vyjma chemického a dřevozpracujícího průmyslu a také těžby uhlí.</w:t>
            </w:r>
          </w:p>
        </w:tc>
      </w:tr>
      <w:tr w:rsidR="00C35A2A" w:rsidRPr="00D83158" w14:paraId="300AA355" w14:textId="77777777" w:rsidTr="0052200D">
        <w:trPr>
          <w:trHeight w:val="145"/>
        </w:trPr>
        <w:tc>
          <w:tcPr>
            <w:tcW w:w="1764" w:type="dxa"/>
            <w:shd w:val="clear" w:color="auto" w:fill="auto"/>
            <w:tcMar>
              <w:left w:w="0" w:type="dxa"/>
            </w:tcMar>
          </w:tcPr>
          <w:p w14:paraId="6C8974AD" w14:textId="77777777" w:rsidR="00C35A2A" w:rsidRDefault="00C35A2A" w:rsidP="000A3D9E">
            <w:pPr>
              <w:pStyle w:val="Marginlie"/>
            </w:pPr>
            <w:r>
              <w:t>Saldo důvěry průmyslových podniků sestoupilo poprvé po pěti a půl letech do záporného pásma.</w:t>
            </w:r>
          </w:p>
          <w:p w14:paraId="704E0835" w14:textId="77777777" w:rsidR="00C35A2A" w:rsidRDefault="00C35A2A" w:rsidP="000A3D9E">
            <w:pPr>
              <w:pStyle w:val="Marginlie"/>
            </w:pPr>
          </w:p>
          <w:p w14:paraId="7C9DC0BA" w14:textId="77777777" w:rsidR="00C35A2A" w:rsidRDefault="00C35A2A" w:rsidP="000A3D9E">
            <w:pPr>
              <w:pStyle w:val="Marginlie"/>
            </w:pPr>
          </w:p>
          <w:p w14:paraId="4AF799EE" w14:textId="77777777" w:rsidR="00C35A2A" w:rsidRDefault="00C35A2A" w:rsidP="000A3D9E">
            <w:pPr>
              <w:pStyle w:val="Marginlie"/>
            </w:pPr>
          </w:p>
          <w:p w14:paraId="17D90AC4" w14:textId="77777777" w:rsidR="00C35A2A" w:rsidRDefault="00C35A2A" w:rsidP="000A3D9E">
            <w:pPr>
              <w:pStyle w:val="Marginlie"/>
            </w:pPr>
          </w:p>
          <w:p w14:paraId="7C7EC9BB" w14:textId="77777777" w:rsidR="00C35A2A" w:rsidRDefault="00C35A2A" w:rsidP="000A3D9E">
            <w:pPr>
              <w:pStyle w:val="Marginlie"/>
            </w:pPr>
          </w:p>
          <w:p w14:paraId="270E048B" w14:textId="77777777" w:rsidR="00C35A2A" w:rsidRDefault="00C35A2A" w:rsidP="000A3D9E">
            <w:pPr>
              <w:pStyle w:val="Marginlie"/>
            </w:pPr>
            <w:r>
              <w:t>Mírný růst hodnoty nových zakázek ve většině sledovaných průmyslových odvětví přetrvával.</w:t>
            </w:r>
          </w:p>
        </w:tc>
        <w:tc>
          <w:tcPr>
            <w:tcW w:w="175" w:type="dxa"/>
            <w:shd w:val="clear" w:color="auto" w:fill="auto"/>
            <w:tcMar>
              <w:left w:w="0" w:type="dxa"/>
            </w:tcMar>
          </w:tcPr>
          <w:p w14:paraId="5FD11AD7" w14:textId="77777777" w:rsidR="00C35A2A" w:rsidRPr="002A4B98" w:rsidRDefault="00C35A2A" w:rsidP="000A3D9E">
            <w:pPr>
              <w:pStyle w:val="Textpoznpodarou"/>
              <w:jc w:val="both"/>
              <w:rPr>
                <w:spacing w:val="-3"/>
              </w:rPr>
            </w:pPr>
          </w:p>
        </w:tc>
        <w:tc>
          <w:tcPr>
            <w:tcW w:w="7700" w:type="dxa"/>
            <w:shd w:val="clear" w:color="auto" w:fill="auto"/>
            <w:tcMar>
              <w:left w:w="0" w:type="dxa"/>
            </w:tcMar>
          </w:tcPr>
          <w:p w14:paraId="73FF9BD8" w14:textId="2F3D6AC3" w:rsidR="00C35A2A" w:rsidRPr="00D83158" w:rsidRDefault="00C35A2A" w:rsidP="0052200D">
            <w:pPr>
              <w:spacing w:after="200"/>
              <w:rPr>
                <w:color w:val="0D0D0D" w:themeColor="text1" w:themeTint="F2"/>
                <w:spacing w:val="-4"/>
              </w:rPr>
            </w:pPr>
            <w:r>
              <w:rPr>
                <w:color w:val="0D0D0D" w:themeColor="text1" w:themeTint="F2"/>
                <w:spacing w:val="-4"/>
              </w:rPr>
              <w:t xml:space="preserve">Krátkodobé vyhlídky průmyslu zůstávají nejisté a nedávají jednoznačně pozitivní ani negativní signál. Saldo podnikatelské důvěry se v tomto odvětví na konci 1. čtvrtletí </w:t>
            </w:r>
            <w:r w:rsidR="00CE3E48">
              <w:rPr>
                <w:color w:val="0D0D0D" w:themeColor="text1" w:themeTint="F2"/>
                <w:spacing w:val="-4"/>
              </w:rPr>
              <w:t>2019 ocitlo</w:t>
            </w:r>
            <w:r>
              <w:rPr>
                <w:color w:val="0D0D0D" w:themeColor="text1" w:themeTint="F2"/>
                <w:spacing w:val="-4"/>
              </w:rPr>
              <w:t xml:space="preserve"> poprvé od října 2013 v záporném pásmu (v letošním květnu se ještě mírně prohloubilo na </w:t>
            </w:r>
            <w:r>
              <w:rPr>
                <w:rFonts w:cs="Arial"/>
                <w:szCs w:val="20"/>
              </w:rPr>
              <w:t>–</w:t>
            </w:r>
            <w:r>
              <w:rPr>
                <w:color w:val="0D0D0D" w:themeColor="text1" w:themeTint="F2"/>
                <w:spacing w:val="-4"/>
              </w:rPr>
              <w:t>2,0 body). Již třetí čtvrtletí v řadě mírně rostl podíl podniků pociťujících nedostatečnou poptávku jako bariéru růstu (na počátku 2. čtvrtletí 2019 již 35</w:t>
            </w:r>
            <w:r w:rsidR="00870ECD">
              <w:rPr>
                <w:color w:val="0D0D0D" w:themeColor="text1" w:themeTint="F2"/>
                <w:spacing w:val="-4"/>
              </w:rPr>
              <w:t> %</w:t>
            </w:r>
            <w:r>
              <w:rPr>
                <w:color w:val="0D0D0D" w:themeColor="text1" w:themeTint="F2"/>
                <w:spacing w:val="-4"/>
              </w:rPr>
              <w:t xml:space="preserve">). Naopak </w:t>
            </w:r>
            <w:r>
              <w:t>slabší očekávání růstu zaměstnanosti vedla k oslabení váhy nedostatku pracovníků (na 36</w:t>
            </w:r>
            <w:r w:rsidR="00870ECD">
              <w:t> %</w:t>
            </w:r>
            <w:r>
              <w:t>, již druhé čtvrtletí po sobě)</w:t>
            </w:r>
            <w:r w:rsidRPr="008D59A9">
              <w:rPr>
                <w:color w:val="000000" w:themeColor="text1"/>
                <w:spacing w:val="-4"/>
                <w:vertAlign w:val="superscript"/>
              </w:rPr>
              <w:footnoteReference w:id="15"/>
            </w:r>
            <w:r>
              <w:t>.</w:t>
            </w:r>
            <w:r>
              <w:rPr>
                <w:color w:val="0D0D0D" w:themeColor="text1" w:themeTint="F2"/>
                <w:spacing w:val="-4"/>
              </w:rPr>
              <w:t xml:space="preserve"> Na </w:t>
            </w:r>
            <w:r w:rsidR="00ED1DF0">
              <w:rPr>
                <w:color w:val="0D0D0D" w:themeColor="text1" w:themeTint="F2"/>
                <w:spacing w:val="-4"/>
              </w:rPr>
              <w:t xml:space="preserve">druhé straně </w:t>
            </w:r>
            <w:r>
              <w:rPr>
                <w:color w:val="0D0D0D" w:themeColor="text1" w:themeTint="F2"/>
                <w:spacing w:val="-4"/>
              </w:rPr>
              <w:t>mírně posílil i podíl podniků, které žádnou bariéru neindikovaly (na 22</w:t>
            </w:r>
            <w:r w:rsidR="00870ECD">
              <w:rPr>
                <w:color w:val="0D0D0D" w:themeColor="text1" w:themeTint="F2"/>
                <w:spacing w:val="-4"/>
              </w:rPr>
              <w:t> %</w:t>
            </w:r>
            <w:r>
              <w:rPr>
                <w:color w:val="0D0D0D" w:themeColor="text1" w:themeTint="F2"/>
                <w:spacing w:val="-4"/>
              </w:rPr>
              <w:t>, o rok dříve 19</w:t>
            </w:r>
            <w:r w:rsidR="00870ECD">
              <w:rPr>
                <w:color w:val="0D0D0D" w:themeColor="text1" w:themeTint="F2"/>
                <w:spacing w:val="-4"/>
              </w:rPr>
              <w:t> %</w:t>
            </w:r>
            <w:r>
              <w:rPr>
                <w:color w:val="0D0D0D" w:themeColor="text1" w:themeTint="F2"/>
                <w:spacing w:val="-4"/>
              </w:rPr>
              <w:t>), nejvyšší byl v gumárenství a </w:t>
            </w:r>
            <w:proofErr w:type="spellStart"/>
            <w:r>
              <w:rPr>
                <w:color w:val="0D0D0D" w:themeColor="text1" w:themeTint="F2"/>
                <w:spacing w:val="-4"/>
              </w:rPr>
              <w:t>plastikářství</w:t>
            </w:r>
            <w:proofErr w:type="spellEnd"/>
            <w:r>
              <w:rPr>
                <w:color w:val="0D0D0D" w:themeColor="text1" w:themeTint="F2"/>
                <w:spacing w:val="-4"/>
              </w:rPr>
              <w:t xml:space="preserve"> a rovněž v petrochemickém průmyslu. Příznivěji vyznívá vývoj nových průmyslových zakázek v hlavních odvětvích</w:t>
            </w:r>
            <w:r w:rsidRPr="008D59A9">
              <w:rPr>
                <w:color w:val="000000" w:themeColor="text1"/>
                <w:spacing w:val="-4"/>
                <w:vertAlign w:val="superscript"/>
              </w:rPr>
              <w:footnoteReference w:id="16"/>
            </w:r>
            <w:r>
              <w:rPr>
                <w:color w:val="0D0D0D" w:themeColor="text1" w:themeTint="F2"/>
                <w:spacing w:val="-4"/>
              </w:rPr>
              <w:t>. Jejich růst v 1. čtvrtletí (+3,</w:t>
            </w:r>
            <w:r w:rsidR="00C300E2">
              <w:rPr>
                <w:color w:val="0D0D0D" w:themeColor="text1" w:themeTint="F2"/>
                <w:spacing w:val="-4"/>
              </w:rPr>
              <w:t>3</w:t>
            </w:r>
            <w:r w:rsidR="00870ECD">
              <w:rPr>
                <w:color w:val="0D0D0D" w:themeColor="text1" w:themeTint="F2"/>
                <w:spacing w:val="-4"/>
              </w:rPr>
              <w:t> %</w:t>
            </w:r>
            <w:r>
              <w:rPr>
                <w:color w:val="0D0D0D" w:themeColor="text1" w:themeTint="F2"/>
                <w:spacing w:val="-4"/>
              </w:rPr>
              <w:t xml:space="preserve">) za tempy z loňského roku zaostal jen mírně. Z dvanácti sledovaných odvětví naznačovaly mírné snížení poptávky jen chemický a elektrotechnický průmysl. Ve výrobě motorových vozidel činil růst zakázek </w:t>
            </w:r>
            <w:r w:rsidR="00C300E2">
              <w:rPr>
                <w:color w:val="0D0D0D" w:themeColor="text1" w:themeTint="F2"/>
                <w:spacing w:val="-4"/>
              </w:rPr>
              <w:t>3,2</w:t>
            </w:r>
            <w:r>
              <w:rPr>
                <w:color w:val="0D0D0D" w:themeColor="text1" w:themeTint="F2"/>
                <w:spacing w:val="-4"/>
              </w:rPr>
              <w:t xml:space="preserve"> %. Svižněji rostla tuzemská poptávka, hlavně vlivem silné dynamiky v odvětví výroby ostatních dopravních prostředků. Pozitivním signálem pro český průmysl může být </w:t>
            </w:r>
            <w:r w:rsidR="00ED1DF0">
              <w:rPr>
                <w:color w:val="0D0D0D" w:themeColor="text1" w:themeTint="F2"/>
                <w:spacing w:val="-4"/>
              </w:rPr>
              <w:t xml:space="preserve">také </w:t>
            </w:r>
            <w:r>
              <w:rPr>
                <w:color w:val="0D0D0D" w:themeColor="text1" w:themeTint="F2"/>
                <w:spacing w:val="-4"/>
              </w:rPr>
              <w:t>dílčí oživení růstu průmyslu v eurozóně v 1. čtvrtletí (+0,7</w:t>
            </w:r>
            <w:r w:rsidR="00870ECD">
              <w:rPr>
                <w:color w:val="0D0D0D" w:themeColor="text1" w:themeTint="F2"/>
                <w:spacing w:val="-4"/>
              </w:rPr>
              <w:t> %</w:t>
            </w:r>
            <w:r>
              <w:rPr>
                <w:color w:val="0D0D0D" w:themeColor="text1" w:themeTint="F2"/>
                <w:spacing w:val="-4"/>
              </w:rPr>
              <w:t xml:space="preserve"> </w:t>
            </w:r>
            <w:proofErr w:type="spellStart"/>
            <w:r>
              <w:rPr>
                <w:color w:val="0D0D0D" w:themeColor="text1" w:themeTint="F2"/>
                <w:spacing w:val="-4"/>
              </w:rPr>
              <w:t>mezikvartálně</w:t>
            </w:r>
            <w:proofErr w:type="spellEnd"/>
            <w:r>
              <w:rPr>
                <w:color w:val="0D0D0D" w:themeColor="text1" w:themeTint="F2"/>
                <w:spacing w:val="-4"/>
              </w:rPr>
              <w:t>) i jemné zrychlení růstu ekonomiky v Německu i zemích platících eurem (shodně o 0,4</w:t>
            </w:r>
            <w:r w:rsidR="00870ECD">
              <w:rPr>
                <w:color w:val="0D0D0D" w:themeColor="text1" w:themeTint="F2"/>
                <w:spacing w:val="-4"/>
              </w:rPr>
              <w:t> %</w:t>
            </w:r>
            <w:r>
              <w:rPr>
                <w:color w:val="0D0D0D" w:themeColor="text1" w:themeTint="F2"/>
                <w:spacing w:val="-4"/>
              </w:rPr>
              <w:t>).</w:t>
            </w:r>
          </w:p>
        </w:tc>
      </w:tr>
      <w:tr w:rsidR="00C35A2A" w:rsidRPr="001800C4" w14:paraId="6534B376" w14:textId="77777777" w:rsidTr="0052200D">
        <w:trPr>
          <w:trHeight w:val="145"/>
        </w:trPr>
        <w:tc>
          <w:tcPr>
            <w:tcW w:w="1764" w:type="dxa"/>
            <w:shd w:val="clear" w:color="auto" w:fill="auto"/>
            <w:tcMar>
              <w:left w:w="0" w:type="dxa"/>
            </w:tcMar>
          </w:tcPr>
          <w:p w14:paraId="2328C315" w14:textId="77777777" w:rsidR="00C35A2A" w:rsidRDefault="00C35A2A" w:rsidP="000A3D9E">
            <w:pPr>
              <w:pStyle w:val="Marginlie"/>
            </w:pPr>
          </w:p>
        </w:tc>
        <w:tc>
          <w:tcPr>
            <w:tcW w:w="175" w:type="dxa"/>
            <w:shd w:val="clear" w:color="auto" w:fill="auto"/>
            <w:tcMar>
              <w:left w:w="0" w:type="dxa"/>
            </w:tcMar>
          </w:tcPr>
          <w:p w14:paraId="6DD0AFE1" w14:textId="77777777" w:rsidR="00C35A2A" w:rsidRDefault="00C35A2A" w:rsidP="000A3D9E">
            <w:pPr>
              <w:pStyle w:val="Textpoznpodarou"/>
              <w:jc w:val="both"/>
              <w:rPr>
                <w:spacing w:val="-4"/>
              </w:rPr>
            </w:pPr>
          </w:p>
        </w:tc>
        <w:tc>
          <w:tcPr>
            <w:tcW w:w="7700" w:type="dxa"/>
            <w:shd w:val="clear" w:color="auto" w:fill="auto"/>
            <w:tcMar>
              <w:left w:w="0" w:type="dxa"/>
            </w:tcMar>
          </w:tcPr>
          <w:p w14:paraId="4104837A" w14:textId="340E804F" w:rsidR="00C35A2A" w:rsidRPr="001800C4" w:rsidRDefault="00C35A2A" w:rsidP="000A3D9E">
            <w:pPr>
              <w:pStyle w:val="Textpoznpodarou"/>
              <w:spacing w:line="276" w:lineRule="auto"/>
              <w:rPr>
                <w:bCs/>
              </w:rPr>
            </w:pPr>
            <w:r w:rsidRPr="00EA2E2E">
              <w:rPr>
                <w:spacing w:val="-2"/>
              </w:rPr>
              <w:t xml:space="preserve"> </w:t>
            </w:r>
            <w:r w:rsidR="00D215B0" w:rsidRPr="002A4B98">
              <w:rPr>
                <w:b/>
                <w:spacing w:val="-3"/>
              </w:rPr>
              <w:t xml:space="preserve">Graf č. 6  Nové </w:t>
            </w:r>
            <w:r w:rsidR="00D215B0">
              <w:rPr>
                <w:b/>
                <w:spacing w:val="-3"/>
              </w:rPr>
              <w:t xml:space="preserve">průmyslové </w:t>
            </w:r>
            <w:r w:rsidR="00D215B0" w:rsidRPr="002A4B98">
              <w:rPr>
                <w:b/>
                <w:spacing w:val="-3"/>
              </w:rPr>
              <w:t xml:space="preserve">zakázky </w:t>
            </w:r>
            <w:r w:rsidR="00D215B0" w:rsidRPr="002A4B98">
              <w:rPr>
                <w:bCs/>
                <w:spacing w:val="-3"/>
              </w:rPr>
              <w:t xml:space="preserve">(v běžných cenách, </w:t>
            </w:r>
            <w:r w:rsidR="00D215B0" w:rsidRPr="002A4B98">
              <w:rPr>
                <w:spacing w:val="-3"/>
              </w:rPr>
              <w:t>meziročně</w:t>
            </w:r>
            <w:r w:rsidR="00D215B0" w:rsidRPr="002A4B98">
              <w:rPr>
                <w:bCs/>
                <w:spacing w:val="-3"/>
              </w:rPr>
              <w:t xml:space="preserve"> v</w:t>
            </w:r>
            <w:r w:rsidR="00D215B0">
              <w:rPr>
                <w:bCs/>
                <w:spacing w:val="-3"/>
              </w:rPr>
              <w:t> %</w:t>
            </w:r>
            <w:r w:rsidR="00D215B0" w:rsidRPr="002A4B98">
              <w:rPr>
                <w:bCs/>
                <w:spacing w:val="-3"/>
              </w:rPr>
              <w:t>)</w:t>
            </w:r>
            <w:r w:rsidR="00D215B0">
              <w:rPr>
                <w:bCs/>
                <w:spacing w:val="-3"/>
              </w:rPr>
              <w:t>,</w:t>
            </w:r>
            <w:r w:rsidR="00D215B0" w:rsidRPr="002A4B98">
              <w:rPr>
                <w:b/>
                <w:spacing w:val="-3"/>
              </w:rPr>
              <w:t xml:space="preserve"> saldo</w:t>
            </w:r>
            <w:r w:rsidR="00D215B0">
              <w:rPr>
                <w:b/>
                <w:spacing w:val="-3"/>
              </w:rPr>
              <w:t xml:space="preserve"> </w:t>
            </w:r>
            <w:r w:rsidR="00D215B0" w:rsidRPr="002D47D1">
              <w:rPr>
                <w:b/>
                <w:spacing w:val="-2"/>
              </w:rPr>
              <w:t xml:space="preserve">indikátoru důvěry v průmyslu* </w:t>
            </w:r>
            <w:r w:rsidR="00D215B0" w:rsidRPr="002D47D1">
              <w:rPr>
                <w:spacing w:val="-2"/>
              </w:rPr>
              <w:t xml:space="preserve">(v bodech) </w:t>
            </w:r>
            <w:r w:rsidR="00D215B0" w:rsidRPr="002D47D1">
              <w:rPr>
                <w:b/>
                <w:spacing w:val="-2"/>
              </w:rPr>
              <w:t>a využití výrob. kapacit v průmyslu*</w:t>
            </w:r>
            <w:r w:rsidR="00D215B0" w:rsidRPr="002D47D1">
              <w:rPr>
                <w:spacing w:val="-2"/>
              </w:rPr>
              <w:t xml:space="preserve"> (v</w:t>
            </w:r>
            <w:r w:rsidR="00D215B0">
              <w:rPr>
                <w:spacing w:val="-2"/>
              </w:rPr>
              <w:t> %</w:t>
            </w:r>
            <w:r w:rsidR="00D215B0" w:rsidRPr="002D47D1">
              <w:rPr>
                <w:spacing w:val="-2"/>
              </w:rPr>
              <w:t>)</w:t>
            </w:r>
          </w:p>
        </w:tc>
      </w:tr>
      <w:tr w:rsidR="00C35A2A" w:rsidRPr="00B4411A" w14:paraId="10BF0821" w14:textId="77777777" w:rsidTr="0052200D">
        <w:tblPrEx>
          <w:tblCellMar>
            <w:left w:w="70" w:type="dxa"/>
            <w:right w:w="70" w:type="dxa"/>
          </w:tblCellMar>
        </w:tblPrEx>
        <w:trPr>
          <w:trHeight w:val="145"/>
        </w:trPr>
        <w:tc>
          <w:tcPr>
            <w:tcW w:w="1764" w:type="dxa"/>
            <w:shd w:val="clear" w:color="auto" w:fill="auto"/>
          </w:tcPr>
          <w:p w14:paraId="31D5B565" w14:textId="77777777" w:rsidR="00C35A2A" w:rsidRDefault="00C35A2A" w:rsidP="000A3D9E">
            <w:pPr>
              <w:pStyle w:val="Marginlie"/>
            </w:pPr>
          </w:p>
        </w:tc>
        <w:tc>
          <w:tcPr>
            <w:tcW w:w="175" w:type="dxa"/>
            <w:shd w:val="clear" w:color="auto" w:fill="auto"/>
          </w:tcPr>
          <w:p w14:paraId="6E9CC35F" w14:textId="77777777" w:rsidR="00C35A2A" w:rsidRDefault="00C35A2A" w:rsidP="000A3D9E">
            <w:pPr>
              <w:pStyle w:val="Textpoznpodarou"/>
              <w:jc w:val="both"/>
              <w:rPr>
                <w:spacing w:val="-4"/>
              </w:rPr>
            </w:pPr>
          </w:p>
        </w:tc>
        <w:tc>
          <w:tcPr>
            <w:tcW w:w="7700" w:type="dxa"/>
            <w:shd w:val="clear" w:color="auto" w:fill="auto"/>
          </w:tcPr>
          <w:p w14:paraId="0F0011FE" w14:textId="39B128D9" w:rsidR="00C35A2A" w:rsidRPr="00B4411A" w:rsidRDefault="00D215B0" w:rsidP="000A3D9E">
            <w:pPr>
              <w:spacing w:after="0"/>
              <w:rPr>
                <w:spacing w:val="-4"/>
              </w:rPr>
            </w:pPr>
            <w:r w:rsidRPr="008B0F71">
              <w:rPr>
                <w:noProof/>
                <w:spacing w:val="-2"/>
                <w:szCs w:val="20"/>
              </w:rPr>
              <w:drawing>
                <wp:inline distT="0" distB="0" distL="0" distR="0" wp14:anchorId="06E6786B" wp14:editId="5B590B21">
                  <wp:extent cx="4762500" cy="3396343"/>
                  <wp:effectExtent l="0" t="0" r="0" b="0"/>
                  <wp:docPr id="4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35A2A" w:rsidRPr="004621FE" w14:paraId="2B1A9693" w14:textId="77777777" w:rsidTr="0052200D">
        <w:trPr>
          <w:trHeight w:val="145"/>
        </w:trPr>
        <w:tc>
          <w:tcPr>
            <w:tcW w:w="1764" w:type="dxa"/>
            <w:shd w:val="clear" w:color="auto" w:fill="auto"/>
            <w:tcMar>
              <w:left w:w="0" w:type="dxa"/>
            </w:tcMar>
          </w:tcPr>
          <w:p w14:paraId="0BA79F13" w14:textId="77777777" w:rsidR="00C35A2A" w:rsidRDefault="00C35A2A" w:rsidP="000A3D9E">
            <w:pPr>
              <w:pStyle w:val="Marginlie"/>
            </w:pPr>
          </w:p>
        </w:tc>
        <w:tc>
          <w:tcPr>
            <w:tcW w:w="175" w:type="dxa"/>
            <w:shd w:val="clear" w:color="auto" w:fill="auto"/>
            <w:tcMar>
              <w:left w:w="0" w:type="dxa"/>
            </w:tcMar>
          </w:tcPr>
          <w:p w14:paraId="388E6183" w14:textId="77777777" w:rsidR="00C35A2A" w:rsidRDefault="00C35A2A" w:rsidP="000A3D9E">
            <w:pPr>
              <w:pStyle w:val="Textpoznpodarou"/>
              <w:jc w:val="both"/>
              <w:rPr>
                <w:spacing w:val="-4"/>
              </w:rPr>
            </w:pPr>
          </w:p>
        </w:tc>
        <w:tc>
          <w:tcPr>
            <w:tcW w:w="7700" w:type="dxa"/>
            <w:shd w:val="clear" w:color="auto" w:fill="auto"/>
            <w:tcMar>
              <w:left w:w="0" w:type="dxa"/>
            </w:tcMar>
          </w:tcPr>
          <w:p w14:paraId="493FAE9D" w14:textId="07746346" w:rsidR="00C35A2A" w:rsidRPr="004621FE" w:rsidRDefault="00D215B0" w:rsidP="0052200D">
            <w:pPr>
              <w:spacing w:after="0"/>
              <w:rPr>
                <w:rFonts w:cs="Arial"/>
                <w:color w:val="0D0D0D" w:themeColor="text1" w:themeTint="F2"/>
                <w:spacing w:val="-4"/>
              </w:rPr>
            </w:pPr>
            <w:r>
              <w:rPr>
                <w:rFonts w:cs="Arial"/>
                <w:sz w:val="14"/>
                <w:szCs w:val="14"/>
              </w:rPr>
              <w:t xml:space="preserve">*Údaje jsou sezónně očištěny.                                                                                                                         </w:t>
            </w:r>
            <w:r w:rsidRPr="00535F78">
              <w:rPr>
                <w:rFonts w:cs="Arial"/>
                <w:sz w:val="14"/>
                <w:szCs w:val="14"/>
              </w:rPr>
              <w:t xml:space="preserve">Zdroj: </w:t>
            </w:r>
            <w:r>
              <w:rPr>
                <w:rFonts w:cs="Arial"/>
                <w:sz w:val="14"/>
                <w:szCs w:val="14"/>
              </w:rPr>
              <w:t>ČSÚ</w:t>
            </w:r>
            <w:r w:rsidDel="00D215B0">
              <w:rPr>
                <w:rFonts w:cs="Arial"/>
                <w:sz w:val="14"/>
                <w:szCs w:val="14"/>
              </w:rPr>
              <w:t xml:space="preserve"> </w:t>
            </w:r>
          </w:p>
        </w:tc>
      </w:tr>
      <w:tr w:rsidR="00C35A2A" w:rsidRPr="00AD78E9" w14:paraId="353A3E19" w14:textId="77777777" w:rsidTr="0052200D">
        <w:trPr>
          <w:trHeight w:val="145"/>
        </w:trPr>
        <w:tc>
          <w:tcPr>
            <w:tcW w:w="1764" w:type="dxa"/>
            <w:shd w:val="clear" w:color="auto" w:fill="auto"/>
            <w:tcMar>
              <w:left w:w="0" w:type="dxa"/>
            </w:tcMar>
          </w:tcPr>
          <w:p w14:paraId="360F6191" w14:textId="77777777" w:rsidR="00C35A2A" w:rsidRDefault="00C35A2A" w:rsidP="000A3D9E">
            <w:pPr>
              <w:pStyle w:val="Marginlie"/>
            </w:pPr>
            <w:r>
              <w:lastRenderedPageBreak/>
              <w:t>Silný mezičtvrtletní růst stavební produkce byl na počátku roku ovlivněn příznivým počasím i svižným růstem veřejných investic.</w:t>
            </w:r>
          </w:p>
        </w:tc>
        <w:tc>
          <w:tcPr>
            <w:tcW w:w="175" w:type="dxa"/>
            <w:shd w:val="clear" w:color="auto" w:fill="auto"/>
            <w:tcMar>
              <w:left w:w="0" w:type="dxa"/>
            </w:tcMar>
          </w:tcPr>
          <w:p w14:paraId="071EBB31" w14:textId="77777777" w:rsidR="00C35A2A" w:rsidRDefault="00C35A2A" w:rsidP="000A3D9E">
            <w:pPr>
              <w:pStyle w:val="Textpoznpodarou"/>
              <w:jc w:val="both"/>
              <w:rPr>
                <w:spacing w:val="-4"/>
              </w:rPr>
            </w:pPr>
          </w:p>
        </w:tc>
        <w:tc>
          <w:tcPr>
            <w:tcW w:w="7700" w:type="dxa"/>
            <w:shd w:val="clear" w:color="auto" w:fill="auto"/>
            <w:tcMar>
              <w:left w:w="0" w:type="dxa"/>
            </w:tcMar>
          </w:tcPr>
          <w:p w14:paraId="40FFED2A" w14:textId="77777777" w:rsidR="00C35A2A" w:rsidRPr="00AD78E9" w:rsidRDefault="00C35A2A" w:rsidP="000A3D9E">
            <w:pPr>
              <w:spacing w:after="190"/>
              <w:rPr>
                <w:rFonts w:cs="Arial"/>
                <w:szCs w:val="20"/>
              </w:rPr>
            </w:pPr>
            <w:r w:rsidRPr="00AD78E9">
              <w:rPr>
                <w:rFonts w:cs="Arial"/>
                <w:szCs w:val="20"/>
              </w:rPr>
              <w:t xml:space="preserve">Stavebnictví vstoupilo do nového roku v dobré kondici. </w:t>
            </w:r>
            <w:r>
              <w:rPr>
                <w:color w:val="0D0D0D" w:themeColor="text1" w:themeTint="F2"/>
                <w:spacing w:val="-4"/>
                <w:szCs w:val="20"/>
              </w:rPr>
              <w:t>Jeho</w:t>
            </w:r>
            <w:r w:rsidRPr="00AD78E9">
              <w:rPr>
                <w:spacing w:val="-3"/>
                <w:szCs w:val="20"/>
              </w:rPr>
              <w:t xml:space="preserve"> produkce</w:t>
            </w:r>
            <w:r>
              <w:rPr>
                <w:rStyle w:val="Znakapoznpodarou"/>
                <w:spacing w:val="-4"/>
              </w:rPr>
              <w:footnoteReference w:id="17"/>
            </w:r>
            <w:r w:rsidRPr="00AD78E9">
              <w:rPr>
                <w:rFonts w:cs="Arial"/>
                <w:szCs w:val="20"/>
              </w:rPr>
              <w:t xml:space="preserve"> po krátkodobém zpomalení na sklonku loňského roku </w:t>
            </w:r>
            <w:r>
              <w:rPr>
                <w:rFonts w:cs="Arial"/>
                <w:szCs w:val="20"/>
              </w:rPr>
              <w:t xml:space="preserve">(způsobeném vyšší srovnávací základnou i slabší dynamikou nových zakázek) v 1. čtvrtletí 2019 opět výražně ožila. </w:t>
            </w:r>
            <w:proofErr w:type="spellStart"/>
            <w:r>
              <w:rPr>
                <w:rFonts w:cs="Arial"/>
                <w:szCs w:val="20"/>
              </w:rPr>
              <w:t>Mezičtvrtletně</w:t>
            </w:r>
            <w:proofErr w:type="spellEnd"/>
            <w:r>
              <w:rPr>
                <w:rFonts w:cs="Arial"/>
                <w:szCs w:val="20"/>
              </w:rPr>
              <w:t xml:space="preserve"> se zvýšila o 4,2</w:t>
            </w:r>
            <w:r w:rsidR="00870ECD">
              <w:rPr>
                <w:rFonts w:cs="Arial"/>
                <w:szCs w:val="20"/>
              </w:rPr>
              <w:t> %</w:t>
            </w:r>
            <w:r>
              <w:rPr>
                <w:rFonts w:cs="Arial"/>
                <w:szCs w:val="20"/>
              </w:rPr>
              <w:t>, meziročně posílila skromněji – o 2,4</w:t>
            </w:r>
            <w:r w:rsidRPr="00AD78E9">
              <w:rPr>
                <w:rFonts w:cs="Arial"/>
                <w:szCs w:val="20"/>
              </w:rPr>
              <w:t> </w:t>
            </w:r>
            <w:r>
              <w:rPr>
                <w:rFonts w:cs="Arial"/>
                <w:szCs w:val="20"/>
              </w:rPr>
              <w:t>% (primárně vlivem vysoké srovnávací základny</w:t>
            </w:r>
            <w:r>
              <w:rPr>
                <w:rStyle w:val="Znakapoznpodarou"/>
                <w:spacing w:val="-4"/>
              </w:rPr>
              <w:footnoteReference w:id="18"/>
            </w:r>
            <w:r>
              <w:rPr>
                <w:rFonts w:cs="Arial"/>
                <w:szCs w:val="20"/>
              </w:rPr>
              <w:t>). Pozitivně se promítl vliv teplejšího počasí (ve srovnání s loňským 1. čtvrtletím i dlouhodobým průměrem) i růstu veřejných investic (zejména díky zrychlenému čerpání prostředků z rozpočtu EU). I přes slabší dynamiku přispělo váhově převažující pozemní stavitelství (+1,9</w:t>
            </w:r>
            <w:r w:rsidR="00870ECD">
              <w:rPr>
                <w:rFonts w:cs="Arial"/>
                <w:szCs w:val="20"/>
              </w:rPr>
              <w:t> %</w:t>
            </w:r>
            <w:r>
              <w:rPr>
                <w:rFonts w:cs="Arial"/>
                <w:szCs w:val="20"/>
              </w:rPr>
              <w:t>) k růstu celého odvětví dvojnásobně oproti inženýrskému stavitelství (s meziročním růstem +4,8</w:t>
            </w:r>
            <w:r w:rsidR="00870ECD">
              <w:rPr>
                <w:rFonts w:cs="Arial"/>
                <w:szCs w:val="20"/>
              </w:rPr>
              <w:t> %</w:t>
            </w:r>
            <w:r>
              <w:rPr>
                <w:rFonts w:cs="Arial"/>
                <w:szCs w:val="20"/>
              </w:rPr>
              <w:t>).</w:t>
            </w:r>
          </w:p>
        </w:tc>
      </w:tr>
      <w:tr w:rsidR="00C35A2A" w:rsidRPr="00933E31" w14:paraId="2B7D101C" w14:textId="77777777" w:rsidTr="0052200D">
        <w:trPr>
          <w:trHeight w:val="145"/>
        </w:trPr>
        <w:tc>
          <w:tcPr>
            <w:tcW w:w="1764" w:type="dxa"/>
            <w:shd w:val="clear" w:color="auto" w:fill="auto"/>
            <w:tcMar>
              <w:left w:w="0" w:type="dxa"/>
            </w:tcMar>
          </w:tcPr>
          <w:p w14:paraId="166D16C2" w14:textId="77777777" w:rsidR="00C35A2A" w:rsidRDefault="00C35A2A" w:rsidP="000A3D9E">
            <w:pPr>
              <w:pStyle w:val="Marginlie"/>
            </w:pPr>
            <w:r>
              <w:t>Bytová výstavba nadále ožívala. Její tempo v Praze ale stále neodpovídalo dynamickému rozvoji pracovního trhu.</w:t>
            </w:r>
          </w:p>
        </w:tc>
        <w:tc>
          <w:tcPr>
            <w:tcW w:w="175" w:type="dxa"/>
            <w:shd w:val="clear" w:color="auto" w:fill="auto"/>
            <w:tcMar>
              <w:left w:w="0" w:type="dxa"/>
            </w:tcMar>
          </w:tcPr>
          <w:p w14:paraId="720EC380" w14:textId="77777777" w:rsidR="00C35A2A" w:rsidRDefault="00C35A2A" w:rsidP="000A3D9E">
            <w:pPr>
              <w:pStyle w:val="Textpoznpodarou"/>
              <w:jc w:val="both"/>
              <w:rPr>
                <w:spacing w:val="-4"/>
              </w:rPr>
            </w:pPr>
          </w:p>
        </w:tc>
        <w:tc>
          <w:tcPr>
            <w:tcW w:w="7700" w:type="dxa"/>
            <w:shd w:val="clear" w:color="auto" w:fill="auto"/>
            <w:tcMar>
              <w:left w:w="0" w:type="dxa"/>
            </w:tcMar>
          </w:tcPr>
          <w:p w14:paraId="3B6EFA17" w14:textId="542C2F6C" w:rsidR="00C35A2A" w:rsidRPr="00933E31" w:rsidRDefault="00C35A2A" w:rsidP="000A3D9E">
            <w:pPr>
              <w:spacing w:after="200"/>
              <w:rPr>
                <w:rFonts w:cs="Arial"/>
                <w:szCs w:val="20"/>
              </w:rPr>
            </w:pPr>
            <w:r w:rsidRPr="00933E31">
              <w:rPr>
                <w:rFonts w:cs="Arial"/>
                <w:szCs w:val="20"/>
              </w:rPr>
              <w:t>Dlouhodobě silná neuspokojená poptávka po rezidenčních nemovitostech</w:t>
            </w:r>
            <w:r>
              <w:rPr>
                <w:rFonts w:cs="Arial"/>
                <w:szCs w:val="20"/>
              </w:rPr>
              <w:t xml:space="preserve"> nachází postupně odezvu i na straně bytové výstavby. Ta rost</w:t>
            </w:r>
            <w:r w:rsidR="0053012B">
              <w:rPr>
                <w:rFonts w:cs="Arial"/>
                <w:szCs w:val="20"/>
              </w:rPr>
              <w:t>l</w:t>
            </w:r>
            <w:r>
              <w:rPr>
                <w:rFonts w:cs="Arial"/>
                <w:szCs w:val="20"/>
              </w:rPr>
              <w:t xml:space="preserve">a již čtvrtým rokem v řadě. Letos byla zahájena výstavba 9,6 tis. bytů, v rámci 1. čtvrtletí šlo o srovnatelnou hodnotu jako za konjunktury minulé dekády. Meziroční růst byl na rozdíl od předchozích let tažen hlavně výstavbou v bytových domech. Více bytů bylo ale ve všech hlavních druzích výstavby vyjma váhově okrajových kategorií bytů v </w:t>
            </w:r>
            <w:r w:rsidRPr="006B5BF6">
              <w:rPr>
                <w:rFonts w:cs="Arial"/>
                <w:szCs w:val="20"/>
              </w:rPr>
              <w:t>nebytových budovách</w:t>
            </w:r>
            <w:r>
              <w:rPr>
                <w:rFonts w:cs="Arial"/>
                <w:szCs w:val="20"/>
              </w:rPr>
              <w:t xml:space="preserve"> a stavebně upravených nebytových prostorách</w:t>
            </w:r>
            <w:r>
              <w:rPr>
                <w:rStyle w:val="Znakapoznpodarou"/>
                <w:spacing w:val="-4"/>
              </w:rPr>
              <w:footnoteReference w:id="19"/>
            </w:r>
            <w:r>
              <w:rPr>
                <w:rFonts w:cs="Arial"/>
                <w:szCs w:val="20"/>
              </w:rPr>
              <w:t>. Přestože na růstu všech zahajovaných bytů v Česku se letos z více než třetiny podílela Praha, jejich četnost v metropoli (1</w:t>
            </w:r>
            <w:r w:rsidR="0053012B">
              <w:rPr>
                <w:rFonts w:cs="Arial"/>
                <w:szCs w:val="20"/>
              </w:rPr>
              <w:t> </w:t>
            </w:r>
            <w:r>
              <w:rPr>
                <w:rFonts w:cs="Arial"/>
                <w:szCs w:val="20"/>
              </w:rPr>
              <w:t>216</w:t>
            </w:r>
            <w:r w:rsidR="0053012B">
              <w:rPr>
                <w:rFonts w:cs="Arial"/>
                <w:szCs w:val="20"/>
              </w:rPr>
              <w:t> </w:t>
            </w:r>
            <w:r>
              <w:rPr>
                <w:rFonts w:cs="Arial"/>
                <w:szCs w:val="20"/>
              </w:rPr>
              <w:t xml:space="preserve">bytů) nadále zaostávala za silným růstem </w:t>
            </w:r>
            <w:r w:rsidR="00B5642C">
              <w:rPr>
                <w:rFonts w:cs="Arial"/>
                <w:szCs w:val="20"/>
              </w:rPr>
              <w:t xml:space="preserve">počtu </w:t>
            </w:r>
            <w:r>
              <w:rPr>
                <w:rFonts w:cs="Arial"/>
                <w:szCs w:val="20"/>
              </w:rPr>
              <w:t>obyvatelstva i pracovních příležitostí.</w:t>
            </w:r>
          </w:p>
        </w:tc>
      </w:tr>
      <w:tr w:rsidR="00D215B0" w:rsidRPr="008B0D80" w14:paraId="1437A877" w14:textId="77777777" w:rsidTr="0052200D">
        <w:trPr>
          <w:trHeight w:val="145"/>
        </w:trPr>
        <w:tc>
          <w:tcPr>
            <w:tcW w:w="1764" w:type="dxa"/>
            <w:shd w:val="clear" w:color="auto" w:fill="auto"/>
            <w:tcMar>
              <w:left w:w="0" w:type="dxa"/>
            </w:tcMar>
          </w:tcPr>
          <w:p w14:paraId="0808CE19" w14:textId="77777777" w:rsidR="00D215B0" w:rsidRDefault="00D215B0" w:rsidP="000A3D9E">
            <w:pPr>
              <w:pStyle w:val="Marginlie"/>
            </w:pPr>
          </w:p>
        </w:tc>
        <w:tc>
          <w:tcPr>
            <w:tcW w:w="175" w:type="dxa"/>
            <w:shd w:val="clear" w:color="auto" w:fill="auto"/>
            <w:tcMar>
              <w:left w:w="0" w:type="dxa"/>
            </w:tcMar>
          </w:tcPr>
          <w:p w14:paraId="54D742DD" w14:textId="77777777" w:rsidR="00D215B0" w:rsidRDefault="00D215B0" w:rsidP="000A3D9E">
            <w:pPr>
              <w:pStyle w:val="Textpoznpodarou"/>
              <w:jc w:val="both"/>
              <w:rPr>
                <w:spacing w:val="-4"/>
              </w:rPr>
            </w:pPr>
          </w:p>
        </w:tc>
        <w:tc>
          <w:tcPr>
            <w:tcW w:w="7700" w:type="dxa"/>
            <w:shd w:val="clear" w:color="auto" w:fill="auto"/>
            <w:tcMar>
              <w:left w:w="0" w:type="dxa"/>
            </w:tcMar>
          </w:tcPr>
          <w:p w14:paraId="582FF6EF" w14:textId="77777777" w:rsidR="00D215B0" w:rsidRPr="00EA2E2E" w:rsidRDefault="00D215B0" w:rsidP="00D215B0">
            <w:pPr>
              <w:spacing w:after="0"/>
              <w:rPr>
                <w:b/>
                <w:spacing w:val="-2"/>
              </w:rPr>
            </w:pPr>
            <w:r w:rsidRPr="00EA2E2E">
              <w:rPr>
                <w:b/>
                <w:spacing w:val="-2"/>
              </w:rPr>
              <w:t xml:space="preserve">Graf č. 7  Příspěvky dílčích odvětví k meziroční změně stavební produkce </w:t>
            </w:r>
          </w:p>
          <w:p w14:paraId="612CF173" w14:textId="43211301" w:rsidR="00D215B0" w:rsidRPr="008B0D80" w:rsidRDefault="00D215B0" w:rsidP="0052200D">
            <w:pPr>
              <w:spacing w:after="0"/>
              <w:rPr>
                <w:rFonts w:cs="Arial"/>
                <w:spacing w:val="-4"/>
                <w:szCs w:val="20"/>
              </w:rPr>
            </w:pPr>
            <w:r w:rsidRPr="00EA2E2E">
              <w:rPr>
                <w:spacing w:val="-2"/>
              </w:rPr>
              <w:t>(v</w:t>
            </w:r>
            <w:r>
              <w:rPr>
                <w:spacing w:val="-2"/>
              </w:rPr>
              <w:t xml:space="preserve"> p. b., </w:t>
            </w:r>
            <w:r>
              <w:t>očištěno o kalendářní vlivy</w:t>
            </w:r>
            <w:r w:rsidRPr="00EA2E2E">
              <w:rPr>
                <w:spacing w:val="-2"/>
              </w:rPr>
              <w:t xml:space="preserve">), </w:t>
            </w:r>
            <w:r w:rsidRPr="00EA2E2E">
              <w:rPr>
                <w:b/>
                <w:spacing w:val="-2"/>
              </w:rPr>
              <w:t xml:space="preserve">nové zakázky </w:t>
            </w:r>
            <w:r w:rsidRPr="00EA2E2E">
              <w:rPr>
                <w:bCs/>
                <w:spacing w:val="-2"/>
              </w:rPr>
              <w:t>(</w:t>
            </w:r>
            <w:r w:rsidRPr="00EA2E2E">
              <w:rPr>
                <w:spacing w:val="-2"/>
              </w:rPr>
              <w:t>meziročně</w:t>
            </w:r>
            <w:r w:rsidRPr="00EA2E2E">
              <w:rPr>
                <w:bCs/>
                <w:spacing w:val="-2"/>
              </w:rPr>
              <w:t xml:space="preserve"> v</w:t>
            </w:r>
            <w:r>
              <w:rPr>
                <w:bCs/>
                <w:spacing w:val="-2"/>
              </w:rPr>
              <w:t> %</w:t>
            </w:r>
            <w:r w:rsidRPr="00EA2E2E">
              <w:rPr>
                <w:bCs/>
                <w:spacing w:val="-2"/>
              </w:rPr>
              <w:t xml:space="preserve">) </w:t>
            </w:r>
            <w:r w:rsidRPr="00EA2E2E">
              <w:rPr>
                <w:b/>
                <w:spacing w:val="-2"/>
              </w:rPr>
              <w:t>a saldo indikátoru důvěry ve stavebnictví*</w:t>
            </w:r>
          </w:p>
        </w:tc>
      </w:tr>
      <w:tr w:rsidR="00D215B0" w:rsidRPr="008B0D80" w14:paraId="1BBFF20A" w14:textId="77777777" w:rsidTr="0052200D">
        <w:trPr>
          <w:trHeight w:val="145"/>
        </w:trPr>
        <w:tc>
          <w:tcPr>
            <w:tcW w:w="1764" w:type="dxa"/>
            <w:shd w:val="clear" w:color="auto" w:fill="auto"/>
            <w:tcMar>
              <w:left w:w="0" w:type="dxa"/>
            </w:tcMar>
          </w:tcPr>
          <w:p w14:paraId="1BF6FC01" w14:textId="77777777" w:rsidR="00D215B0" w:rsidRDefault="00D215B0" w:rsidP="000A3D9E">
            <w:pPr>
              <w:pStyle w:val="Marginlie"/>
            </w:pPr>
          </w:p>
        </w:tc>
        <w:tc>
          <w:tcPr>
            <w:tcW w:w="175" w:type="dxa"/>
            <w:shd w:val="clear" w:color="auto" w:fill="auto"/>
            <w:tcMar>
              <w:left w:w="0" w:type="dxa"/>
            </w:tcMar>
          </w:tcPr>
          <w:p w14:paraId="6D2E7FB0" w14:textId="77777777" w:rsidR="00D215B0" w:rsidRDefault="00D215B0" w:rsidP="000A3D9E">
            <w:pPr>
              <w:pStyle w:val="Textpoznpodarou"/>
              <w:jc w:val="both"/>
              <w:rPr>
                <w:spacing w:val="-4"/>
              </w:rPr>
            </w:pPr>
          </w:p>
        </w:tc>
        <w:tc>
          <w:tcPr>
            <w:tcW w:w="7700" w:type="dxa"/>
            <w:shd w:val="clear" w:color="auto" w:fill="auto"/>
            <w:tcMar>
              <w:left w:w="0" w:type="dxa"/>
            </w:tcMar>
          </w:tcPr>
          <w:p w14:paraId="2BE56E29" w14:textId="448604CF" w:rsidR="00D215B0" w:rsidRPr="008B0D80" w:rsidRDefault="00D215B0" w:rsidP="0052200D">
            <w:pPr>
              <w:spacing w:after="0"/>
              <w:rPr>
                <w:rFonts w:cs="Arial"/>
                <w:spacing w:val="-4"/>
                <w:szCs w:val="20"/>
              </w:rPr>
            </w:pPr>
            <w:r>
              <w:rPr>
                <w:noProof/>
              </w:rPr>
              <w:drawing>
                <wp:inline distT="0" distB="0" distL="0" distR="0" wp14:anchorId="64736385" wp14:editId="24A3DB7E">
                  <wp:extent cx="4740275" cy="3307278"/>
                  <wp:effectExtent l="0" t="0" r="3175" b="762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D215B0" w:rsidRPr="008B0D80" w14:paraId="52EF5FA6" w14:textId="77777777" w:rsidTr="0052200D">
        <w:trPr>
          <w:trHeight w:val="145"/>
        </w:trPr>
        <w:tc>
          <w:tcPr>
            <w:tcW w:w="1764" w:type="dxa"/>
            <w:shd w:val="clear" w:color="auto" w:fill="auto"/>
            <w:tcMar>
              <w:left w:w="0" w:type="dxa"/>
            </w:tcMar>
          </w:tcPr>
          <w:p w14:paraId="4D612836" w14:textId="77777777" w:rsidR="00D215B0" w:rsidRDefault="00D215B0" w:rsidP="00D215B0">
            <w:pPr>
              <w:pStyle w:val="Marginlie"/>
            </w:pPr>
          </w:p>
        </w:tc>
        <w:tc>
          <w:tcPr>
            <w:tcW w:w="175" w:type="dxa"/>
            <w:shd w:val="clear" w:color="auto" w:fill="auto"/>
            <w:tcMar>
              <w:left w:w="0" w:type="dxa"/>
            </w:tcMar>
          </w:tcPr>
          <w:p w14:paraId="235083CC" w14:textId="77777777" w:rsidR="00D215B0" w:rsidRDefault="00D215B0" w:rsidP="00D215B0">
            <w:pPr>
              <w:pStyle w:val="Textpoznpodarou"/>
              <w:jc w:val="both"/>
              <w:rPr>
                <w:spacing w:val="-4"/>
              </w:rPr>
            </w:pPr>
          </w:p>
        </w:tc>
        <w:tc>
          <w:tcPr>
            <w:tcW w:w="7700" w:type="dxa"/>
            <w:shd w:val="clear" w:color="auto" w:fill="auto"/>
            <w:tcMar>
              <w:left w:w="0" w:type="dxa"/>
            </w:tcMar>
          </w:tcPr>
          <w:p w14:paraId="62DCFD54" w14:textId="3EFEC12E" w:rsidR="00D215B0" w:rsidRPr="008B0D80" w:rsidRDefault="00D215B0" w:rsidP="00D215B0">
            <w:pPr>
              <w:spacing w:after="200"/>
              <w:rPr>
                <w:rFonts w:cs="Arial"/>
                <w:spacing w:val="-4"/>
                <w:szCs w:val="20"/>
              </w:rPr>
            </w:pPr>
            <w:r>
              <w:rPr>
                <w:rFonts w:cs="Arial"/>
                <w:sz w:val="14"/>
                <w:szCs w:val="14"/>
              </w:rPr>
              <w:t xml:space="preserve">*Údaje jsou sezónně očištěny.                                                                                                                         </w:t>
            </w:r>
            <w:r w:rsidRPr="00535F78">
              <w:rPr>
                <w:rFonts w:cs="Arial"/>
                <w:sz w:val="14"/>
                <w:szCs w:val="14"/>
              </w:rPr>
              <w:t xml:space="preserve">Zdroj: </w:t>
            </w:r>
            <w:r>
              <w:rPr>
                <w:rFonts w:cs="Arial"/>
                <w:sz w:val="14"/>
                <w:szCs w:val="14"/>
              </w:rPr>
              <w:t>ČSÚ</w:t>
            </w:r>
          </w:p>
        </w:tc>
      </w:tr>
      <w:tr w:rsidR="00D215B0" w:rsidRPr="008B0D80" w14:paraId="17CF28CB" w14:textId="77777777" w:rsidTr="0052200D">
        <w:trPr>
          <w:trHeight w:val="145"/>
        </w:trPr>
        <w:tc>
          <w:tcPr>
            <w:tcW w:w="1764" w:type="dxa"/>
            <w:shd w:val="clear" w:color="auto" w:fill="auto"/>
            <w:tcMar>
              <w:left w:w="0" w:type="dxa"/>
            </w:tcMar>
          </w:tcPr>
          <w:p w14:paraId="77DFCE25" w14:textId="77777777" w:rsidR="00D215B0" w:rsidRDefault="00D215B0" w:rsidP="00D215B0">
            <w:pPr>
              <w:pStyle w:val="Marginlie"/>
            </w:pPr>
            <w:r>
              <w:t>Tempo růstu nových zakázek na počátku roku citelně zrychlilo.</w:t>
            </w:r>
          </w:p>
          <w:p w14:paraId="5FF468AF" w14:textId="77777777" w:rsidR="00D215B0" w:rsidRDefault="00D215B0" w:rsidP="00D215B0">
            <w:pPr>
              <w:pStyle w:val="Marginlie"/>
            </w:pPr>
          </w:p>
          <w:p w14:paraId="3E60FC88" w14:textId="77777777" w:rsidR="00D215B0" w:rsidRDefault="00D215B0" w:rsidP="00D215B0">
            <w:pPr>
              <w:pStyle w:val="Marginlie"/>
            </w:pPr>
          </w:p>
          <w:p w14:paraId="29C4CA05" w14:textId="77777777" w:rsidR="00D215B0" w:rsidRDefault="00D215B0" w:rsidP="00D215B0">
            <w:pPr>
              <w:pStyle w:val="Marginlie"/>
            </w:pPr>
          </w:p>
          <w:p w14:paraId="7D86E8C5" w14:textId="77777777" w:rsidR="00D215B0" w:rsidRDefault="00D215B0" w:rsidP="00D215B0">
            <w:pPr>
              <w:pStyle w:val="Marginlie"/>
            </w:pPr>
            <w:r>
              <w:lastRenderedPageBreak/>
              <w:t>Častěji se prosazovaly větší stavební projekty.</w:t>
            </w:r>
          </w:p>
          <w:p w14:paraId="3B9CCE4B" w14:textId="77777777" w:rsidR="00D215B0" w:rsidRDefault="00D215B0" w:rsidP="00D215B0">
            <w:pPr>
              <w:pStyle w:val="Marginlie"/>
            </w:pPr>
          </w:p>
          <w:p w14:paraId="09A2EF7D" w14:textId="77777777" w:rsidR="00D215B0" w:rsidRDefault="00D215B0" w:rsidP="00D215B0">
            <w:pPr>
              <w:pStyle w:val="Marginlie"/>
            </w:pPr>
          </w:p>
          <w:p w14:paraId="4ACA3286" w14:textId="77777777" w:rsidR="00D215B0" w:rsidRDefault="00D215B0" w:rsidP="00D215B0">
            <w:pPr>
              <w:pStyle w:val="Marginlie"/>
            </w:pPr>
          </w:p>
          <w:p w14:paraId="4A012DA6" w14:textId="77777777" w:rsidR="00D215B0" w:rsidRDefault="00D215B0" w:rsidP="00D215B0">
            <w:pPr>
              <w:pStyle w:val="Marginlie"/>
            </w:pPr>
          </w:p>
          <w:p w14:paraId="2A411385" w14:textId="77777777" w:rsidR="00D215B0" w:rsidRDefault="00D215B0" w:rsidP="00D215B0">
            <w:pPr>
              <w:pStyle w:val="Marginlie"/>
            </w:pPr>
          </w:p>
          <w:p w14:paraId="1D96A378" w14:textId="77777777" w:rsidR="00D215B0" w:rsidRDefault="00D215B0" w:rsidP="00D215B0">
            <w:pPr>
              <w:pStyle w:val="Marginlie"/>
            </w:pPr>
          </w:p>
          <w:p w14:paraId="3709F761" w14:textId="77777777" w:rsidR="00D215B0" w:rsidRDefault="00D215B0" w:rsidP="00D215B0">
            <w:pPr>
              <w:pStyle w:val="Marginlie"/>
            </w:pPr>
            <w:r>
              <w:t>Saldo důvěry podnikatelů ve stavebnictví vyšplhalo v lednu na rekordní hodnotu. Celé odvětví ale nadále limitovala napjatá situace na pracovním trhu.</w:t>
            </w:r>
          </w:p>
        </w:tc>
        <w:tc>
          <w:tcPr>
            <w:tcW w:w="175" w:type="dxa"/>
            <w:shd w:val="clear" w:color="auto" w:fill="auto"/>
            <w:tcMar>
              <w:left w:w="0" w:type="dxa"/>
            </w:tcMar>
          </w:tcPr>
          <w:p w14:paraId="14641457" w14:textId="77777777" w:rsidR="00D215B0" w:rsidRDefault="00D215B0" w:rsidP="00D215B0">
            <w:pPr>
              <w:pStyle w:val="Textpoznpodarou"/>
              <w:jc w:val="both"/>
              <w:rPr>
                <w:spacing w:val="-4"/>
              </w:rPr>
            </w:pPr>
          </w:p>
        </w:tc>
        <w:tc>
          <w:tcPr>
            <w:tcW w:w="7700" w:type="dxa"/>
            <w:shd w:val="clear" w:color="auto" w:fill="auto"/>
            <w:tcMar>
              <w:left w:w="0" w:type="dxa"/>
            </w:tcMar>
          </w:tcPr>
          <w:p w14:paraId="5E6D07C0" w14:textId="1FCE1B7B" w:rsidR="00D215B0" w:rsidRPr="008B0D80" w:rsidRDefault="00D215B0" w:rsidP="00CE3E48">
            <w:pPr>
              <w:spacing w:after="200"/>
              <w:rPr>
                <w:rFonts w:cs="Arial"/>
                <w:spacing w:val="-4"/>
                <w:szCs w:val="20"/>
              </w:rPr>
            </w:pPr>
            <w:r w:rsidRPr="008B0D80">
              <w:rPr>
                <w:rFonts w:cs="Arial"/>
                <w:spacing w:val="-4"/>
                <w:szCs w:val="20"/>
              </w:rPr>
              <w:t xml:space="preserve">Krátkodobé vyhlídky zůstávají </w:t>
            </w:r>
            <w:r>
              <w:rPr>
                <w:rFonts w:cs="Arial"/>
                <w:spacing w:val="-4"/>
                <w:szCs w:val="20"/>
              </w:rPr>
              <w:t xml:space="preserve">ve </w:t>
            </w:r>
            <w:r w:rsidRPr="008B0D80">
              <w:rPr>
                <w:rFonts w:cs="Arial"/>
                <w:spacing w:val="-4"/>
                <w:szCs w:val="20"/>
              </w:rPr>
              <w:t>stavebnictví nadále příznivé. Růst hodnoty nových tuzemských zakázek (u podniků s více než 50 zaměstnanci) pokračoval třetím rokem v řadě a v 1. čtvrtletí 2019 činil 15,6</w:t>
            </w:r>
            <w:r>
              <w:rPr>
                <w:rFonts w:cs="Arial"/>
                <w:spacing w:val="-4"/>
                <w:szCs w:val="20"/>
              </w:rPr>
              <w:t> %</w:t>
            </w:r>
            <w:r w:rsidRPr="008B0D80">
              <w:rPr>
                <w:rFonts w:cs="Arial"/>
                <w:spacing w:val="-4"/>
                <w:szCs w:val="20"/>
              </w:rPr>
              <w:t xml:space="preserve"> meziročně. Zatímco loni přispívaly k růstu zakázek pozemní i inženýrské stavitelství vcelku rovnoměrně, na počátku roku 2019 byly z drtivé většiny taženy inženýrským stavitelstvím. O bezmála šestinu posílila i celková zásoba všech dosud </w:t>
            </w:r>
            <w:r w:rsidRPr="008B0D80">
              <w:rPr>
                <w:rFonts w:cs="Arial"/>
                <w:spacing w:val="-4"/>
                <w:szCs w:val="20"/>
              </w:rPr>
              <w:lastRenderedPageBreak/>
              <w:t>nerealizovaných stavebních prací (na 177</w:t>
            </w:r>
            <w:r>
              <w:rPr>
                <w:rFonts w:cs="Arial"/>
                <w:spacing w:val="-4"/>
                <w:szCs w:val="20"/>
              </w:rPr>
              <w:t> mld</w:t>
            </w:r>
            <w:r w:rsidRPr="008B0D80">
              <w:rPr>
                <w:rFonts w:cs="Arial"/>
                <w:spacing w:val="-4"/>
                <w:szCs w:val="20"/>
              </w:rPr>
              <w:t>. korun). Byla saturována hlavně veřejnými zakázkami (meziroční růst o 30</w:t>
            </w:r>
            <w:r>
              <w:rPr>
                <w:rFonts w:cs="Arial"/>
                <w:spacing w:val="-4"/>
                <w:szCs w:val="20"/>
              </w:rPr>
              <w:t> %</w:t>
            </w:r>
            <w:r w:rsidRPr="008B0D80">
              <w:rPr>
                <w:rFonts w:cs="Arial"/>
                <w:spacing w:val="-4"/>
                <w:szCs w:val="20"/>
              </w:rPr>
              <w:t>). Pátým rokem v řadě pokračoval pokles zásob práce v zahraničí, na které se silně vytíženým tuzemským firmám již patrně nedostávalo kapacit</w:t>
            </w:r>
            <w:r w:rsidRPr="008B0D80">
              <w:rPr>
                <w:rStyle w:val="Znakapoznpodarou"/>
                <w:spacing w:val="-4"/>
              </w:rPr>
              <w:footnoteReference w:id="20"/>
            </w:r>
            <w:r w:rsidRPr="008B0D80">
              <w:rPr>
                <w:rFonts w:cs="Arial"/>
                <w:spacing w:val="-4"/>
                <w:szCs w:val="20"/>
              </w:rPr>
              <w:t>. Více se v očekávané poptávce prosazovaly větší stavební projekty. Vzrostla jak průměrná hodnota nově uzavřené zakázky (na 5,0 mil. korun, o rok dříve 4,6</w:t>
            </w:r>
            <w:r w:rsidRPr="008B0D80">
              <w:rPr>
                <w:color w:val="0D0D0D" w:themeColor="text1" w:themeTint="F2"/>
                <w:spacing w:val="-4"/>
              </w:rPr>
              <w:t> </w:t>
            </w:r>
            <w:r w:rsidRPr="008B0D80">
              <w:rPr>
                <w:rFonts w:cs="Arial"/>
                <w:spacing w:val="-4"/>
                <w:szCs w:val="20"/>
              </w:rPr>
              <w:t>mil.), tak i orientační hodnota vydaných stavebníc</w:t>
            </w:r>
            <w:r>
              <w:rPr>
                <w:rFonts w:cs="Arial"/>
                <w:spacing w:val="-4"/>
                <w:szCs w:val="20"/>
              </w:rPr>
              <w:t>h povolení (4,7 mil., resp. 4,3 </w:t>
            </w:r>
            <w:r w:rsidRPr="008B0D80">
              <w:rPr>
                <w:rFonts w:cs="Arial"/>
                <w:spacing w:val="-4"/>
                <w:szCs w:val="20"/>
              </w:rPr>
              <w:t>mil., nejvíce díky svižnému růstu u bytových budov). Saldo důvěry podnikatelů ve stavebnictví se dále zlepšovalo. Jeho hodnota na konci loňského listopadu opustila záporné pásmo (poprvé po deseti letech) a</w:t>
            </w:r>
            <w:r>
              <w:rPr>
                <w:rFonts w:cs="Arial"/>
                <w:spacing w:val="-4"/>
                <w:szCs w:val="20"/>
              </w:rPr>
              <w:t> </w:t>
            </w:r>
            <w:r w:rsidRPr="008B0D80">
              <w:rPr>
                <w:rFonts w:cs="Arial"/>
                <w:spacing w:val="-4"/>
                <w:szCs w:val="20"/>
              </w:rPr>
              <w:t>v lednu 2019 stanovila nové maximum v historii ČR (+</w:t>
            </w:r>
            <w:r>
              <w:rPr>
                <w:rFonts w:cs="Arial"/>
                <w:spacing w:val="-4"/>
                <w:szCs w:val="20"/>
              </w:rPr>
              <w:t>5,5 </w:t>
            </w:r>
            <w:r w:rsidRPr="008B0D80">
              <w:rPr>
                <w:rFonts w:cs="Arial"/>
                <w:spacing w:val="-4"/>
                <w:szCs w:val="20"/>
              </w:rPr>
              <w:t>bodu). Podíl stavebních firem nepociťujících žádné bariéry růstu byl v dubnu 2019 nejvyšší od roku 2009 (19</w:t>
            </w:r>
            <w:r>
              <w:rPr>
                <w:rFonts w:cs="Arial"/>
                <w:spacing w:val="-4"/>
                <w:szCs w:val="20"/>
              </w:rPr>
              <w:t> %</w:t>
            </w:r>
            <w:r w:rsidRPr="008B0D80">
              <w:rPr>
                <w:rFonts w:cs="Arial"/>
                <w:spacing w:val="-4"/>
                <w:szCs w:val="20"/>
              </w:rPr>
              <w:t>), ale stále zhruba o 10</w:t>
            </w:r>
            <w:r>
              <w:rPr>
                <w:rFonts w:cs="Arial"/>
                <w:spacing w:val="-4"/>
                <w:szCs w:val="20"/>
              </w:rPr>
              <w:t> p. b.</w:t>
            </w:r>
            <w:r w:rsidRPr="008B0D80">
              <w:rPr>
                <w:rFonts w:cs="Arial"/>
                <w:spacing w:val="-4"/>
                <w:szCs w:val="20"/>
              </w:rPr>
              <w:t xml:space="preserve"> pod úrovní konjukturní</w:t>
            </w:r>
            <w:r>
              <w:rPr>
                <w:rFonts w:cs="Arial"/>
                <w:spacing w:val="-4"/>
                <w:szCs w:val="20"/>
              </w:rPr>
              <w:t xml:space="preserve">ch </w:t>
            </w:r>
            <w:r w:rsidRPr="008B0D80">
              <w:rPr>
                <w:rFonts w:cs="Arial"/>
                <w:spacing w:val="-4"/>
                <w:szCs w:val="20"/>
              </w:rPr>
              <w:t>let 2007</w:t>
            </w:r>
            <w:r>
              <w:rPr>
                <w:rFonts w:cs="Arial"/>
                <w:spacing w:val="-4"/>
                <w:szCs w:val="20"/>
              </w:rPr>
              <w:t xml:space="preserve"> a</w:t>
            </w:r>
            <w:r w:rsidRPr="008B0D80">
              <w:rPr>
                <w:rFonts w:cs="Arial"/>
                <w:spacing w:val="-4"/>
                <w:szCs w:val="20"/>
              </w:rPr>
              <w:t>2008. Již osmý měsíc v řadě zůstává dominantní bariérou nedostatek zaměstnanců (42</w:t>
            </w:r>
            <w:r>
              <w:rPr>
                <w:rFonts w:cs="Arial"/>
                <w:spacing w:val="-4"/>
                <w:szCs w:val="20"/>
              </w:rPr>
              <w:t> %</w:t>
            </w:r>
            <w:r w:rsidRPr="008B0D80">
              <w:rPr>
                <w:rFonts w:cs="Arial"/>
                <w:spacing w:val="-4"/>
                <w:szCs w:val="20"/>
              </w:rPr>
              <w:t>), čtvrtinu podniků stále sužovala nedostatečná poptávka. Napjatá situace na pracovním trhu spolu se sílícími náklady na meziprodukty</w:t>
            </w:r>
            <w:r>
              <w:rPr>
                <w:rFonts w:cs="Arial"/>
                <w:spacing w:val="-4"/>
                <w:szCs w:val="20"/>
              </w:rPr>
              <w:t xml:space="preserve"> (materiály, energie) se odrážela</w:t>
            </w:r>
            <w:r w:rsidRPr="008B0D80">
              <w:rPr>
                <w:rFonts w:cs="Arial"/>
                <w:spacing w:val="-4"/>
                <w:szCs w:val="20"/>
              </w:rPr>
              <w:t xml:space="preserve"> ve svižném růstu cen stavebních prací i</w:t>
            </w:r>
            <w:r w:rsidR="00CE3E48">
              <w:rPr>
                <w:rFonts w:cs="Arial"/>
                <w:spacing w:val="-4"/>
                <w:szCs w:val="20"/>
              </w:rPr>
              <w:t> </w:t>
            </w:r>
            <w:r w:rsidRPr="008B0D80">
              <w:rPr>
                <w:rFonts w:cs="Arial"/>
                <w:spacing w:val="-4"/>
                <w:szCs w:val="20"/>
              </w:rPr>
              <w:t>finálních cen nemovitostí.</w:t>
            </w:r>
          </w:p>
        </w:tc>
      </w:tr>
      <w:tr w:rsidR="00D215B0" w:rsidRPr="00A16220" w14:paraId="11E4AF96" w14:textId="77777777" w:rsidTr="0052200D">
        <w:trPr>
          <w:trHeight w:val="145"/>
        </w:trPr>
        <w:tc>
          <w:tcPr>
            <w:tcW w:w="1764" w:type="dxa"/>
            <w:shd w:val="clear" w:color="auto" w:fill="auto"/>
            <w:tcMar>
              <w:left w:w="0" w:type="dxa"/>
            </w:tcMar>
          </w:tcPr>
          <w:p w14:paraId="015CB7A3" w14:textId="77777777" w:rsidR="00D215B0" w:rsidRDefault="00D215B0" w:rsidP="00D215B0">
            <w:pPr>
              <w:pStyle w:val="Marginlie"/>
            </w:pPr>
          </w:p>
        </w:tc>
        <w:tc>
          <w:tcPr>
            <w:tcW w:w="175" w:type="dxa"/>
            <w:shd w:val="clear" w:color="auto" w:fill="auto"/>
            <w:tcMar>
              <w:left w:w="0" w:type="dxa"/>
            </w:tcMar>
          </w:tcPr>
          <w:p w14:paraId="5CFD8B0E" w14:textId="77777777" w:rsidR="00D215B0" w:rsidRDefault="00D215B0" w:rsidP="00D215B0">
            <w:pPr>
              <w:pStyle w:val="Textpoznpodarou"/>
              <w:jc w:val="both"/>
              <w:rPr>
                <w:spacing w:val="-4"/>
              </w:rPr>
            </w:pPr>
          </w:p>
        </w:tc>
        <w:tc>
          <w:tcPr>
            <w:tcW w:w="7700" w:type="dxa"/>
            <w:shd w:val="clear" w:color="auto" w:fill="auto"/>
            <w:tcMar>
              <w:left w:w="0" w:type="dxa"/>
            </w:tcMar>
          </w:tcPr>
          <w:p w14:paraId="05CC83B0" w14:textId="77777777" w:rsidR="00D215B0" w:rsidRPr="00A16220" w:rsidRDefault="00D215B0" w:rsidP="00D215B0">
            <w:pPr>
              <w:pStyle w:val="Textpoznpodarou"/>
              <w:spacing w:line="276" w:lineRule="auto"/>
              <w:rPr>
                <w:b/>
                <w:spacing w:val="-2"/>
              </w:rPr>
            </w:pPr>
            <w:r w:rsidRPr="00365CD5">
              <w:rPr>
                <w:b/>
              </w:rPr>
              <w:t xml:space="preserve">Graf č. 8  </w:t>
            </w:r>
            <w:r w:rsidRPr="00365CD5">
              <w:rPr>
                <w:b/>
                <w:spacing w:val="-2"/>
              </w:rPr>
              <w:t xml:space="preserve">Příspěvky dílčích odvětví služeb k meziroční změně tržeb ve vybraných službách </w:t>
            </w:r>
            <w:r w:rsidRPr="00365CD5">
              <w:rPr>
                <w:spacing w:val="-2"/>
              </w:rPr>
              <w:t>(v</w:t>
            </w:r>
            <w:r>
              <w:rPr>
                <w:spacing w:val="-2"/>
              </w:rPr>
              <w:t> p. b.</w:t>
            </w:r>
            <w:r w:rsidRPr="00365CD5">
              <w:rPr>
                <w:spacing w:val="-2"/>
              </w:rPr>
              <w:t xml:space="preserve">)* </w:t>
            </w:r>
            <w:r w:rsidRPr="00365CD5">
              <w:rPr>
                <w:b/>
                <w:spacing w:val="-2"/>
              </w:rPr>
              <w:t xml:space="preserve">a </w:t>
            </w:r>
            <w:r w:rsidRPr="00365CD5">
              <w:rPr>
                <w:b/>
                <w:spacing w:val="-3"/>
              </w:rPr>
              <w:t xml:space="preserve">saldo indikátoru důvěry ve vybraných službách </w:t>
            </w:r>
            <w:r w:rsidRPr="00365CD5">
              <w:rPr>
                <w:spacing w:val="-3"/>
              </w:rPr>
              <w:t>(v bodech</w:t>
            </w:r>
            <w:r>
              <w:rPr>
                <w:spacing w:val="-3"/>
              </w:rPr>
              <w:t>)*</w:t>
            </w:r>
          </w:p>
        </w:tc>
      </w:tr>
      <w:tr w:rsidR="00D215B0" w:rsidRPr="00535F78" w14:paraId="782E21B2" w14:textId="77777777" w:rsidTr="0052200D">
        <w:tblPrEx>
          <w:tblCellMar>
            <w:left w:w="70" w:type="dxa"/>
            <w:right w:w="70" w:type="dxa"/>
          </w:tblCellMar>
        </w:tblPrEx>
        <w:trPr>
          <w:trHeight w:val="145"/>
        </w:trPr>
        <w:tc>
          <w:tcPr>
            <w:tcW w:w="1764" w:type="dxa"/>
            <w:shd w:val="clear" w:color="auto" w:fill="auto"/>
          </w:tcPr>
          <w:p w14:paraId="0D30CD42" w14:textId="77777777" w:rsidR="00D215B0" w:rsidRDefault="00D215B0" w:rsidP="00D215B0">
            <w:pPr>
              <w:pStyle w:val="Marginlie"/>
            </w:pPr>
          </w:p>
        </w:tc>
        <w:tc>
          <w:tcPr>
            <w:tcW w:w="175" w:type="dxa"/>
            <w:shd w:val="clear" w:color="auto" w:fill="auto"/>
          </w:tcPr>
          <w:p w14:paraId="243F268F" w14:textId="77777777" w:rsidR="00D215B0" w:rsidRDefault="00D215B0" w:rsidP="00D215B0">
            <w:pPr>
              <w:pStyle w:val="Textpoznpodarou"/>
              <w:jc w:val="both"/>
              <w:rPr>
                <w:spacing w:val="-4"/>
              </w:rPr>
            </w:pPr>
          </w:p>
        </w:tc>
        <w:tc>
          <w:tcPr>
            <w:tcW w:w="7700" w:type="dxa"/>
            <w:shd w:val="clear" w:color="auto" w:fill="auto"/>
          </w:tcPr>
          <w:p w14:paraId="25B6FDAA" w14:textId="77777777" w:rsidR="00D215B0" w:rsidRPr="00535F78" w:rsidRDefault="00D215B0" w:rsidP="00D215B0">
            <w:pPr>
              <w:spacing w:after="0"/>
              <w:rPr>
                <w:rFonts w:cs="Arial"/>
                <w:sz w:val="14"/>
                <w:szCs w:val="14"/>
              </w:rPr>
            </w:pPr>
            <w:r>
              <w:rPr>
                <w:noProof/>
              </w:rPr>
              <w:drawing>
                <wp:inline distT="0" distB="0" distL="0" distR="0" wp14:anchorId="736F838B" wp14:editId="18165213">
                  <wp:extent cx="4798060" cy="3461256"/>
                  <wp:effectExtent l="0" t="0" r="2540" b="63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D215B0" w:rsidRPr="00365CD5" w14:paraId="32CDBB08" w14:textId="77777777" w:rsidTr="0052200D">
        <w:trPr>
          <w:trHeight w:val="145"/>
        </w:trPr>
        <w:tc>
          <w:tcPr>
            <w:tcW w:w="1764" w:type="dxa"/>
            <w:shd w:val="clear" w:color="auto" w:fill="auto"/>
            <w:tcMar>
              <w:left w:w="0" w:type="dxa"/>
            </w:tcMar>
          </w:tcPr>
          <w:p w14:paraId="1CCF99AF" w14:textId="77777777" w:rsidR="00D215B0" w:rsidRDefault="00D215B0" w:rsidP="00D215B0">
            <w:pPr>
              <w:pStyle w:val="Marginlie"/>
            </w:pPr>
          </w:p>
        </w:tc>
        <w:tc>
          <w:tcPr>
            <w:tcW w:w="175" w:type="dxa"/>
            <w:shd w:val="clear" w:color="auto" w:fill="auto"/>
            <w:tcMar>
              <w:left w:w="0" w:type="dxa"/>
            </w:tcMar>
          </w:tcPr>
          <w:p w14:paraId="63479754" w14:textId="77777777" w:rsidR="00D215B0" w:rsidRDefault="00D215B0" w:rsidP="00D215B0">
            <w:pPr>
              <w:pStyle w:val="Textpoznpodarou"/>
              <w:jc w:val="both"/>
              <w:rPr>
                <w:spacing w:val="-4"/>
              </w:rPr>
            </w:pPr>
          </w:p>
        </w:tc>
        <w:tc>
          <w:tcPr>
            <w:tcW w:w="7700" w:type="dxa"/>
            <w:shd w:val="clear" w:color="auto" w:fill="auto"/>
            <w:tcMar>
              <w:left w:w="0" w:type="dxa"/>
            </w:tcMar>
          </w:tcPr>
          <w:p w14:paraId="4C8559AA" w14:textId="77777777" w:rsidR="00D215B0" w:rsidRPr="00365CD5" w:rsidRDefault="00D215B0" w:rsidP="00D215B0">
            <w:pPr>
              <w:spacing w:after="200" w:line="240" w:lineRule="auto"/>
              <w:jc w:val="left"/>
              <w:rPr>
                <w:rFonts w:cs="Arial"/>
                <w:sz w:val="14"/>
                <w:szCs w:val="14"/>
              </w:rPr>
            </w:pPr>
            <w:r w:rsidRPr="00365CD5">
              <w:rPr>
                <w:rFonts w:cs="Arial"/>
                <w:sz w:val="14"/>
                <w:szCs w:val="14"/>
              </w:rPr>
              <w:t xml:space="preserve">*Příspěvky </w:t>
            </w:r>
            <w:r>
              <w:rPr>
                <w:rFonts w:cs="Arial"/>
                <w:sz w:val="14"/>
                <w:szCs w:val="14"/>
              </w:rPr>
              <w:t xml:space="preserve">odvětví </w:t>
            </w:r>
            <w:r w:rsidRPr="00365CD5">
              <w:rPr>
                <w:rFonts w:cs="Arial"/>
                <w:sz w:val="14"/>
                <w:szCs w:val="14"/>
              </w:rPr>
              <w:t xml:space="preserve">jsou </w:t>
            </w:r>
            <w:r>
              <w:rPr>
                <w:sz w:val="14"/>
                <w:szCs w:val="14"/>
              </w:rPr>
              <w:t>očištěny</w:t>
            </w:r>
            <w:r w:rsidRPr="00365CD5">
              <w:rPr>
                <w:sz w:val="14"/>
                <w:szCs w:val="14"/>
              </w:rPr>
              <w:t xml:space="preserve"> o kalendářní vlivy</w:t>
            </w:r>
            <w:r>
              <w:rPr>
                <w:sz w:val="14"/>
                <w:szCs w:val="14"/>
              </w:rPr>
              <w:t>. Saldo důvěry je</w:t>
            </w:r>
            <w:r>
              <w:rPr>
                <w:rFonts w:cs="Arial"/>
                <w:sz w:val="14"/>
                <w:szCs w:val="14"/>
              </w:rPr>
              <w:t xml:space="preserve"> sezónně očištěno</w:t>
            </w:r>
            <w:r w:rsidRPr="00365CD5">
              <w:rPr>
                <w:rFonts w:cs="Arial"/>
                <w:sz w:val="14"/>
                <w:szCs w:val="14"/>
              </w:rPr>
              <w:t xml:space="preserve">.                                 </w:t>
            </w:r>
            <w:r>
              <w:rPr>
                <w:rFonts w:cs="Arial"/>
                <w:sz w:val="14"/>
                <w:szCs w:val="14"/>
              </w:rPr>
              <w:t xml:space="preserve">         </w:t>
            </w:r>
            <w:r w:rsidRPr="00365CD5">
              <w:rPr>
                <w:rFonts w:cs="Arial"/>
                <w:sz w:val="14"/>
                <w:szCs w:val="14"/>
              </w:rPr>
              <w:t>Zdroj: ČSÚ</w:t>
            </w:r>
          </w:p>
        </w:tc>
      </w:tr>
      <w:tr w:rsidR="00D215B0" w:rsidRPr="005B4D3B" w14:paraId="6ED29D8B" w14:textId="77777777" w:rsidTr="0052200D">
        <w:trPr>
          <w:trHeight w:val="145"/>
        </w:trPr>
        <w:tc>
          <w:tcPr>
            <w:tcW w:w="1764" w:type="dxa"/>
            <w:shd w:val="clear" w:color="auto" w:fill="auto"/>
            <w:tcMar>
              <w:left w:w="0" w:type="dxa"/>
            </w:tcMar>
          </w:tcPr>
          <w:p w14:paraId="198CE771" w14:textId="77777777" w:rsidR="00D215B0" w:rsidRDefault="00D215B0" w:rsidP="00D215B0">
            <w:pPr>
              <w:pStyle w:val="Marginlie"/>
            </w:pPr>
            <w:r>
              <w:t>Růst tržeb ve vybraných službách táhly hlavně informační a komunikační činnosti.</w:t>
            </w:r>
          </w:p>
          <w:p w14:paraId="4D97A31B" w14:textId="77777777" w:rsidR="00D215B0" w:rsidRDefault="00D215B0" w:rsidP="00D215B0">
            <w:pPr>
              <w:pStyle w:val="Marginlie"/>
            </w:pPr>
          </w:p>
          <w:p w14:paraId="4D592078" w14:textId="77777777" w:rsidR="00D215B0" w:rsidRDefault="00D215B0" w:rsidP="00D215B0">
            <w:pPr>
              <w:pStyle w:val="Marginlie"/>
            </w:pPr>
          </w:p>
          <w:p w14:paraId="6F3F7761" w14:textId="77777777" w:rsidR="00D215B0" w:rsidRDefault="00D215B0" w:rsidP="00D215B0">
            <w:pPr>
              <w:pStyle w:val="Marginlie"/>
            </w:pPr>
          </w:p>
          <w:p w14:paraId="70D3B1A2" w14:textId="77777777" w:rsidR="00D215B0" w:rsidRDefault="00D215B0" w:rsidP="00D215B0">
            <w:pPr>
              <w:pStyle w:val="Marginlie"/>
            </w:pPr>
          </w:p>
          <w:p w14:paraId="04527530" w14:textId="25D0964C" w:rsidR="00D215B0" w:rsidRDefault="00D215B0" w:rsidP="00D215B0">
            <w:pPr>
              <w:pStyle w:val="Marginlie"/>
            </w:pPr>
            <w:r>
              <w:t xml:space="preserve">Tržby ve skladování po silném loňském roku </w:t>
            </w:r>
            <w:r>
              <w:lastRenderedPageBreak/>
              <w:t>mírně klesly. Pozemní dopravě svědčil pokračující rozvoj obchodu i vyšší mobilita obyvatel.</w:t>
            </w:r>
          </w:p>
          <w:p w14:paraId="6A66641D" w14:textId="77777777" w:rsidR="00D215B0" w:rsidRDefault="00D215B0" w:rsidP="00D215B0">
            <w:pPr>
              <w:pStyle w:val="Marginlie"/>
            </w:pPr>
          </w:p>
          <w:p w14:paraId="751B96C8" w14:textId="77777777" w:rsidR="00D215B0" w:rsidRDefault="00D215B0" w:rsidP="00D215B0">
            <w:pPr>
              <w:pStyle w:val="Marginlie"/>
            </w:pPr>
          </w:p>
          <w:p w14:paraId="3E74663A" w14:textId="77777777" w:rsidR="00D215B0" w:rsidRDefault="00D215B0" w:rsidP="00D215B0">
            <w:pPr>
              <w:pStyle w:val="Marginlie"/>
            </w:pPr>
            <w:r>
              <w:t>Dynamika příjezdového cestovního ruchu výrazně zvolnila.</w:t>
            </w:r>
          </w:p>
          <w:p w14:paraId="12828462" w14:textId="77777777" w:rsidR="00D215B0" w:rsidRDefault="00D215B0" w:rsidP="00D215B0">
            <w:pPr>
              <w:pStyle w:val="Marginlie"/>
            </w:pPr>
          </w:p>
          <w:p w14:paraId="341D57C1" w14:textId="77777777" w:rsidR="00D215B0" w:rsidRDefault="00D215B0" w:rsidP="00D215B0">
            <w:pPr>
              <w:pStyle w:val="Marginlie"/>
            </w:pPr>
          </w:p>
          <w:p w14:paraId="64BC4AC6" w14:textId="77777777" w:rsidR="00D215B0" w:rsidRDefault="00D215B0" w:rsidP="00D215B0">
            <w:pPr>
              <w:pStyle w:val="Marginlie"/>
            </w:pPr>
          </w:p>
          <w:p w14:paraId="268D6898" w14:textId="77777777" w:rsidR="00D215B0" w:rsidRDefault="00D215B0" w:rsidP="00D215B0">
            <w:pPr>
              <w:pStyle w:val="Marginlie"/>
            </w:pPr>
            <w:r>
              <w:t>Dlouhodobější pokles tržeb za reklamu se zastavil.</w:t>
            </w:r>
          </w:p>
          <w:p w14:paraId="19F260D1" w14:textId="77777777" w:rsidR="00D215B0" w:rsidRDefault="00D215B0" w:rsidP="00D215B0">
            <w:pPr>
              <w:pStyle w:val="Marginlie"/>
            </w:pPr>
          </w:p>
          <w:p w14:paraId="0279045A" w14:textId="77777777" w:rsidR="00D215B0" w:rsidRDefault="00D215B0" w:rsidP="00D215B0">
            <w:pPr>
              <w:pStyle w:val="Marginlie"/>
            </w:pPr>
          </w:p>
          <w:p w14:paraId="77A89CAD" w14:textId="77777777" w:rsidR="00D215B0" w:rsidRDefault="00D215B0" w:rsidP="00D215B0">
            <w:pPr>
              <w:pStyle w:val="Marginlie"/>
            </w:pPr>
          </w:p>
          <w:p w14:paraId="1A8F8A98" w14:textId="77777777" w:rsidR="00D215B0" w:rsidRDefault="00D215B0" w:rsidP="00D215B0">
            <w:pPr>
              <w:pStyle w:val="Marginlie"/>
            </w:pPr>
            <w:r>
              <w:t>Slabší tržby pracovních agentur souvisely s horšími výsledky průmyslu.</w:t>
            </w:r>
          </w:p>
          <w:p w14:paraId="0FC4A970" w14:textId="77777777" w:rsidR="00D215B0" w:rsidRDefault="00D215B0" w:rsidP="00D215B0">
            <w:pPr>
              <w:pStyle w:val="Marginlie"/>
            </w:pPr>
          </w:p>
        </w:tc>
        <w:tc>
          <w:tcPr>
            <w:tcW w:w="175" w:type="dxa"/>
            <w:shd w:val="clear" w:color="auto" w:fill="auto"/>
            <w:tcMar>
              <w:left w:w="0" w:type="dxa"/>
            </w:tcMar>
          </w:tcPr>
          <w:p w14:paraId="06A4D45B" w14:textId="77777777" w:rsidR="00D215B0" w:rsidRDefault="00D215B0" w:rsidP="00D215B0">
            <w:pPr>
              <w:pStyle w:val="Textpoznpodarou"/>
              <w:jc w:val="both"/>
              <w:rPr>
                <w:spacing w:val="-4"/>
              </w:rPr>
            </w:pPr>
          </w:p>
        </w:tc>
        <w:tc>
          <w:tcPr>
            <w:tcW w:w="7700" w:type="dxa"/>
            <w:shd w:val="clear" w:color="auto" w:fill="auto"/>
            <w:tcMar>
              <w:left w:w="0" w:type="dxa"/>
            </w:tcMar>
          </w:tcPr>
          <w:p w14:paraId="7C73500A" w14:textId="10319436" w:rsidR="00D215B0" w:rsidRPr="005B4D3B" w:rsidRDefault="00D215B0" w:rsidP="00CE3E48">
            <w:pPr>
              <w:spacing w:after="180"/>
              <w:rPr>
                <w:color w:val="0D0D0D" w:themeColor="text1" w:themeTint="F2"/>
                <w:spacing w:val="-4"/>
              </w:rPr>
            </w:pPr>
            <w:r w:rsidRPr="005B4D3B">
              <w:rPr>
                <w:spacing w:val="-4"/>
              </w:rPr>
              <w:t xml:space="preserve">Tržby </w:t>
            </w:r>
            <w:r w:rsidRPr="005B4D3B">
              <w:rPr>
                <w:color w:val="0D0D0D" w:themeColor="text1" w:themeTint="F2"/>
                <w:spacing w:val="-4"/>
              </w:rPr>
              <w:t>ve vybraných službách</w:t>
            </w:r>
            <w:r w:rsidRPr="005B4D3B">
              <w:rPr>
                <w:color w:val="0D0D0D" w:themeColor="text1" w:themeTint="F2"/>
                <w:spacing w:val="-4"/>
                <w:vertAlign w:val="superscript"/>
              </w:rPr>
              <w:footnoteReference w:id="21"/>
            </w:r>
            <w:r w:rsidRPr="005B4D3B">
              <w:rPr>
                <w:color w:val="0D0D0D" w:themeColor="text1" w:themeTint="F2"/>
                <w:spacing w:val="-4"/>
              </w:rPr>
              <w:t xml:space="preserve"> po krátkodobém zvolnění na konci loňského roku v 1. čtvrtletí 2019 výrazně ožily. </w:t>
            </w:r>
            <w:proofErr w:type="spellStart"/>
            <w:r w:rsidRPr="005B4D3B">
              <w:rPr>
                <w:color w:val="0D0D0D" w:themeColor="text1" w:themeTint="F2"/>
                <w:spacing w:val="-4"/>
              </w:rPr>
              <w:t>Mezikvartálně</w:t>
            </w:r>
            <w:proofErr w:type="spellEnd"/>
            <w:r w:rsidRPr="005B4D3B">
              <w:rPr>
                <w:color w:val="0D0D0D" w:themeColor="text1" w:themeTint="F2"/>
                <w:spacing w:val="-4"/>
              </w:rPr>
              <w:t xml:space="preserve"> posílily o 1,8</w:t>
            </w:r>
            <w:r>
              <w:rPr>
                <w:color w:val="0D0D0D" w:themeColor="text1" w:themeTint="F2"/>
                <w:spacing w:val="-4"/>
              </w:rPr>
              <w:t> %</w:t>
            </w:r>
            <w:r w:rsidRPr="005B4D3B">
              <w:rPr>
                <w:color w:val="0D0D0D" w:themeColor="text1" w:themeTint="F2"/>
                <w:spacing w:val="-4"/>
              </w:rPr>
              <w:t>, meziročně o 2,4</w:t>
            </w:r>
            <w:r>
              <w:rPr>
                <w:color w:val="0D0D0D" w:themeColor="text1" w:themeTint="F2"/>
                <w:spacing w:val="-4"/>
              </w:rPr>
              <w:t> %</w:t>
            </w:r>
            <w:r w:rsidRPr="005B4D3B">
              <w:rPr>
                <w:color w:val="0D0D0D" w:themeColor="text1" w:themeTint="F2"/>
                <w:spacing w:val="-4"/>
              </w:rPr>
              <w:t xml:space="preserve"> (méně než v průměru za celý loňský rok: 3,3</w:t>
            </w:r>
            <w:r>
              <w:rPr>
                <w:color w:val="0D0D0D" w:themeColor="text1" w:themeTint="F2"/>
                <w:spacing w:val="-4"/>
              </w:rPr>
              <w:t> %</w:t>
            </w:r>
            <w:r w:rsidRPr="005B4D3B">
              <w:rPr>
                <w:color w:val="0D0D0D" w:themeColor="text1" w:themeTint="F2"/>
                <w:spacing w:val="-4"/>
              </w:rPr>
              <w:t>). Mezičtvrtletní i meziroční růst letos signalizovaly všechny odvětvové sekce služeb. Meziroční vyšší výkony služeb byly bezmála z poloviny zajištěny svižným růstem tržeb v odvětví informačních a komunikačních činností (+5,2</w:t>
            </w:r>
            <w:r>
              <w:rPr>
                <w:color w:val="0D0D0D" w:themeColor="text1" w:themeTint="F2"/>
                <w:spacing w:val="-4"/>
              </w:rPr>
              <w:t> %</w:t>
            </w:r>
            <w:r w:rsidRPr="005B4D3B">
              <w:rPr>
                <w:color w:val="0D0D0D" w:themeColor="text1" w:themeTint="F2"/>
                <w:spacing w:val="-4"/>
              </w:rPr>
              <w:t>), kde se dařilo všem dílčím odvětvím (vyjma tvorby programů a vysílání). To platilo zejména o tržbách ve vydavatelských činnostech či v hudebním a filmovém průmyslu</w:t>
            </w:r>
            <w:r w:rsidRPr="005B4D3B">
              <w:rPr>
                <w:rStyle w:val="Znakapoznpodarou"/>
                <w:spacing w:val="-4"/>
              </w:rPr>
              <w:footnoteReference w:id="22"/>
            </w:r>
            <w:r w:rsidRPr="005B4D3B">
              <w:rPr>
                <w:color w:val="0D0D0D" w:themeColor="text1" w:themeTint="F2"/>
                <w:spacing w:val="-4"/>
              </w:rPr>
              <w:t xml:space="preserve">. K posílení celého odvětví ale přispěl nejvíce dlouhodobě dynamický obor činností v oblasti IT (s růstem </w:t>
            </w:r>
            <w:r w:rsidRPr="005B4D3B">
              <w:rPr>
                <w:color w:val="0D0D0D" w:themeColor="text1" w:themeTint="F2"/>
                <w:spacing w:val="-4"/>
              </w:rPr>
              <w:lastRenderedPageBreak/>
              <w:t>o 6,8 %). V odvětví dopravy a skladování růst tržeb citelně zvolnil (na 1,4</w:t>
            </w:r>
            <w:r>
              <w:rPr>
                <w:color w:val="0D0D0D" w:themeColor="text1" w:themeTint="F2"/>
                <w:spacing w:val="-4"/>
              </w:rPr>
              <w:t> %</w:t>
            </w:r>
            <w:r w:rsidRPr="005B4D3B">
              <w:rPr>
                <w:color w:val="0D0D0D" w:themeColor="text1" w:themeTint="F2"/>
                <w:spacing w:val="-4"/>
              </w:rPr>
              <w:t>, v 1. loňském čtvrtletí 6,0</w:t>
            </w:r>
            <w:r>
              <w:rPr>
                <w:color w:val="0D0D0D" w:themeColor="text1" w:themeTint="F2"/>
                <w:spacing w:val="-4"/>
              </w:rPr>
              <w:t> %</w:t>
            </w:r>
            <w:r w:rsidRPr="005B4D3B">
              <w:rPr>
                <w:color w:val="0D0D0D" w:themeColor="text1" w:themeTint="F2"/>
                <w:spacing w:val="-4"/>
              </w:rPr>
              <w:t>), a to primárně vlivem skladování a vedlejší</w:t>
            </w:r>
            <w:r>
              <w:rPr>
                <w:color w:val="0D0D0D" w:themeColor="text1" w:themeTint="F2"/>
                <w:spacing w:val="-4"/>
              </w:rPr>
              <w:t>ch</w:t>
            </w:r>
            <w:r w:rsidRPr="005B4D3B">
              <w:rPr>
                <w:color w:val="0D0D0D" w:themeColor="text1" w:themeTint="F2"/>
                <w:spacing w:val="-4"/>
              </w:rPr>
              <w:t xml:space="preserve"> činnost</w:t>
            </w:r>
            <w:r>
              <w:rPr>
                <w:color w:val="0D0D0D" w:themeColor="text1" w:themeTint="F2"/>
                <w:spacing w:val="-4"/>
              </w:rPr>
              <w:t>í</w:t>
            </w:r>
            <w:r w:rsidRPr="005B4D3B">
              <w:rPr>
                <w:color w:val="0D0D0D" w:themeColor="text1" w:themeTint="F2"/>
                <w:spacing w:val="-4"/>
              </w:rPr>
              <w:t xml:space="preserve"> v dopravě (–1,9</w:t>
            </w:r>
            <w:r>
              <w:rPr>
                <w:color w:val="0D0D0D" w:themeColor="text1" w:themeTint="F2"/>
                <w:spacing w:val="-4"/>
              </w:rPr>
              <w:t> %</w:t>
            </w:r>
            <w:r w:rsidRPr="005B4D3B">
              <w:rPr>
                <w:color w:val="0D0D0D" w:themeColor="text1" w:themeTint="F2"/>
                <w:spacing w:val="-4"/>
              </w:rPr>
              <w:t>, resp. +8,6</w:t>
            </w:r>
            <w:r>
              <w:rPr>
                <w:color w:val="0D0D0D" w:themeColor="text1" w:themeTint="F2"/>
                <w:spacing w:val="-4"/>
              </w:rPr>
              <w:t> %</w:t>
            </w:r>
            <w:r w:rsidRPr="005B4D3B">
              <w:rPr>
                <w:color w:val="0D0D0D" w:themeColor="text1" w:themeTint="F2"/>
                <w:spacing w:val="-4"/>
              </w:rPr>
              <w:t>). Ve váhově dominantní pozemní dopravě souvisel růst tržeb (o 3,4</w:t>
            </w:r>
            <w:r>
              <w:rPr>
                <w:color w:val="0D0D0D" w:themeColor="text1" w:themeTint="F2"/>
                <w:spacing w:val="-4"/>
              </w:rPr>
              <w:t> </w:t>
            </w:r>
            <w:r w:rsidRPr="005B4D3B">
              <w:rPr>
                <w:color w:val="0D0D0D" w:themeColor="text1" w:themeTint="F2"/>
                <w:spacing w:val="-4"/>
              </w:rPr>
              <w:t>%) s rozvojem obchodu a vyšší mobilitou obyvatel podpořenou rekordní výší zaměstnanosti i</w:t>
            </w:r>
            <w:r w:rsidR="00CE3E48">
              <w:rPr>
                <w:color w:val="0D0D0D" w:themeColor="text1" w:themeTint="F2"/>
                <w:spacing w:val="-4"/>
              </w:rPr>
              <w:t> </w:t>
            </w:r>
            <w:r w:rsidRPr="005B4D3B">
              <w:rPr>
                <w:color w:val="0D0D0D" w:themeColor="text1" w:themeTint="F2"/>
                <w:spacing w:val="-4"/>
              </w:rPr>
              <w:t>rozšířením slev jízdného ve veřejné dopravě. Dařilo se letecké dopravě (+11,3</w:t>
            </w:r>
            <w:r>
              <w:rPr>
                <w:color w:val="0D0D0D" w:themeColor="text1" w:themeTint="F2"/>
                <w:spacing w:val="-4"/>
              </w:rPr>
              <w:t> %</w:t>
            </w:r>
            <w:r w:rsidRPr="005B4D3B">
              <w:rPr>
                <w:color w:val="0D0D0D" w:themeColor="text1" w:themeTint="F2"/>
                <w:spacing w:val="-4"/>
              </w:rPr>
              <w:t>) i tuzemským provozovatelům vodní dopravy (díky jejich aktivitám v zahraničí). V odvětví ubytování, stravování a pohostinství rostly tržby (o 2,4</w:t>
            </w:r>
            <w:r>
              <w:rPr>
                <w:color w:val="0D0D0D" w:themeColor="text1" w:themeTint="F2"/>
                <w:spacing w:val="-4"/>
              </w:rPr>
              <w:t> %</w:t>
            </w:r>
            <w:r w:rsidRPr="005B4D3B">
              <w:rPr>
                <w:color w:val="0D0D0D" w:themeColor="text1" w:themeTint="F2"/>
                <w:spacing w:val="-4"/>
              </w:rPr>
              <w:t>) podobně jako vloni mírnějším tempem. Z velké části se na tom podílelo zvolnění dynamiky příjezdového cestovního ruchu</w:t>
            </w:r>
            <w:r w:rsidRPr="005B4D3B">
              <w:rPr>
                <w:rStyle w:val="Znakapoznpodarou"/>
                <w:spacing w:val="-4"/>
              </w:rPr>
              <w:footnoteReference w:id="23"/>
            </w:r>
            <w:r>
              <w:rPr>
                <w:color w:val="0D0D0D" w:themeColor="text1" w:themeTint="F2"/>
                <w:spacing w:val="-4"/>
              </w:rPr>
              <w:t xml:space="preserve">. </w:t>
            </w:r>
            <w:r w:rsidRPr="005B4D3B">
              <w:rPr>
                <w:color w:val="0D0D0D" w:themeColor="text1" w:themeTint="F2"/>
                <w:spacing w:val="-4"/>
              </w:rPr>
              <w:t>Odvětví profesní, vědecké a technické činnosti, které bylo citelně poznamenáno dlouhodobou recesí, rostlo již třetím rokem v řadě (+2,6</w:t>
            </w:r>
            <w:r>
              <w:rPr>
                <w:color w:val="0D0D0D" w:themeColor="text1" w:themeTint="F2"/>
                <w:spacing w:val="-4"/>
              </w:rPr>
              <w:t> %</w:t>
            </w:r>
            <w:r w:rsidRPr="005B4D3B">
              <w:rPr>
                <w:color w:val="0D0D0D" w:themeColor="text1" w:themeTint="F2"/>
                <w:spacing w:val="-4"/>
              </w:rPr>
              <w:t>). Táhly ho hlavně architektonické a inženýrské činnost</w:t>
            </w:r>
            <w:r>
              <w:rPr>
                <w:color w:val="0D0D0D" w:themeColor="text1" w:themeTint="F2"/>
                <w:spacing w:val="-4"/>
              </w:rPr>
              <w:t>i</w:t>
            </w:r>
            <w:r w:rsidRPr="005B4D3B">
              <w:rPr>
                <w:color w:val="0D0D0D" w:themeColor="text1" w:themeTint="F2"/>
                <w:spacing w:val="-4"/>
              </w:rPr>
              <w:t xml:space="preserve"> (+3,2</w:t>
            </w:r>
            <w:r>
              <w:rPr>
                <w:color w:val="0D0D0D" w:themeColor="text1" w:themeTint="F2"/>
                <w:spacing w:val="-4"/>
              </w:rPr>
              <w:t> %</w:t>
            </w:r>
            <w:r w:rsidRPr="005B4D3B">
              <w:rPr>
                <w:color w:val="0D0D0D" w:themeColor="text1" w:themeTint="F2"/>
                <w:spacing w:val="-4"/>
              </w:rPr>
              <w:t xml:space="preserve">) profitující z rozvoje stavebnictví. Dařilo se i poradenství v oblasti řízení, účetnickým i auditorským činnostem, daňovému poradenství či průzkumu trhu a veřejného mínění. Zastavil se dlouhodobější pokles tržeb za reklamu. </w:t>
            </w:r>
            <w:r>
              <w:rPr>
                <w:color w:val="0D0D0D" w:themeColor="text1" w:themeTint="F2"/>
                <w:spacing w:val="-4"/>
              </w:rPr>
              <w:t>M</w:t>
            </w:r>
            <w:r w:rsidRPr="005B4D3B">
              <w:rPr>
                <w:color w:val="0D0D0D" w:themeColor="text1" w:themeTint="F2"/>
                <w:spacing w:val="-4"/>
              </w:rPr>
              <w:t>írný růst v odvětví administrativních a podpůrných činností (+0,8</w:t>
            </w:r>
            <w:r>
              <w:rPr>
                <w:color w:val="0D0D0D" w:themeColor="text1" w:themeTint="F2"/>
                <w:spacing w:val="-4"/>
              </w:rPr>
              <w:t> %</w:t>
            </w:r>
            <w:r w:rsidRPr="005B4D3B">
              <w:rPr>
                <w:color w:val="0D0D0D" w:themeColor="text1" w:themeTint="F2"/>
                <w:spacing w:val="-4"/>
              </w:rPr>
              <w:t>) byl výsledkem značně různorodého vývoje dílčích oborů. Pokračovala dlouhodobě silná poptávka v oblasti pronájmu (zejm</w:t>
            </w:r>
            <w:r>
              <w:rPr>
                <w:color w:val="0D0D0D" w:themeColor="text1" w:themeTint="F2"/>
                <w:spacing w:val="-4"/>
              </w:rPr>
              <w:t>éna</w:t>
            </w:r>
            <w:r w:rsidRPr="005B4D3B">
              <w:rPr>
                <w:color w:val="0D0D0D" w:themeColor="text1" w:themeTint="F2"/>
                <w:spacing w:val="-4"/>
              </w:rPr>
              <w:t xml:space="preserve"> dopravních prostředků, ale i strojů) a operativního leasingu a také u</w:t>
            </w:r>
            <w:r>
              <w:rPr>
                <w:color w:val="0D0D0D" w:themeColor="text1" w:themeTint="F2"/>
                <w:spacing w:val="-4"/>
              </w:rPr>
              <w:t> </w:t>
            </w:r>
            <w:r w:rsidRPr="005B4D3B">
              <w:rPr>
                <w:color w:val="0D0D0D" w:themeColor="text1" w:themeTint="F2"/>
                <w:spacing w:val="-4"/>
              </w:rPr>
              <w:t>administrativních a kancelářských činností. Naopak po dvou předešlých silných letech postihl hlubší pokles cestovní kanceláře (vč. jiných rezervačních a souvisejících činností</w:t>
            </w:r>
            <w:r>
              <w:rPr>
                <w:color w:val="0D0D0D" w:themeColor="text1" w:themeTint="F2"/>
                <w:spacing w:val="-4"/>
              </w:rPr>
              <w:t>)</w:t>
            </w:r>
            <w:r w:rsidRPr="005B4D3B">
              <w:rPr>
                <w:color w:val="0D0D0D" w:themeColor="text1" w:themeTint="F2"/>
                <w:spacing w:val="-4"/>
              </w:rPr>
              <w:t>. Nejslabší meziroční výsledek (</w:t>
            </w:r>
            <w:r>
              <w:rPr>
                <w:color w:val="0D0D0D" w:themeColor="text1" w:themeTint="F2"/>
                <w:spacing w:val="-4"/>
              </w:rPr>
              <w:t>–</w:t>
            </w:r>
            <w:r w:rsidRPr="005B4D3B">
              <w:rPr>
                <w:color w:val="0D0D0D" w:themeColor="text1" w:themeTint="F2"/>
                <w:spacing w:val="-4"/>
              </w:rPr>
              <w:t>3,3</w:t>
            </w:r>
            <w:r>
              <w:rPr>
                <w:color w:val="0D0D0D" w:themeColor="text1" w:themeTint="F2"/>
                <w:spacing w:val="-4"/>
              </w:rPr>
              <w:t> %</w:t>
            </w:r>
            <w:r w:rsidRPr="005B4D3B">
              <w:rPr>
                <w:color w:val="0D0D0D" w:themeColor="text1" w:themeTint="F2"/>
                <w:spacing w:val="-4"/>
              </w:rPr>
              <w:t>) od konce roku 2009</w:t>
            </w:r>
            <w:r>
              <w:rPr>
                <w:color w:val="0D0D0D" w:themeColor="text1" w:themeTint="F2"/>
                <w:spacing w:val="-4"/>
              </w:rPr>
              <w:t xml:space="preserve"> si</w:t>
            </w:r>
            <w:r w:rsidRPr="005B4D3B">
              <w:rPr>
                <w:color w:val="0D0D0D" w:themeColor="text1" w:themeTint="F2"/>
                <w:spacing w:val="-4"/>
              </w:rPr>
              <w:t xml:space="preserve"> připsaly pracovní agentury, což souviselo i s citelným zvolněním průmyslu (vč. nejistých výhledů v oblasti rozvoje agenturní zaměstnanosti). Mělký pokles tržeb byl patrný i v bezpečnostních a pátracích činnostech. Ten byl v tomto odvětví doprovázen i redukcí zaměstnanosti.</w:t>
            </w:r>
          </w:p>
        </w:tc>
      </w:tr>
      <w:tr w:rsidR="00D215B0" w:rsidRPr="005B4D3B" w14:paraId="0B8EAD15" w14:textId="77777777" w:rsidTr="0052200D">
        <w:trPr>
          <w:trHeight w:val="145"/>
        </w:trPr>
        <w:tc>
          <w:tcPr>
            <w:tcW w:w="1764" w:type="dxa"/>
            <w:shd w:val="clear" w:color="auto" w:fill="auto"/>
            <w:tcMar>
              <w:left w:w="0" w:type="dxa"/>
            </w:tcMar>
          </w:tcPr>
          <w:p w14:paraId="20F2DEE6" w14:textId="77777777" w:rsidR="00D215B0" w:rsidRDefault="00D215B0" w:rsidP="00D215B0">
            <w:pPr>
              <w:pStyle w:val="Marginlie"/>
            </w:pPr>
            <w:r>
              <w:lastRenderedPageBreak/>
              <w:t>Růst maloobchodních tržeb nezpomaloval. Spotřebitelé ale výrazně pozitivní saldo důvěry na počátku roku mírně korigovali.</w:t>
            </w:r>
          </w:p>
          <w:p w14:paraId="205DEBB5" w14:textId="77777777" w:rsidR="00D215B0" w:rsidRDefault="00D215B0" w:rsidP="00D215B0">
            <w:pPr>
              <w:pStyle w:val="Marginlie"/>
            </w:pPr>
          </w:p>
          <w:p w14:paraId="4E28438A" w14:textId="77777777" w:rsidR="00D215B0" w:rsidRDefault="00D215B0" w:rsidP="00D215B0">
            <w:pPr>
              <w:pStyle w:val="Marginlie"/>
            </w:pPr>
          </w:p>
          <w:p w14:paraId="79B3D53A" w14:textId="77777777" w:rsidR="00D215B0" w:rsidRDefault="00D215B0" w:rsidP="00D215B0">
            <w:pPr>
              <w:pStyle w:val="Marginlie"/>
            </w:pPr>
          </w:p>
          <w:p w14:paraId="030818F2" w14:textId="77777777" w:rsidR="00D215B0" w:rsidRDefault="00D215B0" w:rsidP="00D215B0">
            <w:pPr>
              <w:pStyle w:val="Marginlie"/>
            </w:pPr>
          </w:p>
          <w:p w14:paraId="68B1AD97" w14:textId="77777777" w:rsidR="00D215B0" w:rsidRDefault="00D215B0" w:rsidP="00D215B0">
            <w:pPr>
              <w:pStyle w:val="Marginlie"/>
            </w:pPr>
          </w:p>
          <w:p w14:paraId="035D641C" w14:textId="77777777" w:rsidR="00D215B0" w:rsidRDefault="00D215B0" w:rsidP="00D215B0">
            <w:pPr>
              <w:pStyle w:val="Marginlie"/>
            </w:pPr>
          </w:p>
          <w:p w14:paraId="30D64005" w14:textId="11687FC0" w:rsidR="00D215B0" w:rsidRDefault="00D215B0" w:rsidP="00D215B0">
            <w:pPr>
              <w:pStyle w:val="Marginlie"/>
            </w:pPr>
            <w:r>
              <w:t>Slabší tempo růstu tržeb prodejců potravin šlo zčásti na vrub posunutých nákupů souvisejících s Velikonocemi.</w:t>
            </w:r>
          </w:p>
        </w:tc>
        <w:tc>
          <w:tcPr>
            <w:tcW w:w="175" w:type="dxa"/>
            <w:shd w:val="clear" w:color="auto" w:fill="auto"/>
            <w:tcMar>
              <w:left w:w="0" w:type="dxa"/>
            </w:tcMar>
          </w:tcPr>
          <w:p w14:paraId="2662BBFC" w14:textId="77777777" w:rsidR="00D215B0" w:rsidRDefault="00D215B0" w:rsidP="00D215B0">
            <w:pPr>
              <w:pStyle w:val="Textpoznpodarou"/>
              <w:jc w:val="both"/>
              <w:rPr>
                <w:spacing w:val="-4"/>
              </w:rPr>
            </w:pPr>
          </w:p>
        </w:tc>
        <w:tc>
          <w:tcPr>
            <w:tcW w:w="7700" w:type="dxa"/>
            <w:shd w:val="clear" w:color="auto" w:fill="auto"/>
            <w:tcMar>
              <w:left w:w="0" w:type="dxa"/>
            </w:tcMar>
          </w:tcPr>
          <w:p w14:paraId="34D286EB" w14:textId="0B9F9791" w:rsidR="00D215B0" w:rsidRPr="005B4D3B" w:rsidRDefault="00D215B0" w:rsidP="0052200D">
            <w:pPr>
              <w:spacing w:after="180"/>
              <w:rPr>
                <w:rFonts w:cs="Arial"/>
                <w:spacing w:val="-4"/>
                <w:szCs w:val="20"/>
              </w:rPr>
            </w:pPr>
            <w:r w:rsidRPr="005B4D3B">
              <w:rPr>
                <w:rFonts w:cs="Arial"/>
                <w:spacing w:val="-4"/>
                <w:szCs w:val="20"/>
              </w:rPr>
              <w:t>Vysoký reálný růst průměrných mezd i důchodů ve spojení s pozitivním saldem spotřebitelské důvěry se v 1. čtvrtletí otiskl 5,6% meziročním růstem maloobchodních tržeb</w:t>
            </w:r>
            <w:r w:rsidRPr="005B4D3B">
              <w:rPr>
                <w:rStyle w:val="Znakapoznpodarou"/>
                <w:spacing w:val="-4"/>
              </w:rPr>
              <w:footnoteReference w:id="24"/>
            </w:r>
            <w:r w:rsidRPr="005B4D3B">
              <w:rPr>
                <w:rFonts w:cs="Arial"/>
                <w:spacing w:val="-4"/>
                <w:szCs w:val="20"/>
              </w:rPr>
              <w:t>. Tržby udržely svižné tempo i navzdory vysoké srovnávací základně</w:t>
            </w:r>
            <w:r w:rsidRPr="005B4D3B">
              <w:rPr>
                <w:rStyle w:val="Znakapoznpodarou"/>
                <w:spacing w:val="-4"/>
              </w:rPr>
              <w:footnoteReference w:id="25"/>
            </w:r>
            <w:r w:rsidRPr="005B4D3B">
              <w:rPr>
                <w:rFonts w:cs="Arial"/>
                <w:spacing w:val="-4"/>
                <w:szCs w:val="20"/>
              </w:rPr>
              <w:t>. Nezanedbatelný růst byl letos patrný i ve srovnání s posledním čtvrtletím 2018 (o 2,0 </w:t>
            </w:r>
            <w:r>
              <w:rPr>
                <w:rFonts w:cs="Arial"/>
                <w:spacing w:val="-4"/>
                <w:szCs w:val="20"/>
              </w:rPr>
              <w:t>%), a</w:t>
            </w:r>
            <w:r w:rsidRPr="005B4D3B">
              <w:rPr>
                <w:rFonts w:cs="Arial"/>
                <w:spacing w:val="-4"/>
                <w:szCs w:val="20"/>
              </w:rPr>
              <w:t> to navzdory mírné korekci loňských výrazně optimistických očekávání spotřebitelů</w:t>
            </w:r>
            <w:r w:rsidRPr="005B4D3B">
              <w:rPr>
                <w:color w:val="0D0D0D" w:themeColor="text1" w:themeTint="F2"/>
                <w:spacing w:val="-4"/>
                <w:vertAlign w:val="superscript"/>
              </w:rPr>
              <w:footnoteReference w:id="26"/>
            </w:r>
            <w:r w:rsidRPr="005B4D3B">
              <w:rPr>
                <w:rFonts w:cs="Arial"/>
                <w:spacing w:val="-4"/>
                <w:szCs w:val="20"/>
              </w:rPr>
              <w:t>. K posílení maloobchodních tržeb tradičně přispěl nejvíce prodej nepotravinářského zboží, jenž své vysoké loňské tempo ještě mírně navýšil (+9,2</w:t>
            </w:r>
            <w:r>
              <w:rPr>
                <w:rFonts w:cs="Arial"/>
                <w:spacing w:val="-4"/>
                <w:szCs w:val="20"/>
              </w:rPr>
              <w:t> %</w:t>
            </w:r>
            <w:r w:rsidRPr="005B4D3B">
              <w:rPr>
                <w:rFonts w:cs="Arial"/>
                <w:spacing w:val="-4"/>
                <w:szCs w:val="20"/>
              </w:rPr>
              <w:t>). Zde se dařilo všem hlavní</w:t>
            </w:r>
            <w:r>
              <w:rPr>
                <w:rFonts w:cs="Arial"/>
                <w:spacing w:val="-4"/>
                <w:szCs w:val="20"/>
              </w:rPr>
              <w:t>m</w:t>
            </w:r>
            <w:r w:rsidRPr="005B4D3B">
              <w:rPr>
                <w:rFonts w:cs="Arial"/>
                <w:spacing w:val="-4"/>
                <w:szCs w:val="20"/>
              </w:rPr>
              <w:t xml:space="preserve"> druhům specializovaných prodejen. </w:t>
            </w:r>
            <w:r w:rsidRPr="005B4D3B">
              <w:rPr>
                <w:color w:val="0D0D0D" w:themeColor="text1" w:themeTint="F2"/>
                <w:spacing w:val="-4"/>
              </w:rPr>
              <w:t>To platilo hlavně o prodeji výrobků pro kulturu a</w:t>
            </w:r>
            <w:r w:rsidRPr="005B4D3B">
              <w:rPr>
                <w:rFonts w:cs="Arial"/>
                <w:spacing w:val="-4"/>
                <w:szCs w:val="20"/>
              </w:rPr>
              <w:t> </w:t>
            </w:r>
            <w:r w:rsidRPr="005B4D3B">
              <w:rPr>
                <w:color w:val="0D0D0D" w:themeColor="text1" w:themeTint="F2"/>
                <w:spacing w:val="-4"/>
              </w:rPr>
              <w:t>rekreaci (+18,6</w:t>
            </w:r>
            <w:r>
              <w:rPr>
                <w:color w:val="0D0D0D" w:themeColor="text1" w:themeTint="F2"/>
                <w:spacing w:val="-4"/>
              </w:rPr>
              <w:t> %</w:t>
            </w:r>
            <w:r w:rsidRPr="005B4D3B">
              <w:rPr>
                <w:color w:val="0D0D0D" w:themeColor="text1" w:themeTint="F2"/>
                <w:spacing w:val="-4"/>
              </w:rPr>
              <w:t>) i díky vysoké poptávce po sportovním vybavení.</w:t>
            </w:r>
            <w:r w:rsidRPr="005B4D3B">
              <w:rPr>
                <w:rFonts w:cs="Arial"/>
                <w:spacing w:val="-4"/>
                <w:szCs w:val="20"/>
              </w:rPr>
              <w:t xml:space="preserve"> V dlouhodobě dynamickém segmentu </w:t>
            </w:r>
            <w:r w:rsidRPr="005B4D3B">
              <w:rPr>
                <w:color w:val="0D0D0D" w:themeColor="text1" w:themeTint="F2"/>
                <w:spacing w:val="-4"/>
              </w:rPr>
              <w:t>počítačového a komunikačního zařízení růst zvolnil, i tak se zde tržby v rámci 1.</w:t>
            </w:r>
            <w:r>
              <w:rPr>
                <w:color w:val="0D0D0D" w:themeColor="text1" w:themeTint="F2"/>
                <w:spacing w:val="-4"/>
              </w:rPr>
              <w:t> </w:t>
            </w:r>
            <w:r w:rsidRPr="005B4D3B">
              <w:rPr>
                <w:color w:val="0D0D0D" w:themeColor="text1" w:themeTint="F2"/>
                <w:spacing w:val="-4"/>
              </w:rPr>
              <w:t xml:space="preserve">čtvrtletí navyšovaly dvouciferným tempem již </w:t>
            </w:r>
            <w:r>
              <w:rPr>
                <w:color w:val="0D0D0D" w:themeColor="text1" w:themeTint="F2"/>
                <w:spacing w:val="-4"/>
              </w:rPr>
              <w:t>druhým</w:t>
            </w:r>
            <w:r w:rsidRPr="005B4D3B">
              <w:rPr>
                <w:color w:val="0D0D0D" w:themeColor="text1" w:themeTint="F2"/>
                <w:spacing w:val="-4"/>
              </w:rPr>
              <w:t xml:space="preserve"> rokem v řadě. Na počátku jarní sezóny se dobře vedlo i prodeji oděvů, obuvi a koženého zboží (+12,0</w:t>
            </w:r>
            <w:r>
              <w:rPr>
                <w:color w:val="0D0D0D" w:themeColor="text1" w:themeTint="F2"/>
                <w:spacing w:val="-4"/>
              </w:rPr>
              <w:t> %</w:t>
            </w:r>
            <w:r w:rsidRPr="005B4D3B">
              <w:rPr>
                <w:color w:val="0D0D0D" w:themeColor="text1" w:themeTint="F2"/>
                <w:spacing w:val="-4"/>
              </w:rPr>
              <w:t xml:space="preserve">), zčásti i vlivem výprodejů. </w:t>
            </w:r>
            <w:r>
              <w:rPr>
                <w:color w:val="0D0D0D" w:themeColor="text1" w:themeTint="F2"/>
                <w:spacing w:val="-4"/>
              </w:rPr>
              <w:t>S</w:t>
            </w:r>
            <w:r w:rsidRPr="005B4D3B">
              <w:rPr>
                <w:color w:val="0D0D0D" w:themeColor="text1" w:themeTint="F2"/>
                <w:spacing w:val="-4"/>
              </w:rPr>
              <w:t>kromné tempo růstu prodejů za potraviny (o 1,7</w:t>
            </w:r>
            <w:r>
              <w:rPr>
                <w:color w:val="0D0D0D" w:themeColor="text1" w:themeTint="F2"/>
                <w:spacing w:val="-4"/>
              </w:rPr>
              <w:t> %</w:t>
            </w:r>
            <w:r w:rsidRPr="005B4D3B">
              <w:rPr>
                <w:color w:val="0D0D0D" w:themeColor="text1" w:themeTint="F2"/>
                <w:spacing w:val="-4"/>
              </w:rPr>
              <w:t>) byl</w:t>
            </w:r>
            <w:r>
              <w:rPr>
                <w:color w:val="0D0D0D" w:themeColor="text1" w:themeTint="F2"/>
                <w:spacing w:val="-4"/>
              </w:rPr>
              <w:t>o</w:t>
            </w:r>
            <w:r w:rsidRPr="005B4D3B">
              <w:rPr>
                <w:color w:val="0D0D0D" w:themeColor="text1" w:themeTint="F2"/>
                <w:spacing w:val="-4"/>
              </w:rPr>
              <w:t xml:space="preserve"> zčásti ovlivněn</w:t>
            </w:r>
            <w:r>
              <w:rPr>
                <w:color w:val="0D0D0D" w:themeColor="text1" w:themeTint="F2"/>
                <w:spacing w:val="-4"/>
              </w:rPr>
              <w:t xml:space="preserve">o </w:t>
            </w:r>
            <w:r w:rsidRPr="005B4D3B">
              <w:rPr>
                <w:color w:val="0D0D0D" w:themeColor="text1" w:themeTint="F2"/>
                <w:spacing w:val="-4"/>
              </w:rPr>
              <w:t xml:space="preserve">posunutím „velikonočních nákupů“ až do dubna (loni se realizovaly zejména </w:t>
            </w:r>
            <w:r>
              <w:rPr>
                <w:color w:val="0D0D0D" w:themeColor="text1" w:themeTint="F2"/>
                <w:spacing w:val="-4"/>
              </w:rPr>
              <w:t>v </w:t>
            </w:r>
            <w:r w:rsidRPr="005B4D3B">
              <w:rPr>
                <w:color w:val="0D0D0D" w:themeColor="text1" w:themeTint="F2"/>
                <w:spacing w:val="-4"/>
              </w:rPr>
              <w:t>březnu). Prodej pohonných hmot vzrostl o 4,8</w:t>
            </w:r>
            <w:r>
              <w:rPr>
                <w:color w:val="0D0D0D" w:themeColor="text1" w:themeTint="F2"/>
                <w:spacing w:val="-4"/>
              </w:rPr>
              <w:t> %</w:t>
            </w:r>
            <w:r w:rsidRPr="005B4D3B">
              <w:rPr>
                <w:color w:val="0D0D0D" w:themeColor="text1" w:themeTint="F2"/>
                <w:spacing w:val="-4"/>
              </w:rPr>
              <w:t>, podobným tempem jako na počátku loňského roku. Již pátým čtvrtletím v řadě pokračoval pokles tržeb za obchod, opravy a údržbu motorových vozidel, který se ale v mezičtvrtlet</w:t>
            </w:r>
            <w:r>
              <w:rPr>
                <w:color w:val="0D0D0D" w:themeColor="text1" w:themeTint="F2"/>
                <w:spacing w:val="-4"/>
              </w:rPr>
              <w:t>n</w:t>
            </w:r>
            <w:r w:rsidRPr="005B4D3B">
              <w:rPr>
                <w:color w:val="0D0D0D" w:themeColor="text1" w:themeTint="F2"/>
                <w:spacing w:val="-4"/>
              </w:rPr>
              <w:t>ím vyjádření již zastavil (+2,0</w:t>
            </w:r>
            <w:r>
              <w:rPr>
                <w:color w:val="0D0D0D" w:themeColor="text1" w:themeTint="F2"/>
                <w:spacing w:val="-4"/>
              </w:rPr>
              <w:t> %</w:t>
            </w:r>
            <w:r w:rsidRPr="005B4D3B">
              <w:rPr>
                <w:color w:val="0D0D0D" w:themeColor="text1" w:themeTint="F2"/>
                <w:spacing w:val="-4"/>
              </w:rPr>
              <w:t>)</w:t>
            </w:r>
            <w:r>
              <w:rPr>
                <w:color w:val="0D0D0D" w:themeColor="text1" w:themeTint="F2"/>
                <w:spacing w:val="-4"/>
              </w:rPr>
              <w:t>.</w:t>
            </w:r>
          </w:p>
        </w:tc>
      </w:tr>
      <w:tr w:rsidR="00D215B0" w:rsidRPr="005B4D3B" w14:paraId="4C846C5B" w14:textId="77777777" w:rsidTr="000A3D9E">
        <w:trPr>
          <w:trHeight w:val="145"/>
        </w:trPr>
        <w:tc>
          <w:tcPr>
            <w:tcW w:w="1764" w:type="dxa"/>
            <w:shd w:val="clear" w:color="auto" w:fill="auto"/>
            <w:tcMar>
              <w:left w:w="0" w:type="dxa"/>
            </w:tcMar>
          </w:tcPr>
          <w:p w14:paraId="7B92AB95" w14:textId="77777777" w:rsidR="00D215B0" w:rsidRDefault="00D215B0" w:rsidP="00D215B0">
            <w:pPr>
              <w:pStyle w:val="Marginlie"/>
            </w:pPr>
            <w:r>
              <w:t xml:space="preserve">Růst maloobchodních tržeb v Česku patřil v EU k nejvyšším, zejména díky nepotravinářskému zboží. </w:t>
            </w:r>
          </w:p>
        </w:tc>
        <w:tc>
          <w:tcPr>
            <w:tcW w:w="175" w:type="dxa"/>
            <w:shd w:val="clear" w:color="auto" w:fill="auto"/>
            <w:tcMar>
              <w:left w:w="0" w:type="dxa"/>
            </w:tcMar>
          </w:tcPr>
          <w:p w14:paraId="44CD72BB" w14:textId="77777777" w:rsidR="00D215B0" w:rsidRDefault="00D215B0" w:rsidP="00D215B0">
            <w:pPr>
              <w:pStyle w:val="Textpoznpodarou"/>
              <w:jc w:val="both"/>
              <w:rPr>
                <w:spacing w:val="-4"/>
              </w:rPr>
            </w:pPr>
          </w:p>
        </w:tc>
        <w:tc>
          <w:tcPr>
            <w:tcW w:w="7700" w:type="dxa"/>
            <w:shd w:val="clear" w:color="auto" w:fill="auto"/>
            <w:tcMar>
              <w:left w:w="0" w:type="dxa"/>
            </w:tcMar>
          </w:tcPr>
          <w:p w14:paraId="18B756AA" w14:textId="2DFA8996" w:rsidR="00D215B0" w:rsidRPr="005B4D3B" w:rsidRDefault="00D215B0" w:rsidP="00D215B0">
            <w:pPr>
              <w:spacing w:after="0"/>
              <w:rPr>
                <w:rFonts w:cs="Arial"/>
                <w:spacing w:val="-4"/>
                <w:szCs w:val="20"/>
              </w:rPr>
            </w:pPr>
            <w:r w:rsidRPr="005B4D3B">
              <w:rPr>
                <w:rFonts w:cs="Arial"/>
                <w:spacing w:val="-4"/>
                <w:szCs w:val="20"/>
              </w:rPr>
              <w:t>Růst maloobchodních tržeb v ČR byl v 1. čtvrtletí mezi státy EU sedmý nejvyšší a</w:t>
            </w:r>
            <w:r w:rsidRPr="005B4D3B">
              <w:rPr>
                <w:color w:val="0D0D0D" w:themeColor="text1" w:themeTint="F2"/>
                <w:spacing w:val="-4"/>
              </w:rPr>
              <w:t> o</w:t>
            </w:r>
            <w:r w:rsidRPr="005B4D3B">
              <w:rPr>
                <w:rFonts w:cs="Arial"/>
                <w:spacing w:val="-4"/>
                <w:szCs w:val="20"/>
              </w:rPr>
              <w:t>proti celé Unii (2,9</w:t>
            </w:r>
            <w:r>
              <w:rPr>
                <w:rFonts w:cs="Arial"/>
                <w:spacing w:val="-4"/>
                <w:szCs w:val="20"/>
              </w:rPr>
              <w:t> %</w:t>
            </w:r>
            <w:r w:rsidRPr="005B4D3B">
              <w:rPr>
                <w:rFonts w:cs="Arial"/>
                <w:spacing w:val="-4"/>
                <w:szCs w:val="20"/>
              </w:rPr>
              <w:t>) dosahoval skoro dvojnásobného tempa. Stejně jako v předešlých letech si nejvyšší dynamiku připisovaly konvergující ekonomiky střední a východní Evropy. Svižněji než v ČR rostl v rámci středoevropského regionu maloobchod jen v Maďarsku (+6,6</w:t>
            </w:r>
            <w:r>
              <w:rPr>
                <w:rFonts w:cs="Arial"/>
                <w:spacing w:val="-4"/>
                <w:szCs w:val="20"/>
              </w:rPr>
              <w:t> %</w:t>
            </w:r>
            <w:r w:rsidRPr="005B4D3B">
              <w:rPr>
                <w:rFonts w:cs="Arial"/>
                <w:spacing w:val="-4"/>
                <w:szCs w:val="20"/>
              </w:rPr>
              <w:t>). Naopak nejméně se mu dařilo v Belgii (</w:t>
            </w:r>
            <w:r>
              <w:rPr>
                <w:rFonts w:cs="Arial"/>
                <w:spacing w:val="-4"/>
                <w:szCs w:val="20"/>
              </w:rPr>
              <w:t>–</w:t>
            </w:r>
            <w:r w:rsidRPr="005B4D3B">
              <w:rPr>
                <w:rFonts w:cs="Arial"/>
                <w:spacing w:val="-4"/>
                <w:szCs w:val="20"/>
              </w:rPr>
              <w:t>0,2</w:t>
            </w:r>
            <w:r>
              <w:rPr>
                <w:rFonts w:cs="Arial"/>
                <w:spacing w:val="-4"/>
                <w:szCs w:val="20"/>
              </w:rPr>
              <w:t> %</w:t>
            </w:r>
            <w:r w:rsidRPr="005B4D3B">
              <w:rPr>
                <w:rFonts w:cs="Arial"/>
                <w:spacing w:val="-4"/>
                <w:szCs w:val="20"/>
              </w:rPr>
              <w:t>) a Řecku (</w:t>
            </w:r>
            <w:r>
              <w:rPr>
                <w:rFonts w:cs="Arial"/>
                <w:spacing w:val="-4"/>
                <w:szCs w:val="20"/>
              </w:rPr>
              <w:t>–</w:t>
            </w:r>
            <w:r w:rsidRPr="005B4D3B">
              <w:rPr>
                <w:rFonts w:cs="Arial"/>
                <w:spacing w:val="-4"/>
                <w:szCs w:val="20"/>
              </w:rPr>
              <w:t>0,6</w:t>
            </w:r>
            <w:r>
              <w:rPr>
                <w:rFonts w:cs="Arial"/>
                <w:spacing w:val="-4"/>
                <w:szCs w:val="20"/>
              </w:rPr>
              <w:t> %</w:t>
            </w:r>
            <w:r w:rsidRPr="005B4D3B">
              <w:rPr>
                <w:rFonts w:cs="Arial"/>
                <w:spacing w:val="-4"/>
                <w:szCs w:val="20"/>
              </w:rPr>
              <w:t>).</w:t>
            </w:r>
          </w:p>
        </w:tc>
      </w:tr>
    </w:tbl>
    <w:p w14:paraId="0F3DCC88" w14:textId="77777777" w:rsidR="00BF4329" w:rsidRPr="00C35A2A" w:rsidRDefault="00BF4329" w:rsidP="001554C2">
      <w:pPr>
        <w:pStyle w:val="Nadpis11"/>
        <w:rPr>
          <w:sz w:val="2"/>
          <w:szCs w:val="2"/>
        </w:rPr>
      </w:pPr>
    </w:p>
    <w:p w14:paraId="50DC3F58" w14:textId="77777777" w:rsidR="00BF4329" w:rsidRDefault="00BF4329" w:rsidP="001554C2">
      <w:pPr>
        <w:pStyle w:val="Nadpis11"/>
        <w:sectPr w:rsidR="00BF4329" w:rsidSect="00A03B10">
          <w:headerReference w:type="even" r:id="rId17"/>
          <w:headerReference w:type="default" r:id="rId18"/>
          <w:footerReference w:type="even" r:id="rId19"/>
          <w:footerReference w:type="default" r:id="rId20"/>
          <w:pgSz w:w="11906" w:h="16838" w:code="9"/>
          <w:pgMar w:top="1134" w:right="1134" w:bottom="1418" w:left="1134" w:header="680" w:footer="737" w:gutter="0"/>
          <w:cols w:space="708"/>
          <w:docGrid w:linePitch="360"/>
        </w:sectPr>
      </w:pPr>
    </w:p>
    <w:p w14:paraId="2C76E6D1" w14:textId="77777777" w:rsidR="00935BD4" w:rsidRPr="009110F7" w:rsidRDefault="00935BD4" w:rsidP="001554C2">
      <w:pPr>
        <w:pStyle w:val="Nadpis11"/>
      </w:pPr>
      <w:bookmarkStart w:id="7" w:name="_Toc11320630"/>
      <w:r w:rsidRPr="009110F7">
        <w:lastRenderedPageBreak/>
        <w:t>4. Vnější vztahy</w:t>
      </w:r>
      <w:bookmarkEnd w:id="7"/>
    </w:p>
    <w:tbl>
      <w:tblPr>
        <w:tblW w:w="9639" w:type="dxa"/>
        <w:tblInd w:w="-15" w:type="dxa"/>
        <w:tblCellMar>
          <w:left w:w="0" w:type="dxa"/>
          <w:right w:w="0" w:type="dxa"/>
        </w:tblCellMar>
        <w:tblLook w:val="00A0" w:firstRow="1" w:lastRow="0" w:firstColumn="1" w:lastColumn="0" w:noHBand="0" w:noVBand="0"/>
      </w:tblPr>
      <w:tblGrid>
        <w:gridCol w:w="1801"/>
        <w:gridCol w:w="228"/>
        <w:gridCol w:w="7610"/>
      </w:tblGrid>
      <w:tr w:rsidR="002C260B" w:rsidRPr="009110F7" w14:paraId="1DCF9F2D" w14:textId="77777777" w:rsidTr="000A212B">
        <w:trPr>
          <w:trHeight w:val="145"/>
        </w:trPr>
        <w:tc>
          <w:tcPr>
            <w:tcW w:w="1801" w:type="dxa"/>
            <w:shd w:val="clear" w:color="auto" w:fill="auto"/>
            <w:tcMar>
              <w:left w:w="0" w:type="dxa"/>
            </w:tcMar>
          </w:tcPr>
          <w:p w14:paraId="68819D37" w14:textId="77777777" w:rsidR="002C260B" w:rsidRDefault="002C260B" w:rsidP="002C260B">
            <w:pPr>
              <w:pStyle w:val="Marginlie"/>
            </w:pPr>
            <w:r>
              <w:t>Hodnota vývozu zboží v 1. čtvrtletí vzrostla.</w:t>
            </w:r>
          </w:p>
        </w:tc>
        <w:tc>
          <w:tcPr>
            <w:tcW w:w="228" w:type="dxa"/>
            <w:shd w:val="clear" w:color="auto" w:fill="auto"/>
            <w:tcMar>
              <w:left w:w="0" w:type="dxa"/>
            </w:tcMar>
          </w:tcPr>
          <w:p w14:paraId="4F793726" w14:textId="77777777" w:rsidR="002C260B" w:rsidRDefault="002C260B" w:rsidP="002C260B">
            <w:pPr>
              <w:pStyle w:val="Textpoznpodarou"/>
              <w:jc w:val="both"/>
              <w:rPr>
                <w:spacing w:val="-4"/>
              </w:rPr>
            </w:pPr>
          </w:p>
        </w:tc>
        <w:tc>
          <w:tcPr>
            <w:tcW w:w="7610" w:type="dxa"/>
            <w:shd w:val="clear" w:color="auto" w:fill="auto"/>
            <w:tcMar>
              <w:left w:w="0" w:type="dxa"/>
            </w:tcMar>
          </w:tcPr>
          <w:p w14:paraId="7845836B" w14:textId="77777777" w:rsidR="002C260B" w:rsidRPr="00AF6F98" w:rsidRDefault="002C260B" w:rsidP="00EA4B8D">
            <w:pPr>
              <w:spacing w:after="200"/>
              <w:rPr>
                <w:spacing w:val="-4"/>
              </w:rPr>
            </w:pPr>
            <w:r>
              <w:rPr>
                <w:spacing w:val="-4"/>
              </w:rPr>
              <w:t>Hodnota vývozu zboží v 1. čtvrtletí 2019 dosáhla 937,</w:t>
            </w:r>
            <w:r w:rsidR="00EA4B8D">
              <w:rPr>
                <w:spacing w:val="-4"/>
              </w:rPr>
              <w:t>9</w:t>
            </w:r>
            <w:r w:rsidR="00870ECD">
              <w:rPr>
                <w:spacing w:val="-4"/>
              </w:rPr>
              <w:t> mld</w:t>
            </w:r>
            <w:r>
              <w:rPr>
                <w:spacing w:val="-4"/>
              </w:rPr>
              <w:t>. korun a meziročně se zvýšila o 3</w:t>
            </w:r>
            <w:r w:rsidR="00EA4B8D">
              <w:rPr>
                <w:spacing w:val="-4"/>
              </w:rPr>
              <w:t>7</w:t>
            </w:r>
            <w:r>
              <w:rPr>
                <w:spacing w:val="-4"/>
              </w:rPr>
              <w:t>,</w:t>
            </w:r>
            <w:r w:rsidR="00EA4B8D">
              <w:rPr>
                <w:spacing w:val="-4"/>
              </w:rPr>
              <w:t>4</w:t>
            </w:r>
            <w:r w:rsidR="00870ECD">
              <w:rPr>
                <w:spacing w:val="-4"/>
              </w:rPr>
              <w:t> mld</w:t>
            </w:r>
            <w:r>
              <w:rPr>
                <w:spacing w:val="-4"/>
              </w:rPr>
              <w:t>. (4,</w:t>
            </w:r>
            <w:r w:rsidR="00EA4B8D">
              <w:rPr>
                <w:spacing w:val="-4"/>
              </w:rPr>
              <w:t>2</w:t>
            </w:r>
            <w:r w:rsidR="00870ECD">
              <w:rPr>
                <w:spacing w:val="-4"/>
              </w:rPr>
              <w:t> %</w:t>
            </w:r>
            <w:r>
              <w:rPr>
                <w:spacing w:val="-4"/>
              </w:rPr>
              <w:t xml:space="preserve">). Meziroční dynamiku ovlivnilo srovnání se slabším začátkem loňského roku, kdy hodnota exportu poklesla. Na druhé straně byl meziroční přírůstek v porovnání se silným 2. pololetím roku 2018 mírnější. </w:t>
            </w:r>
          </w:p>
        </w:tc>
      </w:tr>
      <w:tr w:rsidR="002C260B" w:rsidRPr="009110F7" w14:paraId="07DFDAFD" w14:textId="77777777" w:rsidTr="000A212B">
        <w:trPr>
          <w:trHeight w:val="145"/>
        </w:trPr>
        <w:tc>
          <w:tcPr>
            <w:tcW w:w="1801" w:type="dxa"/>
            <w:shd w:val="clear" w:color="auto" w:fill="auto"/>
            <w:tcMar>
              <w:left w:w="0" w:type="dxa"/>
            </w:tcMar>
          </w:tcPr>
          <w:p w14:paraId="411A4C34" w14:textId="01F61C89" w:rsidR="002C260B" w:rsidRDefault="002C260B" w:rsidP="002C260B">
            <w:pPr>
              <w:pStyle w:val="Marginlie"/>
            </w:pPr>
            <w:r>
              <w:t xml:space="preserve">Vývoz do EU rostl silněji než </w:t>
            </w:r>
            <w:r w:rsidR="00BD410B">
              <w:t xml:space="preserve">do zemí </w:t>
            </w:r>
            <w:r>
              <w:t>mimo EU.</w:t>
            </w:r>
          </w:p>
        </w:tc>
        <w:tc>
          <w:tcPr>
            <w:tcW w:w="228" w:type="dxa"/>
            <w:shd w:val="clear" w:color="auto" w:fill="auto"/>
            <w:tcMar>
              <w:left w:w="0" w:type="dxa"/>
            </w:tcMar>
          </w:tcPr>
          <w:p w14:paraId="28EA2BFA" w14:textId="77777777" w:rsidR="002C260B" w:rsidRDefault="002C260B" w:rsidP="002C260B">
            <w:pPr>
              <w:pStyle w:val="Textpoznpodarou"/>
              <w:jc w:val="both"/>
              <w:rPr>
                <w:spacing w:val="-4"/>
              </w:rPr>
            </w:pPr>
          </w:p>
        </w:tc>
        <w:tc>
          <w:tcPr>
            <w:tcW w:w="7610" w:type="dxa"/>
            <w:shd w:val="clear" w:color="auto" w:fill="auto"/>
            <w:tcMar>
              <w:left w:w="0" w:type="dxa"/>
            </w:tcMar>
          </w:tcPr>
          <w:p w14:paraId="3AA5DB6E" w14:textId="540042A1" w:rsidR="002C260B" w:rsidRPr="00AF6F98" w:rsidRDefault="002C260B" w:rsidP="009B59EA">
            <w:pPr>
              <w:spacing w:after="200"/>
              <w:rPr>
                <w:spacing w:val="-4"/>
              </w:rPr>
            </w:pPr>
            <w:r>
              <w:rPr>
                <w:spacing w:val="-4"/>
              </w:rPr>
              <w:t>Meziročního nárůstu dosáhla hodnota vývozu zboží do Evropské unie i mimo ni. Export do EU zaznamenal silnější přírůstek (4,</w:t>
            </w:r>
            <w:r w:rsidR="009B59EA">
              <w:rPr>
                <w:spacing w:val="-4"/>
              </w:rPr>
              <w:t>5</w:t>
            </w:r>
            <w:r w:rsidR="00870ECD">
              <w:rPr>
                <w:spacing w:val="-4"/>
              </w:rPr>
              <w:t> %</w:t>
            </w:r>
            <w:r>
              <w:rPr>
                <w:spacing w:val="-4"/>
              </w:rPr>
              <w:t>), mimo Unii se vývoz zvýšil jen o 2,</w:t>
            </w:r>
            <w:r w:rsidR="009B59EA">
              <w:rPr>
                <w:spacing w:val="-4"/>
              </w:rPr>
              <w:t>3</w:t>
            </w:r>
            <w:r w:rsidR="00870ECD">
              <w:rPr>
                <w:spacing w:val="-4"/>
              </w:rPr>
              <w:t> %</w:t>
            </w:r>
            <w:r>
              <w:rPr>
                <w:spacing w:val="-4"/>
              </w:rPr>
              <w:t>. Export do Německa, který v loňském roce postihlo oslabení poptávky, v 1. čtvrtletí meziročně vzrostl o 2,8</w:t>
            </w:r>
            <w:r w:rsidR="00870ECD">
              <w:rPr>
                <w:spacing w:val="-4"/>
              </w:rPr>
              <w:t> %</w:t>
            </w:r>
            <w:r>
              <w:rPr>
                <w:spacing w:val="-4"/>
              </w:rPr>
              <w:t>. V rámci EU však patřila meziroční dynamika vývozu do Německa stále ke slabším. Export na Slovensko vzrostl v 1. kvartálu o 10,5</w:t>
            </w:r>
            <w:r w:rsidR="00870ECD">
              <w:rPr>
                <w:spacing w:val="-4"/>
              </w:rPr>
              <w:t> %</w:t>
            </w:r>
            <w:r w:rsidR="009B59EA">
              <w:rPr>
                <w:spacing w:val="-4"/>
              </w:rPr>
              <w:t>, do Rakouska se vyvezlo o 6,2</w:t>
            </w:r>
            <w:r w:rsidR="00870ECD">
              <w:rPr>
                <w:spacing w:val="-4"/>
              </w:rPr>
              <w:t> %</w:t>
            </w:r>
            <w:r>
              <w:rPr>
                <w:spacing w:val="-4"/>
              </w:rPr>
              <w:t xml:space="preserve"> více a do Polska o </w:t>
            </w:r>
            <w:r w:rsidR="009B59EA">
              <w:rPr>
                <w:spacing w:val="-4"/>
              </w:rPr>
              <w:t>3,2</w:t>
            </w:r>
            <w:r w:rsidR="00870ECD">
              <w:rPr>
                <w:spacing w:val="-4"/>
              </w:rPr>
              <w:t> %</w:t>
            </w:r>
            <w:r>
              <w:rPr>
                <w:spacing w:val="-4"/>
              </w:rPr>
              <w:t>. Zrychlil růst vývozu do Maďarska (7,</w:t>
            </w:r>
            <w:r w:rsidR="009B59EA">
              <w:rPr>
                <w:spacing w:val="-4"/>
              </w:rPr>
              <w:t>6</w:t>
            </w:r>
            <w:r w:rsidR="00870ECD">
              <w:rPr>
                <w:spacing w:val="-4"/>
              </w:rPr>
              <w:t> %</w:t>
            </w:r>
            <w:r>
              <w:rPr>
                <w:spacing w:val="-4"/>
              </w:rPr>
              <w:t>) a Francie (10,</w:t>
            </w:r>
            <w:r w:rsidR="009B59EA">
              <w:rPr>
                <w:spacing w:val="-4"/>
              </w:rPr>
              <w:t>4</w:t>
            </w:r>
            <w:r w:rsidR="00870ECD">
              <w:rPr>
                <w:spacing w:val="-4"/>
              </w:rPr>
              <w:t> %</w:t>
            </w:r>
            <w:r>
              <w:rPr>
                <w:spacing w:val="-4"/>
              </w:rPr>
              <w:t>). Loňské silné tempo růstu vývozu do Španělska se udrželo i v 1. čtvrtletí (</w:t>
            </w:r>
            <w:r w:rsidR="009B59EA">
              <w:rPr>
                <w:spacing w:val="-4"/>
              </w:rPr>
              <w:t>9,9</w:t>
            </w:r>
            <w:r>
              <w:rPr>
                <w:spacing w:val="-4"/>
              </w:rPr>
              <w:t> %, zejména kvůli nízké srovnávací základně), naopak u Švédska došlo k meziročnímu propadu o 7,2</w:t>
            </w:r>
            <w:r w:rsidR="00870ECD">
              <w:rPr>
                <w:spacing w:val="-4"/>
              </w:rPr>
              <w:t> %</w:t>
            </w:r>
            <w:r>
              <w:rPr>
                <w:spacing w:val="-4"/>
              </w:rPr>
              <w:t>. Poklesla hodnota vývozu do Belgie o 2,</w:t>
            </w:r>
            <w:r w:rsidR="009B59EA">
              <w:rPr>
                <w:spacing w:val="-4"/>
              </w:rPr>
              <w:t>6</w:t>
            </w:r>
            <w:r w:rsidR="00870ECD">
              <w:rPr>
                <w:spacing w:val="-4"/>
              </w:rPr>
              <w:t> %</w:t>
            </w:r>
            <w:r>
              <w:rPr>
                <w:spacing w:val="-4"/>
              </w:rPr>
              <w:t xml:space="preserve"> a do Itálie o 4,</w:t>
            </w:r>
            <w:r w:rsidR="009B59EA">
              <w:rPr>
                <w:spacing w:val="-4"/>
              </w:rPr>
              <w:t>5</w:t>
            </w:r>
            <w:r w:rsidR="00870ECD">
              <w:rPr>
                <w:spacing w:val="-4"/>
              </w:rPr>
              <w:t> %</w:t>
            </w:r>
            <w:r>
              <w:rPr>
                <w:spacing w:val="-4"/>
              </w:rPr>
              <w:t>. Mírný růst exportu zboží mimo EU podpořilo zvýšení hodnoty vývozu do Švýcarska o 24,9</w:t>
            </w:r>
            <w:r w:rsidR="00870ECD">
              <w:rPr>
                <w:spacing w:val="-4"/>
              </w:rPr>
              <w:t> %</w:t>
            </w:r>
            <w:r>
              <w:rPr>
                <w:spacing w:val="-4"/>
              </w:rPr>
              <w:t xml:space="preserve"> (3,0</w:t>
            </w:r>
            <w:r w:rsidR="00870ECD">
              <w:rPr>
                <w:spacing w:val="-4"/>
              </w:rPr>
              <w:t> mld</w:t>
            </w:r>
            <w:r>
              <w:rPr>
                <w:spacing w:val="-4"/>
              </w:rPr>
              <w:t>. korun), dále do</w:t>
            </w:r>
            <w:r w:rsidR="009B59EA">
              <w:rPr>
                <w:spacing w:val="-4"/>
              </w:rPr>
              <w:t xml:space="preserve"> Spojených států o 16,9</w:t>
            </w:r>
            <w:r w:rsidR="00870ECD">
              <w:rPr>
                <w:spacing w:val="-4"/>
              </w:rPr>
              <w:t> %</w:t>
            </w:r>
            <w:r>
              <w:rPr>
                <w:spacing w:val="-4"/>
              </w:rPr>
              <w:t xml:space="preserve"> (3,</w:t>
            </w:r>
            <w:r w:rsidR="009B59EA">
              <w:rPr>
                <w:spacing w:val="-4"/>
              </w:rPr>
              <w:t>1 </w:t>
            </w:r>
            <w:r>
              <w:rPr>
                <w:spacing w:val="-4"/>
              </w:rPr>
              <w:t>mld.) i do Ruska o 12,4</w:t>
            </w:r>
            <w:r w:rsidR="00870ECD">
              <w:rPr>
                <w:spacing w:val="-4"/>
              </w:rPr>
              <w:t> %</w:t>
            </w:r>
            <w:r>
              <w:rPr>
                <w:spacing w:val="-4"/>
              </w:rPr>
              <w:t xml:space="preserve"> (2,1</w:t>
            </w:r>
            <w:r w:rsidR="00870ECD">
              <w:rPr>
                <w:spacing w:val="-4"/>
              </w:rPr>
              <w:t> mld</w:t>
            </w:r>
            <w:r>
              <w:rPr>
                <w:spacing w:val="-4"/>
              </w:rPr>
              <w:t xml:space="preserve">.). </w:t>
            </w:r>
            <w:r w:rsidR="009B59EA">
              <w:rPr>
                <w:spacing w:val="-4"/>
              </w:rPr>
              <w:t xml:space="preserve">Tyto nárůsty však byly v absolutním vyjádření poměrně malé. </w:t>
            </w:r>
            <w:r>
              <w:rPr>
                <w:spacing w:val="-4"/>
              </w:rPr>
              <w:t xml:space="preserve">Na druhé straně pokračoval loňský meziroční </w:t>
            </w:r>
            <w:r w:rsidR="009B59EA">
              <w:rPr>
                <w:spacing w:val="-4"/>
              </w:rPr>
              <w:t>propad exportu do Turecka (</w:t>
            </w:r>
            <w:r w:rsidR="00BD410B">
              <w:rPr>
                <w:spacing w:val="-4"/>
              </w:rPr>
              <w:t>–</w:t>
            </w:r>
            <w:r w:rsidR="009B59EA">
              <w:rPr>
                <w:spacing w:val="-4"/>
              </w:rPr>
              <w:t>36,6</w:t>
            </w:r>
            <w:r w:rsidR="00870ECD">
              <w:rPr>
                <w:spacing w:val="-4"/>
              </w:rPr>
              <w:t> %</w:t>
            </w:r>
            <w:r>
              <w:rPr>
                <w:spacing w:val="-4"/>
              </w:rPr>
              <w:t>, 3,9</w:t>
            </w:r>
            <w:r w:rsidR="00870ECD">
              <w:rPr>
                <w:spacing w:val="-4"/>
              </w:rPr>
              <w:t> mld</w:t>
            </w:r>
            <w:r>
              <w:rPr>
                <w:spacing w:val="-4"/>
              </w:rPr>
              <w:t>. korun) a poprvé od 2. čtvrtletí 2016 meziročně kle</w:t>
            </w:r>
            <w:r w:rsidR="009B59EA">
              <w:rPr>
                <w:spacing w:val="-4"/>
              </w:rPr>
              <w:t>sla hodnota vývozu do Číny (</w:t>
            </w:r>
            <w:r w:rsidR="009341F1">
              <w:rPr>
                <w:spacing w:val="-4"/>
              </w:rPr>
              <w:t>–</w:t>
            </w:r>
            <w:r w:rsidR="009B59EA">
              <w:rPr>
                <w:spacing w:val="-4"/>
              </w:rPr>
              <w:t>6,6</w:t>
            </w:r>
            <w:r w:rsidR="00870ECD">
              <w:rPr>
                <w:spacing w:val="-4"/>
              </w:rPr>
              <w:t> %</w:t>
            </w:r>
            <w:r>
              <w:rPr>
                <w:spacing w:val="-4"/>
              </w:rPr>
              <w:t>).</w:t>
            </w:r>
          </w:p>
        </w:tc>
      </w:tr>
      <w:tr w:rsidR="002C260B" w:rsidRPr="009110F7" w14:paraId="76FE5FB8" w14:textId="77777777" w:rsidTr="000A212B">
        <w:trPr>
          <w:trHeight w:val="170"/>
        </w:trPr>
        <w:tc>
          <w:tcPr>
            <w:tcW w:w="1801" w:type="dxa"/>
            <w:shd w:val="clear" w:color="auto" w:fill="auto"/>
            <w:tcMar>
              <w:left w:w="0" w:type="dxa"/>
            </w:tcMar>
          </w:tcPr>
          <w:p w14:paraId="31E0CF16" w14:textId="77777777" w:rsidR="002C260B" w:rsidRDefault="002C260B" w:rsidP="002C260B">
            <w:pPr>
              <w:pStyle w:val="Marginlie"/>
            </w:pPr>
            <w:r>
              <w:t>Meziroční růst exportu motorových vozidel se udržel, je však poměrně slabý.</w:t>
            </w:r>
          </w:p>
        </w:tc>
        <w:tc>
          <w:tcPr>
            <w:tcW w:w="228" w:type="dxa"/>
            <w:shd w:val="clear" w:color="auto" w:fill="auto"/>
            <w:tcMar>
              <w:left w:w="0" w:type="dxa"/>
            </w:tcMar>
          </w:tcPr>
          <w:p w14:paraId="18755B28" w14:textId="77777777" w:rsidR="002C260B" w:rsidRDefault="002C260B" w:rsidP="002C260B">
            <w:pPr>
              <w:pStyle w:val="Textpoznpodarou"/>
              <w:jc w:val="both"/>
              <w:rPr>
                <w:spacing w:val="-4"/>
              </w:rPr>
            </w:pPr>
          </w:p>
        </w:tc>
        <w:tc>
          <w:tcPr>
            <w:tcW w:w="7610" w:type="dxa"/>
            <w:shd w:val="clear" w:color="auto" w:fill="auto"/>
            <w:tcMar>
              <w:left w:w="0" w:type="dxa"/>
            </w:tcMar>
          </w:tcPr>
          <w:p w14:paraId="6936D10A" w14:textId="4350F2CD" w:rsidR="002C260B" w:rsidRPr="00AF6F98" w:rsidRDefault="002C260B" w:rsidP="003C2CE7">
            <w:pPr>
              <w:spacing w:after="200"/>
              <w:rPr>
                <w:spacing w:val="-4"/>
              </w:rPr>
            </w:pPr>
            <w:r>
              <w:rPr>
                <w:spacing w:val="-4"/>
              </w:rPr>
              <w:t>Dynamika hodnoty exportu nejvýznamnějších artiklů se v 1. čtvrtletí udržela na mírné úrovni. Vývoz motorových vozidel meziročně vzrostl o 2,</w:t>
            </w:r>
            <w:r w:rsidR="003C2CE7">
              <w:rPr>
                <w:spacing w:val="-4"/>
              </w:rPr>
              <w:t>7</w:t>
            </w:r>
            <w:r w:rsidR="00870ECD">
              <w:rPr>
                <w:spacing w:val="-4"/>
              </w:rPr>
              <w:t> %</w:t>
            </w:r>
            <w:r>
              <w:rPr>
                <w:spacing w:val="-4"/>
              </w:rPr>
              <w:t>, ale silné oživení ze závěru loňského roku se neudrželo. Pokračoval meziroční růst hodnoty exportu strojů a zařízení (3,</w:t>
            </w:r>
            <w:r w:rsidR="003C2CE7">
              <w:rPr>
                <w:spacing w:val="-4"/>
              </w:rPr>
              <w:t>8</w:t>
            </w:r>
            <w:r w:rsidR="00870ECD">
              <w:rPr>
                <w:spacing w:val="-4"/>
              </w:rPr>
              <w:t> %</w:t>
            </w:r>
            <w:r>
              <w:rPr>
                <w:spacing w:val="-4"/>
              </w:rPr>
              <w:t>), elektrických zařízení (2,2</w:t>
            </w:r>
            <w:r w:rsidR="00870ECD">
              <w:rPr>
                <w:spacing w:val="-4"/>
              </w:rPr>
              <w:t> %</w:t>
            </w:r>
            <w:r>
              <w:rPr>
                <w:spacing w:val="-4"/>
              </w:rPr>
              <w:t>) a kovodělných výrobků (3,</w:t>
            </w:r>
            <w:r w:rsidR="003C2CE7">
              <w:rPr>
                <w:spacing w:val="-4"/>
              </w:rPr>
              <w:t>2</w:t>
            </w:r>
            <w:r w:rsidR="00870ECD">
              <w:rPr>
                <w:spacing w:val="-4"/>
              </w:rPr>
              <w:t> %</w:t>
            </w:r>
            <w:r>
              <w:rPr>
                <w:spacing w:val="-4"/>
              </w:rPr>
              <w:t>). U počítačů, elektr</w:t>
            </w:r>
            <w:r w:rsidR="00ED5907">
              <w:rPr>
                <w:spacing w:val="-4"/>
              </w:rPr>
              <w:t>on</w:t>
            </w:r>
            <w:r>
              <w:rPr>
                <w:spacing w:val="-4"/>
              </w:rPr>
              <w:t>ických a optických přístrojů došlo k propadu meziročního tempa, které se drželo dva roky na dvouciferné úrovni. Navýšení v 1. čtvrtletí činilo 3,</w:t>
            </w:r>
            <w:r w:rsidR="003C2CE7">
              <w:rPr>
                <w:spacing w:val="-4"/>
              </w:rPr>
              <w:t>5</w:t>
            </w:r>
            <w:r w:rsidR="00870ECD">
              <w:rPr>
                <w:spacing w:val="-4"/>
              </w:rPr>
              <w:t> %</w:t>
            </w:r>
            <w:r>
              <w:rPr>
                <w:spacing w:val="-4"/>
              </w:rPr>
              <w:t>. Poměrně silně meziročně vzrostl vývoz chemických látek a přípravků (11,</w:t>
            </w:r>
            <w:r w:rsidR="003C2CE7">
              <w:rPr>
                <w:spacing w:val="-4"/>
              </w:rPr>
              <w:t>5</w:t>
            </w:r>
            <w:r w:rsidR="00870ECD">
              <w:rPr>
                <w:spacing w:val="-4"/>
              </w:rPr>
              <w:t> %</w:t>
            </w:r>
            <w:r>
              <w:rPr>
                <w:spacing w:val="-4"/>
              </w:rPr>
              <w:t xml:space="preserve">), zčásti i kvůli nízké srovnávací základně. </w:t>
            </w:r>
            <w:r w:rsidR="00940F0F">
              <w:rPr>
                <w:spacing w:val="-4"/>
              </w:rPr>
              <w:t>U </w:t>
            </w:r>
            <w:r>
              <w:rPr>
                <w:spacing w:val="-4"/>
              </w:rPr>
              <w:t xml:space="preserve">základních farmaceutických výrobků nárůst dosáhl 14,0 %. </w:t>
            </w:r>
          </w:p>
        </w:tc>
      </w:tr>
      <w:tr w:rsidR="002C260B" w:rsidRPr="009110F7" w14:paraId="1FE873BA" w14:textId="77777777" w:rsidTr="000A212B">
        <w:trPr>
          <w:trHeight w:val="145"/>
        </w:trPr>
        <w:tc>
          <w:tcPr>
            <w:tcW w:w="1801" w:type="dxa"/>
            <w:shd w:val="clear" w:color="auto" w:fill="auto"/>
            <w:tcMar>
              <w:left w:w="0" w:type="dxa"/>
            </w:tcMar>
          </w:tcPr>
          <w:p w14:paraId="17AB160D" w14:textId="77777777" w:rsidR="002C260B" w:rsidRDefault="002C260B" w:rsidP="002C260B">
            <w:pPr>
              <w:pStyle w:val="Marginlie"/>
            </w:pPr>
            <w:r>
              <w:t>Import se zvýšil více než export. Silnější dynamiku měl dovoz ze zemí mimo EU.</w:t>
            </w:r>
          </w:p>
        </w:tc>
        <w:tc>
          <w:tcPr>
            <w:tcW w:w="228" w:type="dxa"/>
            <w:shd w:val="clear" w:color="auto" w:fill="auto"/>
            <w:tcMar>
              <w:left w:w="0" w:type="dxa"/>
            </w:tcMar>
          </w:tcPr>
          <w:p w14:paraId="19799C1C" w14:textId="77777777" w:rsidR="002C260B" w:rsidRDefault="002C260B" w:rsidP="002C260B">
            <w:pPr>
              <w:pStyle w:val="Textpoznpodarou"/>
              <w:jc w:val="both"/>
              <w:rPr>
                <w:spacing w:val="-4"/>
              </w:rPr>
            </w:pPr>
          </w:p>
        </w:tc>
        <w:tc>
          <w:tcPr>
            <w:tcW w:w="7610" w:type="dxa"/>
            <w:shd w:val="clear" w:color="auto" w:fill="auto"/>
            <w:tcMar>
              <w:left w:w="0" w:type="dxa"/>
            </w:tcMar>
          </w:tcPr>
          <w:p w14:paraId="6966982A" w14:textId="0B57C4D3" w:rsidR="002C260B" w:rsidRPr="00AF6F98" w:rsidRDefault="002C260B" w:rsidP="003C2CE7">
            <w:pPr>
              <w:rPr>
                <w:spacing w:val="-4"/>
              </w:rPr>
            </w:pPr>
            <w:r>
              <w:rPr>
                <w:spacing w:val="-4"/>
              </w:rPr>
              <w:t>Hodnota dovozu zboží v 1.</w:t>
            </w:r>
            <w:r w:rsidR="00940F0F">
              <w:rPr>
                <w:spacing w:val="-4"/>
              </w:rPr>
              <w:t> </w:t>
            </w:r>
            <w:r>
              <w:rPr>
                <w:spacing w:val="-4"/>
              </w:rPr>
              <w:t>čtvrtletí 2019 činila 88</w:t>
            </w:r>
            <w:r w:rsidR="003C2CE7">
              <w:rPr>
                <w:spacing w:val="-4"/>
              </w:rPr>
              <w:t>3</w:t>
            </w:r>
            <w:r>
              <w:rPr>
                <w:spacing w:val="-4"/>
              </w:rPr>
              <w:t>,</w:t>
            </w:r>
            <w:r w:rsidR="003C2CE7">
              <w:rPr>
                <w:spacing w:val="-4"/>
              </w:rPr>
              <w:t>6</w:t>
            </w:r>
            <w:r w:rsidR="00870ECD">
              <w:rPr>
                <w:spacing w:val="-4"/>
              </w:rPr>
              <w:t> mld</w:t>
            </w:r>
            <w:r>
              <w:rPr>
                <w:spacing w:val="-4"/>
              </w:rPr>
              <w:t>. korun. Meziroční navýšení dosáhlo 3</w:t>
            </w:r>
            <w:r w:rsidR="003C2CE7">
              <w:rPr>
                <w:spacing w:val="-4"/>
              </w:rPr>
              <w:t>9</w:t>
            </w:r>
            <w:r>
              <w:rPr>
                <w:spacing w:val="-4"/>
              </w:rPr>
              <w:t>,</w:t>
            </w:r>
            <w:r w:rsidR="003C2CE7">
              <w:rPr>
                <w:spacing w:val="-4"/>
              </w:rPr>
              <w:t>3</w:t>
            </w:r>
            <w:r w:rsidR="00870ECD">
              <w:rPr>
                <w:spacing w:val="-4"/>
              </w:rPr>
              <w:t> mld</w:t>
            </w:r>
            <w:r w:rsidR="003C2CE7">
              <w:rPr>
                <w:spacing w:val="-4"/>
              </w:rPr>
              <w:t>. korun (4,7</w:t>
            </w:r>
            <w:r w:rsidR="00870ECD">
              <w:rPr>
                <w:spacing w:val="-4"/>
              </w:rPr>
              <w:t> %</w:t>
            </w:r>
            <w:r>
              <w:rPr>
                <w:spacing w:val="-4"/>
              </w:rPr>
              <w:t>). Dynamika dovozu tak opět překonala export. Podobně jako u vývozu tempo oslabilo v porovnání s 2.</w:t>
            </w:r>
            <w:r w:rsidR="00940F0F">
              <w:rPr>
                <w:spacing w:val="-4"/>
              </w:rPr>
              <w:t> </w:t>
            </w:r>
            <w:r>
              <w:rPr>
                <w:spacing w:val="-4"/>
              </w:rPr>
              <w:t>pololetím loňského roku. Z teritoriálního pohledu táhl celkovou meziroční dynamiku vzhůru především dovoz ze zemí mimo EU (11,7</w:t>
            </w:r>
            <w:r w:rsidR="00870ECD">
              <w:rPr>
                <w:spacing w:val="-4"/>
              </w:rPr>
              <w:t> %</w:t>
            </w:r>
            <w:r>
              <w:rPr>
                <w:spacing w:val="-4"/>
              </w:rPr>
              <w:t>), zatímco růst importu z EU výrazně zpomalil na 1,</w:t>
            </w:r>
            <w:r w:rsidR="003C2CE7">
              <w:rPr>
                <w:spacing w:val="-4"/>
              </w:rPr>
              <w:t>4</w:t>
            </w:r>
            <w:r w:rsidR="00870ECD">
              <w:rPr>
                <w:spacing w:val="-4"/>
              </w:rPr>
              <w:t> %</w:t>
            </w:r>
            <w:r>
              <w:rPr>
                <w:spacing w:val="-4"/>
              </w:rPr>
              <w:t xml:space="preserve">. Dovoz z Německa tak vzrostl jen o </w:t>
            </w:r>
            <w:r w:rsidR="003C2CE7">
              <w:rPr>
                <w:spacing w:val="-4"/>
              </w:rPr>
              <w:t>1,0</w:t>
            </w:r>
            <w:r w:rsidR="00870ECD">
              <w:rPr>
                <w:spacing w:val="-4"/>
              </w:rPr>
              <w:t> %</w:t>
            </w:r>
            <w:r>
              <w:rPr>
                <w:spacing w:val="-4"/>
              </w:rPr>
              <w:t xml:space="preserve">, z Polska o </w:t>
            </w:r>
            <w:r w:rsidR="003C2CE7">
              <w:rPr>
                <w:spacing w:val="-4"/>
              </w:rPr>
              <w:t>2,3</w:t>
            </w:r>
            <w:r w:rsidR="00870ECD">
              <w:rPr>
                <w:spacing w:val="-4"/>
              </w:rPr>
              <w:t> %</w:t>
            </w:r>
            <w:r>
              <w:rPr>
                <w:spacing w:val="-4"/>
              </w:rPr>
              <w:t xml:space="preserve"> a hodnota importu ze Slovenska poklesla o </w:t>
            </w:r>
            <w:r w:rsidR="003C2CE7">
              <w:rPr>
                <w:spacing w:val="-4"/>
              </w:rPr>
              <w:t>4,9</w:t>
            </w:r>
            <w:r w:rsidR="00870ECD">
              <w:rPr>
                <w:spacing w:val="-4"/>
              </w:rPr>
              <w:t> %</w:t>
            </w:r>
            <w:r>
              <w:rPr>
                <w:spacing w:val="-4"/>
              </w:rPr>
              <w:t>. Pokračoval také poměrně silný meziroční propad dovozu z Velké Británie (</w:t>
            </w:r>
            <w:r w:rsidR="009341F1">
              <w:rPr>
                <w:spacing w:val="-4"/>
              </w:rPr>
              <w:t>–</w:t>
            </w:r>
            <w:r w:rsidR="003C2CE7">
              <w:rPr>
                <w:spacing w:val="-4"/>
              </w:rPr>
              <w:t>7,5</w:t>
            </w:r>
            <w:r w:rsidR="00870ECD">
              <w:rPr>
                <w:spacing w:val="-4"/>
              </w:rPr>
              <w:t> %</w:t>
            </w:r>
            <w:r>
              <w:rPr>
                <w:spacing w:val="-4"/>
              </w:rPr>
              <w:t>). Na hodnotě dovozu se rovněž projevily pohyby cen surovin, což bylo patrné především u</w:t>
            </w:r>
            <w:r w:rsidR="00CB64E1">
              <w:rPr>
                <w:spacing w:val="-4"/>
              </w:rPr>
              <w:t> </w:t>
            </w:r>
            <w:r>
              <w:rPr>
                <w:spacing w:val="-4"/>
              </w:rPr>
              <w:t>importu z Ruska (meziroční nárůst o 29</w:t>
            </w:r>
            <w:r w:rsidR="003C2CE7">
              <w:rPr>
                <w:spacing w:val="-4"/>
              </w:rPr>
              <w:t>,0</w:t>
            </w:r>
            <w:r w:rsidR="00870ECD">
              <w:rPr>
                <w:spacing w:val="-4"/>
              </w:rPr>
              <w:t> %</w:t>
            </w:r>
            <w:r>
              <w:rPr>
                <w:spacing w:val="-4"/>
              </w:rPr>
              <w:t>). Dovoz z Číny rostl dvouciferným tempem třetí čtvrtletí v řadě (13,</w:t>
            </w:r>
            <w:r w:rsidR="003C2CE7">
              <w:rPr>
                <w:spacing w:val="-4"/>
              </w:rPr>
              <w:t>1</w:t>
            </w:r>
            <w:r w:rsidR="00870ECD">
              <w:rPr>
                <w:spacing w:val="-4"/>
              </w:rPr>
              <w:t> %</w:t>
            </w:r>
            <w:r>
              <w:rPr>
                <w:spacing w:val="-4"/>
              </w:rPr>
              <w:t xml:space="preserve">). </w:t>
            </w:r>
          </w:p>
        </w:tc>
      </w:tr>
      <w:tr w:rsidR="002C260B" w:rsidRPr="009110F7" w14:paraId="03DB70B3" w14:textId="77777777" w:rsidTr="000A212B">
        <w:trPr>
          <w:trHeight w:val="145"/>
        </w:trPr>
        <w:tc>
          <w:tcPr>
            <w:tcW w:w="1801" w:type="dxa"/>
            <w:shd w:val="clear" w:color="auto" w:fill="auto"/>
            <w:tcMar>
              <w:left w:w="0" w:type="dxa"/>
            </w:tcMar>
          </w:tcPr>
          <w:p w14:paraId="33AC72B3" w14:textId="24389B8A" w:rsidR="002C260B" w:rsidRDefault="002C260B" w:rsidP="002C260B">
            <w:pPr>
              <w:pStyle w:val="Marginlie"/>
            </w:pPr>
            <w:r>
              <w:t>Nejsilnějšího meziročního přírůstku dosáhla hodnota dovozu počítačů, optických a elektro</w:t>
            </w:r>
            <w:r w:rsidR="004C439A">
              <w:t>-</w:t>
            </w:r>
            <w:proofErr w:type="spellStart"/>
            <w:r>
              <w:t>nických</w:t>
            </w:r>
            <w:proofErr w:type="spellEnd"/>
            <w:r>
              <w:t xml:space="preserve"> přístrojů.</w:t>
            </w:r>
          </w:p>
        </w:tc>
        <w:tc>
          <w:tcPr>
            <w:tcW w:w="228" w:type="dxa"/>
            <w:shd w:val="clear" w:color="auto" w:fill="auto"/>
            <w:tcMar>
              <w:left w:w="0" w:type="dxa"/>
            </w:tcMar>
          </w:tcPr>
          <w:p w14:paraId="79B9057B" w14:textId="77777777" w:rsidR="002C260B" w:rsidRDefault="002C260B" w:rsidP="002C260B">
            <w:pPr>
              <w:pStyle w:val="Textpoznpodarou"/>
              <w:jc w:val="both"/>
              <w:rPr>
                <w:spacing w:val="-4"/>
              </w:rPr>
            </w:pPr>
          </w:p>
        </w:tc>
        <w:tc>
          <w:tcPr>
            <w:tcW w:w="7610" w:type="dxa"/>
            <w:shd w:val="clear" w:color="auto" w:fill="auto"/>
            <w:tcMar>
              <w:left w:w="0" w:type="dxa"/>
            </w:tcMar>
          </w:tcPr>
          <w:p w14:paraId="4A143253" w14:textId="77777777" w:rsidR="002C260B" w:rsidRPr="00AF6F98" w:rsidRDefault="002C260B" w:rsidP="002F46D6">
            <w:pPr>
              <w:rPr>
                <w:spacing w:val="-4"/>
              </w:rPr>
            </w:pPr>
            <w:r>
              <w:rPr>
                <w:spacing w:val="-4"/>
              </w:rPr>
              <w:t>V 1. čtvrtletí se výrazně meziročně navýšila hodnota dovozu ropy a zemního plynu (</w:t>
            </w:r>
            <w:r w:rsidR="002F46D6">
              <w:rPr>
                <w:spacing w:val="-4"/>
              </w:rPr>
              <w:t>19,0</w:t>
            </w:r>
            <w:r>
              <w:rPr>
                <w:spacing w:val="-4"/>
              </w:rPr>
              <w:t xml:space="preserve"> %, </w:t>
            </w:r>
            <w:r w:rsidR="002F46D6">
              <w:rPr>
                <w:spacing w:val="-4"/>
              </w:rPr>
              <w:t>4,9</w:t>
            </w:r>
            <w:r w:rsidR="00870ECD">
              <w:rPr>
                <w:spacing w:val="-4"/>
              </w:rPr>
              <w:t> mld</w:t>
            </w:r>
            <w:r>
              <w:rPr>
                <w:spacing w:val="-4"/>
              </w:rPr>
              <w:t xml:space="preserve">. korun). Import chemických látek a přípravků narostl o </w:t>
            </w:r>
            <w:r w:rsidR="002F46D6">
              <w:rPr>
                <w:spacing w:val="-4"/>
              </w:rPr>
              <w:t>8,1</w:t>
            </w:r>
            <w:r w:rsidR="00870ECD">
              <w:rPr>
                <w:spacing w:val="-4"/>
              </w:rPr>
              <w:t> %</w:t>
            </w:r>
            <w:r>
              <w:rPr>
                <w:spacing w:val="-4"/>
              </w:rPr>
              <w:t xml:space="preserve"> (5,</w:t>
            </w:r>
            <w:r w:rsidR="002F46D6">
              <w:rPr>
                <w:spacing w:val="-4"/>
              </w:rPr>
              <w:t>5</w:t>
            </w:r>
            <w:r w:rsidR="00870ECD">
              <w:rPr>
                <w:spacing w:val="-4"/>
              </w:rPr>
              <w:t> mld</w:t>
            </w:r>
            <w:r>
              <w:rPr>
                <w:spacing w:val="-4"/>
              </w:rPr>
              <w:t>. korun). Dovoz počítačů, optických a elektronických přístrojů se meziročně zvýšil o 9,</w:t>
            </w:r>
            <w:r w:rsidR="002F46D6">
              <w:rPr>
                <w:spacing w:val="-4"/>
              </w:rPr>
              <w:t>4</w:t>
            </w:r>
            <w:r w:rsidR="00870ECD">
              <w:rPr>
                <w:spacing w:val="-4"/>
              </w:rPr>
              <w:t> %</w:t>
            </w:r>
            <w:r>
              <w:rPr>
                <w:spacing w:val="-4"/>
              </w:rPr>
              <w:t xml:space="preserve"> (</w:t>
            </w:r>
            <w:r w:rsidR="002F46D6">
              <w:rPr>
                <w:spacing w:val="-4"/>
              </w:rPr>
              <w:t>8</w:t>
            </w:r>
            <w:r>
              <w:rPr>
                <w:spacing w:val="-4"/>
              </w:rPr>
              <w:t>,</w:t>
            </w:r>
            <w:r w:rsidR="002F46D6">
              <w:rPr>
                <w:spacing w:val="-4"/>
              </w:rPr>
              <w:t>8</w:t>
            </w:r>
            <w:r w:rsidR="00870ECD">
              <w:rPr>
                <w:spacing w:val="-4"/>
              </w:rPr>
              <w:t> mld</w:t>
            </w:r>
            <w:r>
              <w:rPr>
                <w:spacing w:val="-4"/>
              </w:rPr>
              <w:t>.). Hodnota dovozu motorových vozidel v 1. čtvrtletí 2019 téměř nepřekonala úroveň stejného období minulého roku</w:t>
            </w:r>
            <w:r w:rsidR="002F46D6">
              <w:rPr>
                <w:spacing w:val="-4"/>
              </w:rPr>
              <w:t xml:space="preserve"> (0,3</w:t>
            </w:r>
            <w:r w:rsidR="00870ECD">
              <w:rPr>
                <w:spacing w:val="-4"/>
              </w:rPr>
              <w:t> %</w:t>
            </w:r>
            <w:r w:rsidR="002F46D6">
              <w:rPr>
                <w:spacing w:val="-4"/>
              </w:rPr>
              <w:t>)</w:t>
            </w:r>
            <w:r>
              <w:rPr>
                <w:spacing w:val="-4"/>
              </w:rPr>
              <w:t>. Přitom loňská srovnávací základna byla poměrně nízká (došlo k propadu).</w:t>
            </w:r>
          </w:p>
        </w:tc>
      </w:tr>
      <w:tr w:rsidR="002C260B" w:rsidRPr="009110F7" w14:paraId="3D442ED4" w14:textId="77777777" w:rsidTr="000A212B">
        <w:trPr>
          <w:trHeight w:val="145"/>
        </w:trPr>
        <w:tc>
          <w:tcPr>
            <w:tcW w:w="1801" w:type="dxa"/>
            <w:shd w:val="clear" w:color="auto" w:fill="auto"/>
            <w:tcMar>
              <w:left w:w="0" w:type="dxa"/>
            </w:tcMar>
          </w:tcPr>
          <w:p w14:paraId="147F2EA3" w14:textId="77777777" w:rsidR="002C260B" w:rsidRDefault="002C260B" w:rsidP="002C260B">
            <w:pPr>
              <w:pStyle w:val="Marginlie"/>
            </w:pPr>
            <w:r>
              <w:t>Bilance zahraničního obchodu se zbožím dosáhla přebytku.</w:t>
            </w:r>
          </w:p>
        </w:tc>
        <w:tc>
          <w:tcPr>
            <w:tcW w:w="228" w:type="dxa"/>
            <w:shd w:val="clear" w:color="auto" w:fill="auto"/>
            <w:tcMar>
              <w:left w:w="0" w:type="dxa"/>
            </w:tcMar>
          </w:tcPr>
          <w:p w14:paraId="6E2CF21D" w14:textId="77777777" w:rsidR="002C260B" w:rsidRDefault="002C260B" w:rsidP="002C260B">
            <w:pPr>
              <w:pStyle w:val="Textpoznpodarou"/>
              <w:jc w:val="both"/>
              <w:rPr>
                <w:spacing w:val="-4"/>
              </w:rPr>
            </w:pPr>
          </w:p>
        </w:tc>
        <w:tc>
          <w:tcPr>
            <w:tcW w:w="7610" w:type="dxa"/>
            <w:shd w:val="clear" w:color="auto" w:fill="auto"/>
            <w:tcMar>
              <w:left w:w="0" w:type="dxa"/>
            </w:tcMar>
          </w:tcPr>
          <w:p w14:paraId="4D5126A4" w14:textId="7E8A6469" w:rsidR="002C260B" w:rsidRPr="00AF6F98" w:rsidRDefault="002C260B" w:rsidP="002F46D6">
            <w:pPr>
              <w:rPr>
                <w:spacing w:val="-4"/>
              </w:rPr>
            </w:pPr>
            <w:r>
              <w:rPr>
                <w:spacing w:val="-4"/>
              </w:rPr>
              <w:t>Vzhledem k rychlejšímu růstu dovozu nad vývozem meziročně mírně poklesla hodnota bilance za</w:t>
            </w:r>
            <w:r w:rsidR="002F46D6">
              <w:rPr>
                <w:spacing w:val="-4"/>
              </w:rPr>
              <w:t>hraničního obchodu se zbožím o 1</w:t>
            </w:r>
            <w:r>
              <w:rPr>
                <w:spacing w:val="-4"/>
              </w:rPr>
              <w:t>,8</w:t>
            </w:r>
            <w:r w:rsidR="00870ECD">
              <w:rPr>
                <w:spacing w:val="-4"/>
              </w:rPr>
              <w:t> mld</w:t>
            </w:r>
            <w:r>
              <w:rPr>
                <w:spacing w:val="-4"/>
              </w:rPr>
              <w:t>. korun a dosáhla 5</w:t>
            </w:r>
            <w:r w:rsidR="002F46D6">
              <w:rPr>
                <w:spacing w:val="-4"/>
              </w:rPr>
              <w:t>4</w:t>
            </w:r>
            <w:r>
              <w:rPr>
                <w:spacing w:val="-4"/>
              </w:rPr>
              <w:t>,</w:t>
            </w:r>
            <w:r w:rsidR="002F46D6">
              <w:rPr>
                <w:spacing w:val="-4"/>
              </w:rPr>
              <w:t>3</w:t>
            </w:r>
            <w:r w:rsidR="00870ECD">
              <w:rPr>
                <w:spacing w:val="-4"/>
              </w:rPr>
              <w:t> mld</w:t>
            </w:r>
            <w:r>
              <w:rPr>
                <w:spacing w:val="-4"/>
              </w:rPr>
              <w:t>. Zatímco přebytek obchodu se zeměmi EU se v 1. čtvrtletí meziročně zvýšil o 2</w:t>
            </w:r>
            <w:r w:rsidR="002F46D6">
              <w:rPr>
                <w:spacing w:val="-4"/>
              </w:rPr>
              <w:t>5</w:t>
            </w:r>
            <w:r>
              <w:rPr>
                <w:spacing w:val="-4"/>
              </w:rPr>
              <w:t>,</w:t>
            </w:r>
            <w:r w:rsidR="002F46D6">
              <w:rPr>
                <w:spacing w:val="-4"/>
              </w:rPr>
              <w:t>8</w:t>
            </w:r>
            <w:r w:rsidR="00870ECD">
              <w:rPr>
                <w:spacing w:val="-4"/>
              </w:rPr>
              <w:t> mld</w:t>
            </w:r>
            <w:r w:rsidR="00CB64E1">
              <w:rPr>
                <w:spacing w:val="-4"/>
              </w:rPr>
              <w:t>. korun, o </w:t>
            </w:r>
            <w:r w:rsidR="002F46D6">
              <w:rPr>
                <w:spacing w:val="-4"/>
              </w:rPr>
              <w:t xml:space="preserve">mírně vyšší </w:t>
            </w:r>
            <w:r>
              <w:rPr>
                <w:spacing w:val="-4"/>
              </w:rPr>
              <w:t>částku (27,</w:t>
            </w:r>
            <w:r w:rsidR="002F46D6">
              <w:rPr>
                <w:spacing w:val="-4"/>
              </w:rPr>
              <w:t>4</w:t>
            </w:r>
            <w:r w:rsidR="00870ECD">
              <w:rPr>
                <w:spacing w:val="-4"/>
              </w:rPr>
              <w:t> mld</w:t>
            </w:r>
            <w:r>
              <w:rPr>
                <w:spacing w:val="-4"/>
              </w:rPr>
              <w:t xml:space="preserve">.) se prohloubil deficit obchodu se zeměmi mimo Unii. Nejvýrazněji se meziročně zlepšil přebytek se Slovenskem (o </w:t>
            </w:r>
            <w:r w:rsidR="002F46D6">
              <w:rPr>
                <w:spacing w:val="-4"/>
              </w:rPr>
              <w:t>9,9</w:t>
            </w:r>
            <w:r w:rsidR="00870ECD">
              <w:rPr>
                <w:spacing w:val="-4"/>
              </w:rPr>
              <w:t> mld</w:t>
            </w:r>
            <w:r>
              <w:rPr>
                <w:spacing w:val="-4"/>
              </w:rPr>
              <w:t xml:space="preserve">. korun) a dále </w:t>
            </w:r>
            <w:r>
              <w:rPr>
                <w:spacing w:val="-4"/>
              </w:rPr>
              <w:lastRenderedPageBreak/>
              <w:t xml:space="preserve">s Německem (o </w:t>
            </w:r>
            <w:r w:rsidR="002F46D6">
              <w:rPr>
                <w:spacing w:val="-4"/>
              </w:rPr>
              <w:t>5</w:t>
            </w:r>
            <w:r>
              <w:rPr>
                <w:spacing w:val="-4"/>
              </w:rPr>
              <w:t>,</w:t>
            </w:r>
            <w:r w:rsidR="002F46D6">
              <w:rPr>
                <w:spacing w:val="-4"/>
              </w:rPr>
              <w:t>7</w:t>
            </w:r>
            <w:r w:rsidR="00870ECD">
              <w:rPr>
                <w:spacing w:val="-4"/>
              </w:rPr>
              <w:t> mld</w:t>
            </w:r>
            <w:r>
              <w:rPr>
                <w:spacing w:val="-4"/>
              </w:rPr>
              <w:t>.). Výrazně se prohloubil deficit s Čínou (</w:t>
            </w:r>
            <w:r w:rsidR="009341F1">
              <w:rPr>
                <w:spacing w:val="-4"/>
              </w:rPr>
              <w:t>–</w:t>
            </w:r>
            <w:r>
              <w:rPr>
                <w:spacing w:val="-4"/>
              </w:rPr>
              <w:t>1</w:t>
            </w:r>
            <w:r w:rsidR="002F46D6">
              <w:rPr>
                <w:spacing w:val="-4"/>
              </w:rPr>
              <w:t>1</w:t>
            </w:r>
            <w:r>
              <w:rPr>
                <w:spacing w:val="-4"/>
              </w:rPr>
              <w:t>,</w:t>
            </w:r>
            <w:r w:rsidR="002F46D6">
              <w:rPr>
                <w:spacing w:val="-4"/>
              </w:rPr>
              <w:t>7</w:t>
            </w:r>
            <w:r w:rsidR="00870ECD">
              <w:rPr>
                <w:spacing w:val="-4"/>
              </w:rPr>
              <w:t> mld</w:t>
            </w:r>
            <w:r>
              <w:rPr>
                <w:spacing w:val="-4"/>
              </w:rPr>
              <w:t>. korun), dále s Ruskem (</w:t>
            </w:r>
            <w:r w:rsidR="009341F1">
              <w:rPr>
                <w:spacing w:val="-4"/>
              </w:rPr>
              <w:t>–</w:t>
            </w:r>
            <w:r>
              <w:rPr>
                <w:spacing w:val="-4"/>
              </w:rPr>
              <w:t>4,</w:t>
            </w:r>
            <w:r w:rsidR="002F46D6">
              <w:rPr>
                <w:spacing w:val="-4"/>
              </w:rPr>
              <w:t>4</w:t>
            </w:r>
            <w:r w:rsidR="00870ECD">
              <w:rPr>
                <w:spacing w:val="-4"/>
              </w:rPr>
              <w:t> mld</w:t>
            </w:r>
            <w:r>
              <w:rPr>
                <w:spacing w:val="-4"/>
              </w:rPr>
              <w:t>.) a Tureckem (</w:t>
            </w:r>
            <w:r w:rsidR="009341F1">
              <w:rPr>
                <w:spacing w:val="-4"/>
              </w:rPr>
              <w:t>–</w:t>
            </w:r>
            <w:r>
              <w:rPr>
                <w:spacing w:val="-4"/>
              </w:rPr>
              <w:t>4,6</w:t>
            </w:r>
            <w:r w:rsidR="00870ECD">
              <w:rPr>
                <w:spacing w:val="-4"/>
              </w:rPr>
              <w:t> mld</w:t>
            </w:r>
            <w:r>
              <w:rPr>
                <w:spacing w:val="-4"/>
              </w:rPr>
              <w:t>.).</w:t>
            </w:r>
          </w:p>
        </w:tc>
      </w:tr>
      <w:tr w:rsidR="002C260B" w:rsidRPr="009110F7" w14:paraId="6A4667EE" w14:textId="77777777" w:rsidTr="000A212B">
        <w:trPr>
          <w:trHeight w:val="145"/>
        </w:trPr>
        <w:tc>
          <w:tcPr>
            <w:tcW w:w="1801" w:type="dxa"/>
            <w:shd w:val="clear" w:color="auto" w:fill="auto"/>
            <w:tcMar>
              <w:left w:w="0" w:type="dxa"/>
            </w:tcMar>
          </w:tcPr>
          <w:p w14:paraId="7BC55F44" w14:textId="77777777" w:rsidR="002C260B" w:rsidRDefault="002C260B" w:rsidP="002C260B">
            <w:pPr>
              <w:pStyle w:val="Marginlie"/>
            </w:pPr>
            <w:r>
              <w:lastRenderedPageBreak/>
              <w:t>Zlepšila se bilance obchodu s motorovými vozidly.</w:t>
            </w:r>
          </w:p>
        </w:tc>
        <w:tc>
          <w:tcPr>
            <w:tcW w:w="228" w:type="dxa"/>
            <w:shd w:val="clear" w:color="auto" w:fill="auto"/>
            <w:tcMar>
              <w:left w:w="0" w:type="dxa"/>
            </w:tcMar>
          </w:tcPr>
          <w:p w14:paraId="5DE4B541" w14:textId="77777777" w:rsidR="002C260B" w:rsidRDefault="002C260B" w:rsidP="002C260B">
            <w:pPr>
              <w:pStyle w:val="Textpoznpodarou"/>
              <w:jc w:val="both"/>
              <w:rPr>
                <w:spacing w:val="-4"/>
              </w:rPr>
            </w:pPr>
          </w:p>
        </w:tc>
        <w:tc>
          <w:tcPr>
            <w:tcW w:w="7610" w:type="dxa"/>
            <w:shd w:val="clear" w:color="auto" w:fill="auto"/>
            <w:tcMar>
              <w:left w:w="0" w:type="dxa"/>
            </w:tcMar>
          </w:tcPr>
          <w:p w14:paraId="2A0A5AB4" w14:textId="434F391F" w:rsidR="002C260B" w:rsidRDefault="002C260B" w:rsidP="002F46D6">
            <w:pPr>
              <w:rPr>
                <w:spacing w:val="-4"/>
              </w:rPr>
            </w:pPr>
            <w:r>
              <w:rPr>
                <w:spacing w:val="-4"/>
              </w:rPr>
              <w:t xml:space="preserve">Ve směru zlepšení bilance působil přebytek obchodu s motorovými vozidly, který se v 1. čtvrtletí zvýšil o </w:t>
            </w:r>
            <w:r w:rsidR="002F46D6">
              <w:rPr>
                <w:spacing w:val="-4"/>
              </w:rPr>
              <w:t>6</w:t>
            </w:r>
            <w:r>
              <w:rPr>
                <w:spacing w:val="-4"/>
              </w:rPr>
              <w:t>,</w:t>
            </w:r>
            <w:r w:rsidR="002F46D6">
              <w:rPr>
                <w:spacing w:val="-4"/>
              </w:rPr>
              <w:t>5</w:t>
            </w:r>
            <w:r w:rsidR="00870ECD">
              <w:rPr>
                <w:spacing w:val="-4"/>
              </w:rPr>
              <w:t> mld</w:t>
            </w:r>
            <w:r>
              <w:rPr>
                <w:spacing w:val="-4"/>
              </w:rPr>
              <w:t>. korun</w:t>
            </w:r>
            <w:r w:rsidR="00105015">
              <w:rPr>
                <w:spacing w:val="-4"/>
              </w:rPr>
              <w:t>,</w:t>
            </w:r>
            <w:r>
              <w:rPr>
                <w:spacing w:val="-4"/>
              </w:rPr>
              <w:t xml:space="preserve"> a rovněž rostoucí kladné saldo obchodu s elektřinou, plynem, párou a klimatizovaným vzduchem (+2,9</w:t>
            </w:r>
            <w:r w:rsidR="00870ECD">
              <w:rPr>
                <w:spacing w:val="-4"/>
              </w:rPr>
              <w:t> mld</w:t>
            </w:r>
            <w:r>
              <w:rPr>
                <w:spacing w:val="-4"/>
              </w:rPr>
              <w:t>. korun) a základními kovy (+2,</w:t>
            </w:r>
            <w:r w:rsidR="002F46D6">
              <w:rPr>
                <w:spacing w:val="-4"/>
              </w:rPr>
              <w:t>0</w:t>
            </w:r>
            <w:r>
              <w:rPr>
                <w:spacing w:val="-4"/>
              </w:rPr>
              <w:t> mld.). Naopak deficitně působil obchod s ropou a zemním plynem (prohloubení deficitu o 5,</w:t>
            </w:r>
            <w:r w:rsidR="002F46D6">
              <w:rPr>
                <w:spacing w:val="-4"/>
              </w:rPr>
              <w:t>2</w:t>
            </w:r>
            <w:r w:rsidR="00870ECD">
              <w:rPr>
                <w:spacing w:val="-4"/>
              </w:rPr>
              <w:t> mld</w:t>
            </w:r>
            <w:r>
              <w:rPr>
                <w:spacing w:val="-4"/>
              </w:rPr>
              <w:t xml:space="preserve">. korun) a dále </w:t>
            </w:r>
            <w:r w:rsidR="00105015">
              <w:rPr>
                <w:spacing w:val="-4"/>
              </w:rPr>
              <w:t>s počítači, optickými a elektronickými přístroji</w:t>
            </w:r>
            <w:r>
              <w:rPr>
                <w:spacing w:val="-4"/>
              </w:rPr>
              <w:t xml:space="preserve"> (</w:t>
            </w:r>
            <w:r w:rsidR="009341F1">
              <w:rPr>
                <w:spacing w:val="-4"/>
              </w:rPr>
              <w:t>–</w:t>
            </w:r>
            <w:r w:rsidR="002F46D6">
              <w:rPr>
                <w:spacing w:val="-4"/>
              </w:rPr>
              <w:t>5</w:t>
            </w:r>
            <w:r>
              <w:rPr>
                <w:spacing w:val="-4"/>
              </w:rPr>
              <w:t>,</w:t>
            </w:r>
            <w:r w:rsidR="002F46D6">
              <w:rPr>
                <w:spacing w:val="-4"/>
              </w:rPr>
              <w:t>6</w:t>
            </w:r>
            <w:r w:rsidR="00870ECD">
              <w:rPr>
                <w:spacing w:val="-4"/>
              </w:rPr>
              <w:t> mld</w:t>
            </w:r>
            <w:r>
              <w:rPr>
                <w:spacing w:val="-4"/>
              </w:rPr>
              <w:t>.).</w:t>
            </w:r>
          </w:p>
        </w:tc>
      </w:tr>
      <w:tr w:rsidR="002C260B" w:rsidRPr="009110F7" w14:paraId="70B8DFA9" w14:textId="77777777" w:rsidTr="000A212B">
        <w:trPr>
          <w:trHeight w:val="106"/>
        </w:trPr>
        <w:tc>
          <w:tcPr>
            <w:tcW w:w="1801" w:type="dxa"/>
            <w:vMerge w:val="restart"/>
            <w:shd w:val="clear" w:color="auto" w:fill="auto"/>
            <w:tcMar>
              <w:left w:w="0" w:type="dxa"/>
            </w:tcMar>
          </w:tcPr>
          <w:p w14:paraId="2A0E0CAC" w14:textId="77777777" w:rsidR="002C260B" w:rsidRDefault="002C260B" w:rsidP="002C260B">
            <w:pPr>
              <w:pStyle w:val="Marginlie"/>
            </w:pPr>
          </w:p>
        </w:tc>
        <w:tc>
          <w:tcPr>
            <w:tcW w:w="228" w:type="dxa"/>
            <w:vMerge w:val="restart"/>
            <w:shd w:val="clear" w:color="auto" w:fill="auto"/>
            <w:tcMar>
              <w:left w:w="0" w:type="dxa"/>
            </w:tcMar>
          </w:tcPr>
          <w:p w14:paraId="7808FBF2" w14:textId="77777777" w:rsidR="002C260B" w:rsidRDefault="002C260B" w:rsidP="002C260B">
            <w:pPr>
              <w:pStyle w:val="Textpoznpodarou"/>
              <w:jc w:val="both"/>
              <w:rPr>
                <w:spacing w:val="-4"/>
              </w:rPr>
            </w:pPr>
          </w:p>
        </w:tc>
        <w:tc>
          <w:tcPr>
            <w:tcW w:w="7610" w:type="dxa"/>
            <w:shd w:val="clear" w:color="auto" w:fill="auto"/>
            <w:tcMar>
              <w:left w:w="0" w:type="dxa"/>
            </w:tcMar>
          </w:tcPr>
          <w:p w14:paraId="0BB66E79" w14:textId="77777777" w:rsidR="002C260B" w:rsidRPr="00D75AC1" w:rsidRDefault="002C260B" w:rsidP="00935DFE">
            <w:pPr>
              <w:spacing w:after="0"/>
              <w:rPr>
                <w:spacing w:val="-4"/>
                <w:szCs w:val="20"/>
              </w:rPr>
            </w:pPr>
            <w:r w:rsidRPr="00D75AC1">
              <w:rPr>
                <w:rFonts w:cs="Arial"/>
                <w:b/>
                <w:bCs/>
                <w:color w:val="000000"/>
                <w:szCs w:val="20"/>
              </w:rPr>
              <w:t xml:space="preserve">Graf č. </w:t>
            </w:r>
            <w:r w:rsidR="00935DFE" w:rsidRPr="00D75AC1">
              <w:rPr>
                <w:rFonts w:cs="Arial"/>
                <w:b/>
                <w:bCs/>
                <w:color w:val="000000"/>
                <w:szCs w:val="20"/>
              </w:rPr>
              <w:t>9</w:t>
            </w:r>
            <w:r w:rsidRPr="00D75AC1">
              <w:rPr>
                <w:rFonts w:cs="Arial"/>
                <w:b/>
                <w:bCs/>
                <w:color w:val="000000"/>
                <w:szCs w:val="20"/>
              </w:rPr>
              <w:t xml:space="preserve">  </w:t>
            </w:r>
            <w:r w:rsidRPr="00D75AC1">
              <w:rPr>
                <w:b/>
                <w:spacing w:val="-4"/>
                <w:szCs w:val="20"/>
              </w:rPr>
              <w:t xml:space="preserve">Bilance zahraničního obchodu* ve statistice zahraničního obchodu </w:t>
            </w:r>
            <w:r w:rsidRPr="00D75AC1">
              <w:rPr>
                <w:spacing w:val="-4"/>
                <w:szCs w:val="20"/>
              </w:rPr>
              <w:t>(kumulace 1. čtvrtletí, v mld. korun, vybrané oddíly klasifikace CPA)</w:t>
            </w:r>
          </w:p>
        </w:tc>
      </w:tr>
      <w:tr w:rsidR="002C260B" w:rsidRPr="009110F7" w14:paraId="0C1212D2" w14:textId="77777777" w:rsidTr="000A212B">
        <w:tblPrEx>
          <w:tblCellMar>
            <w:left w:w="70" w:type="dxa"/>
            <w:right w:w="70" w:type="dxa"/>
          </w:tblCellMar>
        </w:tblPrEx>
        <w:trPr>
          <w:trHeight w:val="106"/>
        </w:trPr>
        <w:tc>
          <w:tcPr>
            <w:tcW w:w="1801" w:type="dxa"/>
            <w:vMerge/>
            <w:shd w:val="clear" w:color="auto" w:fill="auto"/>
          </w:tcPr>
          <w:p w14:paraId="7F695013" w14:textId="77777777" w:rsidR="002C260B" w:rsidRDefault="002C260B" w:rsidP="002C260B">
            <w:pPr>
              <w:pStyle w:val="Marginlie"/>
            </w:pPr>
          </w:p>
        </w:tc>
        <w:tc>
          <w:tcPr>
            <w:tcW w:w="228" w:type="dxa"/>
            <w:vMerge/>
            <w:shd w:val="clear" w:color="auto" w:fill="auto"/>
          </w:tcPr>
          <w:p w14:paraId="0631E882" w14:textId="77777777" w:rsidR="002C260B" w:rsidRDefault="002C260B" w:rsidP="002C260B">
            <w:pPr>
              <w:pStyle w:val="Textpoznpodarou"/>
              <w:jc w:val="both"/>
              <w:rPr>
                <w:spacing w:val="-4"/>
              </w:rPr>
            </w:pPr>
          </w:p>
        </w:tc>
        <w:tc>
          <w:tcPr>
            <w:tcW w:w="7610" w:type="dxa"/>
            <w:shd w:val="clear" w:color="auto" w:fill="auto"/>
          </w:tcPr>
          <w:p w14:paraId="43B18397" w14:textId="6396AB47" w:rsidR="002C260B" w:rsidRPr="00AF6F98" w:rsidRDefault="000A212B" w:rsidP="002C260B">
            <w:pPr>
              <w:spacing w:after="0"/>
              <w:rPr>
                <w:spacing w:val="-4"/>
              </w:rPr>
            </w:pPr>
            <w:r>
              <w:rPr>
                <w:noProof/>
              </w:rPr>
              <w:drawing>
                <wp:inline distT="0" distB="0" distL="0" distR="0" wp14:anchorId="59DE40B0" wp14:editId="37CC821E">
                  <wp:extent cx="4737600" cy="3553200"/>
                  <wp:effectExtent l="0" t="0" r="635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2C260B" w:rsidRPr="009110F7" w14:paraId="460EFA64" w14:textId="77777777" w:rsidTr="000A212B">
        <w:trPr>
          <w:trHeight w:val="106"/>
        </w:trPr>
        <w:tc>
          <w:tcPr>
            <w:tcW w:w="1801" w:type="dxa"/>
            <w:vMerge/>
            <w:shd w:val="clear" w:color="auto" w:fill="auto"/>
            <w:tcMar>
              <w:left w:w="0" w:type="dxa"/>
            </w:tcMar>
          </w:tcPr>
          <w:p w14:paraId="2C68C966" w14:textId="77777777" w:rsidR="002C260B" w:rsidRDefault="002C260B" w:rsidP="002C260B">
            <w:pPr>
              <w:pStyle w:val="Marginlie"/>
            </w:pPr>
          </w:p>
        </w:tc>
        <w:tc>
          <w:tcPr>
            <w:tcW w:w="228" w:type="dxa"/>
            <w:vMerge/>
            <w:shd w:val="clear" w:color="auto" w:fill="auto"/>
            <w:tcMar>
              <w:left w:w="0" w:type="dxa"/>
            </w:tcMar>
          </w:tcPr>
          <w:p w14:paraId="4B030FFE" w14:textId="77777777" w:rsidR="002C260B" w:rsidRDefault="002C260B" w:rsidP="002C260B">
            <w:pPr>
              <w:pStyle w:val="Textpoznpodarou"/>
              <w:jc w:val="both"/>
              <w:rPr>
                <w:spacing w:val="-4"/>
              </w:rPr>
            </w:pPr>
          </w:p>
        </w:tc>
        <w:tc>
          <w:tcPr>
            <w:tcW w:w="7610" w:type="dxa"/>
            <w:shd w:val="clear" w:color="auto" w:fill="auto"/>
            <w:tcMar>
              <w:left w:w="0" w:type="dxa"/>
            </w:tcMar>
          </w:tcPr>
          <w:p w14:paraId="4F89571E" w14:textId="77777777" w:rsidR="002C260B" w:rsidRDefault="002C260B" w:rsidP="002C260B">
            <w:pPr>
              <w:spacing w:after="0"/>
              <w:rPr>
                <w:sz w:val="14"/>
                <w:szCs w:val="14"/>
              </w:rPr>
            </w:pPr>
            <w:r>
              <w:rPr>
                <w:sz w:val="14"/>
                <w:szCs w:val="14"/>
              </w:rPr>
              <w:t>Zdroj: ČSÚ</w:t>
            </w:r>
          </w:p>
          <w:p w14:paraId="62DFFD8D" w14:textId="77777777" w:rsidR="002C260B" w:rsidRPr="00AF6F98" w:rsidRDefault="002C260B" w:rsidP="002C260B">
            <w:pPr>
              <w:rPr>
                <w:spacing w:val="-4"/>
              </w:rPr>
            </w:pPr>
            <w:r>
              <w:rPr>
                <w:sz w:val="14"/>
                <w:szCs w:val="14"/>
              </w:rPr>
              <w:t>*v národním pojetí</w:t>
            </w:r>
          </w:p>
        </w:tc>
      </w:tr>
    </w:tbl>
    <w:p w14:paraId="47A8A4F2" w14:textId="77777777" w:rsidR="00524385" w:rsidRDefault="00524385" w:rsidP="000D3058">
      <w:pPr>
        <w:pStyle w:val="Nadpis11"/>
      </w:pPr>
      <w:bookmarkStart w:id="8" w:name="_Toc511215218"/>
      <w:bookmarkEnd w:id="8"/>
    </w:p>
    <w:p w14:paraId="2BCCB0DB" w14:textId="77777777" w:rsidR="00524385" w:rsidRDefault="00524385">
      <w:pPr>
        <w:spacing w:after="0" w:line="240" w:lineRule="auto"/>
        <w:jc w:val="left"/>
        <w:rPr>
          <w:rFonts w:eastAsia="MS Gothic"/>
          <w:b/>
          <w:bCs/>
          <w:color w:val="71818C"/>
          <w:sz w:val="32"/>
          <w:szCs w:val="28"/>
        </w:rPr>
      </w:pPr>
      <w:r>
        <w:br w:type="page"/>
      </w:r>
    </w:p>
    <w:p w14:paraId="66A98C56" w14:textId="77777777" w:rsidR="000D3058" w:rsidRPr="009110F7" w:rsidRDefault="000D3058" w:rsidP="000D3058">
      <w:pPr>
        <w:pStyle w:val="Nadpis11"/>
      </w:pPr>
      <w:bookmarkStart w:id="9" w:name="_Toc11320631"/>
      <w:r w:rsidRPr="009110F7">
        <w:lastRenderedPageBreak/>
        <w:t>5. Ceny</w:t>
      </w:r>
      <w:bookmarkEnd w:id="9"/>
    </w:p>
    <w:tbl>
      <w:tblPr>
        <w:tblW w:w="9639" w:type="dxa"/>
        <w:tblInd w:w="-15" w:type="dxa"/>
        <w:tblCellMar>
          <w:left w:w="0" w:type="dxa"/>
          <w:right w:w="0" w:type="dxa"/>
        </w:tblCellMar>
        <w:tblLook w:val="00A0" w:firstRow="1" w:lastRow="0" w:firstColumn="1" w:lastColumn="0" w:noHBand="0" w:noVBand="0"/>
      </w:tblPr>
      <w:tblGrid>
        <w:gridCol w:w="1805"/>
        <w:gridCol w:w="224"/>
        <w:gridCol w:w="7610"/>
      </w:tblGrid>
      <w:tr w:rsidR="00614D35" w:rsidRPr="009110F7" w14:paraId="29C91DCF" w14:textId="77777777" w:rsidTr="00CA1BD6">
        <w:trPr>
          <w:trHeight w:val="145"/>
        </w:trPr>
        <w:tc>
          <w:tcPr>
            <w:tcW w:w="1868" w:type="dxa"/>
            <w:shd w:val="clear" w:color="auto" w:fill="auto"/>
            <w:tcMar>
              <w:left w:w="0" w:type="dxa"/>
            </w:tcMar>
          </w:tcPr>
          <w:p w14:paraId="1179A3B9" w14:textId="77777777" w:rsidR="00614D35" w:rsidRPr="00793D78" w:rsidRDefault="00614D35" w:rsidP="00614D35">
            <w:pPr>
              <w:pStyle w:val="Marginlie"/>
              <w:rPr>
                <w:spacing w:val="0"/>
              </w:rPr>
            </w:pPr>
            <w:r>
              <w:rPr>
                <w:spacing w:val="0"/>
              </w:rPr>
              <w:t>Celková cenová hladina vzrostla.</w:t>
            </w:r>
          </w:p>
        </w:tc>
        <w:tc>
          <w:tcPr>
            <w:tcW w:w="246" w:type="dxa"/>
            <w:shd w:val="clear" w:color="auto" w:fill="auto"/>
            <w:tcMar>
              <w:left w:w="0" w:type="dxa"/>
            </w:tcMar>
          </w:tcPr>
          <w:p w14:paraId="028AB9F1" w14:textId="77777777" w:rsidR="00614D35" w:rsidRPr="00793D78" w:rsidRDefault="00614D35" w:rsidP="00614D35">
            <w:pPr>
              <w:pStyle w:val="Textpoznpodarou1"/>
              <w:jc w:val="both"/>
            </w:pPr>
          </w:p>
        </w:tc>
        <w:tc>
          <w:tcPr>
            <w:tcW w:w="7525" w:type="dxa"/>
            <w:shd w:val="clear" w:color="auto" w:fill="auto"/>
            <w:tcMar>
              <w:left w:w="0" w:type="dxa"/>
            </w:tcMar>
          </w:tcPr>
          <w:p w14:paraId="1F0BFBD7" w14:textId="656F5024" w:rsidR="00614D35" w:rsidRPr="00793D78" w:rsidRDefault="00614D35" w:rsidP="00614D35">
            <w:pPr>
              <w:rPr>
                <w:szCs w:val="20"/>
              </w:rPr>
            </w:pPr>
            <w:r>
              <w:rPr>
                <w:szCs w:val="20"/>
              </w:rPr>
              <w:t>Celkový meziroční nárůst cenové hladiny měřený deflátorem HDP v 1. čtvrtletí 2019 dosáhl 3,1</w:t>
            </w:r>
            <w:r w:rsidR="00870ECD">
              <w:rPr>
                <w:szCs w:val="20"/>
              </w:rPr>
              <w:t> %</w:t>
            </w:r>
            <w:r>
              <w:rPr>
                <w:szCs w:val="20"/>
              </w:rPr>
              <w:t>. To je nejvíce od 3. čtvrtletí 2007. Růst cenové hladiny táhlo spotřební zboží (3,2</w:t>
            </w:r>
            <w:r w:rsidR="00870ECD">
              <w:rPr>
                <w:szCs w:val="20"/>
              </w:rPr>
              <w:t> %</w:t>
            </w:r>
            <w:r>
              <w:rPr>
                <w:szCs w:val="20"/>
              </w:rPr>
              <w:t>)</w:t>
            </w:r>
            <w:r w:rsidR="009D4F21">
              <w:rPr>
                <w:szCs w:val="20"/>
              </w:rPr>
              <w:t>,</w:t>
            </w:r>
            <w:r>
              <w:rPr>
                <w:szCs w:val="20"/>
              </w:rPr>
              <w:t xml:space="preserve"> stejně jako kapitálové statky (3,2</w:t>
            </w:r>
            <w:r w:rsidR="00870ECD">
              <w:rPr>
                <w:szCs w:val="20"/>
              </w:rPr>
              <w:t> %</w:t>
            </w:r>
            <w:r>
              <w:rPr>
                <w:szCs w:val="20"/>
              </w:rPr>
              <w:t>). Ceny statků spotřebovávaných domácnostmi se meziročně zvýšily o 2,7</w:t>
            </w:r>
            <w:r w:rsidR="00870ECD">
              <w:rPr>
                <w:szCs w:val="20"/>
              </w:rPr>
              <w:t> %</w:t>
            </w:r>
            <w:r>
              <w:rPr>
                <w:szCs w:val="20"/>
              </w:rPr>
              <w:t>, v případě vládní spotřeby byla dynamika výraznější (4,3</w:t>
            </w:r>
            <w:r w:rsidR="00870ECD">
              <w:rPr>
                <w:szCs w:val="20"/>
              </w:rPr>
              <w:t> %</w:t>
            </w:r>
            <w:r>
              <w:rPr>
                <w:szCs w:val="20"/>
              </w:rPr>
              <w:t>). Výrazné zrychlení celkové dynamiky tentokrát netlumily směnné relace, které dosáhly 99,9</w:t>
            </w:r>
            <w:r w:rsidR="00870ECD">
              <w:rPr>
                <w:szCs w:val="20"/>
              </w:rPr>
              <w:t> %</w:t>
            </w:r>
            <w:r>
              <w:rPr>
                <w:szCs w:val="20"/>
              </w:rPr>
              <w:t>.</w:t>
            </w:r>
          </w:p>
        </w:tc>
      </w:tr>
      <w:tr w:rsidR="00614D35" w:rsidRPr="009110F7" w14:paraId="4DDD5075" w14:textId="77777777" w:rsidTr="00CA1BD6">
        <w:trPr>
          <w:trHeight w:val="170"/>
        </w:trPr>
        <w:tc>
          <w:tcPr>
            <w:tcW w:w="1868" w:type="dxa"/>
            <w:vMerge w:val="restart"/>
            <w:shd w:val="clear" w:color="auto" w:fill="auto"/>
            <w:tcMar>
              <w:left w:w="0" w:type="dxa"/>
            </w:tcMar>
          </w:tcPr>
          <w:p w14:paraId="2389493F" w14:textId="77777777" w:rsidR="00614D35" w:rsidRDefault="00614D35" w:rsidP="00614D35">
            <w:pPr>
              <w:pStyle w:val="Marginlie"/>
              <w:rPr>
                <w:spacing w:val="0"/>
              </w:rPr>
            </w:pPr>
          </w:p>
        </w:tc>
        <w:tc>
          <w:tcPr>
            <w:tcW w:w="246" w:type="dxa"/>
            <w:vMerge w:val="restart"/>
            <w:shd w:val="clear" w:color="auto" w:fill="auto"/>
            <w:tcMar>
              <w:left w:w="0" w:type="dxa"/>
            </w:tcMar>
          </w:tcPr>
          <w:p w14:paraId="64CBAE75" w14:textId="77777777" w:rsidR="00614D35" w:rsidRPr="00793D78" w:rsidRDefault="00614D35" w:rsidP="00614D35">
            <w:pPr>
              <w:pStyle w:val="Textpoznpodarou1"/>
              <w:jc w:val="both"/>
              <w:rPr>
                <w:highlight w:val="yellow"/>
              </w:rPr>
            </w:pPr>
          </w:p>
        </w:tc>
        <w:tc>
          <w:tcPr>
            <w:tcW w:w="7525" w:type="dxa"/>
            <w:shd w:val="clear" w:color="auto" w:fill="auto"/>
            <w:tcMar>
              <w:left w:w="0" w:type="dxa"/>
            </w:tcMar>
          </w:tcPr>
          <w:p w14:paraId="74F09DA9" w14:textId="77777777" w:rsidR="00614D35" w:rsidRPr="00D75AC1" w:rsidRDefault="00614D35" w:rsidP="00614D35">
            <w:pPr>
              <w:spacing w:after="0"/>
              <w:rPr>
                <w:szCs w:val="20"/>
              </w:rPr>
            </w:pPr>
            <w:r w:rsidRPr="00D75AC1">
              <w:rPr>
                <w:b/>
                <w:szCs w:val="20"/>
              </w:rPr>
              <w:t xml:space="preserve">Graf č. 10  </w:t>
            </w:r>
            <w:r w:rsidRPr="00D75AC1">
              <w:rPr>
                <w:rFonts w:cs="Arial"/>
                <w:b/>
                <w:bCs/>
                <w:color w:val="000000"/>
                <w:szCs w:val="20"/>
              </w:rPr>
              <w:t>Deflátory</w:t>
            </w:r>
            <w:r w:rsidRPr="00D75AC1">
              <w:rPr>
                <w:rFonts w:cs="Arial"/>
                <w:b/>
                <w:color w:val="000000"/>
                <w:szCs w:val="20"/>
              </w:rPr>
              <w:t xml:space="preserve"> </w:t>
            </w:r>
            <w:r w:rsidRPr="001208E3">
              <w:rPr>
                <w:rFonts w:cs="Arial"/>
                <w:color w:val="000000"/>
                <w:szCs w:val="20"/>
              </w:rPr>
              <w:t>(očištěno o sezónní a kalendářní vlivy, meziročně v %)</w:t>
            </w:r>
          </w:p>
        </w:tc>
      </w:tr>
      <w:tr w:rsidR="00614D35" w:rsidRPr="009110F7" w14:paraId="4B727D08" w14:textId="77777777" w:rsidTr="00CA1BD6">
        <w:trPr>
          <w:trHeight w:val="170"/>
        </w:trPr>
        <w:tc>
          <w:tcPr>
            <w:tcW w:w="1868" w:type="dxa"/>
            <w:vMerge/>
            <w:shd w:val="clear" w:color="auto" w:fill="auto"/>
            <w:tcMar>
              <w:left w:w="0" w:type="dxa"/>
            </w:tcMar>
          </w:tcPr>
          <w:p w14:paraId="3E648048" w14:textId="77777777" w:rsidR="00614D35" w:rsidRPr="00793D78" w:rsidRDefault="00614D35" w:rsidP="00614D35">
            <w:pPr>
              <w:pStyle w:val="Marginlie"/>
              <w:rPr>
                <w:spacing w:val="0"/>
              </w:rPr>
            </w:pPr>
          </w:p>
        </w:tc>
        <w:tc>
          <w:tcPr>
            <w:tcW w:w="246" w:type="dxa"/>
            <w:vMerge/>
            <w:shd w:val="clear" w:color="auto" w:fill="auto"/>
            <w:tcMar>
              <w:left w:w="0" w:type="dxa"/>
            </w:tcMar>
          </w:tcPr>
          <w:p w14:paraId="309A1396" w14:textId="77777777" w:rsidR="00614D35" w:rsidRPr="00793D78" w:rsidRDefault="00614D35" w:rsidP="00614D35">
            <w:pPr>
              <w:pStyle w:val="Textpoznpodarou"/>
              <w:jc w:val="both"/>
            </w:pPr>
          </w:p>
        </w:tc>
        <w:tc>
          <w:tcPr>
            <w:tcW w:w="7525" w:type="dxa"/>
            <w:shd w:val="clear" w:color="auto" w:fill="auto"/>
            <w:tcMar>
              <w:left w:w="0" w:type="dxa"/>
            </w:tcMar>
          </w:tcPr>
          <w:p w14:paraId="21EE3BA2" w14:textId="77777777" w:rsidR="00614D35" w:rsidRPr="00793D78" w:rsidRDefault="00614D35" w:rsidP="00614D35">
            <w:pPr>
              <w:spacing w:after="0"/>
            </w:pPr>
            <w:r>
              <w:rPr>
                <w:noProof/>
              </w:rPr>
              <w:drawing>
                <wp:inline distT="0" distB="0" distL="0" distR="0" wp14:anchorId="019D72A5" wp14:editId="1043D8D8">
                  <wp:extent cx="4771467" cy="35532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614D35" w:rsidRPr="009110F7" w14:paraId="44DA7153" w14:textId="77777777" w:rsidTr="00CA1BD6">
        <w:trPr>
          <w:trHeight w:val="170"/>
        </w:trPr>
        <w:tc>
          <w:tcPr>
            <w:tcW w:w="1868" w:type="dxa"/>
            <w:vMerge/>
            <w:shd w:val="clear" w:color="auto" w:fill="auto"/>
            <w:tcMar>
              <w:left w:w="0" w:type="dxa"/>
            </w:tcMar>
          </w:tcPr>
          <w:p w14:paraId="02338B2E" w14:textId="77777777" w:rsidR="00614D35" w:rsidRPr="00793D78" w:rsidRDefault="00614D35" w:rsidP="00614D35">
            <w:pPr>
              <w:pStyle w:val="Marginlie"/>
              <w:rPr>
                <w:spacing w:val="0"/>
              </w:rPr>
            </w:pPr>
          </w:p>
        </w:tc>
        <w:tc>
          <w:tcPr>
            <w:tcW w:w="246" w:type="dxa"/>
            <w:vMerge/>
            <w:shd w:val="clear" w:color="auto" w:fill="auto"/>
            <w:tcMar>
              <w:left w:w="0" w:type="dxa"/>
            </w:tcMar>
          </w:tcPr>
          <w:p w14:paraId="0E6F0D13" w14:textId="77777777" w:rsidR="00614D35" w:rsidRPr="00793D78" w:rsidRDefault="00614D35" w:rsidP="00614D35">
            <w:pPr>
              <w:pStyle w:val="Textpoznpodarou"/>
              <w:jc w:val="both"/>
            </w:pPr>
          </w:p>
        </w:tc>
        <w:tc>
          <w:tcPr>
            <w:tcW w:w="7525" w:type="dxa"/>
            <w:shd w:val="clear" w:color="auto" w:fill="auto"/>
            <w:tcMar>
              <w:left w:w="0" w:type="dxa"/>
            </w:tcMar>
          </w:tcPr>
          <w:p w14:paraId="55554F92" w14:textId="77777777" w:rsidR="00614D35" w:rsidRPr="00793D78" w:rsidRDefault="00614D35" w:rsidP="00614D35">
            <w:pPr>
              <w:rPr>
                <w:sz w:val="14"/>
                <w:szCs w:val="14"/>
              </w:rPr>
            </w:pPr>
            <w:r>
              <w:rPr>
                <w:sz w:val="14"/>
                <w:szCs w:val="14"/>
              </w:rPr>
              <w:t>Zdroj: ČSÚ, národní účty</w:t>
            </w:r>
          </w:p>
        </w:tc>
      </w:tr>
      <w:tr w:rsidR="00614D35" w:rsidRPr="009110F7" w14:paraId="2E643D5D" w14:textId="77777777" w:rsidTr="00CA1BD6">
        <w:trPr>
          <w:trHeight w:val="145"/>
        </w:trPr>
        <w:tc>
          <w:tcPr>
            <w:tcW w:w="1868" w:type="dxa"/>
            <w:shd w:val="clear" w:color="auto" w:fill="auto"/>
            <w:tcMar>
              <w:left w:w="0" w:type="dxa"/>
            </w:tcMar>
          </w:tcPr>
          <w:p w14:paraId="0B3A5C77" w14:textId="77777777" w:rsidR="00614D35" w:rsidRPr="00793D78" w:rsidRDefault="00614D35" w:rsidP="00614D35">
            <w:pPr>
              <w:pStyle w:val="Marginlie"/>
              <w:rPr>
                <w:spacing w:val="0"/>
              </w:rPr>
            </w:pPr>
            <w:r>
              <w:rPr>
                <w:spacing w:val="0"/>
              </w:rPr>
              <w:t>Meziroční růst cen spotřebitelů na počátku roku zrychlil.</w:t>
            </w:r>
          </w:p>
        </w:tc>
        <w:tc>
          <w:tcPr>
            <w:tcW w:w="246" w:type="dxa"/>
            <w:shd w:val="clear" w:color="auto" w:fill="auto"/>
            <w:tcMar>
              <w:left w:w="0" w:type="dxa"/>
            </w:tcMar>
          </w:tcPr>
          <w:p w14:paraId="58F9F681" w14:textId="77777777" w:rsidR="00614D35" w:rsidRPr="00793D78" w:rsidRDefault="00614D35" w:rsidP="00614D35">
            <w:pPr>
              <w:pStyle w:val="Textpoznpodarou1"/>
              <w:jc w:val="both"/>
              <w:rPr>
                <w:highlight w:val="yellow"/>
              </w:rPr>
            </w:pPr>
          </w:p>
        </w:tc>
        <w:tc>
          <w:tcPr>
            <w:tcW w:w="7525" w:type="dxa"/>
            <w:shd w:val="clear" w:color="auto" w:fill="auto"/>
            <w:tcMar>
              <w:left w:w="0" w:type="dxa"/>
            </w:tcMar>
          </w:tcPr>
          <w:p w14:paraId="08729253" w14:textId="4869249F" w:rsidR="00614D35" w:rsidRPr="00793D78" w:rsidRDefault="00614D35" w:rsidP="007E1EE3">
            <w:pPr>
              <w:rPr>
                <w:highlight w:val="yellow"/>
              </w:rPr>
            </w:pPr>
            <w:r w:rsidRPr="0039668A">
              <w:t xml:space="preserve">Meziroční dynamika spotřebitelských cen od počátku roku 2019 zrychlovala a celkově se </w:t>
            </w:r>
            <w:r>
              <w:t xml:space="preserve">v 1. čtvrtletí </w:t>
            </w:r>
            <w:r w:rsidRPr="0039668A">
              <w:t>index meziročně zvýšil</w:t>
            </w:r>
            <w:r>
              <w:t xml:space="preserve"> o 2,7</w:t>
            </w:r>
            <w:r w:rsidR="00870ECD">
              <w:t> %</w:t>
            </w:r>
            <w:r>
              <w:t>. Jde o výrazný posun v porovnání s dynamikou loňského roku (2,1</w:t>
            </w:r>
            <w:r w:rsidR="00870ECD">
              <w:t> %</w:t>
            </w:r>
            <w:r>
              <w:t>). Přírůstek v letošním 1. čtvrtletí převýšil všechny kvartály loňského roku a je nejvyšší od 4. čtvrtletí 2012. Zrychlení meziročního růstu bylo způsobeno zejména další akcelerací vývoje cen bydlení, vody</w:t>
            </w:r>
            <w:r w:rsidR="009D4F21">
              <w:t>,</w:t>
            </w:r>
            <w:r>
              <w:t xml:space="preserve"> energií a paliv. T</w:t>
            </w:r>
            <w:r w:rsidR="000A212B">
              <w:t>y</w:t>
            </w:r>
            <w:r>
              <w:t xml:space="preserve"> nakonec k celkovému růstu spotřebitelských cen přispěl</w:t>
            </w:r>
            <w:r w:rsidR="000A212B">
              <w:t>y</w:t>
            </w:r>
            <w:r>
              <w:t xml:space="preserve"> více než polovinou. Do vývoje významněji promluvil i růst cen alkoholick</w:t>
            </w:r>
            <w:r w:rsidR="00CB64E1">
              <w:t>ých nápojů a tabáku, potravin a</w:t>
            </w:r>
            <w:r w:rsidR="00CB64E1">
              <w:rPr>
                <w:spacing w:val="-4"/>
              </w:rPr>
              <w:t> </w:t>
            </w:r>
            <w:r>
              <w:t xml:space="preserve">nealkoholických </w:t>
            </w:r>
            <w:r w:rsidR="007E1EE3">
              <w:t>nápojů, ubytování</w:t>
            </w:r>
            <w:r>
              <w:t xml:space="preserve"> a stravování</w:t>
            </w:r>
            <w:r w:rsidR="007E1EE3">
              <w:t xml:space="preserve"> a ostatního zboží a služeb</w:t>
            </w:r>
            <w:r>
              <w:t>. Ceny zboží se v 1.</w:t>
            </w:r>
            <w:r w:rsidR="009D4F21">
              <w:t> </w:t>
            </w:r>
            <w:r>
              <w:t>čtvrtletí meziročně zvýšily o 2,0</w:t>
            </w:r>
            <w:r w:rsidR="00870ECD">
              <w:t> %</w:t>
            </w:r>
            <w:r>
              <w:t xml:space="preserve"> a ceny služeb o 3,8</w:t>
            </w:r>
            <w:r w:rsidR="00870ECD">
              <w:t> %</w:t>
            </w:r>
            <w:r>
              <w:t>.</w:t>
            </w:r>
          </w:p>
        </w:tc>
      </w:tr>
      <w:tr w:rsidR="00614D35" w:rsidRPr="009110F7" w14:paraId="5B0A01A1" w14:textId="77777777" w:rsidTr="00CA1BD6">
        <w:trPr>
          <w:trHeight w:val="145"/>
        </w:trPr>
        <w:tc>
          <w:tcPr>
            <w:tcW w:w="1868" w:type="dxa"/>
            <w:shd w:val="clear" w:color="auto" w:fill="auto"/>
            <w:tcMar>
              <w:left w:w="0" w:type="dxa"/>
            </w:tcMar>
          </w:tcPr>
          <w:p w14:paraId="5692F000" w14:textId="47EC310F" w:rsidR="00614D35" w:rsidRPr="00793D78" w:rsidRDefault="00614D35" w:rsidP="00614D35">
            <w:pPr>
              <w:pStyle w:val="Marginlie"/>
              <w:rPr>
                <w:spacing w:val="0"/>
              </w:rPr>
            </w:pPr>
            <w:r>
              <w:rPr>
                <w:spacing w:val="0"/>
              </w:rPr>
              <w:t>Stále zrychlovala dynamika cen bydlení</w:t>
            </w:r>
            <w:r w:rsidR="009D4F21">
              <w:rPr>
                <w:spacing w:val="0"/>
              </w:rPr>
              <w:br/>
            </w:r>
            <w:r>
              <w:rPr>
                <w:spacing w:val="0"/>
              </w:rPr>
              <w:t>a ene</w:t>
            </w:r>
            <w:r w:rsidR="00CB64E1">
              <w:rPr>
                <w:spacing w:val="0"/>
              </w:rPr>
              <w:t>r</w:t>
            </w:r>
            <w:r>
              <w:rPr>
                <w:spacing w:val="0"/>
              </w:rPr>
              <w:t>gií.</w:t>
            </w:r>
          </w:p>
        </w:tc>
        <w:tc>
          <w:tcPr>
            <w:tcW w:w="246" w:type="dxa"/>
            <w:shd w:val="clear" w:color="auto" w:fill="auto"/>
            <w:tcMar>
              <w:left w:w="0" w:type="dxa"/>
            </w:tcMar>
          </w:tcPr>
          <w:p w14:paraId="5E0E1A52" w14:textId="77777777" w:rsidR="00614D35" w:rsidRPr="00793D78" w:rsidRDefault="00614D35" w:rsidP="00614D35">
            <w:pPr>
              <w:pStyle w:val="Textpoznpodarou1"/>
              <w:jc w:val="both"/>
              <w:rPr>
                <w:highlight w:val="yellow"/>
              </w:rPr>
            </w:pPr>
          </w:p>
        </w:tc>
        <w:tc>
          <w:tcPr>
            <w:tcW w:w="7525" w:type="dxa"/>
            <w:shd w:val="clear" w:color="auto" w:fill="auto"/>
            <w:tcMar>
              <w:left w:w="0" w:type="dxa"/>
            </w:tcMar>
          </w:tcPr>
          <w:p w14:paraId="5E14B253" w14:textId="77777777" w:rsidR="00614D35" w:rsidRDefault="00614D35" w:rsidP="00D95302">
            <w:r>
              <w:t>Ceny bydlení, vody, energií a paliv se v 1. čtvrtletí meziročně zvýšily o 5,4</w:t>
            </w:r>
            <w:r w:rsidR="00870ECD">
              <w:t> %</w:t>
            </w:r>
            <w:r>
              <w:t>. To je nejvíce od 2. čtvrtletí 2012. Podob</w:t>
            </w:r>
            <w:r w:rsidR="00D95302">
              <w:t>ně n</w:t>
            </w:r>
            <w:r>
              <w:t>árůst</w:t>
            </w:r>
            <w:r w:rsidR="00D95302">
              <w:t xml:space="preserve"> ovlivnily</w:t>
            </w:r>
            <w:r>
              <w:t xml:space="preserve"> samotné náklady na bydlení (imputované nájemné vzrostlo o 5,8</w:t>
            </w:r>
            <w:r w:rsidR="00870ECD">
              <w:t> %</w:t>
            </w:r>
            <w:r>
              <w:t>, nájemné z bytu o 3,7</w:t>
            </w:r>
            <w:r w:rsidR="00870ECD">
              <w:t> %</w:t>
            </w:r>
            <w:r>
              <w:t>) i energie (meziroční přírůstek cen elektrické a tepelné energie, plynu a ostatních paliv 6,2</w:t>
            </w:r>
            <w:r w:rsidR="00870ECD">
              <w:t> %</w:t>
            </w:r>
            <w:r>
              <w:t xml:space="preserve">). </w:t>
            </w:r>
            <w:r w:rsidR="00D95302">
              <w:t>V c</w:t>
            </w:r>
            <w:r>
              <w:t>en</w:t>
            </w:r>
            <w:r w:rsidR="00D95302">
              <w:t xml:space="preserve">ách </w:t>
            </w:r>
            <w:r>
              <w:t xml:space="preserve">energií </w:t>
            </w:r>
            <w:r w:rsidR="00D95302">
              <w:t>měla hlavní vliv</w:t>
            </w:r>
            <w:r>
              <w:t xml:space="preserve"> především elektřina, u které </w:t>
            </w:r>
            <w:r w:rsidR="00D95302">
              <w:t xml:space="preserve">meziroční </w:t>
            </w:r>
            <w:r>
              <w:t>růst cen zrychl</w:t>
            </w:r>
            <w:r w:rsidR="00D95302">
              <w:t>oval</w:t>
            </w:r>
            <w:r w:rsidR="00CB64E1">
              <w:t>. I</w:t>
            </w:r>
            <w:r w:rsidR="00CB64E1">
              <w:rPr>
                <w:spacing w:val="-4"/>
              </w:rPr>
              <w:t> </w:t>
            </w:r>
            <w:r>
              <w:t>na skupinách, které mají ve spotřebním koši nižší váhu, se projevily cenové tlaky. Ostatní služby související s bydlením tak v 1. čtvrtletí meziročn</w:t>
            </w:r>
            <w:r w:rsidR="00CB64E1">
              <w:t>ě zdražily o 2,1</w:t>
            </w:r>
            <w:r w:rsidR="00870ECD">
              <w:t> %</w:t>
            </w:r>
            <w:r w:rsidR="00CB64E1">
              <w:t xml:space="preserve"> (zrychlení o </w:t>
            </w:r>
            <w:r>
              <w:t>více než 1 p. b.) a běžná údržba a drobné opravy bytu o 4,9</w:t>
            </w:r>
            <w:r w:rsidR="00870ECD">
              <w:t> %</w:t>
            </w:r>
            <w:r>
              <w:t>.</w:t>
            </w:r>
          </w:p>
        </w:tc>
      </w:tr>
      <w:tr w:rsidR="00614D35" w:rsidRPr="009110F7" w14:paraId="79B8D038" w14:textId="77777777" w:rsidTr="00CA1BD6">
        <w:trPr>
          <w:trHeight w:val="145"/>
        </w:trPr>
        <w:tc>
          <w:tcPr>
            <w:tcW w:w="1868" w:type="dxa"/>
            <w:shd w:val="clear" w:color="auto" w:fill="auto"/>
            <w:tcMar>
              <w:left w:w="0" w:type="dxa"/>
            </w:tcMar>
          </w:tcPr>
          <w:p w14:paraId="29ED5169" w14:textId="4D853C5E" w:rsidR="00614D35" w:rsidRDefault="00614D35" w:rsidP="00614D35">
            <w:pPr>
              <w:pStyle w:val="Marginlie"/>
              <w:rPr>
                <w:spacing w:val="0"/>
              </w:rPr>
            </w:pPr>
            <w:r>
              <w:rPr>
                <w:spacing w:val="0"/>
              </w:rPr>
              <w:t>Ostatní oddíly spotřebitelského koše přispěly slaběji.</w:t>
            </w:r>
          </w:p>
        </w:tc>
        <w:tc>
          <w:tcPr>
            <w:tcW w:w="246" w:type="dxa"/>
            <w:shd w:val="clear" w:color="auto" w:fill="auto"/>
            <w:tcMar>
              <w:left w:w="0" w:type="dxa"/>
            </w:tcMar>
          </w:tcPr>
          <w:p w14:paraId="1058ED68" w14:textId="77777777" w:rsidR="00614D35" w:rsidRPr="00793D78" w:rsidRDefault="00614D35" w:rsidP="00614D35">
            <w:pPr>
              <w:pStyle w:val="Textpoznpodarou1"/>
              <w:jc w:val="both"/>
              <w:rPr>
                <w:highlight w:val="yellow"/>
              </w:rPr>
            </w:pPr>
          </w:p>
        </w:tc>
        <w:tc>
          <w:tcPr>
            <w:tcW w:w="7525" w:type="dxa"/>
            <w:shd w:val="clear" w:color="auto" w:fill="auto"/>
            <w:tcMar>
              <w:left w:w="0" w:type="dxa"/>
            </w:tcMar>
          </w:tcPr>
          <w:p w14:paraId="3E987477" w14:textId="4F8B3A73" w:rsidR="00614D35" w:rsidRDefault="00614D35" w:rsidP="00CE3E48">
            <w:r>
              <w:t xml:space="preserve">Všechny ostatní oddíly spotřebního koše s výjimkou odívání a obuvi a </w:t>
            </w:r>
            <w:r w:rsidR="00D95302">
              <w:t xml:space="preserve">také </w:t>
            </w:r>
            <w:r w:rsidR="00CB64E1">
              <w:t>pošt a </w:t>
            </w:r>
            <w:r>
              <w:t>telekomunikací zaznamenaly v 1.</w:t>
            </w:r>
            <w:r w:rsidR="00722777">
              <w:t> </w:t>
            </w:r>
            <w:r>
              <w:t xml:space="preserve">čtvrtletí meziroční růst. Ke zvýšení spotřebitelských </w:t>
            </w:r>
            <w:r>
              <w:lastRenderedPageBreak/>
              <w:t>cen z nich nejvýrazněji přispěly alkoholické nápoje a tabák, jejichž ceny narostly o</w:t>
            </w:r>
            <w:r w:rsidR="00CE3E48">
              <w:t> </w:t>
            </w:r>
            <w:r>
              <w:t>3,3</w:t>
            </w:r>
            <w:r w:rsidR="00870ECD">
              <w:t> %</w:t>
            </w:r>
            <w:r>
              <w:t xml:space="preserve">. Zdražení pod vlivem rostoucích nákladů na pracovní </w:t>
            </w:r>
            <w:r w:rsidR="00460656">
              <w:t xml:space="preserve">sílu </w:t>
            </w:r>
            <w:r>
              <w:t>se nevyhnulo ani oddílu ostatní zboží a služby (4,3</w:t>
            </w:r>
            <w:r w:rsidR="00870ECD">
              <w:t> %</w:t>
            </w:r>
            <w:r>
              <w:t>, nejvýrazněji se zvýšily ceny výrobků a služeb pro osobní péči a také ceny pojištění a finančních služeb). Ceny potravin a nealkoholických nápojů po mírném meziročním propadu v předchozím čtvrtletí opět vzrostly (1,0</w:t>
            </w:r>
            <w:r w:rsidR="00870ECD">
              <w:t> %</w:t>
            </w:r>
            <w:r>
              <w:t>). Nejvýrazněji k tomu přispě</w:t>
            </w:r>
            <w:r w:rsidR="00CB64E1">
              <w:t>ly ceny zeleniny (nárůst o 20,0 </w:t>
            </w:r>
            <w:r>
              <w:t>%) a pak pekárenské výrobky</w:t>
            </w:r>
            <w:r w:rsidR="007E1EE3">
              <w:t xml:space="preserve"> a obiloviny</w:t>
            </w:r>
            <w:r>
              <w:t xml:space="preserve"> (2,0</w:t>
            </w:r>
            <w:r w:rsidR="00870ECD">
              <w:t> %</w:t>
            </w:r>
            <w:r>
              <w:t>). Naopak o 9,</w:t>
            </w:r>
            <w:r w:rsidR="00CB64E1">
              <w:t>9</w:t>
            </w:r>
            <w:r w:rsidR="00870ECD">
              <w:t> %</w:t>
            </w:r>
            <w:r w:rsidR="00CB64E1">
              <w:t xml:space="preserve"> poklesly ceny ovoce. I v 1. </w:t>
            </w:r>
            <w:r>
              <w:t xml:space="preserve">čtvrtletí 2019 pokračoval poměrně silný </w:t>
            </w:r>
            <w:r w:rsidR="00CB64E1">
              <w:t>meziroční růst cen stravování a </w:t>
            </w:r>
            <w:r>
              <w:t>ubytování (3,8</w:t>
            </w:r>
            <w:r w:rsidR="00870ECD">
              <w:t> %</w:t>
            </w:r>
            <w:r>
              <w:t>). Výrazně oslabila meziroční dynamika cen dopravy. Projevilo se zpomalení růstu cen provozu osobních dopravních prostředků na 2,4</w:t>
            </w:r>
            <w:r w:rsidR="00870ECD">
              <w:t> %</w:t>
            </w:r>
            <w:r>
              <w:t xml:space="preserve"> (v předchozím kvartálu to bylo ještě 7,6</w:t>
            </w:r>
            <w:r w:rsidR="00870ECD">
              <w:t> %</w:t>
            </w:r>
            <w:r>
              <w:t>), silně se projevil i propad cen dopravních služeb o 7,8</w:t>
            </w:r>
            <w:r w:rsidR="00870ECD">
              <w:t> %</w:t>
            </w:r>
            <w:r>
              <w:t xml:space="preserve"> (projev slev na dopravu pro studenty a seniory).</w:t>
            </w:r>
          </w:p>
        </w:tc>
      </w:tr>
      <w:tr w:rsidR="00CA1BD6" w:rsidRPr="00D75AC1" w14:paraId="7C84E65E" w14:textId="77777777" w:rsidTr="00CA1BD6">
        <w:trPr>
          <w:trHeight w:val="170"/>
        </w:trPr>
        <w:tc>
          <w:tcPr>
            <w:tcW w:w="1868" w:type="dxa"/>
            <w:vMerge w:val="restart"/>
            <w:shd w:val="clear" w:color="auto" w:fill="auto"/>
            <w:tcMar>
              <w:left w:w="0" w:type="dxa"/>
            </w:tcMar>
          </w:tcPr>
          <w:p w14:paraId="4218F020" w14:textId="77777777" w:rsidR="00CA1BD6" w:rsidRDefault="00CA1BD6" w:rsidP="00723435">
            <w:pPr>
              <w:pStyle w:val="Marginlie"/>
              <w:rPr>
                <w:spacing w:val="0"/>
              </w:rPr>
            </w:pPr>
          </w:p>
        </w:tc>
        <w:tc>
          <w:tcPr>
            <w:tcW w:w="246" w:type="dxa"/>
            <w:vMerge w:val="restart"/>
            <w:shd w:val="clear" w:color="auto" w:fill="auto"/>
            <w:tcMar>
              <w:left w:w="0" w:type="dxa"/>
            </w:tcMar>
          </w:tcPr>
          <w:p w14:paraId="51C0D829" w14:textId="77777777" w:rsidR="00CA1BD6" w:rsidRPr="00793D78" w:rsidRDefault="00CA1BD6" w:rsidP="00723435">
            <w:pPr>
              <w:pStyle w:val="Textpoznpodarou1"/>
              <w:jc w:val="both"/>
              <w:rPr>
                <w:highlight w:val="yellow"/>
              </w:rPr>
            </w:pPr>
          </w:p>
        </w:tc>
        <w:tc>
          <w:tcPr>
            <w:tcW w:w="7525" w:type="dxa"/>
            <w:shd w:val="clear" w:color="auto" w:fill="auto"/>
            <w:tcMar>
              <w:left w:w="0" w:type="dxa"/>
            </w:tcMar>
          </w:tcPr>
          <w:p w14:paraId="6E31833E" w14:textId="77777777" w:rsidR="00CA1BD6" w:rsidRPr="00D75AC1" w:rsidRDefault="00CA1BD6" w:rsidP="00723435">
            <w:pPr>
              <w:spacing w:after="0"/>
              <w:rPr>
                <w:b/>
                <w:szCs w:val="20"/>
              </w:rPr>
            </w:pPr>
            <w:r w:rsidRPr="00D75AC1">
              <w:rPr>
                <w:rFonts w:cs="Arial"/>
                <w:b/>
                <w:bCs/>
                <w:color w:val="000000"/>
                <w:szCs w:val="20"/>
              </w:rPr>
              <w:t>Graf č. 11  Ceny ve vybraných oddílech indexu spotřebitelských cen</w:t>
            </w:r>
            <w:r w:rsidRPr="00D75AC1">
              <w:rPr>
                <w:rFonts w:cs="Arial"/>
                <w:b/>
                <w:color w:val="000000"/>
                <w:szCs w:val="20"/>
              </w:rPr>
              <w:t xml:space="preserve"> </w:t>
            </w:r>
            <w:r w:rsidRPr="001208E3">
              <w:rPr>
                <w:rFonts w:cs="Arial"/>
                <w:color w:val="000000"/>
                <w:szCs w:val="20"/>
              </w:rPr>
              <w:t>(meziročně v %)</w:t>
            </w:r>
          </w:p>
        </w:tc>
      </w:tr>
      <w:tr w:rsidR="00CA1BD6" w:rsidRPr="009110F7" w14:paraId="50695085" w14:textId="77777777" w:rsidTr="007E1EE3">
        <w:tblPrEx>
          <w:tblCellMar>
            <w:left w:w="70" w:type="dxa"/>
            <w:right w:w="70" w:type="dxa"/>
          </w:tblCellMar>
        </w:tblPrEx>
        <w:trPr>
          <w:trHeight w:val="170"/>
        </w:trPr>
        <w:tc>
          <w:tcPr>
            <w:tcW w:w="1868" w:type="dxa"/>
            <w:vMerge/>
            <w:shd w:val="clear" w:color="auto" w:fill="auto"/>
          </w:tcPr>
          <w:p w14:paraId="1186A64D" w14:textId="77777777" w:rsidR="00CA1BD6" w:rsidRPr="00793D78" w:rsidRDefault="00CA1BD6" w:rsidP="00965797">
            <w:pPr>
              <w:pStyle w:val="Marginlie"/>
              <w:rPr>
                <w:spacing w:val="0"/>
              </w:rPr>
            </w:pPr>
          </w:p>
        </w:tc>
        <w:tc>
          <w:tcPr>
            <w:tcW w:w="246" w:type="dxa"/>
            <w:vMerge/>
            <w:shd w:val="clear" w:color="auto" w:fill="auto"/>
          </w:tcPr>
          <w:p w14:paraId="75A69F14" w14:textId="77777777" w:rsidR="00CA1BD6" w:rsidRPr="00793D78" w:rsidRDefault="00CA1BD6" w:rsidP="00965797">
            <w:pPr>
              <w:pStyle w:val="Textpoznpodarou"/>
              <w:jc w:val="both"/>
            </w:pPr>
          </w:p>
        </w:tc>
        <w:tc>
          <w:tcPr>
            <w:tcW w:w="7525" w:type="dxa"/>
            <w:shd w:val="clear" w:color="auto" w:fill="auto"/>
          </w:tcPr>
          <w:p w14:paraId="1431AA92" w14:textId="65676F7D" w:rsidR="00CA1BD6" w:rsidRPr="00793D78" w:rsidRDefault="007E1EE3" w:rsidP="00965797">
            <w:pPr>
              <w:spacing w:after="0"/>
            </w:pPr>
            <w:r>
              <w:rPr>
                <w:noProof/>
              </w:rPr>
              <w:drawing>
                <wp:inline distT="0" distB="0" distL="0" distR="0" wp14:anchorId="5413898D" wp14:editId="2C3B8EB2">
                  <wp:extent cx="4737600" cy="3553200"/>
                  <wp:effectExtent l="0" t="0" r="63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CA1BD6" w:rsidRPr="009110F7" w14:paraId="08629ED1" w14:textId="77777777" w:rsidTr="00CA1BD6">
        <w:trPr>
          <w:trHeight w:val="170"/>
        </w:trPr>
        <w:tc>
          <w:tcPr>
            <w:tcW w:w="1868" w:type="dxa"/>
            <w:vMerge/>
            <w:shd w:val="clear" w:color="auto" w:fill="auto"/>
            <w:tcMar>
              <w:left w:w="0" w:type="dxa"/>
            </w:tcMar>
          </w:tcPr>
          <w:p w14:paraId="7342E1F8" w14:textId="77777777" w:rsidR="00CA1BD6" w:rsidRPr="00793D78" w:rsidRDefault="00CA1BD6" w:rsidP="00965797">
            <w:pPr>
              <w:pStyle w:val="Marginlie"/>
              <w:rPr>
                <w:spacing w:val="0"/>
              </w:rPr>
            </w:pPr>
          </w:p>
        </w:tc>
        <w:tc>
          <w:tcPr>
            <w:tcW w:w="246" w:type="dxa"/>
            <w:vMerge/>
            <w:shd w:val="clear" w:color="auto" w:fill="auto"/>
            <w:tcMar>
              <w:left w:w="0" w:type="dxa"/>
            </w:tcMar>
          </w:tcPr>
          <w:p w14:paraId="67E3D742" w14:textId="77777777" w:rsidR="00CA1BD6" w:rsidRPr="00793D78" w:rsidRDefault="00CA1BD6" w:rsidP="00965797">
            <w:pPr>
              <w:pStyle w:val="Textpoznpodarou"/>
              <w:jc w:val="both"/>
            </w:pPr>
          </w:p>
        </w:tc>
        <w:tc>
          <w:tcPr>
            <w:tcW w:w="7525" w:type="dxa"/>
            <w:shd w:val="clear" w:color="auto" w:fill="auto"/>
            <w:tcMar>
              <w:left w:w="0" w:type="dxa"/>
            </w:tcMar>
          </w:tcPr>
          <w:p w14:paraId="2AC5FC09" w14:textId="77777777" w:rsidR="00CA1BD6" w:rsidRPr="00793D78" w:rsidRDefault="00CA1BD6" w:rsidP="00965797">
            <w:pPr>
              <w:rPr>
                <w:sz w:val="14"/>
                <w:szCs w:val="14"/>
              </w:rPr>
            </w:pPr>
            <w:r w:rsidRPr="00793D78">
              <w:rPr>
                <w:sz w:val="14"/>
                <w:szCs w:val="14"/>
              </w:rPr>
              <w:t>Zdroj: ČSÚ</w:t>
            </w:r>
          </w:p>
        </w:tc>
      </w:tr>
      <w:tr w:rsidR="00614D35" w:rsidRPr="009110F7" w14:paraId="1C8C0086" w14:textId="77777777" w:rsidTr="00CA1BD6">
        <w:trPr>
          <w:trHeight w:val="145"/>
        </w:trPr>
        <w:tc>
          <w:tcPr>
            <w:tcW w:w="1868" w:type="dxa"/>
            <w:shd w:val="clear" w:color="auto" w:fill="auto"/>
            <w:tcMar>
              <w:left w:w="0" w:type="dxa"/>
            </w:tcMar>
          </w:tcPr>
          <w:p w14:paraId="4A737E95" w14:textId="77777777" w:rsidR="00614D35" w:rsidRPr="00793D78" w:rsidRDefault="00614D35" w:rsidP="00614D35">
            <w:pPr>
              <w:pStyle w:val="Marginlie"/>
              <w:rPr>
                <w:spacing w:val="0"/>
              </w:rPr>
            </w:pPr>
            <w:r>
              <w:rPr>
                <w:spacing w:val="0"/>
              </w:rPr>
              <w:t>Spotřebitelské ceny v EU se v 1. čtvrtletí zvýšily o 1,6</w:t>
            </w:r>
            <w:r w:rsidR="00870ECD">
              <w:rPr>
                <w:spacing w:val="0"/>
              </w:rPr>
              <w:t> %</w:t>
            </w:r>
            <w:r>
              <w:rPr>
                <w:spacing w:val="0"/>
              </w:rPr>
              <w:t>.</w:t>
            </w:r>
          </w:p>
        </w:tc>
        <w:tc>
          <w:tcPr>
            <w:tcW w:w="246" w:type="dxa"/>
            <w:shd w:val="clear" w:color="auto" w:fill="auto"/>
            <w:tcMar>
              <w:left w:w="0" w:type="dxa"/>
            </w:tcMar>
          </w:tcPr>
          <w:p w14:paraId="4BCBFEFB" w14:textId="77777777" w:rsidR="00614D35" w:rsidRPr="00793D78" w:rsidRDefault="00614D35" w:rsidP="00614D35">
            <w:pPr>
              <w:pStyle w:val="Textpoznpodarou1"/>
              <w:jc w:val="both"/>
            </w:pPr>
          </w:p>
        </w:tc>
        <w:tc>
          <w:tcPr>
            <w:tcW w:w="7525" w:type="dxa"/>
            <w:shd w:val="clear" w:color="auto" w:fill="auto"/>
            <w:tcMar>
              <w:left w:w="0" w:type="dxa"/>
            </w:tcMar>
          </w:tcPr>
          <w:p w14:paraId="6C01CFC1" w14:textId="0D9D3FF5" w:rsidR="00614D35" w:rsidRPr="00793D78" w:rsidRDefault="00614D35" w:rsidP="00614D35">
            <w:r>
              <w:t>V 1. čtvrtletí 2019 index spotřebitelských cen v EU</w:t>
            </w:r>
            <w:r w:rsidR="007635F8">
              <w:t>28</w:t>
            </w:r>
            <w:r>
              <w:t xml:space="preserve"> meziročně vzrostl o 1,6</w:t>
            </w:r>
            <w:r w:rsidR="00870ECD">
              <w:t> %</w:t>
            </w:r>
            <w:r>
              <w:t>. Tempo tak v porovnání s předchozím čtvrtletím (2,0</w:t>
            </w:r>
            <w:r w:rsidR="00870ECD">
              <w:t> %</w:t>
            </w:r>
            <w:r>
              <w:t>) zvolnilo. Změnu dynamiky lze spojit se zpomalením meziročního růstu cen bydlení a energií a také dopravy. Pozorované zpomalení mezi 4. čtvrtletím 2018 a letošním 1. kvartálem se týkalo i většiny jednotlivých členů EU. Ceny však meziročně vzrostly ve všech zemích.  Nejsilněji se v 1. čtvrtletí meziročně zvýšily ceny spotřebitelů v Rumunsku (3,8</w:t>
            </w:r>
            <w:r w:rsidR="00870ECD">
              <w:t> %</w:t>
            </w:r>
            <w:r>
              <w:t>), Maďarsku (3,2</w:t>
            </w:r>
            <w:r w:rsidR="00870ECD">
              <w:t> %</w:t>
            </w:r>
            <w:r>
              <w:t>) a Lotyšsku (2,8</w:t>
            </w:r>
            <w:r w:rsidR="00870ECD">
              <w:t> %</w:t>
            </w:r>
            <w:r>
              <w:t xml:space="preserve">). Nejnižší tempo růstu </w:t>
            </w:r>
            <w:r w:rsidR="007635F8">
              <w:t>(</w:t>
            </w:r>
            <w:r>
              <w:t>shodně 0,8</w:t>
            </w:r>
            <w:r w:rsidR="00870ECD">
              <w:t> %</w:t>
            </w:r>
            <w:r w:rsidR="007635F8">
              <w:t>)</w:t>
            </w:r>
            <w:r>
              <w:t xml:space="preserve"> měly ceny v Portugalsku, Řecku a Chorvatsku.</w:t>
            </w:r>
          </w:p>
        </w:tc>
      </w:tr>
      <w:tr w:rsidR="00614D35" w:rsidRPr="009110F7" w14:paraId="55B9B22B" w14:textId="77777777" w:rsidTr="00CA1BD6">
        <w:trPr>
          <w:trHeight w:val="145"/>
        </w:trPr>
        <w:tc>
          <w:tcPr>
            <w:tcW w:w="1868" w:type="dxa"/>
            <w:shd w:val="clear" w:color="auto" w:fill="auto"/>
            <w:tcMar>
              <w:left w:w="0" w:type="dxa"/>
            </w:tcMar>
          </w:tcPr>
          <w:p w14:paraId="41FCCD40" w14:textId="77777777" w:rsidR="00614D35" w:rsidRDefault="00614D35" w:rsidP="00614D35">
            <w:pPr>
              <w:pStyle w:val="Marginlie"/>
              <w:rPr>
                <w:spacing w:val="0"/>
              </w:rPr>
            </w:pPr>
            <w:r>
              <w:rPr>
                <w:spacing w:val="0"/>
              </w:rPr>
              <w:t>Ceny nemovitostí</w:t>
            </w:r>
            <w:r w:rsidR="002721F5">
              <w:rPr>
                <w:spacing w:val="0"/>
              </w:rPr>
              <w:t xml:space="preserve"> rostly pomaleji než v loňském roce.</w:t>
            </w:r>
          </w:p>
        </w:tc>
        <w:tc>
          <w:tcPr>
            <w:tcW w:w="246" w:type="dxa"/>
            <w:shd w:val="clear" w:color="auto" w:fill="auto"/>
            <w:tcMar>
              <w:left w:w="0" w:type="dxa"/>
            </w:tcMar>
          </w:tcPr>
          <w:p w14:paraId="1A5AEF69" w14:textId="77777777" w:rsidR="00614D35" w:rsidRPr="00793D78" w:rsidRDefault="00614D35" w:rsidP="00614D35">
            <w:pPr>
              <w:pStyle w:val="Textpoznpodarou1"/>
              <w:jc w:val="both"/>
            </w:pPr>
          </w:p>
        </w:tc>
        <w:tc>
          <w:tcPr>
            <w:tcW w:w="7525" w:type="dxa"/>
            <w:shd w:val="clear" w:color="auto" w:fill="auto"/>
            <w:tcMar>
              <w:left w:w="0" w:type="dxa"/>
            </w:tcMar>
          </w:tcPr>
          <w:p w14:paraId="2D9F5CD9" w14:textId="5A92435E" w:rsidR="00614D35" w:rsidRDefault="00E4623F" w:rsidP="0052200D">
            <w:r>
              <w:t>Meziroční růst nabídkových cen bytů v Česku v 1. čtvrtletí 2019 zpomalil na 7,4</w:t>
            </w:r>
            <w:r w:rsidR="00870ECD">
              <w:t> %</w:t>
            </w:r>
            <w:r>
              <w:t>. Přitom v mimopražských oblastech dosáhl 6,2</w:t>
            </w:r>
            <w:r w:rsidR="00870ECD">
              <w:t> %</w:t>
            </w:r>
            <w:r>
              <w:t xml:space="preserve"> a v Praze 8,3</w:t>
            </w:r>
            <w:r w:rsidR="00870ECD">
              <w:t> %</w:t>
            </w:r>
            <w:r>
              <w:t>. Ochlazení trhu nemovitostí, které se projevuje například na počtu a objemu nových hypotečních úvěrů</w:t>
            </w:r>
            <w:r w:rsidR="007635F8">
              <w:t>,</w:t>
            </w:r>
            <w:r>
              <w:t xml:space="preserve"> je tak silnější mimo hlavní město. V případě realizovaných cen starších bytů je situace jiná</w:t>
            </w:r>
            <w:r w:rsidR="00B97FE2">
              <w:t>. Celkem se realizované ceny meziročně zvýšily o 10,8</w:t>
            </w:r>
            <w:r w:rsidR="00870ECD">
              <w:t> %</w:t>
            </w:r>
            <w:r w:rsidR="00CA7255">
              <w:t>. V Praze ale rostly pomaleji (8,7</w:t>
            </w:r>
            <w:r w:rsidR="00870ECD">
              <w:t> %</w:t>
            </w:r>
            <w:r w:rsidR="00CA7255">
              <w:t xml:space="preserve">). </w:t>
            </w:r>
            <w:r w:rsidR="00DB47FD">
              <w:t>Mezičtvrtletní tempo růstu realizovaných cen kleslo na 1,1</w:t>
            </w:r>
            <w:r w:rsidR="00870ECD">
              <w:t> %</w:t>
            </w:r>
            <w:r w:rsidR="00DB47FD">
              <w:t xml:space="preserve">. </w:t>
            </w:r>
            <w:r w:rsidR="00CA7255">
              <w:t xml:space="preserve">Pokud jde </w:t>
            </w:r>
            <w:r w:rsidR="007635F8">
              <w:t xml:space="preserve">ale </w:t>
            </w:r>
            <w:r w:rsidR="00CA7255">
              <w:t xml:space="preserve">o nové byty v Praze, u těch meziroční nárůst cen dosáhl opět dvouciferného </w:t>
            </w:r>
            <w:r w:rsidR="00CA7255">
              <w:lastRenderedPageBreak/>
              <w:t>tempa (14,4</w:t>
            </w:r>
            <w:r w:rsidR="00870ECD">
              <w:t> %</w:t>
            </w:r>
            <w:r w:rsidR="00CA7255">
              <w:t xml:space="preserve">). </w:t>
            </w:r>
            <w:proofErr w:type="spellStart"/>
            <w:r w:rsidR="00CA7255">
              <w:t>Mezičtvrtletně</w:t>
            </w:r>
            <w:proofErr w:type="spellEnd"/>
            <w:r w:rsidR="00CA7255">
              <w:t xml:space="preserve"> </w:t>
            </w:r>
            <w:r w:rsidR="007635F8">
              <w:t xml:space="preserve">však </w:t>
            </w:r>
            <w:r w:rsidR="00CA7255">
              <w:t>tyto ceny vzrostly o 1,0</w:t>
            </w:r>
            <w:r w:rsidR="00870ECD">
              <w:t> %</w:t>
            </w:r>
            <w:r w:rsidR="00CA7255">
              <w:t xml:space="preserve">, </w:t>
            </w:r>
            <w:r w:rsidR="0052200D">
              <w:t>o trochu více než</w:t>
            </w:r>
            <w:r w:rsidR="00CA7255">
              <w:t xml:space="preserve"> v předchozím kvartálu.</w:t>
            </w:r>
            <w:r>
              <w:t xml:space="preserve"> </w:t>
            </w:r>
          </w:p>
        </w:tc>
      </w:tr>
      <w:tr w:rsidR="00614D35" w:rsidRPr="009110F7" w14:paraId="319ADF76" w14:textId="77777777" w:rsidTr="00CA1BD6">
        <w:trPr>
          <w:trHeight w:val="145"/>
        </w:trPr>
        <w:tc>
          <w:tcPr>
            <w:tcW w:w="1868" w:type="dxa"/>
            <w:shd w:val="clear" w:color="auto" w:fill="auto"/>
            <w:tcMar>
              <w:left w:w="0" w:type="dxa"/>
            </w:tcMar>
          </w:tcPr>
          <w:p w14:paraId="4FF50472" w14:textId="77777777" w:rsidR="00614D35" w:rsidRPr="00793D78" w:rsidRDefault="00614D35" w:rsidP="00614D35">
            <w:pPr>
              <w:pStyle w:val="Marginlie"/>
              <w:rPr>
                <w:spacing w:val="0"/>
              </w:rPr>
            </w:pPr>
            <w:r>
              <w:rPr>
                <w:spacing w:val="0"/>
              </w:rPr>
              <w:lastRenderedPageBreak/>
              <w:t xml:space="preserve">Ceny průmyslových výrobců nebyly tak silně ovlivněny cenami ropy jako v minulém roce. </w:t>
            </w:r>
          </w:p>
        </w:tc>
        <w:tc>
          <w:tcPr>
            <w:tcW w:w="246" w:type="dxa"/>
            <w:shd w:val="clear" w:color="auto" w:fill="auto"/>
            <w:tcMar>
              <w:left w:w="0" w:type="dxa"/>
            </w:tcMar>
          </w:tcPr>
          <w:p w14:paraId="05B867AE" w14:textId="77777777" w:rsidR="00614D35" w:rsidRPr="00793D78" w:rsidRDefault="00614D35" w:rsidP="00614D35">
            <w:pPr>
              <w:pStyle w:val="Textpoznpodarou1"/>
              <w:jc w:val="both"/>
            </w:pPr>
          </w:p>
        </w:tc>
        <w:tc>
          <w:tcPr>
            <w:tcW w:w="7525" w:type="dxa"/>
            <w:shd w:val="clear" w:color="auto" w:fill="auto"/>
            <w:tcMar>
              <w:left w:w="0" w:type="dxa"/>
            </w:tcMar>
          </w:tcPr>
          <w:p w14:paraId="0E6E1EA9" w14:textId="1DFAD806" w:rsidR="00614D35" w:rsidRPr="00793D78" w:rsidRDefault="00614D35" w:rsidP="00CE3E48">
            <w:r>
              <w:t>Ceny průmyslových výrobců v 1. čtvrtletí 2019 meziročně vzrostly o 3,5</w:t>
            </w:r>
            <w:r w:rsidR="00870ECD">
              <w:t> %</w:t>
            </w:r>
            <w:r>
              <w:t>. Nejsilněji ke zvýšení přispěly výrobky a služby zpracovatelského průmyslu (meziroční růst 2,6 %). Ceny rostly napříč celým zpracovatelským průmyslem</w:t>
            </w:r>
            <w:r w:rsidR="00D95302">
              <w:t>.</w:t>
            </w:r>
            <w:r>
              <w:t xml:space="preserve"> </w:t>
            </w:r>
            <w:r w:rsidR="00D95302">
              <w:t>N</w:t>
            </w:r>
            <w:r>
              <w:t>apříklad ceny potravinářských výrobků, nápojů a tabáku se zv</w:t>
            </w:r>
            <w:r w:rsidR="00CB64E1">
              <w:t>ýšily o 2,6</w:t>
            </w:r>
            <w:r w:rsidR="00870ECD">
              <w:t> %</w:t>
            </w:r>
            <w:r w:rsidR="00CB64E1">
              <w:t>, ceny pryžových a </w:t>
            </w:r>
            <w:r>
              <w:t>plastových výrobků o</w:t>
            </w:r>
            <w:r w:rsidR="00CE3E48">
              <w:t> </w:t>
            </w:r>
            <w:r>
              <w:t>3,7</w:t>
            </w:r>
            <w:r w:rsidR="00870ECD">
              <w:t> %</w:t>
            </w:r>
            <w:r>
              <w:t xml:space="preserve"> a ceny obecných kovů a kovodělných výrobků o 2,9</w:t>
            </w:r>
            <w:r w:rsidR="00870ECD">
              <w:t> %</w:t>
            </w:r>
            <w:r>
              <w:t>. V porovnání s minulým rokem se snížila role koksu a rafinovaných ropných výrobků, přesto k růstu cen podstatně přispěly. Významný byl také nárůst cen dopravních prostředků o 1,2</w:t>
            </w:r>
            <w:r w:rsidR="00870ECD">
              <w:t> %</w:t>
            </w:r>
            <w:r>
              <w:t xml:space="preserve"> a</w:t>
            </w:r>
            <w:r w:rsidR="00CE3E48">
              <w:t> </w:t>
            </w:r>
            <w:r>
              <w:t>nábytku o 3,9</w:t>
            </w:r>
            <w:r w:rsidR="00870ECD">
              <w:t> %</w:t>
            </w:r>
            <w:r>
              <w:t>. Druhý nejvýznamnější příspěvek k meziroční dynamice cen průmyslových výrobců měl</w:t>
            </w:r>
            <w:r w:rsidR="00CB64E1">
              <w:t>y ceny elektřiny, plynu, páry a </w:t>
            </w:r>
            <w:r>
              <w:t>klimatizovaného vzduchu o</w:t>
            </w:r>
            <w:r w:rsidR="00CE3E48">
              <w:t> </w:t>
            </w:r>
            <w:r>
              <w:t>7,7</w:t>
            </w:r>
            <w:r w:rsidR="00870ECD">
              <w:t> %</w:t>
            </w:r>
            <w:r>
              <w:t>. Pozorované zrychlení dynamiky přesáhlo 5</w:t>
            </w:r>
            <w:r w:rsidR="00870ECD">
              <w:t> p. b.</w:t>
            </w:r>
            <w:r>
              <w:t xml:space="preserve"> a meziroční tempo v</w:t>
            </w:r>
            <w:r w:rsidR="00CE3E48">
              <w:t> </w:t>
            </w:r>
            <w:r>
              <w:t>1.</w:t>
            </w:r>
            <w:r w:rsidR="00CE3E48">
              <w:t> </w:t>
            </w:r>
            <w:r>
              <w:t>čtvrtletí bylo nejvyšší od</w:t>
            </w:r>
            <w:r w:rsidR="00CB64E1">
              <w:t xml:space="preserve"> 4. kvartálu 2009. Ceny těžby a </w:t>
            </w:r>
            <w:r>
              <w:t>dobývání se rovněž zvýšily o 7,7</w:t>
            </w:r>
            <w:r w:rsidR="00870ECD">
              <w:t> %</w:t>
            </w:r>
            <w:r>
              <w:t>. Růst cen zásobování vodou a služeb souvisejících s odpadními vodami zrychlil a dosáhl 2,9</w:t>
            </w:r>
            <w:r w:rsidR="00870ECD">
              <w:t> %</w:t>
            </w:r>
            <w:r>
              <w:t xml:space="preserve">. </w:t>
            </w:r>
          </w:p>
        </w:tc>
      </w:tr>
      <w:tr w:rsidR="00614D35" w:rsidRPr="009110F7" w14:paraId="4606D2B5" w14:textId="77777777" w:rsidTr="00CA1BD6">
        <w:trPr>
          <w:trHeight w:val="145"/>
        </w:trPr>
        <w:tc>
          <w:tcPr>
            <w:tcW w:w="1868" w:type="dxa"/>
            <w:shd w:val="clear" w:color="auto" w:fill="auto"/>
            <w:tcMar>
              <w:left w:w="0" w:type="dxa"/>
            </w:tcMar>
          </w:tcPr>
          <w:p w14:paraId="1D7B6FD6" w14:textId="541C6A83" w:rsidR="00614D35" w:rsidRPr="00793D78" w:rsidRDefault="002721F5" w:rsidP="00614D35">
            <w:pPr>
              <w:pStyle w:val="Marginlie"/>
              <w:rPr>
                <w:spacing w:val="0"/>
              </w:rPr>
            </w:pPr>
            <w:r>
              <w:rPr>
                <w:spacing w:val="0"/>
              </w:rPr>
              <w:t>Ceny výrobců v</w:t>
            </w:r>
            <w:r w:rsidR="00954F39">
              <w:rPr>
                <w:spacing w:val="0"/>
              </w:rPr>
              <w:t> </w:t>
            </w:r>
            <w:r>
              <w:rPr>
                <w:spacing w:val="0"/>
              </w:rPr>
              <w:t>EU</w:t>
            </w:r>
            <w:r w:rsidR="00954F39">
              <w:rPr>
                <w:spacing w:val="0"/>
              </w:rPr>
              <w:br/>
            </w:r>
            <w:r>
              <w:rPr>
                <w:spacing w:val="0"/>
              </w:rPr>
              <w:t>v 1. čtvrtletí rostly mírněji než v předchozím kvartálu.</w:t>
            </w:r>
          </w:p>
        </w:tc>
        <w:tc>
          <w:tcPr>
            <w:tcW w:w="246" w:type="dxa"/>
            <w:shd w:val="clear" w:color="auto" w:fill="auto"/>
            <w:tcMar>
              <w:left w:w="0" w:type="dxa"/>
            </w:tcMar>
          </w:tcPr>
          <w:p w14:paraId="237E2089" w14:textId="77777777" w:rsidR="00614D35" w:rsidRPr="00793D78" w:rsidRDefault="00614D35" w:rsidP="00614D35">
            <w:pPr>
              <w:pStyle w:val="Textpoznpodarou1"/>
              <w:jc w:val="both"/>
            </w:pPr>
          </w:p>
        </w:tc>
        <w:tc>
          <w:tcPr>
            <w:tcW w:w="7525" w:type="dxa"/>
            <w:shd w:val="clear" w:color="auto" w:fill="auto"/>
            <w:tcMar>
              <w:left w:w="0" w:type="dxa"/>
            </w:tcMar>
          </w:tcPr>
          <w:p w14:paraId="38B2FFA9" w14:textId="025884A4" w:rsidR="00614D35" w:rsidRDefault="00614D35" w:rsidP="00693550">
            <w:r>
              <w:t>Ceny průmyslových výrobců v EU</w:t>
            </w:r>
            <w:r w:rsidR="00954F39">
              <w:t>28</w:t>
            </w:r>
            <w:r>
              <w:t xml:space="preserve"> se v 1. čtvrtletí 2019 meziročně zvýšily o 3,</w:t>
            </w:r>
            <w:r w:rsidR="00693550">
              <w:t>1</w:t>
            </w:r>
            <w:r>
              <w:t xml:space="preserve"> %. Dynamika v porovnání se závěrem loňského roku znatelně zpomalila. Podrobnější rozklad ukazuje, že propad tempa potkal unijní meziroční růst cen v těžbě a dobývání, méně se zvyšovaly ceny ve </w:t>
            </w:r>
            <w:r w:rsidR="00954F39">
              <w:t xml:space="preserve">zpracovatelském </w:t>
            </w:r>
            <w:r>
              <w:t>průmysl</w:t>
            </w:r>
            <w:r w:rsidR="00954F39">
              <w:t>u</w:t>
            </w:r>
            <w:r>
              <w:t xml:space="preserve"> a </w:t>
            </w:r>
            <w:r w:rsidR="00CB64E1">
              <w:t>také u elektřiny, plynu, páry a </w:t>
            </w:r>
            <w:r>
              <w:t>klimatizovaného vzduchu. Nejrychleji v 1. čtvrtletí meziročně rostly ceny průmyslových výrobců v Lotyšsku (6,</w:t>
            </w:r>
            <w:r w:rsidR="00693550">
              <w:t>2</w:t>
            </w:r>
            <w:r w:rsidR="00870ECD">
              <w:t> %</w:t>
            </w:r>
            <w:r>
              <w:t>), Rumunsku (6,0</w:t>
            </w:r>
            <w:r w:rsidR="00870ECD">
              <w:t> %</w:t>
            </w:r>
            <w:r>
              <w:t>) a Belgii (5,9 %). Naopak přírůstek nižší než 1</w:t>
            </w:r>
            <w:r w:rsidR="00870ECD">
              <w:t> %</w:t>
            </w:r>
            <w:r>
              <w:t xml:space="preserve"> měly ceny v Irsku (0,</w:t>
            </w:r>
            <w:r w:rsidR="00693550">
              <w:t>5</w:t>
            </w:r>
            <w:r w:rsidR="00870ECD">
              <w:t> %</w:t>
            </w:r>
            <w:r>
              <w:t>) a na Maltě (0,8</w:t>
            </w:r>
            <w:r w:rsidR="00870ECD">
              <w:t> %</w:t>
            </w:r>
            <w:r>
              <w:t>). Jen o</w:t>
            </w:r>
            <w:r w:rsidR="00954F39">
              <w:t> </w:t>
            </w:r>
            <w:r>
              <w:t>1,4</w:t>
            </w:r>
            <w:r w:rsidR="00870ECD">
              <w:t> %</w:t>
            </w:r>
            <w:r>
              <w:t xml:space="preserve"> vzrostly ceny průmyslových výrobců ve Slovinsku. </w:t>
            </w:r>
          </w:p>
        </w:tc>
      </w:tr>
      <w:tr w:rsidR="00614D35" w:rsidRPr="009110F7" w14:paraId="29E836DC" w14:textId="77777777" w:rsidTr="00CA1BD6">
        <w:trPr>
          <w:trHeight w:val="170"/>
        </w:trPr>
        <w:tc>
          <w:tcPr>
            <w:tcW w:w="1868" w:type="dxa"/>
            <w:vMerge w:val="restart"/>
            <w:shd w:val="clear" w:color="auto" w:fill="auto"/>
            <w:tcMar>
              <w:left w:w="0" w:type="dxa"/>
            </w:tcMar>
          </w:tcPr>
          <w:p w14:paraId="0ECE3B34" w14:textId="77777777" w:rsidR="00614D35" w:rsidRDefault="00614D35" w:rsidP="00614D35">
            <w:pPr>
              <w:pStyle w:val="Marginlie"/>
              <w:rPr>
                <w:spacing w:val="0"/>
              </w:rPr>
            </w:pPr>
          </w:p>
        </w:tc>
        <w:tc>
          <w:tcPr>
            <w:tcW w:w="246" w:type="dxa"/>
            <w:vMerge w:val="restart"/>
            <w:shd w:val="clear" w:color="auto" w:fill="auto"/>
            <w:tcMar>
              <w:left w:w="0" w:type="dxa"/>
            </w:tcMar>
          </w:tcPr>
          <w:p w14:paraId="18C1FE61" w14:textId="77777777" w:rsidR="00614D35" w:rsidRPr="00793D78" w:rsidRDefault="00614D35" w:rsidP="00614D35">
            <w:pPr>
              <w:pStyle w:val="Textpoznpodarou1"/>
              <w:jc w:val="both"/>
              <w:rPr>
                <w:highlight w:val="yellow"/>
              </w:rPr>
            </w:pPr>
          </w:p>
        </w:tc>
        <w:tc>
          <w:tcPr>
            <w:tcW w:w="7525" w:type="dxa"/>
            <w:shd w:val="clear" w:color="auto" w:fill="auto"/>
            <w:tcMar>
              <w:left w:w="0" w:type="dxa"/>
            </w:tcMar>
          </w:tcPr>
          <w:p w14:paraId="65488376" w14:textId="77777777" w:rsidR="00614D35" w:rsidRPr="00D75AC1" w:rsidRDefault="00614D35" w:rsidP="00935DFE">
            <w:pPr>
              <w:spacing w:after="0"/>
              <w:rPr>
                <w:b/>
                <w:szCs w:val="20"/>
              </w:rPr>
            </w:pPr>
            <w:r w:rsidRPr="00D75AC1">
              <w:rPr>
                <w:b/>
                <w:szCs w:val="20"/>
              </w:rPr>
              <w:t>Graf č. 1</w:t>
            </w:r>
            <w:r w:rsidR="00935DFE" w:rsidRPr="00D75AC1">
              <w:rPr>
                <w:b/>
                <w:szCs w:val="20"/>
              </w:rPr>
              <w:t>2</w:t>
            </w:r>
            <w:r w:rsidRPr="00D75AC1">
              <w:rPr>
                <w:b/>
                <w:szCs w:val="20"/>
              </w:rPr>
              <w:t xml:space="preserve">  </w:t>
            </w:r>
            <w:r w:rsidRPr="00D75AC1">
              <w:rPr>
                <w:b/>
                <w:szCs w:val="20"/>
                <w:lang w:eastAsia="en-US"/>
              </w:rPr>
              <w:t>Ceny hlavních skupin průmyslových výrobců</w:t>
            </w:r>
            <w:r w:rsidRPr="001208E3">
              <w:rPr>
                <w:szCs w:val="20"/>
                <w:lang w:eastAsia="en-US"/>
              </w:rPr>
              <w:t xml:space="preserve"> (meziroční změna, v %, podle klasifikace CPA)</w:t>
            </w:r>
          </w:p>
        </w:tc>
      </w:tr>
      <w:tr w:rsidR="00614D35" w:rsidRPr="009110F7" w14:paraId="04DBF97E" w14:textId="77777777" w:rsidTr="00CA1BD6">
        <w:trPr>
          <w:trHeight w:val="170"/>
        </w:trPr>
        <w:tc>
          <w:tcPr>
            <w:tcW w:w="1868" w:type="dxa"/>
            <w:vMerge/>
            <w:shd w:val="clear" w:color="auto" w:fill="auto"/>
            <w:tcMar>
              <w:left w:w="0" w:type="dxa"/>
            </w:tcMar>
          </w:tcPr>
          <w:p w14:paraId="4C8D6C77" w14:textId="77777777" w:rsidR="00614D35" w:rsidRPr="00793D78" w:rsidRDefault="00614D35" w:rsidP="00614D35">
            <w:pPr>
              <w:pStyle w:val="Marginlie"/>
              <w:rPr>
                <w:spacing w:val="0"/>
              </w:rPr>
            </w:pPr>
          </w:p>
        </w:tc>
        <w:tc>
          <w:tcPr>
            <w:tcW w:w="246" w:type="dxa"/>
            <w:vMerge/>
            <w:shd w:val="clear" w:color="auto" w:fill="auto"/>
            <w:tcMar>
              <w:left w:w="0" w:type="dxa"/>
            </w:tcMar>
          </w:tcPr>
          <w:p w14:paraId="6886E333" w14:textId="77777777" w:rsidR="00614D35" w:rsidRPr="00793D78" w:rsidRDefault="00614D35" w:rsidP="00614D35">
            <w:pPr>
              <w:pStyle w:val="Textpoznpodarou1"/>
              <w:jc w:val="both"/>
            </w:pPr>
          </w:p>
        </w:tc>
        <w:tc>
          <w:tcPr>
            <w:tcW w:w="7525" w:type="dxa"/>
            <w:shd w:val="clear" w:color="auto" w:fill="auto"/>
            <w:tcMar>
              <w:left w:w="0" w:type="dxa"/>
            </w:tcMar>
          </w:tcPr>
          <w:p w14:paraId="19C710CB" w14:textId="77777777" w:rsidR="00614D35" w:rsidRPr="00793D78" w:rsidRDefault="00614D35" w:rsidP="00614D35">
            <w:pPr>
              <w:spacing w:after="0"/>
            </w:pPr>
            <w:r>
              <w:rPr>
                <w:noProof/>
              </w:rPr>
              <w:drawing>
                <wp:inline distT="0" distB="0" distL="0" distR="0" wp14:anchorId="796038B0" wp14:editId="7B6BB447">
                  <wp:extent cx="4737600" cy="3553200"/>
                  <wp:effectExtent l="0" t="0" r="635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614D35" w:rsidRPr="009110F7" w14:paraId="7CD5CCC8" w14:textId="77777777" w:rsidTr="00CA1BD6">
        <w:trPr>
          <w:trHeight w:val="170"/>
        </w:trPr>
        <w:tc>
          <w:tcPr>
            <w:tcW w:w="1868" w:type="dxa"/>
            <w:vMerge/>
            <w:shd w:val="clear" w:color="auto" w:fill="auto"/>
            <w:tcMar>
              <w:left w:w="0" w:type="dxa"/>
            </w:tcMar>
          </w:tcPr>
          <w:p w14:paraId="05FEFDAA" w14:textId="77777777" w:rsidR="00614D35" w:rsidRPr="00793D78" w:rsidRDefault="00614D35" w:rsidP="00614D35">
            <w:pPr>
              <w:pStyle w:val="Marginlie"/>
              <w:rPr>
                <w:spacing w:val="0"/>
              </w:rPr>
            </w:pPr>
          </w:p>
        </w:tc>
        <w:tc>
          <w:tcPr>
            <w:tcW w:w="246" w:type="dxa"/>
            <w:vMerge/>
            <w:shd w:val="clear" w:color="auto" w:fill="auto"/>
            <w:tcMar>
              <w:left w:w="0" w:type="dxa"/>
            </w:tcMar>
          </w:tcPr>
          <w:p w14:paraId="225620A7" w14:textId="77777777" w:rsidR="00614D35" w:rsidRPr="00793D78" w:rsidRDefault="00614D35" w:rsidP="00614D35">
            <w:pPr>
              <w:pStyle w:val="Textpoznpodarou1"/>
              <w:jc w:val="both"/>
            </w:pPr>
          </w:p>
        </w:tc>
        <w:tc>
          <w:tcPr>
            <w:tcW w:w="7525" w:type="dxa"/>
            <w:shd w:val="clear" w:color="auto" w:fill="auto"/>
            <w:tcMar>
              <w:left w:w="0" w:type="dxa"/>
            </w:tcMar>
          </w:tcPr>
          <w:p w14:paraId="5D2F5B7E" w14:textId="77777777" w:rsidR="00614D35" w:rsidRPr="00793D78" w:rsidRDefault="00614D35" w:rsidP="00614D35">
            <w:r w:rsidRPr="00793D78">
              <w:rPr>
                <w:sz w:val="14"/>
                <w:szCs w:val="14"/>
              </w:rPr>
              <w:t>Zdroj: ČSÚ</w:t>
            </w:r>
          </w:p>
        </w:tc>
      </w:tr>
      <w:tr w:rsidR="00614D35" w:rsidRPr="009110F7" w14:paraId="1802B378" w14:textId="77777777" w:rsidTr="00CA1BD6">
        <w:trPr>
          <w:trHeight w:val="145"/>
        </w:trPr>
        <w:tc>
          <w:tcPr>
            <w:tcW w:w="1868" w:type="dxa"/>
            <w:shd w:val="clear" w:color="auto" w:fill="auto"/>
            <w:tcMar>
              <w:left w:w="0" w:type="dxa"/>
            </w:tcMar>
          </w:tcPr>
          <w:p w14:paraId="311E16F5" w14:textId="77777777" w:rsidR="00614D35" w:rsidRPr="00793D78" w:rsidRDefault="00614D35" w:rsidP="00614D35">
            <w:pPr>
              <w:pStyle w:val="Marginlie"/>
              <w:rPr>
                <w:spacing w:val="0"/>
              </w:rPr>
            </w:pPr>
            <w:r>
              <w:rPr>
                <w:spacing w:val="0"/>
              </w:rPr>
              <w:t>Napjatá situace na trhu práce byla výrazněji patrná na vývoji cen služeb.</w:t>
            </w:r>
          </w:p>
        </w:tc>
        <w:tc>
          <w:tcPr>
            <w:tcW w:w="246" w:type="dxa"/>
            <w:shd w:val="clear" w:color="auto" w:fill="auto"/>
            <w:tcMar>
              <w:left w:w="0" w:type="dxa"/>
            </w:tcMar>
          </w:tcPr>
          <w:p w14:paraId="6A638A0C" w14:textId="77777777" w:rsidR="00614D35" w:rsidRPr="00793D78" w:rsidRDefault="00614D35" w:rsidP="00614D35">
            <w:pPr>
              <w:pStyle w:val="Textpoznpodarou1"/>
              <w:jc w:val="both"/>
            </w:pPr>
          </w:p>
        </w:tc>
        <w:tc>
          <w:tcPr>
            <w:tcW w:w="7525" w:type="dxa"/>
            <w:shd w:val="clear" w:color="auto" w:fill="auto"/>
            <w:tcMar>
              <w:left w:w="0" w:type="dxa"/>
            </w:tcMar>
          </w:tcPr>
          <w:p w14:paraId="07B3CE6C" w14:textId="77777777" w:rsidR="00614D35" w:rsidRPr="00793D78" w:rsidRDefault="00614D35" w:rsidP="00D95302">
            <w:r>
              <w:t>Ceny tržních služeb se v 1. čtvrtletí 2019 zvýšily o 2,6</w:t>
            </w:r>
            <w:r w:rsidR="00870ECD">
              <w:t> %</w:t>
            </w:r>
            <w:r>
              <w:t>, což je nejvíce od 4. čtvrtletí 2008. Nejvýrazněji k </w:t>
            </w:r>
            <w:r w:rsidR="00D95302">
              <w:t>tomu</w:t>
            </w:r>
            <w:r>
              <w:t xml:space="preserve"> přispěly služby v oblasti pojištění, zajištění a penzijního financování, kde meziroční přírůstek v 1. čtvrtletí zrychlil na 7,4</w:t>
            </w:r>
            <w:r w:rsidR="00870ECD">
              <w:t> %</w:t>
            </w:r>
            <w:r>
              <w:t xml:space="preserve">. Zejména pod vlivem </w:t>
            </w:r>
            <w:r>
              <w:lastRenderedPageBreak/>
              <w:t>zrychlení růstu cen nákladní železniční dopravy došlo ke zvýšení tempa růstu cen pozemní a potrubní dopravy na 2,2</w:t>
            </w:r>
            <w:r w:rsidR="00870ECD">
              <w:t> %</w:t>
            </w:r>
            <w:r>
              <w:t>. Významný příspěvek měly i ceny služeb v oblasti programování a poradenství a souvisejících s</w:t>
            </w:r>
            <w:r w:rsidR="00CB64E1">
              <w:t>lužbách. Jejich růst zrychlil o </w:t>
            </w:r>
            <w:r>
              <w:t>více než 2</w:t>
            </w:r>
            <w:r w:rsidR="00870ECD">
              <w:t> p. b.</w:t>
            </w:r>
            <w:r>
              <w:t xml:space="preserve"> na 2,8</w:t>
            </w:r>
            <w:r w:rsidR="00870ECD">
              <w:t> %</w:t>
            </w:r>
            <w:r>
              <w:t>. V 1. čtvrtletí se silně zvy</w:t>
            </w:r>
            <w:r w:rsidR="00CB64E1">
              <w:t>šovaly ceny reklamních služeb a </w:t>
            </w:r>
            <w:r>
              <w:t>průzkumu trhu (5,4</w:t>
            </w:r>
            <w:r w:rsidR="00870ECD">
              <w:t> %</w:t>
            </w:r>
            <w:r>
              <w:t>). Napjatá situace na trhu práce ovlivň</w:t>
            </w:r>
            <w:r w:rsidR="00D95302">
              <w:t xml:space="preserve">ovala </w:t>
            </w:r>
            <w:r>
              <w:t>většinu služeb, nejlépe je ale patrná na dalším zrychlení meziroční dynamiky cen služeb v oblasti zaměstnání (na 10,4</w:t>
            </w:r>
            <w:r w:rsidR="00870ECD">
              <w:t> %</w:t>
            </w:r>
            <w:r>
              <w:t>, přitom srovnávací základna minulého roku byla poměrně vysoká).</w:t>
            </w:r>
          </w:p>
        </w:tc>
      </w:tr>
      <w:tr w:rsidR="00614D35" w:rsidRPr="009110F7" w14:paraId="04A37175" w14:textId="77777777" w:rsidTr="00CA1BD6">
        <w:trPr>
          <w:trHeight w:val="145"/>
        </w:trPr>
        <w:tc>
          <w:tcPr>
            <w:tcW w:w="1868" w:type="dxa"/>
            <w:shd w:val="clear" w:color="auto" w:fill="auto"/>
            <w:tcMar>
              <w:left w:w="0" w:type="dxa"/>
            </w:tcMar>
          </w:tcPr>
          <w:p w14:paraId="3AABB8D8" w14:textId="77777777" w:rsidR="00614D35" w:rsidRPr="00793D78" w:rsidRDefault="00614D35" w:rsidP="00614D35">
            <w:pPr>
              <w:pStyle w:val="Marginlie"/>
              <w:rPr>
                <w:spacing w:val="0"/>
              </w:rPr>
            </w:pPr>
            <w:r>
              <w:rPr>
                <w:spacing w:val="0"/>
              </w:rPr>
              <w:lastRenderedPageBreak/>
              <w:t>Růst cen zemědělské výroby táhla rostlinná produkce ovlivněná nižší úrodou v minulém roce.</w:t>
            </w:r>
          </w:p>
        </w:tc>
        <w:tc>
          <w:tcPr>
            <w:tcW w:w="246" w:type="dxa"/>
            <w:shd w:val="clear" w:color="auto" w:fill="auto"/>
            <w:tcMar>
              <w:left w:w="0" w:type="dxa"/>
            </w:tcMar>
          </w:tcPr>
          <w:p w14:paraId="68DEFD6C" w14:textId="77777777" w:rsidR="00614D35" w:rsidRPr="00793D78" w:rsidRDefault="00614D35" w:rsidP="00614D35">
            <w:pPr>
              <w:pStyle w:val="Textpoznpodarou1"/>
              <w:jc w:val="both"/>
            </w:pPr>
          </w:p>
        </w:tc>
        <w:tc>
          <w:tcPr>
            <w:tcW w:w="7525" w:type="dxa"/>
            <w:shd w:val="clear" w:color="auto" w:fill="auto"/>
            <w:tcMar>
              <w:left w:w="0" w:type="dxa"/>
            </w:tcMar>
          </w:tcPr>
          <w:p w14:paraId="4DAD18F6" w14:textId="69F3E2BB" w:rsidR="00614D35" w:rsidRPr="00CB64E1" w:rsidRDefault="00614D35" w:rsidP="00CE3E48">
            <w:pPr>
              <w:rPr>
                <w:spacing w:val="-2"/>
              </w:rPr>
            </w:pPr>
            <w:r w:rsidRPr="00CB64E1">
              <w:rPr>
                <w:spacing w:val="-2"/>
              </w:rPr>
              <w:t>Ceny zemědělské výroby (včetně ryb) v 1. čtvrtletí roku meziročně stouply o 6,9</w:t>
            </w:r>
            <w:r w:rsidR="00870ECD">
              <w:rPr>
                <w:spacing w:val="-2"/>
              </w:rPr>
              <w:t> %</w:t>
            </w:r>
            <w:r w:rsidRPr="00CB64E1">
              <w:rPr>
                <w:spacing w:val="-2"/>
              </w:rPr>
              <w:t>. Oproti roku 2018 se dynamika cen zvýšila, a to zejména pod vlivem růstu cen rostlinné výroby, který poměrně prudce zrychlil na 14,8</w:t>
            </w:r>
            <w:r w:rsidR="00870ECD">
              <w:rPr>
                <w:spacing w:val="-2"/>
              </w:rPr>
              <w:t> %</w:t>
            </w:r>
            <w:r w:rsidRPr="00CB64E1">
              <w:rPr>
                <w:spacing w:val="-2"/>
              </w:rPr>
              <w:t xml:space="preserve">. Postupně se totiž začaly projevovat nižší výnosy minulého roku, které tlačily vzhůru ceny některých významných plodin, zejména obilovin (meziroční navýšení cen v 1. čtvrtletí </w:t>
            </w:r>
            <w:r w:rsidR="00CB64E1" w:rsidRPr="00CB64E1">
              <w:rPr>
                <w:spacing w:val="-2"/>
              </w:rPr>
              <w:t>o 18,4</w:t>
            </w:r>
            <w:r w:rsidR="00870ECD">
              <w:rPr>
                <w:spacing w:val="-2"/>
              </w:rPr>
              <w:t> %</w:t>
            </w:r>
            <w:r w:rsidR="00CB64E1" w:rsidRPr="00CB64E1">
              <w:rPr>
                <w:spacing w:val="-2"/>
              </w:rPr>
              <w:t>, z toho pšenice o 19,8 </w:t>
            </w:r>
            <w:r w:rsidRPr="00CB64E1">
              <w:rPr>
                <w:spacing w:val="-2"/>
              </w:rPr>
              <w:t>%, ječmen o 18,6</w:t>
            </w:r>
            <w:r w:rsidR="00870ECD">
              <w:rPr>
                <w:spacing w:val="-2"/>
              </w:rPr>
              <w:t> %</w:t>
            </w:r>
            <w:r w:rsidRPr="00CB64E1">
              <w:rPr>
                <w:spacing w:val="-2"/>
              </w:rPr>
              <w:t>). Ceny průmyslových plodin se zvýšily o 8,2</w:t>
            </w:r>
            <w:r w:rsidR="00870ECD">
              <w:rPr>
                <w:spacing w:val="-2"/>
              </w:rPr>
              <w:t> %</w:t>
            </w:r>
            <w:r w:rsidRPr="00CB64E1">
              <w:rPr>
                <w:spacing w:val="-2"/>
              </w:rPr>
              <w:t>, především pod vlivem olejnin (9,7</w:t>
            </w:r>
            <w:r w:rsidR="00870ECD">
              <w:rPr>
                <w:spacing w:val="-2"/>
              </w:rPr>
              <w:t> %</w:t>
            </w:r>
            <w:r w:rsidRPr="00CB64E1">
              <w:rPr>
                <w:spacing w:val="-2"/>
              </w:rPr>
              <w:t>, z toho cena semen máku se zvýšila o 86,8</w:t>
            </w:r>
            <w:r w:rsidR="00870ECD">
              <w:rPr>
                <w:spacing w:val="-2"/>
              </w:rPr>
              <w:t> %</w:t>
            </w:r>
            <w:r w:rsidRPr="00CB64E1">
              <w:rPr>
                <w:spacing w:val="-2"/>
              </w:rPr>
              <w:t>). Dále zdražily brambory (včetně sadby) o 47,9</w:t>
            </w:r>
            <w:r w:rsidR="00870ECD">
              <w:rPr>
                <w:spacing w:val="-2"/>
              </w:rPr>
              <w:t> %</w:t>
            </w:r>
            <w:r w:rsidRPr="00CB64E1">
              <w:rPr>
                <w:spacing w:val="-2"/>
              </w:rPr>
              <w:t>, z toho konzumní brambory o 82,7</w:t>
            </w:r>
            <w:r w:rsidR="00870ECD">
              <w:rPr>
                <w:spacing w:val="-2"/>
              </w:rPr>
              <w:t> %</w:t>
            </w:r>
            <w:r w:rsidRPr="00CB64E1">
              <w:rPr>
                <w:spacing w:val="-2"/>
              </w:rPr>
              <w:t>. Ceny živočišné výroby pokračovaly v meziročním poklesu, který však byl slabší než v předchozích čtvrtletích (</w:t>
            </w:r>
            <w:r w:rsidR="00CE3E48">
              <w:rPr>
                <w:spacing w:val="-2"/>
              </w:rPr>
              <w:noBreakHyphen/>
            </w:r>
            <w:r w:rsidRPr="00CB64E1">
              <w:rPr>
                <w:spacing w:val="-2"/>
              </w:rPr>
              <w:t>1,7</w:t>
            </w:r>
            <w:r w:rsidR="00870ECD">
              <w:rPr>
                <w:spacing w:val="-2"/>
              </w:rPr>
              <w:t> %</w:t>
            </w:r>
            <w:r w:rsidRPr="00CB64E1">
              <w:rPr>
                <w:spacing w:val="-2"/>
              </w:rPr>
              <w:t>). Mírný pokles přetrval u cen hospodářských zvířat (</w:t>
            </w:r>
            <w:r w:rsidR="009341F1">
              <w:rPr>
                <w:spacing w:val="-2"/>
              </w:rPr>
              <w:t>–</w:t>
            </w:r>
            <w:r w:rsidRPr="00CB64E1">
              <w:rPr>
                <w:spacing w:val="-2"/>
              </w:rPr>
              <w:t>1,8</w:t>
            </w:r>
            <w:r w:rsidR="00870ECD">
              <w:rPr>
                <w:spacing w:val="-2"/>
              </w:rPr>
              <w:t> %</w:t>
            </w:r>
            <w:r w:rsidRPr="00CB64E1">
              <w:rPr>
                <w:spacing w:val="-2"/>
              </w:rPr>
              <w:t>). Snižovaly se cen</w:t>
            </w:r>
            <w:r w:rsidR="00951D68">
              <w:rPr>
                <w:spacing w:val="-2"/>
              </w:rPr>
              <w:t>y</w:t>
            </w:r>
            <w:r w:rsidRPr="00CB64E1">
              <w:rPr>
                <w:spacing w:val="-2"/>
              </w:rPr>
              <w:t xml:space="preserve"> skotu (</w:t>
            </w:r>
            <w:r w:rsidR="009341F1">
              <w:rPr>
                <w:spacing w:val="-2"/>
              </w:rPr>
              <w:t>–</w:t>
            </w:r>
            <w:r w:rsidRPr="00CB64E1">
              <w:rPr>
                <w:spacing w:val="-2"/>
              </w:rPr>
              <w:t>3,3</w:t>
            </w:r>
            <w:r w:rsidR="00870ECD">
              <w:rPr>
                <w:spacing w:val="-2"/>
              </w:rPr>
              <w:t> %</w:t>
            </w:r>
            <w:r w:rsidRPr="00CB64E1">
              <w:rPr>
                <w:spacing w:val="-2"/>
              </w:rPr>
              <w:t>) i prasat (</w:t>
            </w:r>
            <w:r w:rsidR="009341F1">
              <w:rPr>
                <w:spacing w:val="-2"/>
              </w:rPr>
              <w:t>–</w:t>
            </w:r>
            <w:r w:rsidRPr="00CB64E1">
              <w:rPr>
                <w:spacing w:val="-2"/>
              </w:rPr>
              <w:t>2,7</w:t>
            </w:r>
            <w:r w:rsidR="00870ECD">
              <w:rPr>
                <w:spacing w:val="-2"/>
              </w:rPr>
              <w:t> %</w:t>
            </w:r>
            <w:r w:rsidRPr="00CB64E1">
              <w:rPr>
                <w:spacing w:val="-2"/>
              </w:rPr>
              <w:t>), mírně vzrostly ceny drůbeže (1,4</w:t>
            </w:r>
            <w:r w:rsidR="00870ECD">
              <w:rPr>
                <w:spacing w:val="-2"/>
              </w:rPr>
              <w:t> %</w:t>
            </w:r>
            <w:r w:rsidRPr="00CB64E1">
              <w:rPr>
                <w:spacing w:val="-2"/>
              </w:rPr>
              <w:t>). Živočišné výrobky také zlevnily (</w:t>
            </w:r>
            <w:r w:rsidR="009341F1">
              <w:rPr>
                <w:spacing w:val="-2"/>
              </w:rPr>
              <w:t>–</w:t>
            </w:r>
            <w:r w:rsidRPr="00CB64E1">
              <w:rPr>
                <w:spacing w:val="-2"/>
              </w:rPr>
              <w:t>1,5</w:t>
            </w:r>
            <w:r w:rsidR="00870ECD">
              <w:rPr>
                <w:spacing w:val="-2"/>
              </w:rPr>
              <w:t> %</w:t>
            </w:r>
            <w:r w:rsidRPr="00CB64E1">
              <w:rPr>
                <w:spacing w:val="-2"/>
              </w:rPr>
              <w:t xml:space="preserve">), především pod vlivem </w:t>
            </w:r>
            <w:r w:rsidR="00D95302" w:rsidRPr="00CB64E1">
              <w:rPr>
                <w:spacing w:val="-2"/>
              </w:rPr>
              <w:t xml:space="preserve">klesajících cen </w:t>
            </w:r>
            <w:r w:rsidRPr="00CB64E1">
              <w:rPr>
                <w:spacing w:val="-2"/>
              </w:rPr>
              <w:t>vajec</w:t>
            </w:r>
            <w:r w:rsidR="00951D68">
              <w:rPr>
                <w:spacing w:val="-2"/>
              </w:rPr>
              <w:br/>
            </w:r>
            <w:r w:rsidRPr="00CB64E1">
              <w:rPr>
                <w:spacing w:val="-2"/>
              </w:rPr>
              <w:t>(</w:t>
            </w:r>
            <w:r w:rsidR="009341F1">
              <w:rPr>
                <w:spacing w:val="-2"/>
              </w:rPr>
              <w:t>–</w:t>
            </w:r>
            <w:r w:rsidRPr="00CB64E1">
              <w:rPr>
                <w:spacing w:val="-2"/>
              </w:rPr>
              <w:t>18,0</w:t>
            </w:r>
            <w:r w:rsidR="00870ECD">
              <w:rPr>
                <w:spacing w:val="-2"/>
              </w:rPr>
              <w:t> %</w:t>
            </w:r>
            <w:r w:rsidRPr="00CB64E1">
              <w:rPr>
                <w:spacing w:val="-2"/>
              </w:rPr>
              <w:t xml:space="preserve">). </w:t>
            </w:r>
          </w:p>
        </w:tc>
      </w:tr>
      <w:tr w:rsidR="00614D35" w:rsidRPr="009110F7" w14:paraId="6B79A909" w14:textId="77777777" w:rsidTr="00CA1BD6">
        <w:trPr>
          <w:trHeight w:val="145"/>
        </w:trPr>
        <w:tc>
          <w:tcPr>
            <w:tcW w:w="1868" w:type="dxa"/>
            <w:shd w:val="clear" w:color="auto" w:fill="auto"/>
            <w:tcMar>
              <w:left w:w="0" w:type="dxa"/>
            </w:tcMar>
          </w:tcPr>
          <w:p w14:paraId="0D44520D" w14:textId="77777777" w:rsidR="00614D35" w:rsidRPr="00793D78" w:rsidRDefault="00614D35" w:rsidP="00614D35">
            <w:pPr>
              <w:pStyle w:val="Marginlie"/>
              <w:rPr>
                <w:spacing w:val="0"/>
              </w:rPr>
            </w:pPr>
            <w:r>
              <w:rPr>
                <w:spacing w:val="0"/>
              </w:rPr>
              <w:t>Meziroční dynamika cen zahraničního obchodu byla v 1. čtvrtletí kladná.</w:t>
            </w:r>
          </w:p>
        </w:tc>
        <w:tc>
          <w:tcPr>
            <w:tcW w:w="246" w:type="dxa"/>
            <w:shd w:val="clear" w:color="auto" w:fill="auto"/>
            <w:tcMar>
              <w:left w:w="0" w:type="dxa"/>
            </w:tcMar>
          </w:tcPr>
          <w:p w14:paraId="110C6736" w14:textId="77777777" w:rsidR="00614D35" w:rsidRPr="00793D78" w:rsidRDefault="00614D35" w:rsidP="00614D35">
            <w:pPr>
              <w:pStyle w:val="Textpoznpodarou1"/>
              <w:jc w:val="both"/>
            </w:pPr>
          </w:p>
        </w:tc>
        <w:tc>
          <w:tcPr>
            <w:tcW w:w="7525" w:type="dxa"/>
            <w:shd w:val="clear" w:color="auto" w:fill="auto"/>
            <w:tcMar>
              <w:left w:w="0" w:type="dxa"/>
            </w:tcMar>
          </w:tcPr>
          <w:p w14:paraId="23E035B8" w14:textId="6E27185D" w:rsidR="00614D35" w:rsidRPr="00793D78" w:rsidRDefault="00614D35" w:rsidP="0052200D">
            <w:r>
              <w:t>Ceny vývozu se v 1. čtvrtletí 2019 meziročně zvýšily o 3,0</w:t>
            </w:r>
            <w:r w:rsidR="00870ECD">
              <w:t> %</w:t>
            </w:r>
            <w:r>
              <w:t xml:space="preserve">. Rostly ceny všech komoditních skupin klasifikace, což je však do velké míry dáno i srovnávací základnou. </w:t>
            </w:r>
            <w:proofErr w:type="spellStart"/>
            <w:r>
              <w:t>Mezičtvrtletně</w:t>
            </w:r>
            <w:proofErr w:type="spellEnd"/>
            <w:r>
              <w:t xml:space="preserve"> se ceny exportu snížily o 0,4</w:t>
            </w:r>
            <w:r w:rsidR="00870ECD">
              <w:t> %</w:t>
            </w:r>
            <w:r>
              <w:t xml:space="preserve">. </w:t>
            </w:r>
            <w:r w:rsidR="0052200D">
              <w:t>V</w:t>
            </w:r>
            <w:r>
              <w:t>ýrazně meziročně rostly ceny exportovaných minerálních paliv a maziv (8,9</w:t>
            </w:r>
            <w:r w:rsidR="00870ECD">
              <w:t> %</w:t>
            </w:r>
            <w:r>
              <w:t>), dále průmyslového spotřebního zboží (4,3</w:t>
            </w:r>
            <w:r w:rsidR="00870ECD">
              <w:t> %</w:t>
            </w:r>
            <w:r>
              <w:t>) a polotovarů</w:t>
            </w:r>
            <w:r>
              <w:rPr>
                <w:rStyle w:val="Znakapoznpodarou"/>
              </w:rPr>
              <w:footnoteReference w:id="27"/>
            </w:r>
            <w:r>
              <w:t xml:space="preserve"> (3,9 %). V případě minerálních paliv se však projevovala nízká srovnávací základna 1. čtvrtletí 2018. </w:t>
            </w:r>
            <w:proofErr w:type="spellStart"/>
            <w:r>
              <w:t>Mezičtvrtletně</w:t>
            </w:r>
            <w:proofErr w:type="spellEnd"/>
            <w:r>
              <w:t xml:space="preserve"> ceny minerálních paliv klesly o 4,5</w:t>
            </w:r>
            <w:r w:rsidR="00870ECD">
              <w:t> %</w:t>
            </w:r>
            <w:r>
              <w:t>. K meziročnímu růstu</w:t>
            </w:r>
            <w:r w:rsidR="0052200D">
              <w:t xml:space="preserve"> dále</w:t>
            </w:r>
            <w:r>
              <w:t xml:space="preserve"> přispělo i mírné zvýšení cen strojů a dopravních prostředků (2,2</w:t>
            </w:r>
            <w:r w:rsidR="00870ECD">
              <w:t> %</w:t>
            </w:r>
            <w:r>
              <w:t>), které má vzhledem k vysoké váze skupiny výraznější dopad. Ceny importu se v 1. čtvrtletí meziročně zvýšily o 2,8</w:t>
            </w:r>
            <w:r w:rsidR="00870ECD">
              <w:t> %</w:t>
            </w:r>
            <w:r>
              <w:t xml:space="preserve">. I zde se projevila nízká srovnávací základna minulého roku. </w:t>
            </w:r>
            <w:proofErr w:type="spellStart"/>
            <w:r>
              <w:t>Mezičtvrtletně</w:t>
            </w:r>
            <w:proofErr w:type="spellEnd"/>
            <w:r>
              <w:t xml:space="preserve"> se ceny snížily o 1,1</w:t>
            </w:r>
            <w:r w:rsidR="00870ECD">
              <w:t> %</w:t>
            </w:r>
            <w:r>
              <w:t>. Nejvýrazněji meziročně rostly ceny dovezených minerálních paliv (8,0</w:t>
            </w:r>
            <w:r w:rsidR="00870ECD">
              <w:t> %</w:t>
            </w:r>
            <w:r>
              <w:t>) a ostatních surovin</w:t>
            </w:r>
            <w:r>
              <w:rPr>
                <w:rStyle w:val="Znakapoznpodarou"/>
              </w:rPr>
              <w:footnoteReference w:id="28"/>
            </w:r>
            <w:r w:rsidR="00CB64E1">
              <w:t xml:space="preserve"> (7,1</w:t>
            </w:r>
            <w:r w:rsidR="00CB64E1" w:rsidRPr="00CB64E1">
              <w:rPr>
                <w:spacing w:val="-2"/>
              </w:rPr>
              <w:t> </w:t>
            </w:r>
            <w:r>
              <w:t>%). Ceny chemikálií se zvýšily o 3,6</w:t>
            </w:r>
            <w:r w:rsidR="00870ECD">
              <w:t> %</w:t>
            </w:r>
            <w:r>
              <w:t>.</w:t>
            </w:r>
          </w:p>
        </w:tc>
      </w:tr>
      <w:tr w:rsidR="00614D35" w:rsidRPr="009110F7" w14:paraId="2DF85AB1" w14:textId="77777777" w:rsidTr="00CA1BD6">
        <w:trPr>
          <w:trHeight w:val="145"/>
        </w:trPr>
        <w:tc>
          <w:tcPr>
            <w:tcW w:w="1868" w:type="dxa"/>
            <w:shd w:val="clear" w:color="auto" w:fill="auto"/>
            <w:tcMar>
              <w:left w:w="0" w:type="dxa"/>
            </w:tcMar>
          </w:tcPr>
          <w:p w14:paraId="3556AC44" w14:textId="77777777" w:rsidR="00614D35" w:rsidRPr="00793D78" w:rsidRDefault="00614D35" w:rsidP="00614D35">
            <w:pPr>
              <w:pStyle w:val="Marginlie"/>
              <w:rPr>
                <w:spacing w:val="0"/>
              </w:rPr>
            </w:pPr>
            <w:r>
              <w:rPr>
                <w:spacing w:val="0"/>
              </w:rPr>
              <w:t>Směnné relace v 1. čtvrtletí 2019 byly kladné.</w:t>
            </w:r>
          </w:p>
        </w:tc>
        <w:tc>
          <w:tcPr>
            <w:tcW w:w="246" w:type="dxa"/>
            <w:shd w:val="clear" w:color="auto" w:fill="auto"/>
            <w:tcMar>
              <w:left w:w="0" w:type="dxa"/>
            </w:tcMar>
          </w:tcPr>
          <w:p w14:paraId="591B790E" w14:textId="77777777" w:rsidR="00614D35" w:rsidRPr="00793D78" w:rsidRDefault="00614D35" w:rsidP="00614D35">
            <w:pPr>
              <w:pStyle w:val="Textpoznpodarou1"/>
              <w:jc w:val="both"/>
            </w:pPr>
          </w:p>
        </w:tc>
        <w:tc>
          <w:tcPr>
            <w:tcW w:w="7525" w:type="dxa"/>
            <w:shd w:val="clear" w:color="auto" w:fill="auto"/>
            <w:tcMar>
              <w:left w:w="0" w:type="dxa"/>
            </w:tcMar>
          </w:tcPr>
          <w:p w14:paraId="0DFFEB73" w14:textId="0F60F694" w:rsidR="00614D35" w:rsidRDefault="00614D35" w:rsidP="0052200D">
            <w:r>
              <w:t>Meziroční směnné relace v 1. čtvrtletí byly kladné (100,2</w:t>
            </w:r>
            <w:r w:rsidR="00870ECD">
              <w:t> %</w:t>
            </w:r>
            <w:r>
              <w:t>). Kladných směnných relací dosahoval obchod s polotovary (102,4</w:t>
            </w:r>
            <w:r w:rsidR="00870ECD">
              <w:t> %</w:t>
            </w:r>
            <w:r>
              <w:t>), průmyslovým spotřebním zbožím (</w:t>
            </w:r>
            <w:r w:rsidR="007E1EE3">
              <w:t>10</w:t>
            </w:r>
            <w:r>
              <w:t>3,1</w:t>
            </w:r>
            <w:r w:rsidR="00870ECD">
              <w:t> %</w:t>
            </w:r>
            <w:r>
              <w:t>), nápoji a tabákem (</w:t>
            </w:r>
            <w:r w:rsidR="007E1EE3">
              <w:t>10</w:t>
            </w:r>
            <w:r>
              <w:t>5,6</w:t>
            </w:r>
            <w:r w:rsidR="00870ECD">
              <w:t> %</w:t>
            </w:r>
            <w:r>
              <w:t>)</w:t>
            </w:r>
            <w:r w:rsidR="0052200D">
              <w:t>, potravinami a živými zvířaty (104,1 %)</w:t>
            </w:r>
            <w:r>
              <w:t xml:space="preserve"> a minerálními palivy a mazivy (100,8</w:t>
            </w:r>
            <w:r w:rsidR="00870ECD">
              <w:t> %</w:t>
            </w:r>
            <w:r>
              <w:t>). Záporných směnných relací dosáhl obchod s ostatními suro</w:t>
            </w:r>
            <w:r w:rsidR="00CB64E1">
              <w:t>vinami (94,1</w:t>
            </w:r>
            <w:r w:rsidR="00870ECD">
              <w:t> %</w:t>
            </w:r>
            <w:r w:rsidR="00CB64E1">
              <w:t>), chemikáliemi a</w:t>
            </w:r>
            <w:r w:rsidR="00CB64E1" w:rsidRPr="00CB64E1">
              <w:rPr>
                <w:spacing w:val="-2"/>
              </w:rPr>
              <w:t> </w:t>
            </w:r>
            <w:r>
              <w:t>příbuznými výrobky (97,6</w:t>
            </w:r>
            <w:r w:rsidR="00870ECD">
              <w:t> %</w:t>
            </w:r>
            <w:r>
              <w:t xml:space="preserve">) a stroji a dopravními prostředky (98,9 %). </w:t>
            </w:r>
          </w:p>
        </w:tc>
      </w:tr>
    </w:tbl>
    <w:p w14:paraId="2BBC0FD2" w14:textId="77777777" w:rsidR="00CA1BD6" w:rsidRDefault="00CA1BD6" w:rsidP="000D3058">
      <w:pPr>
        <w:pStyle w:val="Nadpis11"/>
      </w:pPr>
    </w:p>
    <w:p w14:paraId="68B7A4C2" w14:textId="77777777" w:rsidR="00CA1BD6" w:rsidRDefault="00CA1BD6">
      <w:pPr>
        <w:spacing w:after="0" w:line="240" w:lineRule="auto"/>
        <w:jc w:val="left"/>
        <w:rPr>
          <w:rFonts w:eastAsia="MS Gothic"/>
          <w:b/>
          <w:bCs/>
          <w:color w:val="71818C"/>
          <w:sz w:val="32"/>
          <w:szCs w:val="28"/>
        </w:rPr>
      </w:pPr>
      <w:r>
        <w:br w:type="page"/>
      </w:r>
    </w:p>
    <w:p w14:paraId="68388C87" w14:textId="77777777" w:rsidR="00B4411A" w:rsidRDefault="00935BD4" w:rsidP="000D3058">
      <w:pPr>
        <w:pStyle w:val="Nadpis11"/>
      </w:pPr>
      <w:bookmarkStart w:id="10" w:name="_Toc11320632"/>
      <w:r w:rsidRPr="009110F7">
        <w:lastRenderedPageBreak/>
        <w:t>6</w:t>
      </w:r>
      <w:r w:rsidR="000D3058" w:rsidRPr="009110F7">
        <w:t xml:space="preserve">. </w:t>
      </w:r>
      <w:r w:rsidRPr="009110F7">
        <w:t>Trh práce</w:t>
      </w:r>
      <w:bookmarkEnd w:id="10"/>
    </w:p>
    <w:tbl>
      <w:tblPr>
        <w:tblW w:w="9654" w:type="dxa"/>
        <w:tblInd w:w="-30" w:type="dxa"/>
        <w:tblCellMar>
          <w:left w:w="0" w:type="dxa"/>
          <w:right w:w="0" w:type="dxa"/>
        </w:tblCellMar>
        <w:tblLook w:val="00A0" w:firstRow="1" w:lastRow="0" w:firstColumn="1" w:lastColumn="0" w:noHBand="0" w:noVBand="0"/>
      </w:tblPr>
      <w:tblGrid>
        <w:gridCol w:w="1790"/>
        <w:gridCol w:w="14"/>
        <w:gridCol w:w="202"/>
        <w:gridCol w:w="30"/>
        <w:gridCol w:w="7618"/>
      </w:tblGrid>
      <w:tr w:rsidR="00003849" w14:paraId="3F5F95EC" w14:textId="77777777" w:rsidTr="000A3D9E">
        <w:trPr>
          <w:trHeight w:val="145"/>
        </w:trPr>
        <w:tc>
          <w:tcPr>
            <w:tcW w:w="1790" w:type="dxa"/>
            <w:shd w:val="clear" w:color="auto" w:fill="auto"/>
            <w:tcMar>
              <w:left w:w="0" w:type="dxa"/>
            </w:tcMar>
          </w:tcPr>
          <w:p w14:paraId="5C740004" w14:textId="77777777" w:rsidR="00003849" w:rsidRDefault="00003849" w:rsidP="000A3D9E">
            <w:pPr>
              <w:pStyle w:val="Marginlie"/>
            </w:pPr>
            <w:r>
              <w:t xml:space="preserve">Údaje v 1. čtvrtletí 2019 dřívější obavy z výraznějšího zvolnění růstu zaměstnanosti nepotvrdily. </w:t>
            </w:r>
          </w:p>
          <w:p w14:paraId="693185A6" w14:textId="77777777" w:rsidR="00003849" w:rsidRDefault="00003849" w:rsidP="000A3D9E">
            <w:pPr>
              <w:pStyle w:val="Marginlie"/>
            </w:pPr>
          </w:p>
          <w:p w14:paraId="2BE1163C" w14:textId="77777777" w:rsidR="00003849" w:rsidRDefault="00003849" w:rsidP="000A3D9E">
            <w:pPr>
              <w:pStyle w:val="Marginlie"/>
            </w:pPr>
          </w:p>
          <w:p w14:paraId="751EC8F8" w14:textId="77777777" w:rsidR="00003849" w:rsidRDefault="00003849" w:rsidP="000A3D9E">
            <w:pPr>
              <w:pStyle w:val="Marginlie"/>
            </w:pPr>
          </w:p>
          <w:p w14:paraId="3910D5BE" w14:textId="77777777" w:rsidR="00003849" w:rsidRDefault="00003849" w:rsidP="000A3D9E">
            <w:pPr>
              <w:pStyle w:val="Marginlie"/>
            </w:pPr>
          </w:p>
          <w:p w14:paraId="55E4B968" w14:textId="77777777" w:rsidR="00003849" w:rsidRDefault="00003849" w:rsidP="000A3D9E">
            <w:pPr>
              <w:pStyle w:val="Marginlie"/>
            </w:pPr>
            <w:r>
              <w:t>Nedostatek pracovní síly zůstává nejvýznamnější bariérou růstu podniků zejména v sekundárním sektoru.</w:t>
            </w:r>
          </w:p>
        </w:tc>
        <w:tc>
          <w:tcPr>
            <w:tcW w:w="216" w:type="dxa"/>
            <w:gridSpan w:val="2"/>
            <w:shd w:val="clear" w:color="auto" w:fill="auto"/>
            <w:tcMar>
              <w:left w:w="0" w:type="dxa"/>
            </w:tcMar>
          </w:tcPr>
          <w:p w14:paraId="42A9AD63"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026D8A4E" w14:textId="581068E6" w:rsidR="00003849" w:rsidRDefault="00003849" w:rsidP="000A3D9E">
            <w:pPr>
              <w:spacing w:after="220"/>
              <w:rPr>
                <w:spacing w:val="-2"/>
              </w:rPr>
            </w:pPr>
            <w:r>
              <w:rPr>
                <w:spacing w:val="-2"/>
              </w:rPr>
              <w:t xml:space="preserve">Na tuzemském pracovním trhu přetrvávalo i v 1. čtvrtletí napětí pramenící </w:t>
            </w:r>
            <w:r w:rsidR="001C6B3B">
              <w:rPr>
                <w:spacing w:val="-2"/>
              </w:rPr>
              <w:t xml:space="preserve">z </w:t>
            </w:r>
            <w:r>
              <w:rPr>
                <w:spacing w:val="-2"/>
              </w:rPr>
              <w:t xml:space="preserve">nerovnováhy mezi nabídkou a poptávkou po pracovní síle. Z tohoto stavu profitovali jak stávající zaměstnanci hledající lepší pracovní uplatnění, tak nezaměstnaní a část ekonomicky neaktivních, kteří mohli snáze nalézt práci. Počet </w:t>
            </w:r>
            <w:r w:rsidRPr="00D175A7">
              <w:rPr>
                <w:spacing w:val="-2"/>
              </w:rPr>
              <w:t>pracovníků</w:t>
            </w:r>
            <w:r w:rsidRPr="00D175A7">
              <w:rPr>
                <w:rStyle w:val="Znakapoznpodarou"/>
                <w:color w:val="0D0D0D" w:themeColor="text1" w:themeTint="F2"/>
                <w:spacing w:val="-2"/>
              </w:rPr>
              <w:footnoteReference w:id="29"/>
            </w:r>
            <w:r>
              <w:rPr>
                <w:spacing w:val="-2"/>
              </w:rPr>
              <w:t xml:space="preserve"> opět ustanovil nový rekord v éře samostatné ČR (5,48 mil.). Meziročně byl vyšší o 1,4</w:t>
            </w:r>
            <w:r w:rsidR="00870ECD">
              <w:rPr>
                <w:spacing w:val="-2"/>
              </w:rPr>
              <w:t> %</w:t>
            </w:r>
            <w:r>
              <w:rPr>
                <w:spacing w:val="-2"/>
              </w:rPr>
              <w:t>, oproti poslední čtvrtině loňského roku pak o 0,5</w:t>
            </w:r>
            <w:r w:rsidR="00870ECD">
              <w:rPr>
                <w:spacing w:val="-2"/>
              </w:rPr>
              <w:t> %</w:t>
            </w:r>
            <w:r>
              <w:rPr>
                <w:spacing w:val="-2"/>
              </w:rPr>
              <w:t>. Náznaky citelnějš</w:t>
            </w:r>
            <w:r w:rsidR="001C6B3B">
              <w:rPr>
                <w:spacing w:val="-2"/>
              </w:rPr>
              <w:t>ího zvolnění růstu, které byly signalizovány výsledky mj. i konju</w:t>
            </w:r>
            <w:r w:rsidR="005F7174">
              <w:rPr>
                <w:spacing w:val="-2"/>
              </w:rPr>
              <w:t>n</w:t>
            </w:r>
            <w:r w:rsidR="001C6B3B">
              <w:rPr>
                <w:spacing w:val="-2"/>
              </w:rPr>
              <w:t>kturálních průzkumů ve druhé polovině loňského roku</w:t>
            </w:r>
            <w:r>
              <w:rPr>
                <w:spacing w:val="-2"/>
              </w:rPr>
              <w:t>, se tak prozatím nepotvrdily. Situace se ale lišila mezi odvětvími. Zatímco v průmyslu se krátkodobá očekávání zaměstnanosti</w:t>
            </w:r>
            <w:r w:rsidRPr="00D175A7">
              <w:rPr>
                <w:rStyle w:val="Znakapoznpodarou"/>
                <w:color w:val="0D0D0D" w:themeColor="text1" w:themeTint="F2"/>
                <w:spacing w:val="-2"/>
              </w:rPr>
              <w:footnoteReference w:id="30"/>
            </w:r>
            <w:r>
              <w:rPr>
                <w:spacing w:val="-2"/>
              </w:rPr>
              <w:t xml:space="preserve"> nadále snižovala (až do mírně záporného pásma, nejníže od počátku roku 2014), v tržních službách</w:t>
            </w:r>
            <w:r w:rsidRPr="00D175A7">
              <w:rPr>
                <w:rStyle w:val="Znakapoznpodarou"/>
                <w:color w:val="0D0D0D" w:themeColor="text1" w:themeTint="F2"/>
                <w:spacing w:val="-2"/>
              </w:rPr>
              <w:footnoteReference w:id="31"/>
            </w:r>
            <w:r>
              <w:rPr>
                <w:spacing w:val="-2"/>
              </w:rPr>
              <w:t xml:space="preserve"> (vč. obchodu) došlo v 1. čtvrtletí ke stabilizaci</w:t>
            </w:r>
            <w:r w:rsidR="00EE460E">
              <w:rPr>
                <w:spacing w:val="-2"/>
              </w:rPr>
              <w:t>,</w:t>
            </w:r>
            <w:r>
              <w:rPr>
                <w:spacing w:val="-2"/>
              </w:rPr>
              <w:t xml:space="preserve"> a</w:t>
            </w:r>
            <w:r w:rsidR="00EE460E">
              <w:rPr>
                <w:spacing w:val="-2"/>
              </w:rPr>
              <w:t> </w:t>
            </w:r>
            <w:r>
              <w:rPr>
                <w:spacing w:val="-2"/>
              </w:rPr>
              <w:t>ve stavebnictví dokonce pozitivní vyhlídky dále sílily. Podíl podniků považujících nedostatek pracovní síly za významnou bariéru svého růstu od počátku letošního roku mírně klesl, nadále ale zůstal na prahu 2. čtvrtletí vysoký – zejména v průmyslu (36</w:t>
            </w:r>
            <w:r w:rsidR="00870ECD">
              <w:rPr>
                <w:spacing w:val="-2"/>
              </w:rPr>
              <w:t> %</w:t>
            </w:r>
            <w:r>
              <w:rPr>
                <w:spacing w:val="-2"/>
              </w:rPr>
              <w:t>) a</w:t>
            </w:r>
            <w:r w:rsidR="00EE460E">
              <w:rPr>
                <w:spacing w:val="-2"/>
              </w:rPr>
              <w:t> </w:t>
            </w:r>
            <w:r>
              <w:rPr>
                <w:spacing w:val="-2"/>
              </w:rPr>
              <w:t>stavebnictví (42</w:t>
            </w:r>
            <w:r w:rsidR="00870ECD">
              <w:rPr>
                <w:spacing w:val="-2"/>
              </w:rPr>
              <w:t> %</w:t>
            </w:r>
            <w:r>
              <w:rPr>
                <w:spacing w:val="-2"/>
              </w:rPr>
              <w:t xml:space="preserve">). </w:t>
            </w:r>
          </w:p>
        </w:tc>
      </w:tr>
      <w:tr w:rsidR="00003849" w14:paraId="3DAD1A47" w14:textId="77777777" w:rsidTr="000A3D9E">
        <w:trPr>
          <w:trHeight w:val="98"/>
        </w:trPr>
        <w:tc>
          <w:tcPr>
            <w:tcW w:w="1790" w:type="dxa"/>
            <w:vMerge w:val="restart"/>
            <w:shd w:val="clear" w:color="auto" w:fill="auto"/>
            <w:tcMar>
              <w:left w:w="0" w:type="dxa"/>
            </w:tcMar>
          </w:tcPr>
          <w:p w14:paraId="5107526E" w14:textId="77777777" w:rsidR="00003849" w:rsidRDefault="00003849" w:rsidP="000A3D9E">
            <w:pPr>
              <w:pStyle w:val="Marginlie"/>
            </w:pPr>
          </w:p>
        </w:tc>
        <w:tc>
          <w:tcPr>
            <w:tcW w:w="216" w:type="dxa"/>
            <w:gridSpan w:val="2"/>
            <w:vMerge w:val="restart"/>
            <w:shd w:val="clear" w:color="auto" w:fill="auto"/>
            <w:tcMar>
              <w:left w:w="0" w:type="dxa"/>
            </w:tcMar>
          </w:tcPr>
          <w:p w14:paraId="20F232AF"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068F2C8F" w14:textId="77777777" w:rsidR="00003849" w:rsidRDefault="00003849" w:rsidP="000A3D9E">
            <w:pPr>
              <w:spacing w:after="40" w:line="240" w:lineRule="auto"/>
              <w:rPr>
                <w:spacing w:val="-2"/>
              </w:rPr>
            </w:pPr>
            <w:r w:rsidRPr="00C06323">
              <w:rPr>
                <w:rFonts w:cs="Arial"/>
                <w:b/>
                <w:bCs/>
                <w:color w:val="000000"/>
                <w:szCs w:val="20"/>
              </w:rPr>
              <w:t xml:space="preserve">Graf č. </w:t>
            </w:r>
            <w:r w:rsidR="001208E3">
              <w:rPr>
                <w:rFonts w:cs="Arial"/>
                <w:b/>
                <w:bCs/>
                <w:color w:val="000000"/>
                <w:szCs w:val="20"/>
              </w:rPr>
              <w:t>13</w:t>
            </w:r>
            <w:r w:rsidRPr="00631BC9">
              <w:rPr>
                <w:rFonts w:cs="Arial"/>
                <w:b/>
                <w:bCs/>
                <w:color w:val="000000"/>
                <w:sz w:val="18"/>
                <w:szCs w:val="18"/>
              </w:rPr>
              <w:t xml:space="preserve"> </w:t>
            </w:r>
            <w:r>
              <w:rPr>
                <w:rFonts w:cs="Arial"/>
                <w:b/>
                <w:bCs/>
                <w:color w:val="000000"/>
                <w:sz w:val="18"/>
                <w:szCs w:val="18"/>
              </w:rPr>
              <w:t xml:space="preserve"> </w:t>
            </w:r>
            <w:r>
              <w:rPr>
                <w:b/>
                <w:lang w:eastAsia="en-US"/>
              </w:rPr>
              <w:t xml:space="preserve">Celková zaměstnanost </w:t>
            </w:r>
            <w:r w:rsidRPr="00F104F2">
              <w:rPr>
                <w:lang w:eastAsia="en-US"/>
              </w:rPr>
              <w:t>(</w:t>
            </w:r>
            <w:r w:rsidRPr="00F104F2">
              <w:rPr>
                <w:spacing w:val="-2"/>
              </w:rPr>
              <w:t>meziročně</w:t>
            </w:r>
            <w:r w:rsidRPr="00F104F2">
              <w:rPr>
                <w:bCs/>
                <w:spacing w:val="-2"/>
              </w:rPr>
              <w:t xml:space="preserve"> v</w:t>
            </w:r>
            <w:r w:rsidR="00870ECD">
              <w:rPr>
                <w:bCs/>
                <w:spacing w:val="-2"/>
              </w:rPr>
              <w:t> %</w:t>
            </w:r>
            <w:r w:rsidRPr="00F104F2">
              <w:rPr>
                <w:bCs/>
                <w:spacing w:val="-2"/>
              </w:rPr>
              <w:t>)</w:t>
            </w:r>
            <w:r>
              <w:rPr>
                <w:bCs/>
                <w:spacing w:val="-2"/>
              </w:rPr>
              <w:t xml:space="preserve"> </w:t>
            </w:r>
            <w:r w:rsidRPr="00F104F2">
              <w:rPr>
                <w:b/>
                <w:bCs/>
                <w:spacing w:val="-2"/>
              </w:rPr>
              <w:t>a příspěvky hlavních odvětví  k meziroční změně zaměstnanosti</w:t>
            </w:r>
            <w:r>
              <w:rPr>
                <w:bCs/>
                <w:spacing w:val="-2"/>
              </w:rPr>
              <w:t xml:space="preserve"> (v procentních bodech)</w:t>
            </w:r>
          </w:p>
        </w:tc>
      </w:tr>
      <w:tr w:rsidR="00003849" w14:paraId="273CDA31" w14:textId="77777777" w:rsidTr="000A3D9E">
        <w:tblPrEx>
          <w:tblCellMar>
            <w:left w:w="70" w:type="dxa"/>
            <w:right w:w="70" w:type="dxa"/>
          </w:tblCellMar>
        </w:tblPrEx>
        <w:trPr>
          <w:trHeight w:val="96"/>
        </w:trPr>
        <w:tc>
          <w:tcPr>
            <w:tcW w:w="1790" w:type="dxa"/>
            <w:vMerge/>
            <w:shd w:val="clear" w:color="auto" w:fill="auto"/>
          </w:tcPr>
          <w:p w14:paraId="34D5F5B4" w14:textId="77777777" w:rsidR="00003849" w:rsidRDefault="00003849" w:rsidP="000A3D9E">
            <w:pPr>
              <w:pStyle w:val="Marginlie"/>
            </w:pPr>
          </w:p>
        </w:tc>
        <w:tc>
          <w:tcPr>
            <w:tcW w:w="216" w:type="dxa"/>
            <w:gridSpan w:val="2"/>
            <w:vMerge/>
            <w:shd w:val="clear" w:color="auto" w:fill="auto"/>
          </w:tcPr>
          <w:p w14:paraId="0F3FC10D" w14:textId="77777777" w:rsidR="00003849" w:rsidRDefault="00003849" w:rsidP="000A3D9E">
            <w:pPr>
              <w:pStyle w:val="Textpoznpodarou"/>
              <w:jc w:val="both"/>
              <w:rPr>
                <w:spacing w:val="-4"/>
              </w:rPr>
            </w:pPr>
          </w:p>
        </w:tc>
        <w:tc>
          <w:tcPr>
            <w:tcW w:w="7648" w:type="dxa"/>
            <w:gridSpan w:val="2"/>
            <w:shd w:val="clear" w:color="auto" w:fill="auto"/>
          </w:tcPr>
          <w:p w14:paraId="1BDDCE37" w14:textId="77777777" w:rsidR="00003849" w:rsidRDefault="00003849" w:rsidP="000A3D9E">
            <w:pPr>
              <w:spacing w:after="40" w:line="240" w:lineRule="auto"/>
              <w:rPr>
                <w:spacing w:val="-2"/>
              </w:rPr>
            </w:pPr>
            <w:r>
              <w:rPr>
                <w:noProof/>
              </w:rPr>
              <w:drawing>
                <wp:inline distT="0" distB="0" distL="0" distR="0" wp14:anchorId="6DF00572" wp14:editId="2C0DD7C8">
                  <wp:extent cx="4756150" cy="3483696"/>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003849" w:rsidRPr="0007645D" w14:paraId="4D7DDEEE" w14:textId="77777777" w:rsidTr="000A3D9E">
        <w:trPr>
          <w:trHeight w:val="96"/>
        </w:trPr>
        <w:tc>
          <w:tcPr>
            <w:tcW w:w="1790" w:type="dxa"/>
            <w:vMerge/>
            <w:shd w:val="clear" w:color="auto" w:fill="auto"/>
            <w:tcMar>
              <w:left w:w="0" w:type="dxa"/>
            </w:tcMar>
          </w:tcPr>
          <w:p w14:paraId="648B44D8" w14:textId="77777777" w:rsidR="00003849" w:rsidRDefault="00003849" w:rsidP="000A3D9E">
            <w:pPr>
              <w:pStyle w:val="Marginlie"/>
            </w:pPr>
          </w:p>
        </w:tc>
        <w:tc>
          <w:tcPr>
            <w:tcW w:w="216" w:type="dxa"/>
            <w:gridSpan w:val="2"/>
            <w:vMerge/>
            <w:shd w:val="clear" w:color="auto" w:fill="auto"/>
            <w:tcMar>
              <w:left w:w="0" w:type="dxa"/>
            </w:tcMar>
          </w:tcPr>
          <w:p w14:paraId="4DDCF167"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3025DB94" w14:textId="77F1B321" w:rsidR="00003849" w:rsidRDefault="00003849" w:rsidP="000A3D9E">
            <w:pPr>
              <w:spacing w:after="0" w:line="240" w:lineRule="auto"/>
              <w:rPr>
                <w:rFonts w:cs="Arial"/>
                <w:sz w:val="14"/>
                <w:szCs w:val="14"/>
              </w:rPr>
            </w:pPr>
            <w:r>
              <w:rPr>
                <w:rFonts w:cs="Arial"/>
                <w:sz w:val="14"/>
                <w:szCs w:val="14"/>
              </w:rPr>
              <w:t>*</w:t>
            </w:r>
            <w:r w:rsidRPr="00862F17">
              <w:rPr>
                <w:rFonts w:cs="Arial"/>
                <w:sz w:val="14"/>
                <w:szCs w:val="14"/>
              </w:rPr>
              <w:t xml:space="preserve">Zahrnuje odvětví: </w:t>
            </w:r>
            <w:r w:rsidR="0095664B">
              <w:rPr>
                <w:rFonts w:cs="Arial"/>
                <w:sz w:val="14"/>
                <w:szCs w:val="14"/>
              </w:rPr>
              <w:t>t</w:t>
            </w:r>
            <w:r w:rsidR="0095664B" w:rsidRPr="00862F17">
              <w:rPr>
                <w:rFonts w:cs="Arial"/>
                <w:sz w:val="14"/>
                <w:szCs w:val="14"/>
              </w:rPr>
              <w:t xml:space="preserve">ěžba </w:t>
            </w:r>
            <w:r w:rsidRPr="00862F17">
              <w:rPr>
                <w:rFonts w:cs="Arial"/>
                <w:sz w:val="14"/>
                <w:szCs w:val="14"/>
              </w:rPr>
              <w:t>a energetika</w:t>
            </w:r>
            <w:r w:rsidR="0095664B">
              <w:rPr>
                <w:rFonts w:cs="Arial"/>
                <w:sz w:val="14"/>
                <w:szCs w:val="14"/>
              </w:rPr>
              <w:t>;</w:t>
            </w:r>
            <w:r w:rsidR="0095664B" w:rsidRPr="00862F17">
              <w:rPr>
                <w:rFonts w:cs="Arial"/>
                <w:sz w:val="14"/>
                <w:szCs w:val="14"/>
              </w:rPr>
              <w:t xml:space="preserve"> </w:t>
            </w:r>
            <w:r w:rsidR="0095664B">
              <w:rPr>
                <w:rFonts w:cs="Arial"/>
                <w:sz w:val="14"/>
                <w:szCs w:val="14"/>
              </w:rPr>
              <w:t>p</w:t>
            </w:r>
            <w:r w:rsidR="0095664B" w:rsidRPr="00862F17">
              <w:rPr>
                <w:rFonts w:cs="Arial"/>
                <w:sz w:val="14"/>
                <w:szCs w:val="14"/>
              </w:rPr>
              <w:t xml:space="preserve">eněžnictví </w:t>
            </w:r>
            <w:r w:rsidRPr="00862F17">
              <w:rPr>
                <w:rFonts w:cs="Arial"/>
                <w:sz w:val="14"/>
                <w:szCs w:val="14"/>
              </w:rPr>
              <w:t>a pojišťovnictví</w:t>
            </w:r>
            <w:r w:rsidR="0095664B">
              <w:rPr>
                <w:rFonts w:cs="Arial"/>
                <w:sz w:val="14"/>
                <w:szCs w:val="14"/>
              </w:rPr>
              <w:t>;</w:t>
            </w:r>
            <w:r w:rsidR="0095664B" w:rsidRPr="00862F17">
              <w:rPr>
                <w:rFonts w:cs="Arial"/>
                <w:sz w:val="14"/>
                <w:szCs w:val="14"/>
              </w:rPr>
              <w:t xml:space="preserve"> </w:t>
            </w:r>
            <w:r w:rsidR="0095664B">
              <w:rPr>
                <w:rFonts w:cs="Arial"/>
                <w:sz w:val="14"/>
                <w:szCs w:val="14"/>
              </w:rPr>
              <w:t>č</w:t>
            </w:r>
            <w:r w:rsidR="0095664B" w:rsidRPr="00862F17">
              <w:rPr>
                <w:rFonts w:cs="Arial"/>
                <w:sz w:val="14"/>
                <w:szCs w:val="14"/>
              </w:rPr>
              <w:t xml:space="preserve">innosti </w:t>
            </w:r>
            <w:r w:rsidRPr="00862F17">
              <w:rPr>
                <w:rFonts w:cs="Arial"/>
                <w:sz w:val="14"/>
                <w:szCs w:val="14"/>
              </w:rPr>
              <w:t>v oblasti nemovitostí</w:t>
            </w:r>
            <w:r w:rsidR="0095664B">
              <w:rPr>
                <w:rFonts w:cs="Arial"/>
                <w:sz w:val="14"/>
                <w:szCs w:val="14"/>
              </w:rPr>
              <w:t>;</w:t>
            </w:r>
            <w:r w:rsidR="0095664B" w:rsidRPr="00862F17">
              <w:rPr>
                <w:rFonts w:cs="Arial"/>
                <w:sz w:val="14"/>
                <w:szCs w:val="14"/>
              </w:rPr>
              <w:t xml:space="preserve"> </w:t>
            </w:r>
            <w:r w:rsidR="0095664B">
              <w:rPr>
                <w:rFonts w:cs="Arial"/>
                <w:sz w:val="14"/>
                <w:szCs w:val="14"/>
              </w:rPr>
              <w:t>k</w:t>
            </w:r>
            <w:r w:rsidR="0095664B" w:rsidRPr="00862F17">
              <w:rPr>
                <w:rFonts w:cs="Arial"/>
                <w:sz w:val="14"/>
                <w:szCs w:val="14"/>
              </w:rPr>
              <w:t>ulturní</w:t>
            </w:r>
            <w:r w:rsidRPr="00862F17">
              <w:rPr>
                <w:rFonts w:cs="Arial"/>
                <w:sz w:val="14"/>
                <w:szCs w:val="14"/>
              </w:rPr>
              <w:t>, zábavní a</w:t>
            </w:r>
            <w:r w:rsidRPr="00D47653">
              <w:rPr>
                <w:sz w:val="14"/>
                <w:szCs w:val="14"/>
              </w:rPr>
              <w:t> </w:t>
            </w:r>
            <w:r w:rsidRPr="00862F17">
              <w:rPr>
                <w:rFonts w:cs="Arial"/>
                <w:sz w:val="14"/>
                <w:szCs w:val="14"/>
              </w:rPr>
              <w:t>rekreační činnosti</w:t>
            </w:r>
            <w:r w:rsidR="0095664B">
              <w:rPr>
                <w:rFonts w:cs="Arial"/>
                <w:sz w:val="14"/>
                <w:szCs w:val="14"/>
              </w:rPr>
              <w:t>;</w:t>
            </w:r>
            <w:r w:rsidR="0095664B" w:rsidRPr="00862F17">
              <w:rPr>
                <w:rFonts w:cs="Arial"/>
                <w:sz w:val="14"/>
                <w:szCs w:val="14"/>
              </w:rPr>
              <w:t xml:space="preserve"> </w:t>
            </w:r>
            <w:r w:rsidR="0095664B">
              <w:rPr>
                <w:rFonts w:cs="Arial"/>
                <w:sz w:val="14"/>
                <w:szCs w:val="14"/>
              </w:rPr>
              <w:t>o</w:t>
            </w:r>
            <w:r w:rsidR="0095664B" w:rsidRPr="00862F17">
              <w:rPr>
                <w:rFonts w:cs="Arial"/>
                <w:sz w:val="14"/>
                <w:szCs w:val="14"/>
              </w:rPr>
              <w:t xml:space="preserve">statní </w:t>
            </w:r>
            <w:r w:rsidRPr="00862F17">
              <w:rPr>
                <w:rFonts w:cs="Arial"/>
                <w:sz w:val="14"/>
                <w:szCs w:val="14"/>
              </w:rPr>
              <w:t>služby.</w:t>
            </w:r>
            <w:r>
              <w:rPr>
                <w:rFonts w:cs="Arial"/>
                <w:sz w:val="14"/>
                <w:szCs w:val="14"/>
              </w:rPr>
              <w:t xml:space="preserve">                                                                                     </w:t>
            </w:r>
            <w:r w:rsidR="0095664B">
              <w:rPr>
                <w:rFonts w:cs="Arial"/>
                <w:sz w:val="14"/>
                <w:szCs w:val="14"/>
              </w:rPr>
              <w:t xml:space="preserve">     </w:t>
            </w:r>
            <w:r>
              <w:rPr>
                <w:rFonts w:cs="Arial"/>
                <w:sz w:val="14"/>
                <w:szCs w:val="14"/>
              </w:rPr>
              <w:t xml:space="preserve">         </w:t>
            </w:r>
            <w:r w:rsidRPr="00862F17">
              <w:rPr>
                <w:rFonts w:cs="Arial"/>
                <w:sz w:val="14"/>
                <w:szCs w:val="14"/>
              </w:rPr>
              <w:t>Zdroj: ČSÚ (národní účty</w:t>
            </w:r>
            <w:r w:rsidR="0095664B">
              <w:rPr>
                <w:rFonts w:cs="Arial"/>
                <w:sz w:val="14"/>
                <w:szCs w:val="14"/>
              </w:rPr>
              <w:t>)</w:t>
            </w:r>
          </w:p>
          <w:p w14:paraId="37658A78" w14:textId="77777777" w:rsidR="00003849" w:rsidRPr="0007645D" w:rsidRDefault="00003849" w:rsidP="000A3D9E">
            <w:pPr>
              <w:spacing w:after="0" w:line="240" w:lineRule="auto"/>
              <w:rPr>
                <w:spacing w:val="-2"/>
                <w:szCs w:val="20"/>
              </w:rPr>
            </w:pPr>
          </w:p>
        </w:tc>
      </w:tr>
      <w:tr w:rsidR="00003849" w14:paraId="28AB9F67" w14:textId="77777777" w:rsidTr="000A3D9E">
        <w:trPr>
          <w:trHeight w:val="145"/>
        </w:trPr>
        <w:tc>
          <w:tcPr>
            <w:tcW w:w="1790" w:type="dxa"/>
            <w:shd w:val="clear" w:color="auto" w:fill="auto"/>
            <w:tcMar>
              <w:left w:w="0" w:type="dxa"/>
            </w:tcMar>
          </w:tcPr>
          <w:p w14:paraId="70DE3948" w14:textId="5DFED406" w:rsidR="00003849" w:rsidRDefault="00003849" w:rsidP="000A3D9E">
            <w:pPr>
              <w:pStyle w:val="Marginlie"/>
            </w:pPr>
            <w:r>
              <w:t>K meziročnímu růstu zaměstnanosti přispělo hlavně vyšší zapojení ekonomicky neaktivních</w:t>
            </w:r>
            <w:r w:rsidR="0095664B">
              <w:t>.</w:t>
            </w:r>
          </w:p>
        </w:tc>
        <w:tc>
          <w:tcPr>
            <w:tcW w:w="216" w:type="dxa"/>
            <w:gridSpan w:val="2"/>
            <w:shd w:val="clear" w:color="auto" w:fill="auto"/>
            <w:tcMar>
              <w:left w:w="0" w:type="dxa"/>
            </w:tcMar>
          </w:tcPr>
          <w:p w14:paraId="184883C8"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30F4569D" w14:textId="40FF1B1F" w:rsidR="00003849" w:rsidRDefault="00003849" w:rsidP="000A3D9E">
            <w:pPr>
              <w:spacing w:after="200"/>
              <w:rPr>
                <w:spacing w:val="-2"/>
              </w:rPr>
            </w:pPr>
            <w:r>
              <w:rPr>
                <w:spacing w:val="-2"/>
              </w:rPr>
              <w:t>Údaje z výběrového šetření pracovních sil (VŠPS) naznačily, že k meziročnímu růstu zaměstnanosti přispělo letos hlavně vyšší zapojení dříve ekonomicky neaktivních, vliv redukce nezaměstnanosti byl méně významný. Tento stav přetrvával již čtvrté čtvrtletí v řadě. S tím souvisí i trend redukce počtu ekonomicky neaktivních</w:t>
            </w:r>
            <w:r w:rsidR="0095664B">
              <w:rPr>
                <w:spacing w:val="-2"/>
              </w:rPr>
              <w:t>, kteří chtějí</w:t>
            </w:r>
            <w:r>
              <w:rPr>
                <w:spacing w:val="-2"/>
              </w:rPr>
              <w:t xml:space="preserve"> pracovat</w:t>
            </w:r>
            <w:r w:rsidRPr="00D175A7">
              <w:rPr>
                <w:rStyle w:val="Znakapoznpodarou"/>
                <w:color w:val="0D0D0D" w:themeColor="text1" w:themeTint="F2"/>
                <w:spacing w:val="-2"/>
              </w:rPr>
              <w:footnoteReference w:id="32"/>
            </w:r>
            <w:r>
              <w:rPr>
                <w:spacing w:val="-2"/>
              </w:rPr>
              <w:t xml:space="preserve">, </w:t>
            </w:r>
            <w:r>
              <w:rPr>
                <w:spacing w:val="-2"/>
              </w:rPr>
              <w:lastRenderedPageBreak/>
              <w:t>jejichž četnost se přiblížila 100tis</w:t>
            </w:r>
            <w:r w:rsidR="0095664B">
              <w:rPr>
                <w:spacing w:val="-2"/>
              </w:rPr>
              <w:t xml:space="preserve">ícové </w:t>
            </w:r>
            <w:r>
              <w:rPr>
                <w:spacing w:val="-2"/>
              </w:rPr>
              <w:t>hranici (od konce poslední recese z počátku roku 2013 skoro o polovinu) a byla téměř totožná s počtem nezaměstnaných. Významným zdrojem růstu pracovní síly v Česku stále zůstává i zahraniční migrace</w:t>
            </w:r>
            <w:r>
              <w:rPr>
                <w:rStyle w:val="Znakapoznpodarou"/>
                <w:spacing w:val="-2"/>
              </w:rPr>
              <w:footnoteReference w:id="33"/>
            </w:r>
            <w:r>
              <w:rPr>
                <w:spacing w:val="-2"/>
              </w:rPr>
              <w:t xml:space="preserve">. </w:t>
            </w:r>
          </w:p>
        </w:tc>
      </w:tr>
      <w:tr w:rsidR="00003849" w:rsidRPr="005E4DD8" w14:paraId="5BC30728" w14:textId="77777777" w:rsidTr="000A3D9E">
        <w:trPr>
          <w:trHeight w:val="145"/>
        </w:trPr>
        <w:tc>
          <w:tcPr>
            <w:tcW w:w="1790" w:type="dxa"/>
            <w:shd w:val="clear" w:color="auto" w:fill="auto"/>
            <w:tcMar>
              <w:left w:w="0" w:type="dxa"/>
            </w:tcMar>
          </w:tcPr>
          <w:p w14:paraId="5B0EE824" w14:textId="77777777" w:rsidR="00003849" w:rsidRDefault="00003849" w:rsidP="000A3D9E">
            <w:pPr>
              <w:pStyle w:val="Marginlie"/>
            </w:pPr>
            <w:r>
              <w:lastRenderedPageBreak/>
              <w:t>Těžiště vyšší zaměstnanosti bylo nadále ve službách. Průmysl naopak zvolňoval.</w:t>
            </w:r>
          </w:p>
        </w:tc>
        <w:tc>
          <w:tcPr>
            <w:tcW w:w="216" w:type="dxa"/>
            <w:gridSpan w:val="2"/>
            <w:shd w:val="clear" w:color="auto" w:fill="auto"/>
            <w:tcMar>
              <w:left w:w="0" w:type="dxa"/>
            </w:tcMar>
          </w:tcPr>
          <w:p w14:paraId="65EC8FFB"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3F5C8765" w14:textId="37680652" w:rsidR="00003849" w:rsidRPr="005E4DD8" w:rsidRDefault="00003849" w:rsidP="00CE3E48">
            <w:pPr>
              <w:spacing w:after="200"/>
              <w:rPr>
                <w:spacing w:val="-4"/>
              </w:rPr>
            </w:pPr>
            <w:r w:rsidRPr="005E4DD8">
              <w:rPr>
                <w:spacing w:val="-4"/>
              </w:rPr>
              <w:t>K vyšší zaměstnanosti přispěl v 1. čtvrtletí téměř ze tří čtvrtin sektor služeb, v němž sílily především informační a komunikační činnosti (+5,5</w:t>
            </w:r>
            <w:r w:rsidR="00870ECD">
              <w:rPr>
                <w:spacing w:val="-4"/>
              </w:rPr>
              <w:t> %</w:t>
            </w:r>
            <w:r w:rsidRPr="005E4DD8">
              <w:rPr>
                <w:spacing w:val="-4"/>
              </w:rPr>
              <w:t xml:space="preserve"> meziročně). Dařilo se i obchodu a odvětvím úzce vázaným na cestovní ruch. Nová pracovní místa vytvářely i veřejné služby, </w:t>
            </w:r>
            <w:r w:rsidR="001C6B3B">
              <w:rPr>
                <w:spacing w:val="-4"/>
              </w:rPr>
              <w:t xml:space="preserve">zejména ty </w:t>
            </w:r>
            <w:r w:rsidRPr="005E4DD8">
              <w:rPr>
                <w:spacing w:val="-4"/>
              </w:rPr>
              <w:t>v oblasti vzdělávání a zdravotní i sociální péče. Ve zpracovatelském průmyslu byl růst „st</w:t>
            </w:r>
            <w:r w:rsidR="00D85114">
              <w:rPr>
                <w:spacing w:val="-4"/>
              </w:rPr>
              <w:t>l</w:t>
            </w:r>
            <w:r w:rsidRPr="005E4DD8">
              <w:rPr>
                <w:spacing w:val="-4"/>
              </w:rPr>
              <w:t>ačen“ pod 1</w:t>
            </w:r>
            <w:r w:rsidR="00870ECD">
              <w:rPr>
                <w:spacing w:val="-4"/>
              </w:rPr>
              <w:t> %</w:t>
            </w:r>
            <w:r w:rsidRPr="005E4DD8">
              <w:rPr>
                <w:spacing w:val="-4"/>
              </w:rPr>
              <w:t xml:space="preserve"> (nejslabší meziroční tempo za posledních osm čtvrtletí), ve srovnání s předchozím čtvrtletím zaměstnanost již podruhé v řadě pouze stagnovala. Zvolnění dynamiky tvorby pracovních míst v průmyslu souviselo se zhoršením výkonových ukazatelů tohoto odvětví </w:t>
            </w:r>
            <w:r w:rsidR="00D85114" w:rsidRPr="005E4DD8">
              <w:rPr>
                <w:spacing w:val="-4"/>
              </w:rPr>
              <w:t>umocněn</w:t>
            </w:r>
            <w:r w:rsidR="00D85114">
              <w:rPr>
                <w:spacing w:val="-4"/>
              </w:rPr>
              <w:t>ým</w:t>
            </w:r>
            <w:r w:rsidR="00D85114" w:rsidRPr="005E4DD8">
              <w:rPr>
                <w:spacing w:val="-4"/>
              </w:rPr>
              <w:t xml:space="preserve"> </w:t>
            </w:r>
            <w:r w:rsidRPr="005E4DD8">
              <w:rPr>
                <w:spacing w:val="-4"/>
              </w:rPr>
              <w:t xml:space="preserve">přetrvávajícími nejistotami na zahraničních trzích. Mohl se již také </w:t>
            </w:r>
            <w:r w:rsidR="001C6B3B">
              <w:rPr>
                <w:spacing w:val="-4"/>
              </w:rPr>
              <w:t>projevit vliv vyšších investic d</w:t>
            </w:r>
            <w:r w:rsidRPr="005E4DD8">
              <w:rPr>
                <w:spacing w:val="-4"/>
              </w:rPr>
              <w:t>o vyspělých t</w:t>
            </w:r>
            <w:r w:rsidR="001C6B3B">
              <w:rPr>
                <w:spacing w:val="-4"/>
              </w:rPr>
              <w:t>echnologií snižujících nároky</w:t>
            </w:r>
            <w:r w:rsidRPr="005E4DD8">
              <w:rPr>
                <w:spacing w:val="-4"/>
              </w:rPr>
              <w:t xml:space="preserve"> na pracovní sílu a posilujících produktivitu práce v některých průmyslových odvětvích. </w:t>
            </w:r>
            <w:r>
              <w:rPr>
                <w:spacing w:val="-4"/>
              </w:rPr>
              <w:t>Naopak v</w:t>
            </w:r>
            <w:r w:rsidRPr="005E4DD8">
              <w:rPr>
                <w:spacing w:val="-4"/>
              </w:rPr>
              <w:t> nezpracovatelských průmyslových oborech se tempo zaměstnanosti mírně zvyšovalo (na</w:t>
            </w:r>
            <w:r w:rsidR="00CE3E48">
              <w:rPr>
                <w:spacing w:val="-4"/>
              </w:rPr>
              <w:t> </w:t>
            </w:r>
            <w:r w:rsidRPr="005E4DD8">
              <w:rPr>
                <w:spacing w:val="-4"/>
              </w:rPr>
              <w:t>+1,3</w:t>
            </w:r>
            <w:r w:rsidR="00870ECD">
              <w:rPr>
                <w:spacing w:val="-4"/>
              </w:rPr>
              <w:t> %</w:t>
            </w:r>
            <w:r w:rsidRPr="005E4DD8">
              <w:rPr>
                <w:spacing w:val="-4"/>
              </w:rPr>
              <w:t>), neboť tradiční útlum v těžbě a dobývání byl kompenzován rozvojem energetiky. K obratu došlo ve stavebnictví, kde se počet pracovníků poprvé od konce roku 2010 meziročně navýšil (o 1,3</w:t>
            </w:r>
            <w:r w:rsidR="00870ECD">
              <w:rPr>
                <w:spacing w:val="-4"/>
              </w:rPr>
              <w:t> %</w:t>
            </w:r>
            <w:r w:rsidRPr="005E4DD8">
              <w:rPr>
                <w:spacing w:val="-4"/>
              </w:rPr>
              <w:t xml:space="preserve">). </w:t>
            </w:r>
          </w:p>
        </w:tc>
      </w:tr>
      <w:tr w:rsidR="00003849" w:rsidRPr="005E4DD8" w14:paraId="2840B327" w14:textId="77777777" w:rsidTr="000A3D9E">
        <w:trPr>
          <w:trHeight w:val="145"/>
        </w:trPr>
        <w:tc>
          <w:tcPr>
            <w:tcW w:w="1790" w:type="dxa"/>
            <w:shd w:val="clear" w:color="auto" w:fill="auto"/>
            <w:tcMar>
              <w:left w:w="0" w:type="dxa"/>
            </w:tcMar>
          </w:tcPr>
          <w:p w14:paraId="63F65EB9" w14:textId="77777777" w:rsidR="00003849" w:rsidRDefault="00003849" w:rsidP="000A3D9E">
            <w:pPr>
              <w:pStyle w:val="Marginlie"/>
              <w:rPr>
                <w:spacing w:val="-4"/>
              </w:rPr>
            </w:pPr>
            <w:r w:rsidRPr="0007645D">
              <w:rPr>
                <w:spacing w:val="-4"/>
              </w:rPr>
              <w:t xml:space="preserve">Pokračovala stagnace počtu </w:t>
            </w:r>
            <w:proofErr w:type="spellStart"/>
            <w:r w:rsidRPr="0007645D">
              <w:rPr>
                <w:spacing w:val="-4"/>
              </w:rPr>
              <w:t>sebezaměstnaných</w:t>
            </w:r>
            <w:proofErr w:type="spellEnd"/>
            <w:r w:rsidRPr="0007645D">
              <w:rPr>
                <w:spacing w:val="-4"/>
              </w:rPr>
              <w:t>.</w:t>
            </w:r>
          </w:p>
          <w:p w14:paraId="7D9CCD33" w14:textId="77777777" w:rsidR="00003849" w:rsidRDefault="00003849" w:rsidP="000A3D9E">
            <w:pPr>
              <w:pStyle w:val="Marginlie"/>
              <w:rPr>
                <w:spacing w:val="-4"/>
              </w:rPr>
            </w:pPr>
          </w:p>
          <w:p w14:paraId="0379103F" w14:textId="77777777" w:rsidR="00003849" w:rsidRDefault="00003849" w:rsidP="000A3D9E">
            <w:pPr>
              <w:pStyle w:val="Marginlie"/>
              <w:rPr>
                <w:spacing w:val="-4"/>
              </w:rPr>
            </w:pPr>
            <w:r>
              <w:rPr>
                <w:spacing w:val="-4"/>
              </w:rPr>
              <w:t>Průměrný věk pracovníků se dále zvyšoval. Rostla ekonomická aktivita lidí v postproduktivním věku.</w:t>
            </w:r>
          </w:p>
          <w:p w14:paraId="5670F7F5" w14:textId="77777777" w:rsidR="00003849" w:rsidRPr="0007645D" w:rsidRDefault="00003849" w:rsidP="000A3D9E">
            <w:pPr>
              <w:pStyle w:val="Marginlie"/>
              <w:rPr>
                <w:spacing w:val="-4"/>
              </w:rPr>
            </w:pPr>
          </w:p>
        </w:tc>
        <w:tc>
          <w:tcPr>
            <w:tcW w:w="216" w:type="dxa"/>
            <w:gridSpan w:val="2"/>
            <w:shd w:val="clear" w:color="auto" w:fill="auto"/>
            <w:tcMar>
              <w:left w:w="0" w:type="dxa"/>
            </w:tcMar>
          </w:tcPr>
          <w:p w14:paraId="46E55F40"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6883EDA5" w14:textId="77777777" w:rsidR="00003849" w:rsidRPr="005E4DD8" w:rsidRDefault="00003849" w:rsidP="000A3D9E">
            <w:pPr>
              <w:spacing w:after="200"/>
              <w:rPr>
                <w:spacing w:val="-4"/>
              </w:rPr>
            </w:pPr>
            <w:r w:rsidRPr="005E4DD8">
              <w:rPr>
                <w:spacing w:val="-4"/>
              </w:rPr>
              <w:t>K růstu celkové zaměstnanos</w:t>
            </w:r>
            <w:r>
              <w:rPr>
                <w:spacing w:val="-4"/>
              </w:rPr>
              <w:t xml:space="preserve">ti </w:t>
            </w:r>
            <w:r w:rsidRPr="005E4DD8">
              <w:rPr>
                <w:spacing w:val="-4"/>
              </w:rPr>
              <w:t xml:space="preserve">dále přispívali téměř výhradně jen zaměstnanci, počet </w:t>
            </w:r>
            <w:proofErr w:type="spellStart"/>
            <w:r w:rsidRPr="005E4DD8">
              <w:rPr>
                <w:spacing w:val="-4"/>
              </w:rPr>
              <w:t>sebezaměstnaných</w:t>
            </w:r>
            <w:proofErr w:type="spellEnd"/>
            <w:r w:rsidRPr="005E4DD8">
              <w:rPr>
                <w:rStyle w:val="Znakapoznpodarou"/>
                <w:color w:val="0D0D0D" w:themeColor="text1" w:themeTint="F2"/>
                <w:spacing w:val="-4"/>
              </w:rPr>
              <w:footnoteReference w:id="34"/>
            </w:r>
            <w:r w:rsidRPr="005E4DD8">
              <w:rPr>
                <w:spacing w:val="-4"/>
              </w:rPr>
              <w:t xml:space="preserve"> se shodně jako v předchozích t</w:t>
            </w:r>
            <w:r>
              <w:rPr>
                <w:spacing w:val="-4"/>
              </w:rPr>
              <w:t>řech letech příliš</w:t>
            </w:r>
            <w:r w:rsidRPr="005E4DD8">
              <w:rPr>
                <w:spacing w:val="-4"/>
              </w:rPr>
              <w:t xml:space="preserve"> neměnil (při jejich mírném růstu ve zpracovatelském průmyslu či v IT a poklesu v oblasti nemovitostí nebo ve finančním sektoru). Z hlediska věkové skladby působilo pozitivně na zaměstnanost prodlužování zákonného i skutečného věku odchodu do důchodu</w:t>
            </w:r>
            <w:r w:rsidRPr="005E4DD8">
              <w:rPr>
                <w:rStyle w:val="Znakapoznpodarou"/>
                <w:color w:val="0D0D0D" w:themeColor="text1" w:themeTint="F2"/>
                <w:spacing w:val="-4"/>
              </w:rPr>
              <w:footnoteReference w:id="35"/>
            </w:r>
            <w:r w:rsidRPr="005E4DD8">
              <w:rPr>
                <w:spacing w:val="-4"/>
              </w:rPr>
              <w:t>. Pokračovaly i další strukturální změny – do věku s nejvyšší mírou ekonomické participace se posouvaly populačně silné ročníky 70. let.</w:t>
            </w:r>
            <w:r>
              <w:rPr>
                <w:spacing w:val="-4"/>
              </w:rPr>
              <w:t xml:space="preserve"> Průměrný věk pracovní síly</w:t>
            </w:r>
            <w:r w:rsidRPr="005E4DD8">
              <w:rPr>
                <w:spacing w:val="-4"/>
              </w:rPr>
              <w:t xml:space="preserve"> se tak dále zvyšoval.</w:t>
            </w:r>
          </w:p>
        </w:tc>
      </w:tr>
      <w:tr w:rsidR="00003849" w:rsidRPr="005E4DD8" w14:paraId="730D5857" w14:textId="77777777" w:rsidTr="000A3D9E">
        <w:trPr>
          <w:trHeight w:val="145"/>
        </w:trPr>
        <w:tc>
          <w:tcPr>
            <w:tcW w:w="1790" w:type="dxa"/>
            <w:shd w:val="clear" w:color="auto" w:fill="auto"/>
            <w:tcMar>
              <w:left w:w="0" w:type="dxa"/>
            </w:tcMar>
          </w:tcPr>
          <w:p w14:paraId="55259B56" w14:textId="1A5ECA12" w:rsidR="00003849" w:rsidRPr="0007645D" w:rsidRDefault="00003849" w:rsidP="000A3D9E">
            <w:pPr>
              <w:pStyle w:val="Marginlie"/>
              <w:rPr>
                <w:spacing w:val="-4"/>
              </w:rPr>
            </w:pPr>
            <w:r>
              <w:rPr>
                <w:spacing w:val="-4"/>
              </w:rPr>
              <w:t>Počet odpracovaných hodin rostl nadále svižněji než celková zaměstnanost.</w:t>
            </w:r>
          </w:p>
        </w:tc>
        <w:tc>
          <w:tcPr>
            <w:tcW w:w="216" w:type="dxa"/>
            <w:gridSpan w:val="2"/>
            <w:shd w:val="clear" w:color="auto" w:fill="auto"/>
            <w:tcMar>
              <w:left w:w="0" w:type="dxa"/>
            </w:tcMar>
          </w:tcPr>
          <w:p w14:paraId="1EC5069D"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079B7CBF" w14:textId="31A4792A" w:rsidR="00003849" w:rsidRPr="005E4DD8" w:rsidRDefault="00003849" w:rsidP="000A3D9E">
            <w:pPr>
              <w:spacing w:after="200"/>
              <w:rPr>
                <w:spacing w:val="-4"/>
              </w:rPr>
            </w:pPr>
            <w:r w:rsidRPr="005E4DD8">
              <w:rPr>
                <w:spacing w:val="-4"/>
              </w:rPr>
              <w:t>Zatímco meziroční růst zaměstnanosti v ekonomice letos nepatrně zvolnil, tempo u počtu odpracovaných hodin se mírně zvýšilo (na 2,4</w:t>
            </w:r>
            <w:r w:rsidR="00870ECD">
              <w:rPr>
                <w:spacing w:val="-4"/>
              </w:rPr>
              <w:t> %</w:t>
            </w:r>
            <w:r w:rsidRPr="005E4DD8">
              <w:rPr>
                <w:spacing w:val="-4"/>
              </w:rPr>
              <w:t xml:space="preserve">, za celý loňský rok 2,0 %). Mírný předstih dynamiky odpracované doby nad celkovou zaměstnaností přetrvává již čtvrtým rokem v řadě. Může to souviset s častějším využíváním přesčasové práce (v prostředí dlouhodobě plně neuspokojené poptávky po pracovní síle). Zároveň to také nepřímo naznačuje, </w:t>
            </w:r>
            <w:r w:rsidR="00900977">
              <w:rPr>
                <w:spacing w:val="-4"/>
              </w:rPr>
              <w:t xml:space="preserve">že </w:t>
            </w:r>
            <w:r w:rsidRPr="005E4DD8">
              <w:rPr>
                <w:spacing w:val="-4"/>
              </w:rPr>
              <w:t>častější využívání zkrácených forem pracovních úvazků se v tuzemské ekonomice prosazuje jen velice pozvolna</w:t>
            </w:r>
            <w:r w:rsidRPr="005E4DD8">
              <w:rPr>
                <w:rStyle w:val="Znakapoznpodarou"/>
                <w:color w:val="0D0D0D" w:themeColor="text1" w:themeTint="F2"/>
                <w:spacing w:val="-4"/>
              </w:rPr>
              <w:footnoteReference w:id="36"/>
            </w:r>
            <w:r w:rsidRPr="005E4DD8">
              <w:rPr>
                <w:spacing w:val="-4"/>
              </w:rPr>
              <w:t>.</w:t>
            </w:r>
          </w:p>
        </w:tc>
      </w:tr>
      <w:tr w:rsidR="00003849" w:rsidRPr="005E4DD8" w14:paraId="0A2BE345" w14:textId="77777777" w:rsidTr="000A3D9E">
        <w:trPr>
          <w:trHeight w:val="145"/>
        </w:trPr>
        <w:tc>
          <w:tcPr>
            <w:tcW w:w="1790" w:type="dxa"/>
            <w:shd w:val="clear" w:color="auto" w:fill="auto"/>
            <w:tcMar>
              <w:left w:w="0" w:type="dxa"/>
            </w:tcMar>
          </w:tcPr>
          <w:p w14:paraId="62030135" w14:textId="77777777" w:rsidR="00003849" w:rsidRDefault="00003849" w:rsidP="000A3D9E">
            <w:pPr>
              <w:pStyle w:val="Marginlie"/>
            </w:pPr>
            <w:r>
              <w:t>Za mírným poklesem míry nezaměstnanosti stály, podobně jako po většinu loňského roku, výhradně ženy.</w:t>
            </w:r>
          </w:p>
          <w:p w14:paraId="285234FB" w14:textId="77777777" w:rsidR="00003849" w:rsidRDefault="00003849" w:rsidP="000A3D9E">
            <w:pPr>
              <w:pStyle w:val="Marginlie"/>
            </w:pPr>
          </w:p>
          <w:p w14:paraId="74C75C25" w14:textId="77777777" w:rsidR="00003849" w:rsidRDefault="00003849" w:rsidP="000A3D9E">
            <w:pPr>
              <w:pStyle w:val="Marginlie"/>
            </w:pPr>
          </w:p>
          <w:p w14:paraId="1F26E4EA" w14:textId="77777777" w:rsidR="00003849" w:rsidRDefault="00003849" w:rsidP="000A3D9E">
            <w:pPr>
              <w:pStyle w:val="Marginlie"/>
            </w:pPr>
          </w:p>
          <w:p w14:paraId="3228A705" w14:textId="77777777" w:rsidR="00003849" w:rsidRDefault="00003849" w:rsidP="000A3D9E">
            <w:pPr>
              <w:pStyle w:val="Marginlie"/>
            </w:pPr>
          </w:p>
          <w:p w14:paraId="5C9C45A1" w14:textId="77777777" w:rsidR="00003849" w:rsidRDefault="00003849" w:rsidP="000A3D9E">
            <w:pPr>
              <w:pStyle w:val="Marginlie"/>
            </w:pPr>
          </w:p>
          <w:p w14:paraId="72281105" w14:textId="77777777" w:rsidR="00003849" w:rsidRDefault="00003849" w:rsidP="000A3D9E">
            <w:pPr>
              <w:pStyle w:val="Marginlie"/>
            </w:pPr>
          </w:p>
          <w:p w14:paraId="0621DD5D" w14:textId="77777777" w:rsidR="00003849" w:rsidRDefault="00003849" w:rsidP="000A3D9E">
            <w:pPr>
              <w:pStyle w:val="Marginlie"/>
            </w:pPr>
          </w:p>
          <w:p w14:paraId="5C35E5AA" w14:textId="77777777" w:rsidR="00003849" w:rsidRDefault="00003849" w:rsidP="000A3D9E">
            <w:pPr>
              <w:pStyle w:val="Marginlie"/>
            </w:pPr>
          </w:p>
          <w:p w14:paraId="1AB8A365" w14:textId="77777777" w:rsidR="00003849" w:rsidRDefault="00003849" w:rsidP="000A3D9E">
            <w:pPr>
              <w:pStyle w:val="Marginlie"/>
            </w:pPr>
          </w:p>
          <w:p w14:paraId="38611E1A" w14:textId="6EB29606" w:rsidR="00003849" w:rsidRDefault="00003849" w:rsidP="000A3D9E">
            <w:pPr>
              <w:pStyle w:val="Marginlie"/>
            </w:pPr>
            <w:r>
              <w:lastRenderedPageBreak/>
              <w:t>Nezaměstnanost klesal</w:t>
            </w:r>
            <w:r w:rsidR="008A7127">
              <w:t>a</w:t>
            </w:r>
            <w:r>
              <w:t xml:space="preserve"> v drtivé většině států EU. Ve většině novějších členských zemí dosahovala historických minim.</w:t>
            </w:r>
          </w:p>
        </w:tc>
        <w:tc>
          <w:tcPr>
            <w:tcW w:w="216" w:type="dxa"/>
            <w:gridSpan w:val="2"/>
            <w:shd w:val="clear" w:color="auto" w:fill="auto"/>
            <w:tcMar>
              <w:left w:w="0" w:type="dxa"/>
            </w:tcMar>
          </w:tcPr>
          <w:p w14:paraId="00CC9F12"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44FF1DED" w14:textId="74474F1A" w:rsidR="00003849" w:rsidRPr="005E4DD8" w:rsidRDefault="00003849" w:rsidP="0052200D">
            <w:pPr>
              <w:spacing w:after="200"/>
              <w:rPr>
                <w:spacing w:val="-4"/>
              </w:rPr>
            </w:pPr>
            <w:r w:rsidRPr="005E4DD8">
              <w:rPr>
                <w:spacing w:val="-4"/>
              </w:rPr>
              <w:t>Sezónně očištěná obecná míra nezaměstnanosti se letos, podobně jako v roce 2018, snižovala již jen nepatrně. V březnu dosahovala 2,0</w:t>
            </w:r>
            <w:r w:rsidR="00870ECD">
              <w:rPr>
                <w:spacing w:val="-4"/>
              </w:rPr>
              <w:t> %</w:t>
            </w:r>
            <w:r w:rsidRPr="005E4DD8">
              <w:rPr>
                <w:spacing w:val="-4"/>
              </w:rPr>
              <w:t xml:space="preserve"> a meziročně se snížila o 0,3</w:t>
            </w:r>
            <w:r w:rsidR="00870ECD">
              <w:rPr>
                <w:spacing w:val="-4"/>
              </w:rPr>
              <w:t> p. b.</w:t>
            </w:r>
            <w:r w:rsidRPr="005E4DD8">
              <w:rPr>
                <w:spacing w:val="-4"/>
              </w:rPr>
              <w:t xml:space="preserve"> Jestliže u mužů nezaměstnanost více než rok stagnuje, </w:t>
            </w:r>
            <w:r w:rsidR="0062263A">
              <w:rPr>
                <w:spacing w:val="-4"/>
              </w:rPr>
              <w:t xml:space="preserve">u </w:t>
            </w:r>
            <w:r w:rsidRPr="005E4DD8">
              <w:rPr>
                <w:spacing w:val="-4"/>
              </w:rPr>
              <w:t>žen dochází k</w:t>
            </w:r>
            <w:r w:rsidR="0062263A">
              <w:rPr>
                <w:spacing w:val="-4"/>
              </w:rPr>
              <w:t xml:space="preserve">e </w:t>
            </w:r>
            <w:r w:rsidRPr="005E4DD8">
              <w:rPr>
                <w:spacing w:val="-4"/>
              </w:rPr>
              <w:t>stále relativně významnému (byť v tempu slábnoucímu) poklesu. Rozdíl v míře nezaměstnanosti žen a</w:t>
            </w:r>
            <w:r w:rsidR="0062263A">
              <w:rPr>
                <w:spacing w:val="-4"/>
              </w:rPr>
              <w:t> </w:t>
            </w:r>
            <w:r w:rsidRPr="005E4DD8">
              <w:rPr>
                <w:spacing w:val="-4"/>
              </w:rPr>
              <w:t>mužů byl v březnu jen 0,5</w:t>
            </w:r>
            <w:r w:rsidR="00870ECD">
              <w:rPr>
                <w:spacing w:val="-4"/>
              </w:rPr>
              <w:t> p. b.</w:t>
            </w:r>
            <w:r w:rsidRPr="005E4DD8">
              <w:rPr>
                <w:spacing w:val="-4"/>
              </w:rPr>
              <w:t xml:space="preserve"> – nejméně v novodobé historii. V posledních třech letech přispívali k redukci celkové nezaměstnanosti z více než poloviny lidé, kteří byli be</w:t>
            </w:r>
            <w:r>
              <w:rPr>
                <w:spacing w:val="-4"/>
              </w:rPr>
              <w:t>z práce déle než rok. Ve</w:t>
            </w:r>
            <w:r w:rsidRPr="005E4DD8">
              <w:rPr>
                <w:spacing w:val="-4"/>
              </w:rPr>
              <w:t xml:space="preserve"> 4. čtvrtletí 2018 ale j</w:t>
            </w:r>
            <w:r>
              <w:rPr>
                <w:spacing w:val="-4"/>
              </w:rPr>
              <w:t>ejich příspěvek citelně oslabil</w:t>
            </w:r>
            <w:r w:rsidRPr="005E4DD8">
              <w:rPr>
                <w:spacing w:val="-4"/>
              </w:rPr>
              <w:t xml:space="preserve"> </w:t>
            </w:r>
            <w:r w:rsidR="0062263A">
              <w:rPr>
                <w:spacing w:val="-4"/>
              </w:rPr>
              <w:t>a </w:t>
            </w:r>
            <w:r w:rsidRPr="005E4DD8">
              <w:rPr>
                <w:spacing w:val="-4"/>
              </w:rPr>
              <w:t>tento trend pokračoval i na začátku roku (příspěvek 30</w:t>
            </w:r>
            <w:r w:rsidR="00870ECD">
              <w:rPr>
                <w:spacing w:val="-4"/>
              </w:rPr>
              <w:t> %</w:t>
            </w:r>
            <w:r w:rsidRPr="005E4DD8">
              <w:rPr>
                <w:spacing w:val="-4"/>
              </w:rPr>
              <w:t>). Pokles podílu dlouhodobě nezaměstnaných na celkové nezaměstnanosti se tak zastavil – v 1. čtvrtletí činil 31,8</w:t>
            </w:r>
            <w:r w:rsidR="00870ECD">
              <w:rPr>
                <w:spacing w:val="-4"/>
              </w:rPr>
              <w:t> %</w:t>
            </w:r>
            <w:r w:rsidRPr="005E4DD8">
              <w:rPr>
                <w:spacing w:val="-4"/>
              </w:rPr>
              <w:t>, což bylo stále o ví</w:t>
            </w:r>
            <w:r>
              <w:rPr>
                <w:spacing w:val="-4"/>
              </w:rPr>
              <w:t>ce než 10 p.</w:t>
            </w:r>
            <w:r w:rsidR="0062263A">
              <w:rPr>
                <w:spacing w:val="-4"/>
              </w:rPr>
              <w:t> </w:t>
            </w:r>
            <w:r>
              <w:rPr>
                <w:spacing w:val="-4"/>
              </w:rPr>
              <w:t>b. pod úrovní</w:t>
            </w:r>
            <w:r w:rsidRPr="005E4DD8">
              <w:rPr>
                <w:spacing w:val="-4"/>
              </w:rPr>
              <w:t xml:space="preserve"> v EU. </w:t>
            </w:r>
            <w:r>
              <w:rPr>
                <w:spacing w:val="-4"/>
              </w:rPr>
              <w:t>ČR dále držela</w:t>
            </w:r>
            <w:r w:rsidRPr="005E4DD8">
              <w:rPr>
                <w:spacing w:val="-4"/>
              </w:rPr>
              <w:t xml:space="preserve"> pozici státu s nejnižší mírou nezaměstnanosti mezi státy EU – u nezaměstnanosti žen to platilo sedm čtvrtletí v řadě, u mužů dok</w:t>
            </w:r>
            <w:r>
              <w:rPr>
                <w:spacing w:val="-4"/>
              </w:rPr>
              <w:t xml:space="preserve">once již dvacet. </w:t>
            </w:r>
            <w:r>
              <w:rPr>
                <w:spacing w:val="-4"/>
              </w:rPr>
              <w:lastRenderedPageBreak/>
              <w:t>V EU</w:t>
            </w:r>
            <w:r w:rsidRPr="005E4DD8">
              <w:rPr>
                <w:spacing w:val="-4"/>
              </w:rPr>
              <w:t xml:space="preserve"> činila </w:t>
            </w:r>
            <w:r>
              <w:rPr>
                <w:spacing w:val="-4"/>
              </w:rPr>
              <w:t xml:space="preserve">v 1. čtvrtletí </w:t>
            </w:r>
            <w:r w:rsidRPr="005E4DD8">
              <w:rPr>
                <w:spacing w:val="-4"/>
              </w:rPr>
              <w:t>obecná míra nezaměstnanosti 6,8</w:t>
            </w:r>
            <w:r w:rsidR="00870ECD">
              <w:rPr>
                <w:spacing w:val="-4"/>
              </w:rPr>
              <w:t> %</w:t>
            </w:r>
            <w:r w:rsidRPr="005E4DD8">
              <w:rPr>
                <w:spacing w:val="-4"/>
              </w:rPr>
              <w:t>, ve státech eurozóny 8,1</w:t>
            </w:r>
            <w:r w:rsidR="00870ECD">
              <w:rPr>
                <w:spacing w:val="-4"/>
              </w:rPr>
              <w:t> %</w:t>
            </w:r>
            <w:r w:rsidRPr="005E4DD8">
              <w:rPr>
                <w:spacing w:val="-4"/>
              </w:rPr>
              <w:t xml:space="preserve">. Nezaměstnanost se meziročně snížila napříč </w:t>
            </w:r>
            <w:r>
              <w:rPr>
                <w:spacing w:val="-4"/>
              </w:rPr>
              <w:t>všemi státy EU vyjma Švédska a</w:t>
            </w:r>
            <w:r w:rsidRPr="005E4DD8">
              <w:rPr>
                <w:spacing w:val="-4"/>
              </w:rPr>
              <w:t xml:space="preserve"> Dánska (+0,2, resp. </w:t>
            </w:r>
            <w:r w:rsidR="008A7127">
              <w:rPr>
                <w:spacing w:val="-4"/>
              </w:rPr>
              <w:t>+</w:t>
            </w:r>
            <w:r w:rsidRPr="005E4DD8">
              <w:rPr>
                <w:spacing w:val="-4"/>
              </w:rPr>
              <w:t>0,1</w:t>
            </w:r>
            <w:r w:rsidR="00870ECD">
              <w:rPr>
                <w:spacing w:val="-4"/>
              </w:rPr>
              <w:t> p. b.</w:t>
            </w:r>
            <w:r w:rsidRPr="005E4DD8">
              <w:rPr>
                <w:spacing w:val="-4"/>
              </w:rPr>
              <w:t>). Ve většině novějších členských zemí (vyjma Slovinska, Kypru a</w:t>
            </w:r>
            <w:r w:rsidR="008A7127">
              <w:rPr>
                <w:spacing w:val="-4"/>
              </w:rPr>
              <w:t> </w:t>
            </w:r>
            <w:r w:rsidRPr="005E4DD8">
              <w:rPr>
                <w:spacing w:val="-4"/>
              </w:rPr>
              <w:t>států Pobaltí), ale i např. v Německu či Velké Británii klesla celková míra nezaměstnanosti na historická minima (ve srovnatelné řadě od počátku 90. let).</w:t>
            </w:r>
          </w:p>
        </w:tc>
      </w:tr>
      <w:tr w:rsidR="00003849" w14:paraId="21E91E94" w14:textId="77777777" w:rsidTr="000A3D9E">
        <w:trPr>
          <w:trHeight w:val="98"/>
        </w:trPr>
        <w:tc>
          <w:tcPr>
            <w:tcW w:w="1790" w:type="dxa"/>
            <w:vMerge w:val="restart"/>
            <w:shd w:val="clear" w:color="auto" w:fill="auto"/>
            <w:tcMar>
              <w:left w:w="0" w:type="dxa"/>
            </w:tcMar>
          </w:tcPr>
          <w:p w14:paraId="50BA88A9" w14:textId="77777777" w:rsidR="00003849" w:rsidRDefault="00003849" w:rsidP="000A3D9E">
            <w:pPr>
              <w:pStyle w:val="Marginlie"/>
            </w:pPr>
          </w:p>
        </w:tc>
        <w:tc>
          <w:tcPr>
            <w:tcW w:w="216" w:type="dxa"/>
            <w:gridSpan w:val="2"/>
            <w:vMerge w:val="restart"/>
            <w:shd w:val="clear" w:color="auto" w:fill="auto"/>
            <w:tcMar>
              <w:left w:w="0" w:type="dxa"/>
            </w:tcMar>
          </w:tcPr>
          <w:p w14:paraId="1F1996E2"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33BE2DA0" w14:textId="1C7519E1" w:rsidR="00003849" w:rsidRDefault="00003849" w:rsidP="000A3D9E">
            <w:pPr>
              <w:spacing w:after="40" w:line="240" w:lineRule="auto"/>
              <w:rPr>
                <w:spacing w:val="-2"/>
              </w:rPr>
            </w:pPr>
            <w:r>
              <w:rPr>
                <w:b/>
                <w:spacing w:val="-2"/>
              </w:rPr>
              <w:t>Graf</w:t>
            </w:r>
            <w:r w:rsidR="001208E3">
              <w:rPr>
                <w:b/>
                <w:spacing w:val="-2"/>
              </w:rPr>
              <w:t xml:space="preserve"> č. 14</w:t>
            </w:r>
            <w:r w:rsidRPr="00425211">
              <w:rPr>
                <w:b/>
                <w:spacing w:val="-2"/>
              </w:rPr>
              <w:t xml:space="preserve">  </w:t>
            </w:r>
            <w:r w:rsidRPr="00425211">
              <w:rPr>
                <w:rFonts w:cs="Arial"/>
                <w:b/>
                <w:bCs/>
                <w:spacing w:val="-2"/>
              </w:rPr>
              <w:t>Obecná míra nezaměstnanosti mužů a žen</w:t>
            </w:r>
            <w:r>
              <w:rPr>
                <w:rFonts w:cs="Arial"/>
                <w:b/>
                <w:bCs/>
                <w:spacing w:val="-2"/>
              </w:rPr>
              <w:t xml:space="preserve">, podíl </w:t>
            </w:r>
            <w:proofErr w:type="spellStart"/>
            <w:r>
              <w:rPr>
                <w:rFonts w:cs="Arial"/>
                <w:b/>
                <w:bCs/>
                <w:spacing w:val="-2"/>
              </w:rPr>
              <w:t>vybr</w:t>
            </w:r>
            <w:proofErr w:type="spellEnd"/>
            <w:r>
              <w:rPr>
                <w:rFonts w:cs="Arial"/>
                <w:b/>
                <w:bCs/>
                <w:spacing w:val="-2"/>
              </w:rPr>
              <w:t>.</w:t>
            </w:r>
            <w:r w:rsidRPr="00425211">
              <w:rPr>
                <w:rFonts w:cs="Arial"/>
                <w:b/>
                <w:bCs/>
                <w:spacing w:val="-2"/>
              </w:rPr>
              <w:t xml:space="preserve"> skupin osob na </w:t>
            </w:r>
            <w:r>
              <w:rPr>
                <w:rFonts w:cs="Arial"/>
                <w:b/>
                <w:bCs/>
                <w:spacing w:val="-2"/>
              </w:rPr>
              <w:t>všech</w:t>
            </w:r>
            <w:r w:rsidRPr="00425211">
              <w:rPr>
                <w:rFonts w:cs="Arial"/>
                <w:b/>
                <w:bCs/>
                <w:spacing w:val="-2"/>
              </w:rPr>
              <w:t xml:space="preserve"> nezaměstnaných </w:t>
            </w:r>
            <w:r w:rsidRPr="00425211">
              <w:rPr>
                <w:rFonts w:cs="Arial"/>
                <w:bCs/>
                <w:spacing w:val="-2"/>
              </w:rPr>
              <w:t>(v</w:t>
            </w:r>
            <w:r>
              <w:rPr>
                <w:rFonts w:cs="Arial"/>
                <w:bCs/>
                <w:spacing w:val="-2"/>
              </w:rPr>
              <w:t> %</w:t>
            </w:r>
            <w:r w:rsidRPr="00425211">
              <w:rPr>
                <w:rFonts w:cs="Arial"/>
                <w:bCs/>
                <w:spacing w:val="-2"/>
              </w:rPr>
              <w:t xml:space="preserve">) </w:t>
            </w:r>
            <w:r w:rsidRPr="00425211">
              <w:rPr>
                <w:rFonts w:cs="Arial"/>
                <w:b/>
                <w:bCs/>
                <w:spacing w:val="-2"/>
              </w:rPr>
              <w:t>a ekonomicky neaktivní</w:t>
            </w:r>
            <w:r w:rsidR="008A7127">
              <w:rPr>
                <w:rFonts w:cs="Arial"/>
                <w:b/>
                <w:bCs/>
                <w:spacing w:val="-2"/>
              </w:rPr>
              <w:t>, kteří chtějí</w:t>
            </w:r>
            <w:r w:rsidRPr="00425211">
              <w:rPr>
                <w:rFonts w:cs="Arial"/>
                <w:b/>
                <w:bCs/>
                <w:spacing w:val="-2"/>
              </w:rPr>
              <w:t xml:space="preserve"> pracovat </w:t>
            </w:r>
            <w:r w:rsidRPr="00425211">
              <w:rPr>
                <w:rFonts w:cs="Arial"/>
                <w:bCs/>
                <w:spacing w:val="-2"/>
              </w:rPr>
              <w:t>(v tis.)</w:t>
            </w:r>
            <w:r>
              <w:rPr>
                <w:rFonts w:cs="Arial"/>
                <w:bCs/>
                <w:spacing w:val="-2"/>
              </w:rPr>
              <w:t>*</w:t>
            </w:r>
          </w:p>
        </w:tc>
      </w:tr>
      <w:tr w:rsidR="00003849" w14:paraId="6A87DE80" w14:textId="77777777" w:rsidTr="00F11159">
        <w:tblPrEx>
          <w:tblCellMar>
            <w:left w:w="70" w:type="dxa"/>
            <w:right w:w="70" w:type="dxa"/>
          </w:tblCellMar>
        </w:tblPrEx>
        <w:trPr>
          <w:trHeight w:val="96"/>
        </w:trPr>
        <w:tc>
          <w:tcPr>
            <w:tcW w:w="1790" w:type="dxa"/>
            <w:vMerge/>
            <w:shd w:val="clear" w:color="auto" w:fill="auto"/>
          </w:tcPr>
          <w:p w14:paraId="0746EA3D" w14:textId="77777777" w:rsidR="00003849" w:rsidRDefault="00003849" w:rsidP="000A3D9E">
            <w:pPr>
              <w:pStyle w:val="Marginlie"/>
            </w:pPr>
          </w:p>
        </w:tc>
        <w:tc>
          <w:tcPr>
            <w:tcW w:w="216" w:type="dxa"/>
            <w:gridSpan w:val="2"/>
            <w:vMerge/>
            <w:shd w:val="clear" w:color="auto" w:fill="auto"/>
          </w:tcPr>
          <w:p w14:paraId="4694CACD" w14:textId="77777777" w:rsidR="00003849" w:rsidRDefault="00003849" w:rsidP="000A3D9E">
            <w:pPr>
              <w:pStyle w:val="Textpoznpodarou"/>
              <w:jc w:val="both"/>
              <w:rPr>
                <w:spacing w:val="-4"/>
              </w:rPr>
            </w:pPr>
          </w:p>
        </w:tc>
        <w:tc>
          <w:tcPr>
            <w:tcW w:w="7648" w:type="dxa"/>
            <w:gridSpan w:val="2"/>
            <w:shd w:val="clear" w:color="auto" w:fill="auto"/>
          </w:tcPr>
          <w:p w14:paraId="5534ED7E" w14:textId="048646D5" w:rsidR="00003849" w:rsidRDefault="00F11159" w:rsidP="000A3D9E">
            <w:pPr>
              <w:spacing w:after="40" w:line="240" w:lineRule="auto"/>
              <w:rPr>
                <w:spacing w:val="-2"/>
              </w:rPr>
            </w:pPr>
            <w:r>
              <w:rPr>
                <w:noProof/>
              </w:rPr>
              <w:drawing>
                <wp:inline distT="0" distB="0" distL="0" distR="0" wp14:anchorId="2ACCE192" wp14:editId="0C5C70B7">
                  <wp:extent cx="4753610" cy="3473532"/>
                  <wp:effectExtent l="0" t="0" r="889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003849" w:rsidRPr="00313E53" w14:paraId="5FF5FFE4" w14:textId="77777777" w:rsidTr="000A3D9E">
        <w:trPr>
          <w:trHeight w:val="96"/>
        </w:trPr>
        <w:tc>
          <w:tcPr>
            <w:tcW w:w="1790" w:type="dxa"/>
            <w:vMerge/>
            <w:shd w:val="clear" w:color="auto" w:fill="auto"/>
            <w:tcMar>
              <w:left w:w="0" w:type="dxa"/>
            </w:tcMar>
          </w:tcPr>
          <w:p w14:paraId="796FCBA2" w14:textId="77777777" w:rsidR="00003849" w:rsidRDefault="00003849" w:rsidP="000A3D9E">
            <w:pPr>
              <w:pStyle w:val="Marginlie"/>
            </w:pPr>
          </w:p>
        </w:tc>
        <w:tc>
          <w:tcPr>
            <w:tcW w:w="216" w:type="dxa"/>
            <w:gridSpan w:val="2"/>
            <w:vMerge/>
            <w:shd w:val="clear" w:color="auto" w:fill="auto"/>
            <w:tcMar>
              <w:left w:w="0" w:type="dxa"/>
            </w:tcMar>
          </w:tcPr>
          <w:p w14:paraId="50E3FEB6"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55AF6581" w14:textId="77777777" w:rsidR="00003849" w:rsidRPr="00FF12EF" w:rsidRDefault="00003849" w:rsidP="000A3D9E">
            <w:pPr>
              <w:spacing w:after="0" w:line="240" w:lineRule="auto"/>
              <w:rPr>
                <w:rFonts w:cs="Arial"/>
                <w:color w:val="0D0D0D" w:themeColor="text1" w:themeTint="F2"/>
                <w:sz w:val="14"/>
                <w:szCs w:val="14"/>
              </w:rPr>
            </w:pPr>
            <w:r w:rsidRPr="00FF12EF">
              <w:rPr>
                <w:rFonts w:cs="Arial"/>
                <w:color w:val="0D0D0D" w:themeColor="text1" w:themeTint="F2"/>
                <w:sz w:val="14"/>
                <w:szCs w:val="14"/>
              </w:rPr>
              <w:t xml:space="preserve">Poznámka: údaje týkající se </w:t>
            </w:r>
            <w:r>
              <w:rPr>
                <w:rFonts w:cs="Arial"/>
                <w:color w:val="0D0D0D" w:themeColor="text1" w:themeTint="F2"/>
                <w:sz w:val="14"/>
                <w:szCs w:val="14"/>
              </w:rPr>
              <w:t xml:space="preserve">míry </w:t>
            </w:r>
            <w:r w:rsidRPr="00FF12EF">
              <w:rPr>
                <w:rFonts w:cs="Arial"/>
                <w:color w:val="0D0D0D" w:themeColor="text1" w:themeTint="F2"/>
                <w:sz w:val="14"/>
                <w:szCs w:val="14"/>
              </w:rPr>
              <w:t>nezaměstnanosti jsou sezónně očištěny.</w:t>
            </w:r>
          </w:p>
          <w:p w14:paraId="44D5FA74" w14:textId="070ECDF0" w:rsidR="00003849" w:rsidRPr="00313E53" w:rsidRDefault="00003849" w:rsidP="000A3D9E">
            <w:pPr>
              <w:spacing w:after="200" w:line="240" w:lineRule="auto"/>
              <w:rPr>
                <w:rFonts w:cs="Arial"/>
                <w:color w:val="0D0D0D" w:themeColor="text1" w:themeTint="F2"/>
                <w:sz w:val="14"/>
                <w:szCs w:val="14"/>
              </w:rPr>
            </w:pPr>
            <w:r w:rsidRPr="00FF12EF">
              <w:rPr>
                <w:rFonts w:cs="Arial"/>
                <w:color w:val="0D0D0D" w:themeColor="text1" w:themeTint="F2"/>
                <w:sz w:val="14"/>
                <w:szCs w:val="14"/>
              </w:rPr>
              <w:t>*</w:t>
            </w:r>
            <w:r w:rsidRPr="00FF12EF">
              <w:rPr>
                <w:rFonts w:cs="Arial"/>
                <w:bCs/>
                <w:color w:val="0D0D0D" w:themeColor="text1" w:themeTint="F2"/>
                <w:sz w:val="14"/>
                <w:szCs w:val="14"/>
              </w:rPr>
              <w:t>Jde o osoby, které nepracují, aktivně práci nehledají (a nesplňují tak podmínky ILO pro nezaměstnané),</w:t>
            </w:r>
            <w:r w:rsidRPr="00FF12EF">
              <w:rPr>
                <w:rFonts w:cs="Arial"/>
                <w:color w:val="0D0D0D" w:themeColor="text1" w:themeTint="F2"/>
                <w:sz w:val="14"/>
                <w:szCs w:val="14"/>
              </w:rPr>
              <w:t xml:space="preserve"> ale přitom </w:t>
            </w:r>
            <w:r>
              <w:rPr>
                <w:rFonts w:cs="Arial"/>
                <w:color w:val="0D0D0D" w:themeColor="text1" w:themeTint="F2"/>
                <w:sz w:val="14"/>
                <w:szCs w:val="14"/>
              </w:rPr>
              <w:t xml:space="preserve">uvádějí, že by chtěly pracovat.                                                            </w:t>
            </w:r>
            <w:r w:rsidR="008A7127">
              <w:rPr>
                <w:rFonts w:cs="Arial"/>
                <w:color w:val="0D0D0D" w:themeColor="text1" w:themeTint="F2"/>
                <w:sz w:val="14"/>
                <w:szCs w:val="14"/>
              </w:rPr>
              <w:t xml:space="preserve">                           </w:t>
            </w:r>
            <w:r>
              <w:rPr>
                <w:rFonts w:cs="Arial"/>
                <w:color w:val="0D0D0D" w:themeColor="text1" w:themeTint="F2"/>
                <w:sz w:val="14"/>
                <w:szCs w:val="14"/>
              </w:rPr>
              <w:t xml:space="preserve">   </w:t>
            </w:r>
            <w:r w:rsidRPr="00FF12EF">
              <w:rPr>
                <w:rFonts w:cs="Arial"/>
                <w:color w:val="0D0D0D" w:themeColor="text1" w:themeTint="F2"/>
                <w:sz w:val="14"/>
                <w:szCs w:val="14"/>
              </w:rPr>
              <w:t>Zdroj: ČSÚ (výběrové šetření pracovních sil)</w:t>
            </w:r>
          </w:p>
        </w:tc>
      </w:tr>
      <w:tr w:rsidR="00003849" w:rsidRPr="005E4DD8" w14:paraId="6060F7C7" w14:textId="77777777" w:rsidTr="000A3D9E">
        <w:trPr>
          <w:trHeight w:val="145"/>
        </w:trPr>
        <w:tc>
          <w:tcPr>
            <w:tcW w:w="1790" w:type="dxa"/>
            <w:shd w:val="clear" w:color="auto" w:fill="auto"/>
            <w:tcMar>
              <w:left w:w="0" w:type="dxa"/>
            </w:tcMar>
          </w:tcPr>
          <w:p w14:paraId="7B66C02A" w14:textId="77777777" w:rsidR="00003849" w:rsidRDefault="00003849" w:rsidP="000A3D9E">
            <w:pPr>
              <w:pStyle w:val="Marginlie"/>
            </w:pPr>
            <w:r>
              <w:t>Počet volných pracovních míst v ekonomice pokořil nový rekord. Jejich růstové tempo ale od počátku roku citelně zvolnilo.</w:t>
            </w:r>
          </w:p>
          <w:p w14:paraId="2FE71281" w14:textId="77777777" w:rsidR="00003849" w:rsidRDefault="00003849" w:rsidP="000A3D9E">
            <w:pPr>
              <w:pStyle w:val="Marginlie"/>
            </w:pPr>
          </w:p>
          <w:p w14:paraId="4EBDB375" w14:textId="77777777" w:rsidR="00003849" w:rsidRDefault="00003849" w:rsidP="000A3D9E">
            <w:pPr>
              <w:pStyle w:val="Marginlie"/>
            </w:pPr>
          </w:p>
          <w:p w14:paraId="5E9A6C1D" w14:textId="77777777" w:rsidR="00003849" w:rsidRDefault="00003849" w:rsidP="000A3D9E">
            <w:pPr>
              <w:pStyle w:val="Marginlie"/>
            </w:pPr>
          </w:p>
          <w:p w14:paraId="653281DB" w14:textId="77777777" w:rsidR="00003849" w:rsidRDefault="00003849" w:rsidP="000A3D9E">
            <w:pPr>
              <w:pStyle w:val="Marginlie"/>
            </w:pPr>
          </w:p>
          <w:p w14:paraId="5DAC88EC" w14:textId="77777777" w:rsidR="00003849" w:rsidRDefault="00003849" w:rsidP="000A3D9E">
            <w:pPr>
              <w:pStyle w:val="Marginlie"/>
            </w:pPr>
          </w:p>
          <w:p w14:paraId="3F0DA1D2" w14:textId="77777777" w:rsidR="00003849" w:rsidRDefault="00003849" w:rsidP="000A3D9E">
            <w:pPr>
              <w:pStyle w:val="Marginlie"/>
            </w:pPr>
            <w:r>
              <w:t>Míra volných míst rostla svižně ve stavebnictví, klesala pouze ve finančnictví.</w:t>
            </w:r>
          </w:p>
          <w:p w14:paraId="0905D833" w14:textId="77777777" w:rsidR="00003849" w:rsidRDefault="00003849" w:rsidP="000A3D9E">
            <w:pPr>
              <w:pStyle w:val="Marginlie"/>
            </w:pPr>
          </w:p>
        </w:tc>
        <w:tc>
          <w:tcPr>
            <w:tcW w:w="216" w:type="dxa"/>
            <w:gridSpan w:val="2"/>
            <w:shd w:val="clear" w:color="auto" w:fill="auto"/>
            <w:tcMar>
              <w:left w:w="0" w:type="dxa"/>
            </w:tcMar>
          </w:tcPr>
          <w:p w14:paraId="4043C703" w14:textId="77777777" w:rsidR="00003849" w:rsidRDefault="00003849" w:rsidP="000A3D9E">
            <w:pPr>
              <w:pStyle w:val="Textpoznpodarou"/>
              <w:jc w:val="both"/>
              <w:rPr>
                <w:spacing w:val="-4"/>
              </w:rPr>
            </w:pPr>
          </w:p>
        </w:tc>
        <w:tc>
          <w:tcPr>
            <w:tcW w:w="7648" w:type="dxa"/>
            <w:gridSpan w:val="2"/>
            <w:shd w:val="clear" w:color="auto" w:fill="auto"/>
            <w:tcMar>
              <w:left w:w="0" w:type="dxa"/>
            </w:tcMar>
          </w:tcPr>
          <w:p w14:paraId="0336978F" w14:textId="05700DB7" w:rsidR="00003849" w:rsidRPr="005E4DD8" w:rsidRDefault="00003849" w:rsidP="000A3D9E">
            <w:pPr>
              <w:spacing w:after="0"/>
              <w:rPr>
                <w:spacing w:val="-4"/>
              </w:rPr>
            </w:pPr>
            <w:r w:rsidRPr="005E4DD8">
              <w:rPr>
                <w:rFonts w:cs="Arial"/>
                <w:color w:val="0D0D0D" w:themeColor="text1" w:themeTint="F2"/>
                <w:spacing w:val="-4"/>
              </w:rPr>
              <w:t xml:space="preserve">Poptávka po pracovnících zůstává v ČR nadále silná. Počet volných pracovních míst nabízených </w:t>
            </w:r>
            <w:r w:rsidRPr="005E4DD8">
              <w:rPr>
                <w:spacing w:val="-4"/>
              </w:rPr>
              <w:t xml:space="preserve">úřady práce </w:t>
            </w:r>
            <w:r w:rsidRPr="005E4DD8">
              <w:rPr>
                <w:rFonts w:cs="Arial"/>
                <w:color w:val="0D0D0D" w:themeColor="text1" w:themeTint="F2"/>
                <w:spacing w:val="-4"/>
              </w:rPr>
              <w:t>meziměsíčně rostl (navzdory sezónním vlivům) nepřetržitě od konce roku 2016. Na konci března činil rekordních 339 tis. Tempo růstu nových míst ale zpomalovalo (během 1. čtvrtletí 2019 se počet míst zvýšil o 15 tis., za stejné období roku 2018 ale o 37 tis.). Nerovnoměrnost přírůstku volných míst (86 tis. meziročně) z pohledu kvalifikačních nároků</w:t>
            </w:r>
            <w:r w:rsidRPr="005E4DD8">
              <w:rPr>
                <w:rStyle w:val="Znakapoznpodarou"/>
                <w:color w:val="0D0D0D" w:themeColor="text1" w:themeTint="F2"/>
                <w:spacing w:val="-4"/>
              </w:rPr>
              <w:footnoteReference w:id="37"/>
            </w:r>
            <w:r w:rsidRPr="005E4DD8">
              <w:rPr>
                <w:rFonts w:cs="Arial"/>
                <w:color w:val="0D0D0D" w:themeColor="text1" w:themeTint="F2"/>
                <w:spacing w:val="-4"/>
              </w:rPr>
              <w:t xml:space="preserve"> i regionů</w:t>
            </w:r>
            <w:r w:rsidRPr="005E4DD8">
              <w:rPr>
                <w:rStyle w:val="Znakapoznpodarou"/>
                <w:color w:val="0D0D0D" w:themeColor="text1" w:themeTint="F2"/>
                <w:spacing w:val="-4"/>
              </w:rPr>
              <w:footnoteReference w:id="38"/>
            </w:r>
            <w:r w:rsidRPr="005E4DD8">
              <w:rPr>
                <w:rFonts w:cs="Arial"/>
                <w:color w:val="0D0D0D" w:themeColor="text1" w:themeTint="F2"/>
                <w:spacing w:val="-4"/>
              </w:rPr>
              <w:t xml:space="preserve"> se dále prohlubovala, místa vznikala relativně nejvíce v regionech, kde již byla míra nezaměstnanosti podprůměrná. Na jedno volné místo připadalo v březnu 0,7 uchazeče. </w:t>
            </w:r>
            <w:r w:rsidRPr="005E4DD8">
              <w:rPr>
                <w:spacing w:val="-4"/>
              </w:rPr>
              <w:t>Převis poptávky nad nabídkou pracovní síly, jenž je na celorepublikové úrovni patrný již od loňského dubna, signalizovalo deset krajů a</w:t>
            </w:r>
            <w:r w:rsidRPr="005E4DD8">
              <w:rPr>
                <w:rFonts w:cs="Arial"/>
                <w:color w:val="0D0D0D" w:themeColor="text1" w:themeTint="F2"/>
                <w:spacing w:val="-4"/>
              </w:rPr>
              <w:t> </w:t>
            </w:r>
            <w:r w:rsidRPr="005E4DD8">
              <w:rPr>
                <w:spacing w:val="-4"/>
              </w:rPr>
              <w:t>bezmála tři pětiny okresů ČR</w:t>
            </w:r>
            <w:r w:rsidRPr="005E4DD8">
              <w:rPr>
                <w:rStyle w:val="Znakapoznpodarou"/>
                <w:color w:val="0D0D0D" w:themeColor="text1" w:themeTint="F2"/>
                <w:spacing w:val="-4"/>
              </w:rPr>
              <w:footnoteReference w:id="39"/>
            </w:r>
            <w:r w:rsidRPr="005E4DD8">
              <w:rPr>
                <w:spacing w:val="-4"/>
              </w:rPr>
              <w:t>. Nabídka míst zůstává vysoká i</w:t>
            </w:r>
            <w:r w:rsidRPr="005E4DD8">
              <w:rPr>
                <w:rFonts w:cs="Arial"/>
                <w:color w:val="0D0D0D" w:themeColor="text1" w:themeTint="F2"/>
                <w:spacing w:val="-4"/>
              </w:rPr>
              <w:t> </w:t>
            </w:r>
            <w:r w:rsidRPr="005E4DD8">
              <w:rPr>
                <w:spacing w:val="-4"/>
              </w:rPr>
              <w:t>v mezinárodním pohledu. Dle míry volných pracovních míst (v 1. čtvrtletí 6,4)</w:t>
            </w:r>
            <w:r w:rsidRPr="005E4DD8">
              <w:rPr>
                <w:rStyle w:val="Znakapoznpodarou"/>
                <w:color w:val="0D0D0D" w:themeColor="text1" w:themeTint="F2"/>
                <w:spacing w:val="-4"/>
              </w:rPr>
              <w:footnoteReference w:id="40"/>
            </w:r>
            <w:r w:rsidRPr="005E4DD8">
              <w:rPr>
                <w:spacing w:val="-4"/>
              </w:rPr>
              <w:t xml:space="preserve"> dosahovalo Česko v rámci států EU čelných pozic.</w:t>
            </w:r>
            <w:r>
              <w:rPr>
                <w:spacing w:val="-4"/>
              </w:rPr>
              <w:t xml:space="preserve"> Nejvyšší byla v administrativních a podpůrných činnostech (30), nejnižší ve vzdělávání a energetice (mírně pod 1). Meziročně silně rostla ve stavebnictví (z 10,6 na 15,7), snižovala se naopak jen v peněžnictví a pojišťovnictví (z 1,5 na 1,1).</w:t>
            </w:r>
          </w:p>
        </w:tc>
      </w:tr>
      <w:tr w:rsidR="00003849" w14:paraId="74AF293E" w14:textId="77777777" w:rsidTr="000A3D9E">
        <w:trPr>
          <w:trHeight w:val="98"/>
        </w:trPr>
        <w:tc>
          <w:tcPr>
            <w:tcW w:w="1804" w:type="dxa"/>
            <w:gridSpan w:val="2"/>
            <w:vMerge w:val="restart"/>
            <w:shd w:val="clear" w:color="auto" w:fill="auto"/>
            <w:tcMar>
              <w:left w:w="0" w:type="dxa"/>
            </w:tcMar>
          </w:tcPr>
          <w:p w14:paraId="030E7B4B" w14:textId="77777777" w:rsidR="00003849" w:rsidRDefault="00003849" w:rsidP="000A3D9E">
            <w:pPr>
              <w:pStyle w:val="Marginlie"/>
            </w:pPr>
          </w:p>
        </w:tc>
        <w:tc>
          <w:tcPr>
            <w:tcW w:w="232" w:type="dxa"/>
            <w:gridSpan w:val="2"/>
            <w:vMerge w:val="restart"/>
            <w:shd w:val="clear" w:color="auto" w:fill="auto"/>
            <w:tcMar>
              <w:left w:w="0" w:type="dxa"/>
            </w:tcMar>
          </w:tcPr>
          <w:p w14:paraId="5D9CA93C" w14:textId="77777777" w:rsidR="00003849" w:rsidRDefault="00003849" w:rsidP="000A3D9E">
            <w:pPr>
              <w:pStyle w:val="Textpoznpodarou"/>
              <w:jc w:val="both"/>
              <w:rPr>
                <w:spacing w:val="-4"/>
              </w:rPr>
            </w:pPr>
          </w:p>
        </w:tc>
        <w:tc>
          <w:tcPr>
            <w:tcW w:w="7618" w:type="dxa"/>
            <w:shd w:val="clear" w:color="auto" w:fill="auto"/>
            <w:tcMar>
              <w:left w:w="0" w:type="dxa"/>
            </w:tcMar>
          </w:tcPr>
          <w:p w14:paraId="5E155D75" w14:textId="77777777" w:rsidR="00003849" w:rsidRDefault="001208E3" w:rsidP="000A3D9E">
            <w:pPr>
              <w:spacing w:after="40" w:line="240" w:lineRule="auto"/>
              <w:rPr>
                <w:spacing w:val="-2"/>
              </w:rPr>
            </w:pPr>
            <w:r>
              <w:rPr>
                <w:b/>
                <w:spacing w:val="-3"/>
              </w:rPr>
              <w:t>Graf č. 15</w:t>
            </w:r>
            <w:r w:rsidR="00003849" w:rsidRPr="00990B08">
              <w:rPr>
                <w:b/>
                <w:spacing w:val="-3"/>
              </w:rPr>
              <w:t xml:space="preserve">  Průměrná mzda, mzdový medián a produktivita práce*</w:t>
            </w:r>
            <w:r w:rsidR="00003849">
              <w:rPr>
                <w:spacing w:val="-3"/>
              </w:rPr>
              <w:t xml:space="preserve"> </w:t>
            </w:r>
            <w:r w:rsidR="00003849" w:rsidRPr="00990B08">
              <w:rPr>
                <w:spacing w:val="-3"/>
              </w:rPr>
              <w:t>(meziročně, v %)</w:t>
            </w:r>
          </w:p>
        </w:tc>
      </w:tr>
      <w:tr w:rsidR="00003849" w14:paraId="57BF3EDC" w14:textId="77777777" w:rsidTr="00374263">
        <w:tblPrEx>
          <w:tblCellMar>
            <w:left w:w="70" w:type="dxa"/>
            <w:right w:w="70" w:type="dxa"/>
          </w:tblCellMar>
        </w:tblPrEx>
        <w:trPr>
          <w:trHeight w:val="96"/>
        </w:trPr>
        <w:tc>
          <w:tcPr>
            <w:tcW w:w="1804" w:type="dxa"/>
            <w:gridSpan w:val="2"/>
            <w:vMerge/>
            <w:shd w:val="clear" w:color="auto" w:fill="auto"/>
          </w:tcPr>
          <w:p w14:paraId="7ECE2442" w14:textId="77777777" w:rsidR="00003849" w:rsidRDefault="00003849" w:rsidP="000A3D9E">
            <w:pPr>
              <w:pStyle w:val="Marginlie"/>
            </w:pPr>
          </w:p>
        </w:tc>
        <w:tc>
          <w:tcPr>
            <w:tcW w:w="232" w:type="dxa"/>
            <w:gridSpan w:val="2"/>
            <w:vMerge/>
            <w:shd w:val="clear" w:color="auto" w:fill="auto"/>
          </w:tcPr>
          <w:p w14:paraId="4551F82E" w14:textId="77777777" w:rsidR="00003849" w:rsidRDefault="00003849" w:rsidP="000A3D9E">
            <w:pPr>
              <w:pStyle w:val="Textpoznpodarou"/>
              <w:jc w:val="both"/>
              <w:rPr>
                <w:spacing w:val="-4"/>
              </w:rPr>
            </w:pPr>
          </w:p>
        </w:tc>
        <w:tc>
          <w:tcPr>
            <w:tcW w:w="7618" w:type="dxa"/>
            <w:shd w:val="clear" w:color="auto" w:fill="auto"/>
          </w:tcPr>
          <w:p w14:paraId="74AACE74" w14:textId="694CFFD5" w:rsidR="00003849" w:rsidRDefault="00374263" w:rsidP="000A3D9E">
            <w:pPr>
              <w:spacing w:after="40" w:line="240" w:lineRule="auto"/>
              <w:rPr>
                <w:spacing w:val="-2"/>
              </w:rPr>
            </w:pPr>
            <w:r>
              <w:rPr>
                <w:noProof/>
              </w:rPr>
              <w:drawing>
                <wp:inline distT="0" distB="0" distL="0" distR="0" wp14:anchorId="5C902FA1" wp14:editId="571DB61A">
                  <wp:extent cx="4737600" cy="3528000"/>
                  <wp:effectExtent l="0" t="0" r="635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003849" w14:paraId="715E880C" w14:textId="77777777" w:rsidTr="000A3D9E">
        <w:trPr>
          <w:trHeight w:val="96"/>
        </w:trPr>
        <w:tc>
          <w:tcPr>
            <w:tcW w:w="1804" w:type="dxa"/>
            <w:gridSpan w:val="2"/>
            <w:vMerge/>
            <w:shd w:val="clear" w:color="auto" w:fill="auto"/>
            <w:tcMar>
              <w:left w:w="0" w:type="dxa"/>
            </w:tcMar>
          </w:tcPr>
          <w:p w14:paraId="5EDB6E8A" w14:textId="77777777" w:rsidR="00003849" w:rsidRDefault="00003849" w:rsidP="000A3D9E">
            <w:pPr>
              <w:pStyle w:val="Marginlie"/>
            </w:pPr>
          </w:p>
        </w:tc>
        <w:tc>
          <w:tcPr>
            <w:tcW w:w="232" w:type="dxa"/>
            <w:gridSpan w:val="2"/>
            <w:vMerge/>
            <w:shd w:val="clear" w:color="auto" w:fill="auto"/>
            <w:tcMar>
              <w:left w:w="0" w:type="dxa"/>
            </w:tcMar>
          </w:tcPr>
          <w:p w14:paraId="232C7E33" w14:textId="77777777" w:rsidR="00003849" w:rsidRDefault="00003849" w:rsidP="000A3D9E">
            <w:pPr>
              <w:pStyle w:val="Textpoznpodarou"/>
              <w:jc w:val="both"/>
              <w:rPr>
                <w:spacing w:val="-4"/>
              </w:rPr>
            </w:pPr>
          </w:p>
        </w:tc>
        <w:tc>
          <w:tcPr>
            <w:tcW w:w="7618" w:type="dxa"/>
            <w:shd w:val="clear" w:color="auto" w:fill="auto"/>
            <w:tcMar>
              <w:left w:w="0" w:type="dxa"/>
            </w:tcMar>
          </w:tcPr>
          <w:p w14:paraId="7CF22ABD" w14:textId="59DE5B41" w:rsidR="00003849" w:rsidRDefault="00003849" w:rsidP="000A3D9E">
            <w:pPr>
              <w:spacing w:after="200"/>
              <w:rPr>
                <w:spacing w:val="-2"/>
              </w:rPr>
            </w:pPr>
            <w:r w:rsidRPr="00990B08">
              <w:rPr>
                <w:spacing w:val="-3"/>
                <w:sz w:val="14"/>
                <w:szCs w:val="14"/>
              </w:rPr>
              <w:t>*Podíl sezónně neočištěného HDP a zaměstnanosti (v pojetí národ</w:t>
            </w:r>
            <w:r>
              <w:rPr>
                <w:spacing w:val="-3"/>
                <w:sz w:val="14"/>
                <w:szCs w:val="14"/>
              </w:rPr>
              <w:t xml:space="preserve">ních účtů).                                </w:t>
            </w:r>
            <w:r w:rsidRPr="00990B08">
              <w:rPr>
                <w:spacing w:val="-3"/>
                <w:sz w:val="14"/>
                <w:szCs w:val="14"/>
              </w:rPr>
              <w:t xml:space="preserve">      Zdroj:</w:t>
            </w:r>
            <w:r w:rsidRPr="00862F17">
              <w:rPr>
                <w:rFonts w:cs="Arial"/>
                <w:sz w:val="14"/>
                <w:szCs w:val="14"/>
              </w:rPr>
              <w:t xml:space="preserve"> ČSÚ (národní účty</w:t>
            </w:r>
            <w:r>
              <w:rPr>
                <w:rFonts w:cs="Arial"/>
                <w:sz w:val="14"/>
                <w:szCs w:val="14"/>
              </w:rPr>
              <w:t>)</w:t>
            </w:r>
          </w:p>
        </w:tc>
      </w:tr>
      <w:tr w:rsidR="00003849" w:rsidRPr="00D11525" w14:paraId="52F02C31" w14:textId="77777777" w:rsidTr="000A3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790" w:type="dxa"/>
            <w:tcBorders>
              <w:top w:val="nil"/>
              <w:left w:val="nil"/>
              <w:bottom w:val="nil"/>
              <w:right w:val="nil"/>
            </w:tcBorders>
            <w:shd w:val="clear" w:color="auto" w:fill="auto"/>
            <w:tcMar>
              <w:left w:w="0" w:type="dxa"/>
            </w:tcMar>
          </w:tcPr>
          <w:p w14:paraId="52962A12" w14:textId="77777777" w:rsidR="00003849" w:rsidRDefault="00003849" w:rsidP="000A3D9E">
            <w:pPr>
              <w:pStyle w:val="Marginlie"/>
            </w:pPr>
            <w:r>
              <w:t xml:space="preserve">Náznaky </w:t>
            </w:r>
            <w:r w:rsidR="0023288F">
              <w:t>oslabení růstu</w:t>
            </w:r>
            <w:r>
              <w:t xml:space="preserve"> průměrných mezd z konce loňského roku se zatím nepotvrdily.</w:t>
            </w:r>
          </w:p>
          <w:p w14:paraId="65D8DC2A" w14:textId="77777777" w:rsidR="00003849" w:rsidRDefault="00003849" w:rsidP="000A3D9E">
            <w:pPr>
              <w:pStyle w:val="Marginlie"/>
            </w:pPr>
          </w:p>
          <w:p w14:paraId="4B83191D" w14:textId="77777777" w:rsidR="00003849" w:rsidRDefault="00003849" w:rsidP="000A3D9E">
            <w:pPr>
              <w:pStyle w:val="Marginlie"/>
            </w:pPr>
          </w:p>
          <w:p w14:paraId="7F674FEA" w14:textId="77777777" w:rsidR="00003849" w:rsidRDefault="00003849" w:rsidP="000A3D9E">
            <w:pPr>
              <w:pStyle w:val="Marginlie"/>
            </w:pPr>
          </w:p>
          <w:p w14:paraId="3971B0CE" w14:textId="77777777" w:rsidR="00003849" w:rsidRDefault="00003849" w:rsidP="000A3D9E">
            <w:pPr>
              <w:pStyle w:val="Marginlie"/>
            </w:pPr>
          </w:p>
          <w:p w14:paraId="59989EC8" w14:textId="77777777" w:rsidR="00003849" w:rsidRDefault="00003849" w:rsidP="000A3D9E">
            <w:pPr>
              <w:pStyle w:val="Marginlie"/>
            </w:pPr>
          </w:p>
          <w:p w14:paraId="4F105797" w14:textId="77777777" w:rsidR="00003849" w:rsidRDefault="00003849" w:rsidP="000A3D9E">
            <w:pPr>
              <w:pStyle w:val="Marginlie"/>
            </w:pPr>
          </w:p>
          <w:p w14:paraId="40FD1C23" w14:textId="77777777" w:rsidR="00003849" w:rsidRDefault="00003849" w:rsidP="000A3D9E">
            <w:pPr>
              <w:pStyle w:val="Marginlie"/>
            </w:pPr>
            <w:r>
              <w:t>Více než 8% mzdový růst ve finančním sektoru byl tažen výplatou mimořádných odměn. Dařilo se i obchodu, jenž těžil z pokračujících pozitivních nálad spotřebitelů.</w:t>
            </w:r>
          </w:p>
          <w:p w14:paraId="492D5437" w14:textId="77777777" w:rsidR="00003849" w:rsidRDefault="00003849" w:rsidP="000A3D9E">
            <w:pPr>
              <w:pStyle w:val="Marginlie"/>
            </w:pPr>
          </w:p>
          <w:p w14:paraId="6B04923A" w14:textId="77777777" w:rsidR="00003849" w:rsidRDefault="00003849" w:rsidP="000A3D9E">
            <w:pPr>
              <w:pStyle w:val="Marginlie"/>
            </w:pPr>
          </w:p>
          <w:p w14:paraId="296AA984" w14:textId="77777777" w:rsidR="00003849" w:rsidRDefault="00003849" w:rsidP="000A3D9E">
            <w:pPr>
              <w:pStyle w:val="Marginlie"/>
            </w:pPr>
          </w:p>
          <w:p w14:paraId="7BF5FCE6" w14:textId="77777777" w:rsidR="00003849" w:rsidRDefault="00003849" w:rsidP="000A3D9E">
            <w:pPr>
              <w:pStyle w:val="Marginlie"/>
            </w:pPr>
          </w:p>
          <w:p w14:paraId="26F3FC7E" w14:textId="77777777" w:rsidR="00003849" w:rsidRDefault="00003849" w:rsidP="000A3D9E">
            <w:pPr>
              <w:pStyle w:val="Marginlie"/>
            </w:pPr>
          </w:p>
          <w:p w14:paraId="792A27D7" w14:textId="5A3567EB" w:rsidR="00003849" w:rsidRDefault="00003849" w:rsidP="000A3D9E">
            <w:pPr>
              <w:pStyle w:val="Marginlie"/>
              <w:rPr>
                <w:spacing w:val="-3"/>
              </w:rPr>
            </w:pPr>
            <w:r w:rsidRPr="00C502A3">
              <w:rPr>
                <w:spacing w:val="-3"/>
              </w:rPr>
              <w:t xml:space="preserve">Podprůměrný mzdový růst při současném nadprůměrném růstu počtu </w:t>
            </w:r>
            <w:r>
              <w:rPr>
                <w:spacing w:val="-3"/>
              </w:rPr>
              <w:t>zaměstnanců přetrvává v Praze již od konce poslední recese</w:t>
            </w:r>
            <w:r w:rsidR="007F2353">
              <w:rPr>
                <w:spacing w:val="-3"/>
              </w:rPr>
              <w:t>.</w:t>
            </w:r>
          </w:p>
          <w:p w14:paraId="61475A8A" w14:textId="77777777" w:rsidR="00003849" w:rsidRDefault="00003849" w:rsidP="000A3D9E">
            <w:pPr>
              <w:pStyle w:val="Marginlie"/>
              <w:rPr>
                <w:spacing w:val="-3"/>
              </w:rPr>
            </w:pPr>
          </w:p>
          <w:p w14:paraId="09694EA8" w14:textId="77777777" w:rsidR="00003849" w:rsidRDefault="00003849" w:rsidP="000A3D9E">
            <w:pPr>
              <w:pStyle w:val="Marginlie"/>
              <w:rPr>
                <w:spacing w:val="-3"/>
              </w:rPr>
            </w:pPr>
          </w:p>
          <w:p w14:paraId="27FB3370" w14:textId="77777777" w:rsidR="00003849" w:rsidRDefault="00003849" w:rsidP="000A3D9E">
            <w:pPr>
              <w:pStyle w:val="Marginlie"/>
              <w:rPr>
                <w:spacing w:val="-3"/>
              </w:rPr>
            </w:pPr>
          </w:p>
          <w:p w14:paraId="6AF11033" w14:textId="77777777" w:rsidR="00003849" w:rsidRDefault="00003849" w:rsidP="000A3D9E">
            <w:pPr>
              <w:pStyle w:val="Marginlie"/>
              <w:rPr>
                <w:spacing w:val="-3"/>
              </w:rPr>
            </w:pPr>
          </w:p>
          <w:p w14:paraId="3D075D6D" w14:textId="77777777" w:rsidR="00003849" w:rsidRDefault="00003849" w:rsidP="000A3D9E">
            <w:pPr>
              <w:pStyle w:val="Marginlie"/>
            </w:pPr>
            <w:r>
              <w:rPr>
                <w:spacing w:val="-3"/>
              </w:rPr>
              <w:t>Tempo růstu kupní síly mezd mírně zvolnilo, přesto zůstalo vysoké.</w:t>
            </w:r>
          </w:p>
        </w:tc>
        <w:tc>
          <w:tcPr>
            <w:tcW w:w="216" w:type="dxa"/>
            <w:gridSpan w:val="2"/>
            <w:tcBorders>
              <w:top w:val="nil"/>
              <w:left w:val="nil"/>
              <w:bottom w:val="nil"/>
              <w:right w:val="nil"/>
            </w:tcBorders>
            <w:shd w:val="clear" w:color="auto" w:fill="auto"/>
            <w:tcMar>
              <w:left w:w="0" w:type="dxa"/>
            </w:tcMar>
          </w:tcPr>
          <w:p w14:paraId="5E9803D3" w14:textId="77777777" w:rsidR="00003849" w:rsidRDefault="00003849" w:rsidP="000A3D9E">
            <w:pPr>
              <w:pStyle w:val="Textpoznpodarou"/>
              <w:jc w:val="both"/>
              <w:rPr>
                <w:spacing w:val="-4"/>
              </w:rPr>
            </w:pPr>
          </w:p>
        </w:tc>
        <w:tc>
          <w:tcPr>
            <w:tcW w:w="7648" w:type="dxa"/>
            <w:gridSpan w:val="2"/>
            <w:tcBorders>
              <w:top w:val="nil"/>
              <w:left w:val="nil"/>
              <w:bottom w:val="nil"/>
              <w:right w:val="nil"/>
            </w:tcBorders>
            <w:shd w:val="clear" w:color="auto" w:fill="auto"/>
            <w:tcMar>
              <w:left w:w="0" w:type="dxa"/>
            </w:tcMar>
          </w:tcPr>
          <w:p w14:paraId="08D79EB5" w14:textId="1BA0D131" w:rsidR="00003849" w:rsidRPr="00D11525" w:rsidRDefault="00003849" w:rsidP="000A3D9E">
            <w:pPr>
              <w:spacing w:after="0"/>
              <w:rPr>
                <w:rFonts w:cs="Arial"/>
                <w:color w:val="0D0D0D" w:themeColor="text1" w:themeTint="F2"/>
                <w:spacing w:val="-4"/>
              </w:rPr>
            </w:pPr>
            <w:r w:rsidRPr="00A53197">
              <w:rPr>
                <w:spacing w:val="-4"/>
              </w:rPr>
              <w:t xml:space="preserve">V 1. čtvrtletí 2019 </w:t>
            </w:r>
            <w:r>
              <w:rPr>
                <w:spacing w:val="-4"/>
              </w:rPr>
              <w:t xml:space="preserve">činila </w:t>
            </w:r>
            <w:r w:rsidRPr="00A53197">
              <w:rPr>
                <w:rFonts w:cs="Arial"/>
                <w:spacing w:val="-4"/>
                <w:szCs w:val="20"/>
              </w:rPr>
              <w:t>(</w:t>
            </w:r>
            <w:r w:rsidRPr="00A53197">
              <w:rPr>
                <w:rFonts w:cs="Arial"/>
                <w:color w:val="0D0D0D" w:themeColor="text1" w:themeTint="F2"/>
                <w:spacing w:val="-4"/>
              </w:rPr>
              <w:t xml:space="preserve">dle podnikových statistik) průměrná hrubá nominální </w:t>
            </w:r>
            <w:r>
              <w:rPr>
                <w:rFonts w:cs="Arial"/>
                <w:color w:val="0D0D0D" w:themeColor="text1" w:themeTint="F2"/>
                <w:spacing w:val="-4"/>
              </w:rPr>
              <w:t xml:space="preserve">měsíční </w:t>
            </w:r>
            <w:r w:rsidRPr="00A53197">
              <w:rPr>
                <w:rFonts w:cs="Arial"/>
                <w:color w:val="0D0D0D" w:themeColor="text1" w:themeTint="F2"/>
                <w:spacing w:val="-4"/>
              </w:rPr>
              <w:t>mzda zaměstnance v ekonomice</w:t>
            </w:r>
            <w:r>
              <w:rPr>
                <w:rFonts w:cs="Arial"/>
                <w:color w:val="0D0D0D" w:themeColor="text1" w:themeTint="F2"/>
                <w:spacing w:val="-4"/>
              </w:rPr>
              <w:t xml:space="preserve"> 32,5 tis</w:t>
            </w:r>
            <w:r w:rsidR="004C589C">
              <w:rPr>
                <w:rFonts w:cs="Arial"/>
                <w:color w:val="0D0D0D" w:themeColor="text1" w:themeTint="F2"/>
                <w:spacing w:val="-4"/>
              </w:rPr>
              <w:t xml:space="preserve">. </w:t>
            </w:r>
            <w:r>
              <w:rPr>
                <w:rFonts w:cs="Arial"/>
                <w:color w:val="0D0D0D" w:themeColor="text1" w:themeTint="F2"/>
                <w:spacing w:val="-4"/>
              </w:rPr>
              <w:t xml:space="preserve">korun a meziročně </w:t>
            </w:r>
            <w:r w:rsidRPr="00A53197">
              <w:rPr>
                <w:rFonts w:cs="Arial"/>
                <w:spacing w:val="-4"/>
                <w:szCs w:val="20"/>
              </w:rPr>
              <w:t>vzrostla</w:t>
            </w:r>
            <w:r w:rsidRPr="00A53197">
              <w:rPr>
                <w:rFonts w:cs="Arial"/>
                <w:color w:val="0D0D0D" w:themeColor="text1" w:themeTint="F2"/>
                <w:spacing w:val="-4"/>
              </w:rPr>
              <w:t xml:space="preserve"> o 7,4</w:t>
            </w:r>
            <w:r w:rsidR="00870ECD">
              <w:rPr>
                <w:rFonts w:cs="Arial"/>
                <w:color w:val="0D0D0D" w:themeColor="text1" w:themeTint="F2"/>
                <w:spacing w:val="-4"/>
              </w:rPr>
              <w:t> %</w:t>
            </w:r>
            <w:r>
              <w:rPr>
                <w:rFonts w:cs="Arial"/>
                <w:color w:val="0D0D0D" w:themeColor="text1" w:themeTint="F2"/>
                <w:spacing w:val="-4"/>
              </w:rPr>
              <w:t xml:space="preserve"> (podobně jako</w:t>
            </w:r>
            <w:r w:rsidRPr="00A53197">
              <w:rPr>
                <w:rFonts w:cs="Arial"/>
                <w:color w:val="0D0D0D" w:themeColor="text1" w:themeTint="F2"/>
                <w:spacing w:val="-4"/>
              </w:rPr>
              <w:t xml:space="preserve"> za celý lo</w:t>
            </w:r>
            <w:r>
              <w:rPr>
                <w:rFonts w:cs="Arial"/>
                <w:color w:val="0D0D0D" w:themeColor="text1" w:themeTint="F2"/>
                <w:spacing w:val="-4"/>
              </w:rPr>
              <w:t>ňský rok:</w:t>
            </w:r>
            <w:r w:rsidR="004C589C">
              <w:rPr>
                <w:rFonts w:cs="Arial"/>
                <w:color w:val="0D0D0D" w:themeColor="text1" w:themeTint="F2"/>
                <w:spacing w:val="-4"/>
              </w:rPr>
              <w:t xml:space="preserve"> </w:t>
            </w:r>
            <w:r w:rsidRPr="00A53197">
              <w:rPr>
                <w:rFonts w:cs="Arial"/>
                <w:color w:val="0D0D0D" w:themeColor="text1" w:themeTint="F2"/>
                <w:spacing w:val="-4"/>
              </w:rPr>
              <w:t>7,5</w:t>
            </w:r>
            <w:r w:rsidR="00870ECD">
              <w:rPr>
                <w:rFonts w:cs="Arial"/>
                <w:color w:val="0D0D0D" w:themeColor="text1" w:themeTint="F2"/>
                <w:spacing w:val="-4"/>
              </w:rPr>
              <w:t> %</w:t>
            </w:r>
            <w:r w:rsidRPr="00A53197">
              <w:rPr>
                <w:rFonts w:cs="Arial"/>
                <w:color w:val="0D0D0D" w:themeColor="text1" w:themeTint="F2"/>
                <w:spacing w:val="-4"/>
              </w:rPr>
              <w:t>). Mezič</w:t>
            </w:r>
            <w:r>
              <w:rPr>
                <w:rFonts w:cs="Arial"/>
                <w:color w:val="0D0D0D" w:themeColor="text1" w:themeTint="F2"/>
                <w:spacing w:val="-4"/>
              </w:rPr>
              <w:t>t</w:t>
            </w:r>
            <w:r w:rsidRPr="00A53197">
              <w:rPr>
                <w:rFonts w:cs="Arial"/>
                <w:color w:val="0D0D0D" w:themeColor="text1" w:themeTint="F2"/>
                <w:spacing w:val="-4"/>
              </w:rPr>
              <w:t>vrtletní růst se letos opět přiblížil 2</w:t>
            </w:r>
            <w:r w:rsidR="00870ECD">
              <w:rPr>
                <w:rFonts w:cs="Arial"/>
                <w:color w:val="0D0D0D" w:themeColor="text1" w:themeTint="F2"/>
                <w:spacing w:val="-4"/>
              </w:rPr>
              <w:t> %</w:t>
            </w:r>
            <w:r w:rsidRPr="00A53197">
              <w:rPr>
                <w:rFonts w:cs="Arial"/>
                <w:color w:val="0D0D0D" w:themeColor="text1" w:themeTint="F2"/>
                <w:spacing w:val="-4"/>
              </w:rPr>
              <w:t xml:space="preserve"> (obdobná tempa vykazoval i po většinu loňského roku, pouze v jeho závěru tempo mírně kleslo na 1,5</w:t>
            </w:r>
            <w:r w:rsidR="00870ECD">
              <w:rPr>
                <w:rFonts w:cs="Arial"/>
                <w:color w:val="0D0D0D" w:themeColor="text1" w:themeTint="F2"/>
                <w:spacing w:val="-4"/>
              </w:rPr>
              <w:t> %</w:t>
            </w:r>
            <w:r w:rsidRPr="00A53197">
              <w:rPr>
                <w:rFonts w:cs="Arial"/>
                <w:color w:val="0D0D0D" w:themeColor="text1" w:themeTint="F2"/>
                <w:spacing w:val="-4"/>
              </w:rPr>
              <w:t>)</w:t>
            </w:r>
            <w:r w:rsidR="0029509B">
              <w:rPr>
                <w:rFonts w:cs="Arial"/>
                <w:color w:val="0D0D0D" w:themeColor="text1" w:themeTint="F2"/>
                <w:spacing w:val="-4"/>
              </w:rPr>
              <w:t>.</w:t>
            </w:r>
            <w:r w:rsidRPr="00A53197">
              <w:rPr>
                <w:rFonts w:cs="Arial"/>
                <w:color w:val="0D0D0D" w:themeColor="text1" w:themeTint="F2"/>
                <w:spacing w:val="-4"/>
              </w:rPr>
              <w:t xml:space="preserve"> Náznaky zvolňování růstu, indikované údaji v konci roku 2018, se tak zatím příliš nepotvrdily. To může souviset i </w:t>
            </w:r>
            <w:r w:rsidR="00D60E3C">
              <w:rPr>
                <w:rFonts w:cs="Arial"/>
                <w:color w:val="0D0D0D" w:themeColor="text1" w:themeTint="F2"/>
                <w:spacing w:val="-4"/>
              </w:rPr>
              <w:t xml:space="preserve">se </w:t>
            </w:r>
            <w:r w:rsidRPr="00A53197">
              <w:rPr>
                <w:rFonts w:cs="Arial"/>
                <w:color w:val="0D0D0D" w:themeColor="text1" w:themeTint="F2"/>
                <w:spacing w:val="-4"/>
              </w:rPr>
              <w:t>silným letošním růstem průměrných mezd ve finančním sektoru (+8,3 % meziročn</w:t>
            </w:r>
            <w:r w:rsidR="00D60E3C">
              <w:rPr>
                <w:rFonts w:cs="Arial"/>
                <w:color w:val="0D0D0D" w:themeColor="text1" w:themeTint="F2"/>
                <w:spacing w:val="-4"/>
              </w:rPr>
              <w:t>ě) ovlivněným mimořádnými odměnami</w:t>
            </w:r>
            <w:r w:rsidRPr="00A53197">
              <w:rPr>
                <w:rFonts w:cs="Arial"/>
                <w:color w:val="0D0D0D" w:themeColor="text1" w:themeTint="F2"/>
                <w:spacing w:val="-4"/>
              </w:rPr>
              <w:t xml:space="preserve"> vázanými na velmi dobré hospodářské výsledky roku 2018. Roli patrně sehrálo i „posunutí“ navýšení platových tarifů ve školství až na počátek roku 2019. Ve zpracovatelském průmyslu ale růst slábl (na 6,4</w:t>
            </w:r>
            <w:r w:rsidR="00870ECD">
              <w:rPr>
                <w:rFonts w:cs="Arial"/>
                <w:color w:val="0D0D0D" w:themeColor="text1" w:themeTint="F2"/>
                <w:spacing w:val="-4"/>
              </w:rPr>
              <w:t> %</w:t>
            </w:r>
            <w:r w:rsidRPr="00A53197">
              <w:rPr>
                <w:rFonts w:cs="Arial"/>
                <w:color w:val="0D0D0D" w:themeColor="text1" w:themeTint="F2"/>
                <w:spacing w:val="-4"/>
              </w:rPr>
              <w:t>, za celý loňský rok 7,0</w:t>
            </w:r>
            <w:r w:rsidR="00870ECD">
              <w:rPr>
                <w:rFonts w:cs="Arial"/>
                <w:color w:val="0D0D0D" w:themeColor="text1" w:themeTint="F2"/>
                <w:spacing w:val="-4"/>
              </w:rPr>
              <w:t> %</w:t>
            </w:r>
            <w:r w:rsidRPr="00A53197">
              <w:rPr>
                <w:rFonts w:cs="Arial"/>
                <w:color w:val="0D0D0D" w:themeColor="text1" w:themeTint="F2"/>
                <w:spacing w:val="-4"/>
              </w:rPr>
              <w:t xml:space="preserve">). </w:t>
            </w:r>
            <w:r>
              <w:rPr>
                <w:rFonts w:cs="Arial"/>
                <w:color w:val="0D0D0D" w:themeColor="text1" w:themeTint="F2"/>
                <w:spacing w:val="-4"/>
              </w:rPr>
              <w:t>Opačně</w:t>
            </w:r>
            <w:r w:rsidRPr="00A53197">
              <w:rPr>
                <w:rFonts w:cs="Arial"/>
                <w:color w:val="0D0D0D" w:themeColor="text1" w:themeTint="F2"/>
                <w:spacing w:val="-4"/>
              </w:rPr>
              <w:t xml:space="preserve"> tomu bylo v jiném váhově významném odvětví –</w:t>
            </w:r>
            <w:r w:rsidR="0029509B">
              <w:rPr>
                <w:rFonts w:cs="Arial"/>
                <w:color w:val="0D0D0D" w:themeColor="text1" w:themeTint="F2"/>
                <w:spacing w:val="-4"/>
              </w:rPr>
              <w:t> </w:t>
            </w:r>
            <w:r w:rsidRPr="00A53197">
              <w:rPr>
                <w:rFonts w:cs="Arial"/>
                <w:color w:val="0D0D0D" w:themeColor="text1" w:themeTint="F2"/>
                <w:spacing w:val="-4"/>
              </w:rPr>
              <w:t>obchodu (8,0 </w:t>
            </w:r>
            <w:r>
              <w:rPr>
                <w:rFonts w:cs="Arial"/>
                <w:color w:val="0D0D0D" w:themeColor="text1" w:themeTint="F2"/>
                <w:spacing w:val="-4"/>
              </w:rPr>
              <w:t xml:space="preserve">% oproti </w:t>
            </w:r>
            <w:r w:rsidRPr="00A53197">
              <w:rPr>
                <w:rFonts w:cs="Arial"/>
                <w:color w:val="0D0D0D" w:themeColor="text1" w:themeTint="F2"/>
                <w:spacing w:val="-4"/>
              </w:rPr>
              <w:t>6,8</w:t>
            </w:r>
            <w:r w:rsidR="00870ECD">
              <w:rPr>
                <w:rFonts w:cs="Arial"/>
                <w:color w:val="0D0D0D" w:themeColor="text1" w:themeTint="F2"/>
                <w:spacing w:val="-4"/>
              </w:rPr>
              <w:t> %</w:t>
            </w:r>
            <w:r w:rsidRPr="00A53197">
              <w:rPr>
                <w:rFonts w:cs="Arial"/>
                <w:color w:val="0D0D0D" w:themeColor="text1" w:themeTint="F2"/>
                <w:spacing w:val="-4"/>
              </w:rPr>
              <w:t xml:space="preserve">). </w:t>
            </w:r>
            <w:r>
              <w:rPr>
                <w:rFonts w:cs="Arial"/>
                <w:color w:val="0D0D0D" w:themeColor="text1" w:themeTint="F2"/>
                <w:spacing w:val="-4"/>
              </w:rPr>
              <w:t>N</w:t>
            </w:r>
            <w:r w:rsidRPr="00A53197">
              <w:rPr>
                <w:rFonts w:cs="Arial"/>
                <w:color w:val="0D0D0D" w:themeColor="text1" w:themeTint="F2"/>
                <w:spacing w:val="-4"/>
              </w:rPr>
              <w:t xml:space="preserve">ejméně rostly v 1. čtvrtletí mzdy v informačních </w:t>
            </w:r>
            <w:r>
              <w:rPr>
                <w:rFonts w:cs="Arial"/>
                <w:color w:val="0D0D0D" w:themeColor="text1" w:themeTint="F2"/>
                <w:spacing w:val="-4"/>
              </w:rPr>
              <w:t>a</w:t>
            </w:r>
            <w:r w:rsidRPr="00A53197">
              <w:rPr>
                <w:rFonts w:cs="Arial"/>
                <w:color w:val="0D0D0D" w:themeColor="text1" w:themeTint="F2"/>
                <w:spacing w:val="-4"/>
              </w:rPr>
              <w:t> ko</w:t>
            </w:r>
            <w:r>
              <w:rPr>
                <w:rFonts w:cs="Arial"/>
                <w:color w:val="0D0D0D" w:themeColor="text1" w:themeTint="F2"/>
                <w:spacing w:val="-4"/>
              </w:rPr>
              <w:t>munikačních činnostech (4,3</w:t>
            </w:r>
            <w:r w:rsidR="00870ECD">
              <w:rPr>
                <w:rFonts w:cs="Arial"/>
                <w:color w:val="0D0D0D" w:themeColor="text1" w:themeTint="F2"/>
                <w:spacing w:val="-4"/>
              </w:rPr>
              <w:t> %</w:t>
            </w:r>
            <w:r>
              <w:rPr>
                <w:rFonts w:cs="Arial"/>
                <w:color w:val="0D0D0D" w:themeColor="text1" w:themeTint="F2"/>
                <w:spacing w:val="-4"/>
              </w:rPr>
              <w:t>), absolutně to ale bylo téměř dvojnásobně (2</w:t>
            </w:r>
            <w:r w:rsidR="0029509B">
              <w:rPr>
                <w:rFonts w:cs="Arial"/>
                <w:color w:val="0D0D0D" w:themeColor="text1" w:themeTint="F2"/>
                <w:spacing w:val="-4"/>
              </w:rPr>
              <w:t> </w:t>
            </w:r>
            <w:r>
              <w:rPr>
                <w:rFonts w:cs="Arial"/>
                <w:color w:val="0D0D0D" w:themeColor="text1" w:themeTint="F2"/>
                <w:spacing w:val="-4"/>
              </w:rPr>
              <w:t>471</w:t>
            </w:r>
            <w:r w:rsidR="0029509B">
              <w:rPr>
                <w:rFonts w:cs="Arial"/>
                <w:color w:val="0D0D0D" w:themeColor="text1" w:themeTint="F2"/>
                <w:spacing w:val="-4"/>
              </w:rPr>
              <w:t> </w:t>
            </w:r>
            <w:r>
              <w:rPr>
                <w:rFonts w:cs="Arial"/>
                <w:color w:val="0D0D0D" w:themeColor="text1" w:themeTint="F2"/>
                <w:spacing w:val="-4"/>
              </w:rPr>
              <w:t>korun) oproti průměru za celo</w:t>
            </w:r>
            <w:r w:rsidR="000F47E8">
              <w:rPr>
                <w:rFonts w:cs="Arial"/>
                <w:color w:val="0D0D0D" w:themeColor="text1" w:themeTint="F2"/>
                <w:spacing w:val="-4"/>
              </w:rPr>
              <w:t>u ekonomiku. Druhý extrém představoval</w:t>
            </w:r>
            <w:r>
              <w:rPr>
                <w:rFonts w:cs="Arial"/>
                <w:color w:val="0D0D0D" w:themeColor="text1" w:themeTint="F2"/>
                <w:spacing w:val="-4"/>
              </w:rPr>
              <w:t xml:space="preserve"> nebývale vysoký růst mezd v kulturních, zábavních a rekreačních činnostech (16,8</w:t>
            </w:r>
            <w:r w:rsidR="00870ECD">
              <w:rPr>
                <w:rFonts w:cs="Arial"/>
                <w:color w:val="0D0D0D" w:themeColor="text1" w:themeTint="F2"/>
                <w:spacing w:val="-4"/>
              </w:rPr>
              <w:t> %</w:t>
            </w:r>
            <w:r>
              <w:rPr>
                <w:rFonts w:cs="Arial"/>
                <w:color w:val="0D0D0D" w:themeColor="text1" w:themeTint="F2"/>
                <w:spacing w:val="-4"/>
              </w:rPr>
              <w:t>), který se ale soustředil v segmentu mimo oblast veřejných služeb. V rámci nich rostly nejvíce výděl</w:t>
            </w:r>
            <w:r w:rsidR="00D75AC1">
              <w:rPr>
                <w:rFonts w:cs="Arial"/>
                <w:color w:val="0D0D0D" w:themeColor="text1" w:themeTint="F2"/>
                <w:spacing w:val="-4"/>
              </w:rPr>
              <w:t>ky pracovníkům ve vzdělávání (o</w:t>
            </w:r>
            <w:r w:rsidR="00D75AC1" w:rsidRPr="00A53197">
              <w:rPr>
                <w:rFonts w:cs="Arial"/>
                <w:color w:val="0D0D0D" w:themeColor="text1" w:themeTint="F2"/>
                <w:spacing w:val="-4"/>
              </w:rPr>
              <w:t> </w:t>
            </w:r>
            <w:r w:rsidR="00D75AC1">
              <w:rPr>
                <w:rFonts w:cs="Arial"/>
                <w:color w:val="0D0D0D" w:themeColor="text1" w:themeTint="F2"/>
                <w:spacing w:val="-4"/>
              </w:rPr>
              <w:t>téměř 10</w:t>
            </w:r>
            <w:r w:rsidR="00870ECD">
              <w:rPr>
                <w:rFonts w:cs="Arial"/>
                <w:color w:val="0D0D0D" w:themeColor="text1" w:themeTint="F2"/>
                <w:spacing w:val="-4"/>
              </w:rPr>
              <w:t> %</w:t>
            </w:r>
            <w:r w:rsidR="00D75AC1">
              <w:rPr>
                <w:rFonts w:cs="Arial"/>
                <w:color w:val="0D0D0D" w:themeColor="text1" w:themeTint="F2"/>
                <w:spacing w:val="-4"/>
              </w:rPr>
              <w:t>). I</w:t>
            </w:r>
            <w:r w:rsidRPr="00C502A3">
              <w:rPr>
                <w:spacing w:val="-3"/>
              </w:rPr>
              <w:t xml:space="preserve"> ta</w:t>
            </w:r>
            <w:r>
              <w:rPr>
                <w:spacing w:val="-3"/>
              </w:rPr>
              <w:t xml:space="preserve">k jejich průměrná měsíční výše </w:t>
            </w:r>
            <w:r w:rsidRPr="00C502A3">
              <w:rPr>
                <w:spacing w:val="-3"/>
              </w:rPr>
              <w:t>za úrovní národního hospodářství stále mírně zaostávala</w:t>
            </w:r>
            <w:r>
              <w:rPr>
                <w:spacing w:val="-3"/>
              </w:rPr>
              <w:t>. O tom, že opakovaný růst hranice minimální mzdy přestává hrát klíčovou roli v meziodvětvové diferenciaci mzdové dynamiky, svědčí i</w:t>
            </w:r>
            <w:r w:rsidRPr="00A53197">
              <w:rPr>
                <w:rFonts w:cs="Arial"/>
                <w:color w:val="0D0D0D" w:themeColor="text1" w:themeTint="F2"/>
                <w:spacing w:val="-4"/>
              </w:rPr>
              <w:t> </w:t>
            </w:r>
            <w:r>
              <w:rPr>
                <w:spacing w:val="-3"/>
              </w:rPr>
              <w:t xml:space="preserve">slabší vykazovaný růst průměrných mezd v odvětví tradičně s nejnižší mzdovou úrovní </w:t>
            </w:r>
            <w:r w:rsidRPr="00A53197">
              <w:rPr>
                <w:rFonts w:cs="Arial"/>
                <w:color w:val="0D0D0D" w:themeColor="text1" w:themeTint="F2"/>
                <w:spacing w:val="-4"/>
              </w:rPr>
              <w:t>–</w:t>
            </w:r>
            <w:r w:rsidR="009341F1">
              <w:rPr>
                <w:rFonts w:cs="Arial"/>
                <w:color w:val="0D0D0D" w:themeColor="text1" w:themeTint="F2"/>
                <w:spacing w:val="-4"/>
              </w:rPr>
              <w:t> </w:t>
            </w:r>
            <w:r>
              <w:rPr>
                <w:spacing w:val="-3"/>
              </w:rPr>
              <w:t>ubytování, stravování a pohostinství (7,0</w:t>
            </w:r>
            <w:r w:rsidR="00870ECD">
              <w:rPr>
                <w:spacing w:val="-3"/>
              </w:rPr>
              <w:t> %</w:t>
            </w:r>
            <w:r>
              <w:rPr>
                <w:spacing w:val="-3"/>
              </w:rPr>
              <w:t>, resp. 7,3</w:t>
            </w:r>
            <w:r w:rsidR="00870ECD">
              <w:rPr>
                <w:spacing w:val="-3"/>
              </w:rPr>
              <w:t> %</w:t>
            </w:r>
            <w:r>
              <w:rPr>
                <w:spacing w:val="-3"/>
              </w:rPr>
              <w:t xml:space="preserve"> za celý rok 2018). Z pohledu regionů se v 1.</w:t>
            </w:r>
            <w:r w:rsidRPr="00A53197">
              <w:rPr>
                <w:rFonts w:cs="Arial"/>
                <w:color w:val="0D0D0D" w:themeColor="text1" w:themeTint="F2"/>
                <w:spacing w:val="-4"/>
              </w:rPr>
              <w:t> </w:t>
            </w:r>
            <w:r>
              <w:rPr>
                <w:spacing w:val="-3"/>
              </w:rPr>
              <w:t>čtvrtletí mzdový růst</w:t>
            </w:r>
            <w:r w:rsidRPr="00C502A3">
              <w:rPr>
                <w:spacing w:val="-3"/>
              </w:rPr>
              <w:t xml:space="preserve"> pří</w:t>
            </w:r>
            <w:r>
              <w:rPr>
                <w:spacing w:val="-3"/>
              </w:rPr>
              <w:t>liš neodlišoval – nejvyšší byl</w:t>
            </w:r>
            <w:r w:rsidRPr="00C502A3">
              <w:rPr>
                <w:spacing w:val="-3"/>
              </w:rPr>
              <w:t xml:space="preserve"> ve Středočeském</w:t>
            </w:r>
            <w:r>
              <w:rPr>
                <w:spacing w:val="-3"/>
              </w:rPr>
              <w:t xml:space="preserve"> a Olomouckém kraji (</w:t>
            </w:r>
            <w:r w:rsidR="0029509B">
              <w:rPr>
                <w:spacing w:val="-3"/>
              </w:rPr>
              <w:t xml:space="preserve">shodně </w:t>
            </w:r>
            <w:r>
              <w:rPr>
                <w:spacing w:val="-3"/>
              </w:rPr>
              <w:t>7,9</w:t>
            </w:r>
            <w:r w:rsidR="00870ECD">
              <w:rPr>
                <w:spacing w:val="-3"/>
              </w:rPr>
              <w:t> %</w:t>
            </w:r>
            <w:r>
              <w:rPr>
                <w:spacing w:val="-3"/>
              </w:rPr>
              <w:t>), nejnižší na Vysočině (6,5</w:t>
            </w:r>
            <w:r w:rsidR="00870ECD">
              <w:rPr>
                <w:spacing w:val="-3"/>
              </w:rPr>
              <w:t> %</w:t>
            </w:r>
            <w:r>
              <w:rPr>
                <w:spacing w:val="-3"/>
              </w:rPr>
              <w:t>) a v Praze (7,0</w:t>
            </w:r>
            <w:r w:rsidRPr="00C502A3">
              <w:rPr>
                <w:spacing w:val="-3"/>
              </w:rPr>
              <w:t> %). Podprůměrný mzdový růst při současném nadprůměrném růstu počtu zaměstnanců přetrvává v metropoli</w:t>
            </w:r>
            <w:r>
              <w:rPr>
                <w:spacing w:val="-3"/>
              </w:rPr>
              <w:t xml:space="preserve"> již od konce poslední recese. Zčásti </w:t>
            </w:r>
            <w:r w:rsidR="0029509B">
              <w:rPr>
                <w:spacing w:val="-3"/>
              </w:rPr>
              <w:t xml:space="preserve">to </w:t>
            </w:r>
            <w:r>
              <w:rPr>
                <w:spacing w:val="-3"/>
              </w:rPr>
              <w:t>souvisí s tím, že v posledních čtvrtletích spočívá růst nových pracovních míst v tuzemsku hlavně na službách a ty hrají klíčovou roli na metropolitním pracovním trhu. Z pohledu domácností zůstává pozitivní, že na</w:t>
            </w:r>
            <w:r w:rsidR="00521CAD">
              <w:rPr>
                <w:spacing w:val="-3"/>
              </w:rPr>
              <w:t>dále svižně roste kupní síla</w:t>
            </w:r>
            <w:r>
              <w:rPr>
                <w:spacing w:val="-3"/>
              </w:rPr>
              <w:t xml:space="preserve"> mezd. Přestože mírně vzlínající inflace letos „ukrojila“ z růstu výdělků více než třetinu, reálná hodnota průměrných mezd byla meziročně o 4,6</w:t>
            </w:r>
            <w:r w:rsidR="00870ECD">
              <w:rPr>
                <w:spacing w:val="-3"/>
              </w:rPr>
              <w:t> %</w:t>
            </w:r>
            <w:r>
              <w:rPr>
                <w:spacing w:val="-3"/>
              </w:rPr>
              <w:t xml:space="preserve"> vyšší. V rámci 1.</w:t>
            </w:r>
            <w:r w:rsidR="0029509B">
              <w:rPr>
                <w:spacing w:val="-3"/>
              </w:rPr>
              <w:t> </w:t>
            </w:r>
            <w:r w:rsidR="00521CAD">
              <w:rPr>
                <w:spacing w:val="-3"/>
              </w:rPr>
              <w:t>čtvrtletí šlo o </w:t>
            </w:r>
            <w:r>
              <w:rPr>
                <w:spacing w:val="-3"/>
              </w:rPr>
              <w:t>druhé nejsilnější tempo za posl</w:t>
            </w:r>
            <w:r w:rsidR="00D60E3C">
              <w:rPr>
                <w:spacing w:val="-3"/>
              </w:rPr>
              <w:t>edních dvanáct let (po loňských</w:t>
            </w:r>
            <w:r>
              <w:rPr>
                <w:spacing w:val="-3"/>
              </w:rPr>
              <w:t xml:space="preserve"> 5,8</w:t>
            </w:r>
            <w:r w:rsidRPr="00A53197">
              <w:rPr>
                <w:rFonts w:cs="Arial"/>
                <w:color w:val="0D0D0D" w:themeColor="text1" w:themeTint="F2"/>
                <w:spacing w:val="-4"/>
              </w:rPr>
              <w:t> </w:t>
            </w:r>
            <w:r>
              <w:rPr>
                <w:spacing w:val="-3"/>
              </w:rPr>
              <w:t>%).</w:t>
            </w:r>
          </w:p>
        </w:tc>
      </w:tr>
    </w:tbl>
    <w:p w14:paraId="34DB1239" w14:textId="77777777" w:rsidR="00935BD4" w:rsidRPr="009110F7" w:rsidRDefault="00935BD4" w:rsidP="00F0193E">
      <w:pPr>
        <w:spacing w:after="0" w:line="240" w:lineRule="auto"/>
        <w:jc w:val="left"/>
        <w:rPr>
          <w:sz w:val="2"/>
          <w:szCs w:val="2"/>
        </w:rPr>
      </w:pPr>
    </w:p>
    <w:p w14:paraId="5356EE78" w14:textId="77777777" w:rsidR="00935BD4" w:rsidRPr="009110F7" w:rsidRDefault="00935BD4" w:rsidP="000D3058">
      <w:pPr>
        <w:pStyle w:val="Nadpis11"/>
      </w:pPr>
      <w:bookmarkStart w:id="11" w:name="_Toc11320633"/>
      <w:r w:rsidRPr="009110F7">
        <w:lastRenderedPageBreak/>
        <w:t>7. Měnové podmínky</w:t>
      </w:r>
      <w:bookmarkEnd w:id="11"/>
    </w:p>
    <w:tbl>
      <w:tblPr>
        <w:tblW w:w="9639" w:type="dxa"/>
        <w:tblInd w:w="-15" w:type="dxa"/>
        <w:tblCellMar>
          <w:left w:w="0" w:type="dxa"/>
          <w:right w:w="0" w:type="dxa"/>
        </w:tblCellMar>
        <w:tblLook w:val="00A0" w:firstRow="1" w:lastRow="0" w:firstColumn="1" w:lastColumn="0" w:noHBand="0" w:noVBand="0"/>
      </w:tblPr>
      <w:tblGrid>
        <w:gridCol w:w="1888"/>
        <w:gridCol w:w="250"/>
        <w:gridCol w:w="7501"/>
      </w:tblGrid>
      <w:tr w:rsidR="002B3EF4" w:rsidRPr="009110F7" w14:paraId="55268BA0" w14:textId="77777777" w:rsidTr="001125EF">
        <w:trPr>
          <w:trHeight w:val="145"/>
        </w:trPr>
        <w:tc>
          <w:tcPr>
            <w:tcW w:w="1888" w:type="dxa"/>
            <w:shd w:val="clear" w:color="auto" w:fill="auto"/>
            <w:tcMar>
              <w:left w:w="0" w:type="dxa"/>
            </w:tcMar>
          </w:tcPr>
          <w:p w14:paraId="490762A9" w14:textId="77777777" w:rsidR="002B3EF4" w:rsidRDefault="002B3EF4" w:rsidP="002B3EF4">
            <w:pPr>
              <w:pStyle w:val="Marginlie"/>
            </w:pPr>
            <w:r>
              <w:t xml:space="preserve">Hlavní </w:t>
            </w:r>
            <w:proofErr w:type="spellStart"/>
            <w:r>
              <w:t>měnověpolitické</w:t>
            </w:r>
            <w:proofErr w:type="spellEnd"/>
            <w:r>
              <w:t xml:space="preserve"> sazby se v 1. čtvrtletí neměnily. </w:t>
            </w:r>
          </w:p>
        </w:tc>
        <w:tc>
          <w:tcPr>
            <w:tcW w:w="250" w:type="dxa"/>
            <w:shd w:val="clear" w:color="auto" w:fill="auto"/>
            <w:tcMar>
              <w:left w:w="0" w:type="dxa"/>
            </w:tcMar>
          </w:tcPr>
          <w:p w14:paraId="3B60CAE8" w14:textId="77777777" w:rsidR="002B3EF4" w:rsidRDefault="002B3EF4" w:rsidP="002B3EF4">
            <w:pPr>
              <w:pStyle w:val="Textpoznpodarou"/>
              <w:jc w:val="both"/>
              <w:rPr>
                <w:spacing w:val="-4"/>
              </w:rPr>
            </w:pPr>
          </w:p>
        </w:tc>
        <w:tc>
          <w:tcPr>
            <w:tcW w:w="7501" w:type="dxa"/>
            <w:shd w:val="clear" w:color="auto" w:fill="auto"/>
            <w:tcMar>
              <w:left w:w="0" w:type="dxa"/>
            </w:tcMar>
          </w:tcPr>
          <w:p w14:paraId="0B54F423" w14:textId="43A1BC74" w:rsidR="002B3EF4" w:rsidRPr="00E66062" w:rsidRDefault="002B3EF4" w:rsidP="002B3EF4">
            <w:pPr>
              <w:rPr>
                <w:spacing w:val="-2"/>
              </w:rPr>
            </w:pPr>
            <w:r>
              <w:rPr>
                <w:spacing w:val="-2"/>
              </w:rPr>
              <w:t xml:space="preserve">V průběhu 1. čtvrtletí nedošlo ke změně základních </w:t>
            </w:r>
            <w:proofErr w:type="spellStart"/>
            <w:r>
              <w:rPr>
                <w:spacing w:val="-2"/>
              </w:rPr>
              <w:t>měnověpolit</w:t>
            </w:r>
            <w:r w:rsidR="00853282">
              <w:rPr>
                <w:spacing w:val="-2"/>
              </w:rPr>
              <w:t>i</w:t>
            </w:r>
            <w:r>
              <w:rPr>
                <w:spacing w:val="-2"/>
              </w:rPr>
              <w:t>ckých</w:t>
            </w:r>
            <w:proofErr w:type="spellEnd"/>
            <w:r>
              <w:rPr>
                <w:spacing w:val="-2"/>
              </w:rPr>
              <w:t xml:space="preserve"> sazeb. Dvoutýdenní </w:t>
            </w:r>
            <w:proofErr w:type="spellStart"/>
            <w:r>
              <w:rPr>
                <w:spacing w:val="-2"/>
              </w:rPr>
              <w:t>repo</w:t>
            </w:r>
            <w:proofErr w:type="spellEnd"/>
            <w:r>
              <w:rPr>
                <w:spacing w:val="-2"/>
              </w:rPr>
              <w:t xml:space="preserve"> sazba tak setrvala na úrovni platné od počátku listopadu 2018, tedy 1,75</w:t>
            </w:r>
            <w:r w:rsidR="00870ECD">
              <w:rPr>
                <w:spacing w:val="-2"/>
              </w:rPr>
              <w:t> %</w:t>
            </w:r>
            <w:r>
              <w:rPr>
                <w:spacing w:val="-2"/>
              </w:rPr>
              <w:t>, diskontní sazba na 0,75</w:t>
            </w:r>
            <w:r w:rsidR="00870ECD">
              <w:rPr>
                <w:spacing w:val="-2"/>
              </w:rPr>
              <w:t> %</w:t>
            </w:r>
            <w:r>
              <w:rPr>
                <w:spacing w:val="-2"/>
              </w:rPr>
              <w:t xml:space="preserve"> a lombardní sazba na 2,75</w:t>
            </w:r>
            <w:r w:rsidR="00870ECD">
              <w:rPr>
                <w:spacing w:val="-2"/>
              </w:rPr>
              <w:t> %</w:t>
            </w:r>
            <w:r>
              <w:rPr>
                <w:spacing w:val="-2"/>
              </w:rPr>
              <w:t>. Směnný kurz koruny vůči euru se v průběhu 1. kvartálu pohyboval v pásmu 25,50</w:t>
            </w:r>
            <w:r w:rsidR="00620B77" w:rsidRPr="009110F7">
              <w:rPr>
                <w:rStyle w:val="Znakapoznpodarou"/>
              </w:rPr>
              <w:footnoteReference w:id="41"/>
            </w:r>
            <w:bookmarkStart w:id="12" w:name="_GoBack"/>
            <w:bookmarkEnd w:id="12"/>
            <w:r>
              <w:rPr>
                <w:spacing w:val="-2"/>
              </w:rPr>
              <w:t xml:space="preserve"> až 25,9</w:t>
            </w:r>
            <w:r w:rsidR="00853282">
              <w:rPr>
                <w:spacing w:val="-2"/>
              </w:rPr>
              <w:t>0</w:t>
            </w:r>
            <w:r>
              <w:rPr>
                <w:spacing w:val="-2"/>
              </w:rPr>
              <w:t xml:space="preserve"> korun</w:t>
            </w:r>
            <w:r w:rsidR="00853282">
              <w:rPr>
                <w:spacing w:val="-2"/>
              </w:rPr>
              <w:t>y</w:t>
            </w:r>
            <w:r>
              <w:rPr>
                <w:spacing w:val="-2"/>
              </w:rPr>
              <w:t xml:space="preserve"> za euro. Ve srovnání se stejným obdobím minulého roku byl kurz v průměru slabší</w:t>
            </w:r>
            <w:r w:rsidR="00853282">
              <w:rPr>
                <w:spacing w:val="-2"/>
              </w:rPr>
              <w:t>,</w:t>
            </w:r>
            <w:r>
              <w:rPr>
                <w:spacing w:val="-2"/>
              </w:rPr>
              <w:t xml:space="preserve"> a to o 1,1</w:t>
            </w:r>
            <w:r w:rsidR="00870ECD">
              <w:rPr>
                <w:spacing w:val="-2"/>
              </w:rPr>
              <w:t> %</w:t>
            </w:r>
            <w:r>
              <w:rPr>
                <w:spacing w:val="-2"/>
              </w:rPr>
              <w:t>. Kurz koruny vůči dolaru v průběhu čtvrtletí fluktuoval výrazněji (mezi 22,19</w:t>
            </w:r>
            <w:r w:rsidR="00853282">
              <w:rPr>
                <w:spacing w:val="-2"/>
              </w:rPr>
              <w:br/>
            </w:r>
            <w:r>
              <w:rPr>
                <w:spacing w:val="-2"/>
              </w:rPr>
              <w:t>a 23 korunami). Zároveň byl jeho čtvrtletní průměr o 9,4</w:t>
            </w:r>
            <w:r w:rsidR="00870ECD">
              <w:rPr>
                <w:spacing w:val="-2"/>
              </w:rPr>
              <w:t> %</w:t>
            </w:r>
            <w:r>
              <w:rPr>
                <w:spacing w:val="-2"/>
              </w:rPr>
              <w:t xml:space="preserve"> slabší než v loňském roce.</w:t>
            </w:r>
          </w:p>
        </w:tc>
      </w:tr>
      <w:tr w:rsidR="002B3EF4" w:rsidRPr="009110F7" w14:paraId="7B4C04BF" w14:textId="77777777" w:rsidTr="001125EF">
        <w:trPr>
          <w:trHeight w:val="145"/>
        </w:trPr>
        <w:tc>
          <w:tcPr>
            <w:tcW w:w="1888" w:type="dxa"/>
            <w:shd w:val="clear" w:color="auto" w:fill="auto"/>
            <w:tcMar>
              <w:left w:w="0" w:type="dxa"/>
            </w:tcMar>
          </w:tcPr>
          <w:p w14:paraId="42C759B5" w14:textId="77777777" w:rsidR="002B3EF4" w:rsidRDefault="002B3EF4" w:rsidP="002B3EF4">
            <w:pPr>
              <w:pStyle w:val="Marginlie"/>
            </w:pPr>
            <w:r>
              <w:t xml:space="preserve">V 1. čtvrtletí klesaly výnosy na vládních dluhopisech s dlouhodobou splatností. </w:t>
            </w:r>
          </w:p>
        </w:tc>
        <w:tc>
          <w:tcPr>
            <w:tcW w:w="250" w:type="dxa"/>
            <w:shd w:val="clear" w:color="auto" w:fill="auto"/>
            <w:tcMar>
              <w:left w:w="0" w:type="dxa"/>
            </w:tcMar>
          </w:tcPr>
          <w:p w14:paraId="74C953C3" w14:textId="77777777" w:rsidR="002B3EF4" w:rsidRDefault="002B3EF4" w:rsidP="002B3EF4">
            <w:pPr>
              <w:pStyle w:val="Textpoznpodarou"/>
              <w:jc w:val="both"/>
              <w:rPr>
                <w:spacing w:val="-4"/>
              </w:rPr>
            </w:pPr>
          </w:p>
        </w:tc>
        <w:tc>
          <w:tcPr>
            <w:tcW w:w="7501" w:type="dxa"/>
            <w:shd w:val="clear" w:color="auto" w:fill="auto"/>
            <w:tcMar>
              <w:left w:w="0" w:type="dxa"/>
            </w:tcMar>
          </w:tcPr>
          <w:p w14:paraId="6A9F45F7" w14:textId="23BB2D49" w:rsidR="002B3EF4" w:rsidRPr="00E66062" w:rsidRDefault="002B3EF4" w:rsidP="002B3EF4">
            <w:pPr>
              <w:rPr>
                <w:spacing w:val="-1"/>
              </w:rPr>
            </w:pPr>
            <w:r>
              <w:rPr>
                <w:spacing w:val="-1"/>
              </w:rPr>
              <w:t>Poprvé od roku 2009 mezibankovní sazba PRIBOR překonala hranici 2</w:t>
            </w:r>
            <w:r w:rsidR="00870ECD">
              <w:rPr>
                <w:spacing w:val="-1"/>
              </w:rPr>
              <w:t> %</w:t>
            </w:r>
            <w:r>
              <w:rPr>
                <w:spacing w:val="-1"/>
              </w:rPr>
              <w:t>. Posun vzhůru však dosáhl řádově setin</w:t>
            </w:r>
            <w:r w:rsidR="00870ECD">
              <w:rPr>
                <w:spacing w:val="-1"/>
              </w:rPr>
              <w:t> p. b.</w:t>
            </w:r>
            <w:r>
              <w:rPr>
                <w:spacing w:val="-1"/>
              </w:rPr>
              <w:t xml:space="preserve"> a ke konci března úroková sazba činila 2,03</w:t>
            </w:r>
            <w:r w:rsidR="00870ECD">
              <w:rPr>
                <w:spacing w:val="-1"/>
              </w:rPr>
              <w:t> %</w:t>
            </w:r>
            <w:r>
              <w:rPr>
                <w:spacing w:val="-1"/>
              </w:rPr>
              <w:t>. Úrokové sazby na vládních dluhopisech měly dynamičtější vývoj. Krátkodobé dluhopisy (se splatností do dvou let) měly ke konci března průměrný výnos 1,71</w:t>
            </w:r>
            <w:r w:rsidR="00870ECD">
              <w:rPr>
                <w:spacing w:val="-1"/>
              </w:rPr>
              <w:t> %</w:t>
            </w:r>
            <w:r>
              <w:rPr>
                <w:spacing w:val="-1"/>
              </w:rPr>
              <w:t>. Ten se v průběhu 1. čtvrtletí zvýšil o 0,19</w:t>
            </w:r>
            <w:r w:rsidR="00870ECD">
              <w:rPr>
                <w:spacing w:val="-1"/>
              </w:rPr>
              <w:t> p. b.</w:t>
            </w:r>
            <w:r>
              <w:rPr>
                <w:spacing w:val="-1"/>
              </w:rPr>
              <w:t xml:space="preserve"> Přesně opačně se vyvíjel průměrný výnos dluhopisů s dlouhodobou splatností (10 let). Z pr</w:t>
            </w:r>
            <w:r w:rsidR="00CB64E1">
              <w:rPr>
                <w:spacing w:val="-1"/>
              </w:rPr>
              <w:t>osincových 2,01</w:t>
            </w:r>
            <w:r w:rsidR="00870ECD">
              <w:rPr>
                <w:spacing w:val="-1"/>
              </w:rPr>
              <w:t> %</w:t>
            </w:r>
            <w:r w:rsidR="00CB64E1">
              <w:rPr>
                <w:spacing w:val="-1"/>
              </w:rPr>
              <w:t xml:space="preserve"> klesl na 1,82</w:t>
            </w:r>
            <w:r w:rsidR="00CB64E1" w:rsidRPr="00CB64E1">
              <w:rPr>
                <w:spacing w:val="-2"/>
              </w:rPr>
              <w:t> </w:t>
            </w:r>
            <w:r>
              <w:rPr>
                <w:spacing w:val="-1"/>
              </w:rPr>
              <w:t>%. Poklesly i úrokové sazby u všech typů splatnosti vládních dluhopisů v </w:t>
            </w:r>
            <w:r w:rsidR="00853282">
              <w:rPr>
                <w:spacing w:val="-1"/>
              </w:rPr>
              <w:t>eurozóně</w:t>
            </w:r>
            <w:r>
              <w:rPr>
                <w:spacing w:val="-1"/>
              </w:rPr>
              <w:t>.</w:t>
            </w:r>
          </w:p>
        </w:tc>
      </w:tr>
      <w:tr w:rsidR="002B3EF4" w:rsidRPr="009110F7" w14:paraId="2814AAE6" w14:textId="77777777" w:rsidTr="001125EF">
        <w:trPr>
          <w:trHeight w:val="145"/>
        </w:trPr>
        <w:tc>
          <w:tcPr>
            <w:tcW w:w="1888" w:type="dxa"/>
            <w:shd w:val="clear" w:color="auto" w:fill="auto"/>
            <w:tcMar>
              <w:left w:w="0" w:type="dxa"/>
            </w:tcMar>
          </w:tcPr>
          <w:p w14:paraId="2E5F026F" w14:textId="77777777" w:rsidR="002B3EF4" w:rsidRDefault="002B3EF4" w:rsidP="002B3EF4">
            <w:pPr>
              <w:pStyle w:val="Marginlie"/>
            </w:pPr>
            <w:r>
              <w:t>Mírně rostly sazby na klientských vkladech s dohodnutou splatností.</w:t>
            </w:r>
          </w:p>
        </w:tc>
        <w:tc>
          <w:tcPr>
            <w:tcW w:w="250" w:type="dxa"/>
            <w:shd w:val="clear" w:color="auto" w:fill="auto"/>
            <w:tcMar>
              <w:left w:w="0" w:type="dxa"/>
            </w:tcMar>
          </w:tcPr>
          <w:p w14:paraId="0DED174C" w14:textId="77777777" w:rsidR="002B3EF4" w:rsidRDefault="002B3EF4" w:rsidP="002B3EF4">
            <w:pPr>
              <w:pStyle w:val="Textpoznpodarou"/>
              <w:jc w:val="both"/>
              <w:rPr>
                <w:spacing w:val="-4"/>
              </w:rPr>
            </w:pPr>
          </w:p>
        </w:tc>
        <w:tc>
          <w:tcPr>
            <w:tcW w:w="7501" w:type="dxa"/>
            <w:shd w:val="clear" w:color="auto" w:fill="auto"/>
            <w:tcMar>
              <w:left w:w="0" w:type="dxa"/>
            </w:tcMar>
          </w:tcPr>
          <w:p w14:paraId="5BA37036" w14:textId="77777777" w:rsidR="002B3EF4" w:rsidRPr="00CB64E1" w:rsidRDefault="002B3EF4" w:rsidP="002B3EF4">
            <w:pPr>
              <w:rPr>
                <w:spacing w:val="-4"/>
              </w:rPr>
            </w:pPr>
            <w:r w:rsidRPr="00CB64E1">
              <w:rPr>
                <w:spacing w:val="-4"/>
              </w:rPr>
              <w:t>Ačkoli mezibankovní sazby v 1. kvartále v podstatě příliš nerostly, do výše úroků na klientských účtech se jejich dřívější růst alespoň zčásti promítal. Průměrná úroková sazba na běžných účtech domácností k 31. 3. činila 0,04</w:t>
            </w:r>
            <w:r w:rsidR="00870ECD">
              <w:rPr>
                <w:spacing w:val="-4"/>
              </w:rPr>
              <w:t> %</w:t>
            </w:r>
            <w:r w:rsidRPr="00CB64E1">
              <w:rPr>
                <w:spacing w:val="-4"/>
              </w:rPr>
              <w:t>. Průměrné úročení tedy v porovnání s koncem roku 2018 pokleslo. Naopak pokračoval růst úrokových sazeb na vkladech s dohodnutou splatností. V porovnání s kon</w:t>
            </w:r>
            <w:r w:rsidR="00CB64E1" w:rsidRPr="00CB64E1">
              <w:rPr>
                <w:spacing w:val="-4"/>
              </w:rPr>
              <w:t>cem roku 2018 se zvýšily o 0,11 </w:t>
            </w:r>
            <w:r w:rsidRPr="00CB64E1">
              <w:rPr>
                <w:spacing w:val="-4"/>
              </w:rPr>
              <w:t>p. b. a ke konci března v průměru dosáhly 1,46</w:t>
            </w:r>
            <w:r w:rsidR="00870ECD">
              <w:rPr>
                <w:spacing w:val="-4"/>
              </w:rPr>
              <w:t> %</w:t>
            </w:r>
            <w:r w:rsidRPr="00CB64E1">
              <w:rPr>
                <w:spacing w:val="-4"/>
              </w:rPr>
              <w:t>. V případě nefinančních podniků došlo k drobnému růstu úrokových sazeb na běžných účtech. Ke konci března průměrné úročení dosáhlo 0,16</w:t>
            </w:r>
            <w:r w:rsidR="00870ECD">
              <w:rPr>
                <w:spacing w:val="-4"/>
              </w:rPr>
              <w:t> %</w:t>
            </w:r>
            <w:r w:rsidRPr="00CB64E1">
              <w:rPr>
                <w:spacing w:val="-4"/>
              </w:rPr>
              <w:t>. U vkladů s dohodnutou splatností pro nefinanční podniky se průměrná úroková sazba zvýšila mezi koncem prosince a března o 0,12</w:t>
            </w:r>
            <w:r w:rsidR="00870ECD">
              <w:rPr>
                <w:spacing w:val="-4"/>
              </w:rPr>
              <w:t> p. b.</w:t>
            </w:r>
            <w:r w:rsidRPr="00CB64E1">
              <w:rPr>
                <w:spacing w:val="-4"/>
              </w:rPr>
              <w:t xml:space="preserve"> na 1,35</w:t>
            </w:r>
            <w:r w:rsidR="00870ECD">
              <w:rPr>
                <w:spacing w:val="-4"/>
              </w:rPr>
              <w:t> %</w:t>
            </w:r>
            <w:r w:rsidRPr="00CB64E1">
              <w:rPr>
                <w:spacing w:val="-4"/>
              </w:rPr>
              <w:t xml:space="preserve">. </w:t>
            </w:r>
          </w:p>
        </w:tc>
      </w:tr>
      <w:tr w:rsidR="002B3EF4" w:rsidRPr="009110F7" w14:paraId="4A6C32B6" w14:textId="77777777" w:rsidTr="001125EF">
        <w:trPr>
          <w:trHeight w:val="145"/>
        </w:trPr>
        <w:tc>
          <w:tcPr>
            <w:tcW w:w="1888" w:type="dxa"/>
            <w:shd w:val="clear" w:color="auto" w:fill="auto"/>
            <w:tcMar>
              <w:left w:w="0" w:type="dxa"/>
            </w:tcMar>
          </w:tcPr>
          <w:p w14:paraId="3BED06E2" w14:textId="77777777" w:rsidR="002B3EF4" w:rsidRDefault="002B3EF4" w:rsidP="002B3EF4">
            <w:pPr>
              <w:pStyle w:val="Marginlie"/>
            </w:pPr>
            <w:r>
              <w:t>Zvyšovala se peněžní zásoba ve formě vkladů s dohodnutou splatností.</w:t>
            </w:r>
          </w:p>
        </w:tc>
        <w:tc>
          <w:tcPr>
            <w:tcW w:w="250" w:type="dxa"/>
            <w:shd w:val="clear" w:color="auto" w:fill="auto"/>
            <w:tcMar>
              <w:left w:w="0" w:type="dxa"/>
            </w:tcMar>
          </w:tcPr>
          <w:p w14:paraId="0F2DD0F7" w14:textId="77777777" w:rsidR="002B3EF4" w:rsidRDefault="002B3EF4" w:rsidP="002B3EF4">
            <w:pPr>
              <w:pStyle w:val="Textpoznpodarou"/>
              <w:jc w:val="both"/>
              <w:rPr>
                <w:spacing w:val="-4"/>
              </w:rPr>
            </w:pPr>
          </w:p>
        </w:tc>
        <w:tc>
          <w:tcPr>
            <w:tcW w:w="7501" w:type="dxa"/>
            <w:shd w:val="clear" w:color="auto" w:fill="auto"/>
            <w:tcMar>
              <w:left w:w="0" w:type="dxa"/>
            </w:tcMar>
          </w:tcPr>
          <w:p w14:paraId="6BB6446E" w14:textId="77777777" w:rsidR="002B3EF4" w:rsidRPr="00CB64E1" w:rsidRDefault="002B3EF4" w:rsidP="002B3EF4">
            <w:pPr>
              <w:rPr>
                <w:spacing w:val="-4"/>
              </w:rPr>
            </w:pPr>
            <w:r w:rsidRPr="00CB64E1">
              <w:rPr>
                <w:spacing w:val="-4"/>
              </w:rPr>
              <w:t>Růst úročení termínovaných vkladů se po několika letech propadu projevil nárůstem vložených prostředků. Zatímco objem netermínovaných vkladů celkově meziročně vzrostl v 1. čtvrtletí o 4,0</w:t>
            </w:r>
            <w:r w:rsidR="00870ECD">
              <w:rPr>
                <w:spacing w:val="-4"/>
              </w:rPr>
              <w:t> %</w:t>
            </w:r>
            <w:r w:rsidRPr="00CB64E1">
              <w:rPr>
                <w:spacing w:val="-4"/>
              </w:rPr>
              <w:t>, termínované vklady se zvýšily o 23,2</w:t>
            </w:r>
            <w:r w:rsidR="00870ECD">
              <w:rPr>
                <w:spacing w:val="-4"/>
              </w:rPr>
              <w:t> %</w:t>
            </w:r>
            <w:r w:rsidRPr="00CB64E1">
              <w:rPr>
                <w:spacing w:val="-4"/>
              </w:rPr>
              <w:t>. Těžiště nárůstu však spočívalo zejména v oblasti krátkodobých a střed</w:t>
            </w:r>
            <w:r w:rsidR="00CB64E1" w:rsidRPr="00CB64E1">
              <w:rPr>
                <w:spacing w:val="-4"/>
              </w:rPr>
              <w:t>nědobých vkladů (do pěti let) a </w:t>
            </w:r>
            <w:r w:rsidRPr="00CB64E1">
              <w:rPr>
                <w:spacing w:val="-4"/>
              </w:rPr>
              <w:t>částečně se projevila jednorázová změna ve způsobu vykazování</w:t>
            </w:r>
            <w:r w:rsidRPr="00CB64E1">
              <w:rPr>
                <w:rStyle w:val="Znakapoznpodarou"/>
                <w:spacing w:val="-4"/>
              </w:rPr>
              <w:footnoteReference w:id="42"/>
            </w:r>
            <w:r w:rsidRPr="00CB64E1">
              <w:rPr>
                <w:spacing w:val="-4"/>
              </w:rPr>
              <w:t>. Popsaný vývoj sazeb se promítl i do vývoje peněžní zásoby. Z</w:t>
            </w:r>
            <w:r w:rsidR="00CB64E1" w:rsidRPr="00CB64E1">
              <w:rPr>
                <w:spacing w:val="-4"/>
              </w:rPr>
              <w:t>atímco meziroční růst oběživa a </w:t>
            </w:r>
            <w:r w:rsidRPr="00CB64E1">
              <w:rPr>
                <w:spacing w:val="-4"/>
              </w:rPr>
              <w:t>jednodenních vkladů dosáhl 2,2</w:t>
            </w:r>
            <w:r w:rsidR="00870ECD">
              <w:rPr>
                <w:spacing w:val="-4"/>
              </w:rPr>
              <w:t> %</w:t>
            </w:r>
            <w:r w:rsidRPr="00CB64E1">
              <w:rPr>
                <w:spacing w:val="-4"/>
              </w:rPr>
              <w:t>, tedy nejméně za posledních deset let, objem peněžních prostředků ve formě vkladů s dohodnutou spl</w:t>
            </w:r>
            <w:r w:rsidR="00CB64E1" w:rsidRPr="00CB64E1">
              <w:rPr>
                <w:spacing w:val="-4"/>
              </w:rPr>
              <w:t>atností do dvou let se zvýšil o </w:t>
            </w:r>
            <w:r w:rsidRPr="00CB64E1">
              <w:rPr>
                <w:spacing w:val="-4"/>
              </w:rPr>
              <w:t>37,6</w:t>
            </w:r>
            <w:r w:rsidR="00870ECD">
              <w:rPr>
                <w:spacing w:val="-4"/>
              </w:rPr>
              <w:t> %</w:t>
            </w:r>
            <w:r w:rsidRPr="00CB64E1">
              <w:rPr>
                <w:spacing w:val="-4"/>
              </w:rPr>
              <w:t>.</w:t>
            </w:r>
          </w:p>
        </w:tc>
      </w:tr>
      <w:tr w:rsidR="002B3EF4" w:rsidRPr="009110F7" w14:paraId="58F171BC" w14:textId="77777777" w:rsidTr="001125EF">
        <w:trPr>
          <w:trHeight w:val="145"/>
        </w:trPr>
        <w:tc>
          <w:tcPr>
            <w:tcW w:w="1888" w:type="dxa"/>
            <w:shd w:val="clear" w:color="auto" w:fill="auto"/>
            <w:tcMar>
              <w:left w:w="0" w:type="dxa"/>
            </w:tcMar>
          </w:tcPr>
          <w:p w14:paraId="33E2489C" w14:textId="77777777" w:rsidR="002B3EF4" w:rsidRDefault="002B3EF4" w:rsidP="002B3EF4">
            <w:pPr>
              <w:pStyle w:val="Marginlie"/>
            </w:pPr>
            <w:r>
              <w:t>Opět kleslo úročení spotřebních úvěrů pro domácnosti.</w:t>
            </w:r>
          </w:p>
        </w:tc>
        <w:tc>
          <w:tcPr>
            <w:tcW w:w="250" w:type="dxa"/>
            <w:shd w:val="clear" w:color="auto" w:fill="auto"/>
            <w:tcMar>
              <w:left w:w="0" w:type="dxa"/>
            </w:tcMar>
          </w:tcPr>
          <w:p w14:paraId="0B085002" w14:textId="77777777" w:rsidR="002B3EF4" w:rsidRDefault="002B3EF4" w:rsidP="002B3EF4">
            <w:pPr>
              <w:pStyle w:val="Textpoznpodarou"/>
              <w:jc w:val="both"/>
              <w:rPr>
                <w:spacing w:val="-4"/>
              </w:rPr>
            </w:pPr>
          </w:p>
        </w:tc>
        <w:tc>
          <w:tcPr>
            <w:tcW w:w="7501" w:type="dxa"/>
            <w:shd w:val="clear" w:color="auto" w:fill="auto"/>
            <w:tcMar>
              <w:left w:w="0" w:type="dxa"/>
            </w:tcMar>
          </w:tcPr>
          <w:p w14:paraId="58F20D34" w14:textId="29A3D2E1" w:rsidR="002B3EF4" w:rsidRDefault="002B3EF4" w:rsidP="002B3EF4">
            <w:pPr>
              <w:spacing w:after="0"/>
            </w:pPr>
            <w:r>
              <w:t>Průměrná úroková sazba úvěrů na spotřebu pro domácnosti k 31. 3. činila 8,4 %. To je o 0,23</w:t>
            </w:r>
            <w:r w:rsidR="00870ECD">
              <w:t> p. b.</w:t>
            </w:r>
            <w:r>
              <w:t xml:space="preserve"> méně než na konci roku 2018. Sazba klesla u všech typů fixací. V případě úvěrů na nákup bytové nemovitosti se průměrná úroková míra od prosince 2018 nepatrně zvýšila a ke konci března dosáhla 2,97</w:t>
            </w:r>
            <w:r w:rsidR="00870ECD">
              <w:t> %</w:t>
            </w:r>
            <w:r>
              <w:t>. Růst úročení však má původ v úvěrech na bydlení ze stavebního spoření. Samotné hypoteční úvěry byly po celé 1. čtvrtletí úročeny prakticky stejně jako na konci roku 2018. Průměrné úročení úvěrů pro nefinanční podniky se oproti konci minulého rok</w:t>
            </w:r>
            <w:r w:rsidR="00CB64E1">
              <w:t>u celkově téměř nezměnilo (3,32</w:t>
            </w:r>
            <w:r w:rsidR="00CB64E1" w:rsidRPr="00CB64E1">
              <w:rPr>
                <w:spacing w:val="-2"/>
              </w:rPr>
              <w:t> </w:t>
            </w:r>
            <w:r>
              <w:t>% k 31. 3.). Úročení úvěrů do 7,5 mil. korun se totiž zvýšilo na 4,34</w:t>
            </w:r>
            <w:r w:rsidR="00870ECD">
              <w:t> %</w:t>
            </w:r>
            <w:r>
              <w:t xml:space="preserve"> </w:t>
            </w:r>
            <w:r w:rsidR="00CB64E1">
              <w:t>a</w:t>
            </w:r>
            <w:r w:rsidR="00CB64E1" w:rsidRPr="00CB64E1">
              <w:rPr>
                <w:spacing w:val="-2"/>
              </w:rPr>
              <w:t> </w:t>
            </w:r>
            <w:r>
              <w:t>v případě úvěrů mezi 7,5 a 30 mil. korun kleslo na 3,31</w:t>
            </w:r>
            <w:r w:rsidR="00870ECD">
              <w:t> %</w:t>
            </w:r>
            <w:r>
              <w:t>. Úročení velkých půjček nad 30 mil. korun zůstalo téměř nezměněno na 3,23</w:t>
            </w:r>
            <w:r w:rsidR="00870ECD">
              <w:t> %</w:t>
            </w:r>
            <w:r>
              <w:t xml:space="preserve">. </w:t>
            </w:r>
          </w:p>
        </w:tc>
      </w:tr>
      <w:tr w:rsidR="002B3EF4" w:rsidRPr="009110F7" w14:paraId="60B8B0F6" w14:textId="77777777" w:rsidTr="001125EF">
        <w:trPr>
          <w:trHeight w:val="145"/>
        </w:trPr>
        <w:tc>
          <w:tcPr>
            <w:tcW w:w="1888" w:type="dxa"/>
            <w:shd w:val="clear" w:color="auto" w:fill="auto"/>
            <w:tcMar>
              <w:left w:w="0" w:type="dxa"/>
            </w:tcMar>
          </w:tcPr>
          <w:p w14:paraId="41A51E13" w14:textId="77777777" w:rsidR="002B3EF4" w:rsidRDefault="002B3EF4" w:rsidP="002B3EF4">
            <w:pPr>
              <w:pStyle w:val="Marginlie"/>
            </w:pPr>
            <w:r>
              <w:lastRenderedPageBreak/>
              <w:t>Zpomalil růst objemu úvěrů na spotřebu i bydlení.</w:t>
            </w:r>
          </w:p>
        </w:tc>
        <w:tc>
          <w:tcPr>
            <w:tcW w:w="250" w:type="dxa"/>
            <w:shd w:val="clear" w:color="auto" w:fill="auto"/>
            <w:tcMar>
              <w:left w:w="0" w:type="dxa"/>
            </w:tcMar>
          </w:tcPr>
          <w:p w14:paraId="767FA481" w14:textId="77777777" w:rsidR="002B3EF4" w:rsidRDefault="002B3EF4" w:rsidP="002B3EF4">
            <w:pPr>
              <w:pStyle w:val="Textpoznpodarou"/>
              <w:jc w:val="both"/>
              <w:rPr>
                <w:spacing w:val="-4"/>
              </w:rPr>
            </w:pPr>
          </w:p>
        </w:tc>
        <w:tc>
          <w:tcPr>
            <w:tcW w:w="7501" w:type="dxa"/>
            <w:shd w:val="clear" w:color="auto" w:fill="auto"/>
            <w:tcMar>
              <w:left w:w="0" w:type="dxa"/>
            </w:tcMar>
          </w:tcPr>
          <w:p w14:paraId="19D6CE65" w14:textId="3AD84856" w:rsidR="002B3EF4" w:rsidRDefault="002B3EF4" w:rsidP="002B3EF4">
            <w:r>
              <w:t>Objem poskytnutých spotřebitelských úvěrů domácnostem se ke konci 1. čtvrtletí meziročně zvýšil o 8,0</w:t>
            </w:r>
            <w:r w:rsidR="00870ECD">
              <w:t> %</w:t>
            </w:r>
            <w:r>
              <w:t>. Jedná se o mírné zpomalení tempa v porovnání s 2. pololetím minulého roku. Celkový objem poskytnutých úvěrů na bydlení meziročně vzrostl o 7,9 %, což je nejpomalejší tempo od 1. čtvrtletí 2016. Vývoj samotných hypotečních úvěrů byl zkreslen změnou v metodice vykazování</w:t>
            </w:r>
            <w:r>
              <w:rPr>
                <w:rStyle w:val="Znakapoznpodarou"/>
              </w:rPr>
              <w:footnoteReference w:id="43"/>
            </w:r>
            <w:r>
              <w:t>. Zaznamenaný meziroční nárůst o 10,8</w:t>
            </w:r>
            <w:r w:rsidR="00870ECD">
              <w:t> %</w:t>
            </w:r>
            <w:r>
              <w:t xml:space="preserve"> byl zčásti způsoben </w:t>
            </w:r>
            <w:proofErr w:type="spellStart"/>
            <w:r>
              <w:t>překlasifikováním</w:t>
            </w:r>
            <w:proofErr w:type="spellEnd"/>
            <w:r>
              <w:t xml:space="preserve"> části spotřebních úvěrů na bydlení na hypoteční úvěry. Počet nových hypotečních smluv dosáhl v 1. čtvrtletí 36,1 tisíc</w:t>
            </w:r>
            <w:r w:rsidR="005A0948">
              <w:t>e</w:t>
            </w:r>
            <w:r>
              <w:t xml:space="preserve"> (nejméně od března </w:t>
            </w:r>
            <w:r w:rsidR="00CB64E1">
              <w:t>2014) a meziročně poklesl o 9,9 </w:t>
            </w:r>
            <w:r>
              <w:t>tisíce. Objem nově poskytnutých hypoték dosáhl ve stejném období 82,7</w:t>
            </w:r>
            <w:r w:rsidR="00870ECD">
              <w:t> mld</w:t>
            </w:r>
            <w:r>
              <w:t>., což znamenalo meziroční pokles ve výši 11,5</w:t>
            </w:r>
            <w:r w:rsidR="00870ECD">
              <w:t> mld</w:t>
            </w:r>
            <w:r>
              <w:t>. korun (12,2</w:t>
            </w:r>
            <w:r w:rsidR="00870ECD">
              <w:t> %</w:t>
            </w:r>
            <w:r>
              <w:t>). Zadlužení domácností k 31. 3. dosahovalo 1 727,0</w:t>
            </w:r>
            <w:r w:rsidR="00870ECD">
              <w:t> mld</w:t>
            </w:r>
            <w:r>
              <w:t>. korun a meziročně se zvýšilo o 6,7</w:t>
            </w:r>
            <w:r w:rsidR="00870ECD">
              <w:t> %</w:t>
            </w:r>
            <w:r>
              <w:t>, což představuje zpomalení oproti loňskému roku asi o 0,5</w:t>
            </w:r>
            <w:r w:rsidR="00870ECD">
              <w:t> p. b.</w:t>
            </w:r>
            <w:r>
              <w:t xml:space="preserve"> Zmírnil se růst zadlužení na spotřebu (na 4,8</w:t>
            </w:r>
            <w:r w:rsidR="00870ECD">
              <w:t> %</w:t>
            </w:r>
            <w:r>
              <w:t>)</w:t>
            </w:r>
            <w:r w:rsidR="005A0948">
              <w:t>,</w:t>
            </w:r>
            <w:r>
              <w:t xml:space="preserve"> ale především na bydlení (na 7,8</w:t>
            </w:r>
            <w:r w:rsidR="00870ECD">
              <w:t> %</w:t>
            </w:r>
            <w:r>
              <w:t>).</w:t>
            </w:r>
          </w:p>
        </w:tc>
      </w:tr>
      <w:tr w:rsidR="002B3EF4" w:rsidRPr="009110F7" w14:paraId="2F74026C" w14:textId="77777777" w:rsidTr="001125EF">
        <w:trPr>
          <w:trHeight w:val="145"/>
        </w:trPr>
        <w:tc>
          <w:tcPr>
            <w:tcW w:w="1888" w:type="dxa"/>
            <w:shd w:val="clear" w:color="auto" w:fill="auto"/>
            <w:tcMar>
              <w:left w:w="0" w:type="dxa"/>
            </w:tcMar>
          </w:tcPr>
          <w:p w14:paraId="2869B705" w14:textId="75C9E691" w:rsidR="002B3EF4" w:rsidRDefault="002B3EF4" w:rsidP="002B3EF4">
            <w:pPr>
              <w:pStyle w:val="Marginlie"/>
            </w:pPr>
            <w:r>
              <w:t>Podíl úvěrů v cizí měně ke konci března činil 31,6 % z celkového objemu úvěrů poskytnutých nefinančním podnikům</w:t>
            </w:r>
            <w:r w:rsidR="00580AD3">
              <w:t>.</w:t>
            </w:r>
          </w:p>
        </w:tc>
        <w:tc>
          <w:tcPr>
            <w:tcW w:w="250" w:type="dxa"/>
            <w:shd w:val="clear" w:color="auto" w:fill="auto"/>
            <w:tcMar>
              <w:left w:w="0" w:type="dxa"/>
            </w:tcMar>
          </w:tcPr>
          <w:p w14:paraId="7A9EF2A2" w14:textId="77777777" w:rsidR="002B3EF4" w:rsidRDefault="002B3EF4" w:rsidP="002B3EF4">
            <w:pPr>
              <w:pStyle w:val="Textpoznpodarou"/>
              <w:jc w:val="both"/>
              <w:rPr>
                <w:spacing w:val="-4"/>
              </w:rPr>
            </w:pPr>
          </w:p>
        </w:tc>
        <w:tc>
          <w:tcPr>
            <w:tcW w:w="7501" w:type="dxa"/>
            <w:shd w:val="clear" w:color="auto" w:fill="auto"/>
            <w:tcMar>
              <w:left w:w="0" w:type="dxa"/>
            </w:tcMar>
          </w:tcPr>
          <w:p w14:paraId="3ECF3D6B" w14:textId="77777777" w:rsidR="002B3EF4" w:rsidRDefault="002B3EF4" w:rsidP="002B3EF4">
            <w:r>
              <w:t>Dynamika úvěrů poskytnutých v jednotlivých odvětvích opět odrážela situaci v reálné ekonomice. Zpracovatelský průmysl si udržel solidní tempo (meziroční nárůst úvěrů o 6,4</w:t>
            </w:r>
            <w:r w:rsidR="00870ECD">
              <w:t> %</w:t>
            </w:r>
            <w:r>
              <w:t>). Stavebnictví se stále dařilo, což se projevilo na dvouciferném růstu výše poskytnutých úvěrů (13,7</w:t>
            </w:r>
            <w:r w:rsidR="00870ECD">
              <w:t> %</w:t>
            </w:r>
            <w:r>
              <w:t xml:space="preserve">). Silně rostly také úvěry poskytnuté v informačních </w:t>
            </w:r>
            <w:r w:rsidR="00CB64E1">
              <w:t>a </w:t>
            </w:r>
            <w:r>
              <w:t>komunikačních činnostech (17,4</w:t>
            </w:r>
            <w:r w:rsidR="00870ECD">
              <w:t> %</w:t>
            </w:r>
            <w:r>
              <w:t>). Růst objemu úvěrů a pohledávek nefinančních podniků se i v 1. čtvrtletí 2019 soustředil do úvěrů se střednědobou splatností (17,6 %) a zejména do úvěrů v cizí měně. Celkově tyto půjčky dosáhly 31,6 % z celkového objemu úvěrů pro nefinanční podniky. Krátkodobé úvěry v cizí měně tvořily 30,9</w:t>
            </w:r>
            <w:r w:rsidR="00870ECD">
              <w:t> %</w:t>
            </w:r>
            <w:r>
              <w:t xml:space="preserve"> ze všech krátkodobých úvěrů, podíl střednědobých úvěrů v cizí měně v 1. čt</w:t>
            </w:r>
            <w:r w:rsidR="00D75AC1">
              <w:t>vrtletí poprvé překonal 40</w:t>
            </w:r>
            <w:r w:rsidR="00870ECD">
              <w:t> %</w:t>
            </w:r>
            <w:r w:rsidR="00D75AC1">
              <w:t>.</w:t>
            </w:r>
          </w:p>
        </w:tc>
      </w:tr>
      <w:tr w:rsidR="002B3EF4" w:rsidRPr="009110F7" w14:paraId="3A9FC687" w14:textId="77777777" w:rsidTr="001125EF">
        <w:trPr>
          <w:trHeight w:val="304"/>
        </w:trPr>
        <w:tc>
          <w:tcPr>
            <w:tcW w:w="1888" w:type="dxa"/>
            <w:vMerge w:val="restart"/>
            <w:shd w:val="clear" w:color="auto" w:fill="auto"/>
            <w:tcMar>
              <w:left w:w="0" w:type="dxa"/>
            </w:tcMar>
          </w:tcPr>
          <w:p w14:paraId="108DA6D4" w14:textId="77777777" w:rsidR="002B3EF4" w:rsidRDefault="002B3EF4" w:rsidP="002B3EF4">
            <w:pPr>
              <w:pStyle w:val="Marginlie"/>
            </w:pPr>
          </w:p>
        </w:tc>
        <w:tc>
          <w:tcPr>
            <w:tcW w:w="250" w:type="dxa"/>
            <w:vMerge w:val="restart"/>
            <w:shd w:val="clear" w:color="auto" w:fill="auto"/>
            <w:tcMar>
              <w:left w:w="0" w:type="dxa"/>
            </w:tcMar>
          </w:tcPr>
          <w:p w14:paraId="2545D255" w14:textId="77777777" w:rsidR="002B3EF4" w:rsidRDefault="002B3EF4" w:rsidP="002B3EF4">
            <w:pPr>
              <w:pStyle w:val="Textpoznpodarou"/>
              <w:jc w:val="both"/>
              <w:rPr>
                <w:spacing w:val="-4"/>
              </w:rPr>
            </w:pPr>
          </w:p>
        </w:tc>
        <w:tc>
          <w:tcPr>
            <w:tcW w:w="7501" w:type="dxa"/>
            <w:shd w:val="clear" w:color="auto" w:fill="auto"/>
            <w:tcMar>
              <w:left w:w="0" w:type="dxa"/>
            </w:tcMar>
          </w:tcPr>
          <w:p w14:paraId="02A2CD04" w14:textId="77777777" w:rsidR="002B3EF4" w:rsidRPr="00D75AC1" w:rsidRDefault="002B3EF4" w:rsidP="00935DFE">
            <w:pPr>
              <w:spacing w:after="0"/>
              <w:rPr>
                <w:szCs w:val="20"/>
              </w:rPr>
            </w:pPr>
            <w:r w:rsidRPr="00D75AC1">
              <w:rPr>
                <w:rFonts w:cs="Arial"/>
                <w:b/>
                <w:bCs/>
                <w:color w:val="000000"/>
                <w:szCs w:val="20"/>
              </w:rPr>
              <w:t>Graf č. 1</w:t>
            </w:r>
            <w:r w:rsidR="00935DFE" w:rsidRPr="00D75AC1">
              <w:rPr>
                <w:rFonts w:cs="Arial"/>
                <w:b/>
                <w:bCs/>
                <w:color w:val="000000"/>
                <w:szCs w:val="20"/>
              </w:rPr>
              <w:t>6</w:t>
            </w:r>
            <w:r w:rsidRPr="00D75AC1">
              <w:rPr>
                <w:rFonts w:cs="Arial"/>
                <w:b/>
                <w:bCs/>
                <w:color w:val="000000"/>
                <w:szCs w:val="20"/>
              </w:rPr>
              <w:t xml:space="preserve">  </w:t>
            </w:r>
            <w:r w:rsidRPr="00D75AC1">
              <w:rPr>
                <w:b/>
                <w:spacing w:val="-4"/>
                <w:szCs w:val="20"/>
              </w:rPr>
              <w:t xml:space="preserve">Tržní úrokové sazby </w:t>
            </w:r>
            <w:r w:rsidRPr="00D75AC1">
              <w:rPr>
                <w:spacing w:val="-4"/>
                <w:szCs w:val="20"/>
              </w:rPr>
              <w:t>(v %)</w:t>
            </w:r>
          </w:p>
        </w:tc>
      </w:tr>
      <w:tr w:rsidR="002B3EF4" w:rsidRPr="009110F7" w14:paraId="3D9F5F63" w14:textId="77777777" w:rsidTr="001125EF">
        <w:trPr>
          <w:trHeight w:val="170"/>
        </w:trPr>
        <w:tc>
          <w:tcPr>
            <w:tcW w:w="1888" w:type="dxa"/>
            <w:vMerge/>
            <w:shd w:val="clear" w:color="auto" w:fill="auto"/>
            <w:tcMar>
              <w:left w:w="0" w:type="dxa"/>
            </w:tcMar>
          </w:tcPr>
          <w:p w14:paraId="1E900C1A" w14:textId="77777777" w:rsidR="002B3EF4" w:rsidRPr="009110F7" w:rsidRDefault="002B3EF4" w:rsidP="002B3EF4">
            <w:pPr>
              <w:pStyle w:val="Marginlie"/>
            </w:pPr>
          </w:p>
        </w:tc>
        <w:tc>
          <w:tcPr>
            <w:tcW w:w="250" w:type="dxa"/>
            <w:vMerge/>
            <w:shd w:val="clear" w:color="auto" w:fill="auto"/>
            <w:tcMar>
              <w:left w:w="0" w:type="dxa"/>
            </w:tcMar>
          </w:tcPr>
          <w:p w14:paraId="172D10DF" w14:textId="77777777" w:rsidR="002B3EF4" w:rsidRPr="009110F7" w:rsidRDefault="002B3EF4" w:rsidP="002B3EF4">
            <w:pPr>
              <w:pStyle w:val="Textpoznpodarou"/>
              <w:jc w:val="both"/>
              <w:rPr>
                <w:spacing w:val="-4"/>
              </w:rPr>
            </w:pPr>
          </w:p>
        </w:tc>
        <w:tc>
          <w:tcPr>
            <w:tcW w:w="7501" w:type="dxa"/>
            <w:shd w:val="clear" w:color="auto" w:fill="auto"/>
            <w:tcMar>
              <w:left w:w="0" w:type="dxa"/>
            </w:tcMar>
          </w:tcPr>
          <w:p w14:paraId="36ED032B" w14:textId="77777777" w:rsidR="002B3EF4" w:rsidRPr="009110F7" w:rsidRDefault="002B3EF4" w:rsidP="002B3EF4">
            <w:pPr>
              <w:spacing w:after="0"/>
              <w:rPr>
                <w:sz w:val="14"/>
                <w:szCs w:val="14"/>
              </w:rPr>
            </w:pPr>
            <w:r>
              <w:rPr>
                <w:noProof/>
              </w:rPr>
              <w:drawing>
                <wp:inline distT="0" distB="0" distL="0" distR="0" wp14:anchorId="40839552" wp14:editId="130451BE">
                  <wp:extent cx="4737600" cy="3553200"/>
                  <wp:effectExtent l="0" t="0" r="635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2B3EF4" w:rsidRPr="009110F7" w14:paraId="1A0EACFC" w14:textId="77777777" w:rsidTr="001125EF">
        <w:trPr>
          <w:trHeight w:val="170"/>
        </w:trPr>
        <w:tc>
          <w:tcPr>
            <w:tcW w:w="1888" w:type="dxa"/>
            <w:vMerge/>
            <w:shd w:val="clear" w:color="auto" w:fill="auto"/>
            <w:tcMar>
              <w:left w:w="0" w:type="dxa"/>
            </w:tcMar>
          </w:tcPr>
          <w:p w14:paraId="261B3FD8" w14:textId="77777777" w:rsidR="002B3EF4" w:rsidRPr="009110F7" w:rsidRDefault="002B3EF4" w:rsidP="002B3EF4">
            <w:pPr>
              <w:pStyle w:val="Marginlie"/>
            </w:pPr>
          </w:p>
        </w:tc>
        <w:tc>
          <w:tcPr>
            <w:tcW w:w="250" w:type="dxa"/>
            <w:vMerge/>
            <w:shd w:val="clear" w:color="auto" w:fill="auto"/>
            <w:tcMar>
              <w:left w:w="0" w:type="dxa"/>
            </w:tcMar>
          </w:tcPr>
          <w:p w14:paraId="7E6D0400" w14:textId="77777777" w:rsidR="002B3EF4" w:rsidRPr="009110F7" w:rsidRDefault="002B3EF4" w:rsidP="002B3EF4">
            <w:pPr>
              <w:pStyle w:val="Textpoznpodarou"/>
              <w:jc w:val="both"/>
              <w:rPr>
                <w:spacing w:val="-4"/>
              </w:rPr>
            </w:pPr>
          </w:p>
        </w:tc>
        <w:tc>
          <w:tcPr>
            <w:tcW w:w="7501" w:type="dxa"/>
            <w:shd w:val="clear" w:color="auto" w:fill="auto"/>
            <w:tcMar>
              <w:left w:w="0" w:type="dxa"/>
            </w:tcMar>
          </w:tcPr>
          <w:p w14:paraId="373F7F98" w14:textId="77777777" w:rsidR="002B3EF4" w:rsidRPr="009110F7" w:rsidRDefault="002B3EF4" w:rsidP="002B3EF4">
            <w:pPr>
              <w:spacing w:after="0"/>
              <w:rPr>
                <w:sz w:val="14"/>
                <w:szCs w:val="14"/>
              </w:rPr>
            </w:pPr>
            <w:r>
              <w:rPr>
                <w:sz w:val="14"/>
                <w:szCs w:val="14"/>
              </w:rPr>
              <w:t>Zdroj: ČNB</w:t>
            </w:r>
          </w:p>
        </w:tc>
      </w:tr>
    </w:tbl>
    <w:p w14:paraId="400EECF4" w14:textId="77777777" w:rsidR="00965797" w:rsidRDefault="00965797" w:rsidP="00965797">
      <w:pPr>
        <w:pStyle w:val="Nadpis11"/>
      </w:pPr>
      <w:bookmarkStart w:id="13" w:name="_Toc11320634"/>
      <w:r w:rsidRPr="009110F7">
        <w:lastRenderedPageBreak/>
        <w:t>8. Státní rozpočet</w:t>
      </w:r>
      <w:bookmarkEnd w:id="13"/>
    </w:p>
    <w:tbl>
      <w:tblPr>
        <w:tblW w:w="96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32"/>
        <w:gridCol w:w="217"/>
        <w:gridCol w:w="7720"/>
      </w:tblGrid>
      <w:tr w:rsidR="00F307CB" w:rsidRPr="003C07E6" w14:paraId="4B2BFBB5" w14:textId="77777777" w:rsidTr="000A3D9E">
        <w:trPr>
          <w:trHeight w:val="145"/>
        </w:trPr>
        <w:tc>
          <w:tcPr>
            <w:tcW w:w="1732" w:type="dxa"/>
            <w:tcBorders>
              <w:top w:val="nil"/>
              <w:left w:val="nil"/>
              <w:bottom w:val="nil"/>
              <w:right w:val="nil"/>
            </w:tcBorders>
            <w:shd w:val="clear" w:color="auto" w:fill="auto"/>
            <w:tcMar>
              <w:left w:w="0" w:type="dxa"/>
            </w:tcMar>
          </w:tcPr>
          <w:p w14:paraId="17A52954" w14:textId="77777777" w:rsidR="00F307CB" w:rsidRDefault="00F307CB" w:rsidP="000A3D9E">
            <w:pPr>
              <w:pStyle w:val="Marginlie"/>
            </w:pPr>
            <w:r>
              <w:t xml:space="preserve">Hospodaření státního rozpočtu se po šesti příznivějších letech v 1. čtvrtletí propadlo do mírného deficitu. </w:t>
            </w:r>
          </w:p>
        </w:tc>
        <w:tc>
          <w:tcPr>
            <w:tcW w:w="217" w:type="dxa"/>
            <w:tcBorders>
              <w:top w:val="nil"/>
              <w:left w:val="nil"/>
              <w:bottom w:val="nil"/>
              <w:right w:val="nil"/>
            </w:tcBorders>
            <w:shd w:val="clear" w:color="auto" w:fill="auto"/>
            <w:tcMar>
              <w:left w:w="0" w:type="dxa"/>
            </w:tcMar>
          </w:tcPr>
          <w:p w14:paraId="362F4971"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4F214A4B" w14:textId="1105748D" w:rsidR="00F307CB" w:rsidRPr="003C07E6" w:rsidRDefault="00F307CB">
            <w:pPr>
              <w:spacing w:after="220"/>
              <w:rPr>
                <w:spacing w:val="-4"/>
              </w:rPr>
            </w:pPr>
            <w:r w:rsidRPr="003C07E6">
              <w:rPr>
                <w:spacing w:val="-4"/>
              </w:rPr>
              <w:t>Státní rozpočet (SR)</w:t>
            </w:r>
            <w:r w:rsidRPr="003C07E6">
              <w:rPr>
                <w:rStyle w:val="Znakapoznpodarou"/>
                <w:spacing w:val="-4"/>
              </w:rPr>
              <w:footnoteReference w:id="44"/>
            </w:r>
            <w:r w:rsidRPr="003C07E6">
              <w:rPr>
                <w:spacing w:val="-4"/>
              </w:rPr>
              <w:t xml:space="preserve"> vykázal za 1. čtvrtletí 2019 deficit 9,2</w:t>
            </w:r>
            <w:r w:rsidR="00870ECD">
              <w:rPr>
                <w:spacing w:val="-4"/>
              </w:rPr>
              <w:t> mld</w:t>
            </w:r>
            <w:r w:rsidRPr="003C07E6">
              <w:rPr>
                <w:spacing w:val="-4"/>
              </w:rPr>
              <w:t>. korun. Ve stejném období předchozích šesti let přitom dosahoval přebytků. Na rozdíl od minulých let nebylo letošní saldo hospodaření výrazně ovlivněno finančními vztahy s rozpočtem EU</w:t>
            </w:r>
            <w:r w:rsidRPr="003C07E6">
              <w:rPr>
                <w:rStyle w:val="Znakapoznpodarou"/>
                <w:spacing w:val="-4"/>
              </w:rPr>
              <w:footnoteReference w:id="45"/>
            </w:r>
            <w:r w:rsidRPr="003C07E6">
              <w:rPr>
                <w:spacing w:val="-4"/>
              </w:rPr>
              <w:t>, neboť významnější vlivy na příjmové i výdajové straně se vzájemně kompenzovaly. Meziroční zhoršení salda SR bylo výsledkem svižného růstu výdajů (o 13,4</w:t>
            </w:r>
            <w:r w:rsidR="00870ECD">
              <w:rPr>
                <w:spacing w:val="-4"/>
              </w:rPr>
              <w:t> %</w:t>
            </w:r>
            <w:r w:rsidRPr="003C07E6">
              <w:rPr>
                <w:spacing w:val="-4"/>
              </w:rPr>
              <w:t xml:space="preserve">, </w:t>
            </w:r>
            <w:r w:rsidR="00D06B56">
              <w:rPr>
                <w:spacing w:val="-4"/>
              </w:rPr>
              <w:t>téměř dvojnásobně</w:t>
            </w:r>
            <w:r>
              <w:rPr>
                <w:spacing w:val="-4"/>
              </w:rPr>
              <w:t xml:space="preserve"> vyšší tempo</w:t>
            </w:r>
            <w:r w:rsidRPr="003C07E6">
              <w:rPr>
                <w:spacing w:val="-4"/>
              </w:rPr>
              <w:t xml:space="preserve"> oproti celoročnímu rozpočtovému očekávání) doprovázeného slábnoucí dynamikou příjmů (vč. daňového inkasa, jež reagovalo na zvolnění ekonomického růstu v loňském roce). </w:t>
            </w:r>
            <w:r w:rsidRPr="003C07E6">
              <w:rPr>
                <w:rFonts w:cs="Arial"/>
                <w:color w:val="0D0D0D" w:themeColor="text1" w:themeTint="F2"/>
                <w:spacing w:val="-4"/>
              </w:rPr>
              <w:t>Saldo SR, jež představuje dominantní položku deficitu či přebytku hospodaření sektoru vládních institucí, dosáhlo letos v</w:t>
            </w:r>
            <w:r w:rsidRPr="003C07E6">
              <w:rPr>
                <w:color w:val="0D0D0D" w:themeColor="text1" w:themeTint="F2"/>
                <w:spacing w:val="-4"/>
              </w:rPr>
              <w:t>e vztahu</w:t>
            </w:r>
            <w:r w:rsidRPr="003C07E6">
              <w:rPr>
                <w:rFonts w:cs="Arial"/>
                <w:color w:val="0D0D0D" w:themeColor="text1" w:themeTint="F2"/>
                <w:spacing w:val="-4"/>
              </w:rPr>
              <w:t xml:space="preserve"> k</w:t>
            </w:r>
            <w:r w:rsidRPr="003C07E6">
              <w:rPr>
                <w:color w:val="0D0D0D" w:themeColor="text1" w:themeTint="F2"/>
                <w:spacing w:val="-4"/>
              </w:rPr>
              <w:t> </w:t>
            </w:r>
            <w:r w:rsidR="00893EBE">
              <w:rPr>
                <w:rFonts w:cs="Arial"/>
                <w:color w:val="000000" w:themeColor="text1"/>
                <w:spacing w:val="-4"/>
              </w:rPr>
              <w:t xml:space="preserve">nominálnímu HDP </w:t>
            </w:r>
            <w:r w:rsidR="00893EBE">
              <w:rPr>
                <w:rFonts w:cs="Arial"/>
                <w:color w:val="0D0D0D" w:themeColor="text1" w:themeTint="F2"/>
                <w:spacing w:val="-4"/>
              </w:rPr>
              <w:t>–</w:t>
            </w:r>
            <w:r w:rsidRPr="003C07E6">
              <w:rPr>
                <w:rFonts w:cs="Arial"/>
                <w:color w:val="000000" w:themeColor="text1"/>
                <w:spacing w:val="-4"/>
              </w:rPr>
              <w:t>0,</w:t>
            </w:r>
            <w:r w:rsidR="008E0001">
              <w:rPr>
                <w:rFonts w:cs="Arial"/>
                <w:color w:val="000000" w:themeColor="text1"/>
                <w:spacing w:val="-4"/>
              </w:rPr>
              <w:t>7</w:t>
            </w:r>
            <w:r w:rsidRPr="003C07E6">
              <w:rPr>
                <w:rFonts w:cs="Arial"/>
                <w:color w:val="000000" w:themeColor="text1"/>
                <w:spacing w:val="-4"/>
              </w:rPr>
              <w:t> %.</w:t>
            </w:r>
          </w:p>
        </w:tc>
      </w:tr>
      <w:tr w:rsidR="00F307CB" w:rsidRPr="000B394E" w14:paraId="562FF593" w14:textId="77777777" w:rsidTr="000A3D9E">
        <w:trPr>
          <w:trHeight w:val="145"/>
        </w:trPr>
        <w:tc>
          <w:tcPr>
            <w:tcW w:w="1732" w:type="dxa"/>
            <w:tcBorders>
              <w:top w:val="nil"/>
              <w:left w:val="nil"/>
              <w:bottom w:val="nil"/>
              <w:right w:val="nil"/>
            </w:tcBorders>
            <w:shd w:val="clear" w:color="auto" w:fill="auto"/>
            <w:tcMar>
              <w:left w:w="0" w:type="dxa"/>
            </w:tcMar>
          </w:tcPr>
          <w:p w14:paraId="71642E23" w14:textId="65AD76AF" w:rsidR="00F307CB" w:rsidRDefault="00F307CB" w:rsidP="000A3D9E">
            <w:pPr>
              <w:pStyle w:val="Marginlie"/>
            </w:pPr>
            <w:r>
              <w:t>Růstové tempo celkového výběru daňového inkasa zvolnilo na čtyřleté minimum. Zároveň zaostalo za rozpočtovým očekáváním.</w:t>
            </w:r>
          </w:p>
        </w:tc>
        <w:tc>
          <w:tcPr>
            <w:tcW w:w="217" w:type="dxa"/>
            <w:tcBorders>
              <w:top w:val="nil"/>
              <w:left w:val="nil"/>
              <w:bottom w:val="nil"/>
              <w:right w:val="nil"/>
            </w:tcBorders>
            <w:shd w:val="clear" w:color="auto" w:fill="auto"/>
            <w:tcMar>
              <w:left w:w="0" w:type="dxa"/>
            </w:tcMar>
          </w:tcPr>
          <w:p w14:paraId="2B4AD752"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71334020" w14:textId="6EEF1901" w:rsidR="00F307CB" w:rsidRPr="000B394E" w:rsidRDefault="00F307CB" w:rsidP="000A3D9E">
            <w:pPr>
              <w:spacing w:after="220"/>
              <w:rPr>
                <w:spacing w:val="-4"/>
              </w:rPr>
            </w:pPr>
            <w:r>
              <w:rPr>
                <w:spacing w:val="-4"/>
              </w:rPr>
              <w:t>K meziročnímu růstu příjmů SR (o 5,4</w:t>
            </w:r>
            <w:r w:rsidR="00870ECD">
              <w:rPr>
                <w:spacing w:val="-4"/>
              </w:rPr>
              <w:t> %</w:t>
            </w:r>
            <w:r>
              <w:rPr>
                <w:spacing w:val="-4"/>
              </w:rPr>
              <w:t>) přispěly letos zejména vyšší daňové příjmy (+13,6</w:t>
            </w:r>
            <w:r w:rsidR="00870ECD">
              <w:rPr>
                <w:spacing w:val="-4"/>
              </w:rPr>
              <w:t> mld</w:t>
            </w:r>
            <w:r>
              <w:rPr>
                <w:spacing w:val="-4"/>
              </w:rPr>
              <w:t>. korun). Zčásti se podílely i nedaňové a kapitálové příjmy a transfery (+5,0</w:t>
            </w:r>
            <w:r w:rsidR="00870ECD">
              <w:rPr>
                <w:spacing w:val="-4"/>
              </w:rPr>
              <w:t> mld</w:t>
            </w:r>
            <w:r>
              <w:rPr>
                <w:spacing w:val="-4"/>
              </w:rPr>
              <w:t>.), neboť pokles samotných příjmů z rozpočtu EU (o třetinu, resp. 15,3</w:t>
            </w:r>
            <w:r w:rsidR="00870ECD">
              <w:rPr>
                <w:spacing w:val="-4"/>
              </w:rPr>
              <w:t> mld</w:t>
            </w:r>
            <w:r>
              <w:rPr>
                <w:spacing w:val="-4"/>
              </w:rPr>
              <w:t>. korun)</w:t>
            </w:r>
            <w:r>
              <w:rPr>
                <w:rStyle w:val="Znakapoznpodarou"/>
                <w:bCs/>
              </w:rPr>
              <w:footnoteReference w:id="46"/>
            </w:r>
            <w:r>
              <w:rPr>
                <w:spacing w:val="-4"/>
              </w:rPr>
              <w:t xml:space="preserve"> byl kompenzován jednorázovým převodem 18,0</w:t>
            </w:r>
            <w:r w:rsidR="00870ECD">
              <w:rPr>
                <w:spacing w:val="-4"/>
              </w:rPr>
              <w:t> mld</w:t>
            </w:r>
            <w:r>
              <w:rPr>
                <w:spacing w:val="-4"/>
              </w:rPr>
              <w:t>. korun z privatizačního účtu. Růstové tempo celostátního daňového inkasa (bez pojistného) citelně zvolnilo – na 3,</w:t>
            </w:r>
            <w:r w:rsidR="00D06B56">
              <w:rPr>
                <w:spacing w:val="-4"/>
              </w:rPr>
              <w:t>2</w:t>
            </w:r>
            <w:r w:rsidR="00870ECD">
              <w:rPr>
                <w:spacing w:val="-4"/>
              </w:rPr>
              <w:t> %</w:t>
            </w:r>
            <w:r>
              <w:rPr>
                <w:spacing w:val="-4"/>
              </w:rPr>
              <w:t xml:space="preserve"> (z 9,1</w:t>
            </w:r>
            <w:r w:rsidR="00870ECD">
              <w:rPr>
                <w:spacing w:val="-4"/>
              </w:rPr>
              <w:t> %</w:t>
            </w:r>
            <w:r>
              <w:rPr>
                <w:spacing w:val="-4"/>
              </w:rPr>
              <w:t xml:space="preserve"> z 1. čtvrtletí 2018). Šlo o nejnižší tempo </w:t>
            </w:r>
            <w:r w:rsidR="0048686D">
              <w:rPr>
                <w:spacing w:val="-4"/>
              </w:rPr>
              <w:t xml:space="preserve">za </w:t>
            </w:r>
            <w:r>
              <w:rPr>
                <w:spacing w:val="-4"/>
              </w:rPr>
              <w:t>poslední čtyři roky. Oslabila i dynamika výběru pojistného na sociální zabezpečení (z 10,2</w:t>
            </w:r>
            <w:r w:rsidR="00870ECD">
              <w:rPr>
                <w:spacing w:val="-4"/>
              </w:rPr>
              <w:t> %</w:t>
            </w:r>
            <w:r>
              <w:rPr>
                <w:spacing w:val="-4"/>
              </w:rPr>
              <w:t xml:space="preserve"> na 7,6</w:t>
            </w:r>
            <w:r w:rsidR="00870ECD">
              <w:rPr>
                <w:spacing w:val="-4"/>
              </w:rPr>
              <w:t> %</w:t>
            </w:r>
            <w:r>
              <w:rPr>
                <w:spacing w:val="-4"/>
              </w:rPr>
              <w:t>), což korespondovalo s</w:t>
            </w:r>
            <w:r w:rsidR="00B5642C">
              <w:rPr>
                <w:spacing w:val="-4"/>
              </w:rPr>
              <w:t xml:space="preserve"> mírným</w:t>
            </w:r>
            <w:r>
              <w:rPr>
                <w:spacing w:val="-4"/>
              </w:rPr>
              <w:t xml:space="preserve"> zpomalením růstu zaměstnanosti v ekonomice i </w:t>
            </w:r>
            <w:r w:rsidR="0048686D">
              <w:rPr>
                <w:spacing w:val="-4"/>
              </w:rPr>
              <w:t xml:space="preserve">s pravděpodobným loňským </w:t>
            </w:r>
            <w:r>
              <w:rPr>
                <w:spacing w:val="-4"/>
              </w:rPr>
              <w:t>dosažení</w:t>
            </w:r>
            <w:r w:rsidR="0048686D">
              <w:rPr>
                <w:spacing w:val="-4"/>
              </w:rPr>
              <w:t>m</w:t>
            </w:r>
            <w:r>
              <w:rPr>
                <w:spacing w:val="-4"/>
              </w:rPr>
              <w:t xml:space="preserve"> vrcholu u dynamiky průměrných mezd. Tempo růstu výběru pojistného v 1. čtvrtletí zůstalo, podobně jako drtivá většina váhově významných daňových příjmů, za </w:t>
            </w:r>
            <w:r w:rsidR="00B5642C">
              <w:rPr>
                <w:spacing w:val="-4"/>
              </w:rPr>
              <w:t xml:space="preserve">celoročním </w:t>
            </w:r>
            <w:r>
              <w:rPr>
                <w:spacing w:val="-4"/>
              </w:rPr>
              <w:t>rozpočtovým očekáváním.</w:t>
            </w:r>
          </w:p>
        </w:tc>
      </w:tr>
      <w:tr w:rsidR="00F307CB" w:rsidRPr="00F704D2" w14:paraId="5D3CBECC" w14:textId="77777777" w:rsidTr="000A3D9E">
        <w:trPr>
          <w:trHeight w:val="170"/>
        </w:trPr>
        <w:tc>
          <w:tcPr>
            <w:tcW w:w="1732" w:type="dxa"/>
            <w:vMerge w:val="restart"/>
            <w:tcBorders>
              <w:top w:val="nil"/>
              <w:left w:val="nil"/>
              <w:bottom w:val="nil"/>
              <w:right w:val="nil"/>
            </w:tcBorders>
            <w:shd w:val="clear" w:color="auto" w:fill="auto"/>
            <w:tcMar>
              <w:left w:w="0" w:type="dxa"/>
            </w:tcMar>
          </w:tcPr>
          <w:p w14:paraId="08ECDC40" w14:textId="77777777" w:rsidR="00F307CB" w:rsidRDefault="00F307CB" w:rsidP="000A3D9E">
            <w:pPr>
              <w:pStyle w:val="Marginlie"/>
            </w:pPr>
          </w:p>
        </w:tc>
        <w:tc>
          <w:tcPr>
            <w:tcW w:w="217" w:type="dxa"/>
            <w:vMerge w:val="restart"/>
            <w:tcBorders>
              <w:top w:val="nil"/>
              <w:left w:val="nil"/>
              <w:bottom w:val="nil"/>
              <w:right w:val="nil"/>
            </w:tcBorders>
            <w:shd w:val="clear" w:color="auto" w:fill="auto"/>
            <w:tcMar>
              <w:left w:w="0" w:type="dxa"/>
            </w:tcMar>
          </w:tcPr>
          <w:p w14:paraId="01CA408C"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471ADE4D" w14:textId="77777777" w:rsidR="00F307CB" w:rsidRDefault="00F307CB" w:rsidP="000A3D9E">
            <w:pPr>
              <w:spacing w:after="0" w:line="240" w:lineRule="auto"/>
              <w:rPr>
                <w:rFonts w:cs="Arial"/>
                <w:bCs/>
              </w:rPr>
            </w:pPr>
            <w:r w:rsidRPr="00C06323">
              <w:rPr>
                <w:rFonts w:cs="Arial"/>
                <w:b/>
                <w:bCs/>
                <w:color w:val="000000"/>
                <w:szCs w:val="20"/>
              </w:rPr>
              <w:t xml:space="preserve">Graf č. </w:t>
            </w:r>
            <w:r w:rsidR="001208E3">
              <w:rPr>
                <w:rFonts w:cs="Arial"/>
                <w:b/>
                <w:bCs/>
                <w:color w:val="000000"/>
                <w:szCs w:val="20"/>
              </w:rPr>
              <w:t>17</w:t>
            </w:r>
            <w:r w:rsidRPr="00631BC9">
              <w:rPr>
                <w:rFonts w:cs="Arial"/>
                <w:b/>
                <w:bCs/>
                <w:color w:val="000000"/>
                <w:sz w:val="18"/>
                <w:szCs w:val="18"/>
              </w:rPr>
              <w:t xml:space="preserve"> </w:t>
            </w:r>
            <w:r>
              <w:rPr>
                <w:rFonts w:cs="Arial"/>
                <w:b/>
                <w:bCs/>
                <w:color w:val="000000"/>
                <w:sz w:val="18"/>
                <w:szCs w:val="18"/>
              </w:rPr>
              <w:t xml:space="preserve"> </w:t>
            </w:r>
            <w:r>
              <w:rPr>
                <w:rFonts w:cs="Arial"/>
                <w:b/>
                <w:bCs/>
              </w:rPr>
              <w:t xml:space="preserve">Celostátní inkasa vybraných daňových příjmů </w:t>
            </w:r>
            <w:r>
              <w:rPr>
                <w:rFonts w:cs="Arial"/>
                <w:bCs/>
              </w:rPr>
              <w:t>(</w:t>
            </w:r>
            <w:r w:rsidRPr="00E62A33">
              <w:rPr>
                <w:spacing w:val="-2"/>
              </w:rPr>
              <w:t>meziročně</w:t>
            </w:r>
            <w:r w:rsidRPr="00E62A33">
              <w:rPr>
                <w:bCs/>
                <w:spacing w:val="-2"/>
              </w:rPr>
              <w:t xml:space="preserve"> v</w:t>
            </w:r>
            <w:r>
              <w:rPr>
                <w:bCs/>
                <w:spacing w:val="-2"/>
              </w:rPr>
              <w:t> %</w:t>
            </w:r>
            <w:r w:rsidRPr="00E62A33">
              <w:rPr>
                <w:bCs/>
                <w:spacing w:val="-2"/>
              </w:rPr>
              <w:t>)</w:t>
            </w:r>
          </w:p>
          <w:p w14:paraId="6CCF0697" w14:textId="77777777" w:rsidR="00F307CB" w:rsidRPr="00F704D2" w:rsidRDefault="00F307CB" w:rsidP="000A3D9E">
            <w:pPr>
              <w:spacing w:after="40" w:line="240" w:lineRule="auto"/>
              <w:jc w:val="left"/>
              <w:rPr>
                <w:rFonts w:cs="Arial"/>
                <w:bCs/>
              </w:rPr>
            </w:pPr>
            <w:r>
              <w:rPr>
                <w:rFonts w:cs="Arial"/>
                <w:b/>
                <w:bCs/>
              </w:rPr>
              <w:t>a saldo státního rozpočtu</w:t>
            </w:r>
            <w:r>
              <w:t xml:space="preserve"> </w:t>
            </w:r>
            <w:r>
              <w:rPr>
                <w:rFonts w:cs="Arial"/>
                <w:bCs/>
              </w:rPr>
              <w:t>(v mld. korun)</w:t>
            </w:r>
          </w:p>
        </w:tc>
      </w:tr>
      <w:tr w:rsidR="00F307CB" w14:paraId="6FF03404" w14:textId="77777777" w:rsidTr="000A3D9E">
        <w:tblPrEx>
          <w:tblCellMar>
            <w:left w:w="70" w:type="dxa"/>
            <w:right w:w="70" w:type="dxa"/>
          </w:tblCellMar>
        </w:tblPrEx>
        <w:trPr>
          <w:trHeight w:val="170"/>
        </w:trPr>
        <w:tc>
          <w:tcPr>
            <w:tcW w:w="1732" w:type="dxa"/>
            <w:vMerge/>
            <w:tcBorders>
              <w:top w:val="nil"/>
              <w:left w:val="nil"/>
              <w:bottom w:val="nil"/>
              <w:right w:val="nil"/>
            </w:tcBorders>
            <w:shd w:val="clear" w:color="auto" w:fill="auto"/>
          </w:tcPr>
          <w:p w14:paraId="7E708055" w14:textId="77777777" w:rsidR="00F307CB" w:rsidRDefault="00F307CB" w:rsidP="000A3D9E">
            <w:pPr>
              <w:pStyle w:val="Marginlie"/>
            </w:pPr>
          </w:p>
        </w:tc>
        <w:tc>
          <w:tcPr>
            <w:tcW w:w="217" w:type="dxa"/>
            <w:vMerge/>
            <w:tcBorders>
              <w:top w:val="nil"/>
              <w:left w:val="nil"/>
              <w:bottom w:val="nil"/>
              <w:right w:val="nil"/>
            </w:tcBorders>
            <w:shd w:val="clear" w:color="auto" w:fill="auto"/>
          </w:tcPr>
          <w:p w14:paraId="3CF8301F"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Pr>
          <w:p w14:paraId="185AD6D4" w14:textId="77777777" w:rsidR="00F307CB" w:rsidRDefault="00F307CB" w:rsidP="000A3D9E">
            <w:pPr>
              <w:spacing w:after="0"/>
            </w:pPr>
            <w:r>
              <w:rPr>
                <w:noProof/>
              </w:rPr>
              <w:drawing>
                <wp:inline distT="0" distB="0" distL="0" distR="0" wp14:anchorId="27C0AF88" wp14:editId="47FCCD49">
                  <wp:extent cx="4741545" cy="3426032"/>
                  <wp:effectExtent l="0" t="0" r="1905" b="317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F307CB" w:rsidRPr="007B3A78" w14:paraId="1BAB043A" w14:textId="77777777" w:rsidTr="000A3D9E">
        <w:trPr>
          <w:trHeight w:val="170"/>
        </w:trPr>
        <w:tc>
          <w:tcPr>
            <w:tcW w:w="1732" w:type="dxa"/>
            <w:vMerge/>
            <w:tcBorders>
              <w:top w:val="nil"/>
              <w:left w:val="nil"/>
              <w:bottom w:val="nil"/>
              <w:right w:val="nil"/>
            </w:tcBorders>
            <w:shd w:val="clear" w:color="auto" w:fill="auto"/>
            <w:tcMar>
              <w:left w:w="0" w:type="dxa"/>
            </w:tcMar>
          </w:tcPr>
          <w:p w14:paraId="6D0875B6" w14:textId="77777777" w:rsidR="00F307CB" w:rsidRDefault="00F307CB" w:rsidP="000A3D9E">
            <w:pPr>
              <w:pStyle w:val="Marginlie"/>
            </w:pPr>
          </w:p>
        </w:tc>
        <w:tc>
          <w:tcPr>
            <w:tcW w:w="217" w:type="dxa"/>
            <w:vMerge/>
            <w:tcBorders>
              <w:top w:val="nil"/>
              <w:left w:val="nil"/>
              <w:bottom w:val="nil"/>
              <w:right w:val="nil"/>
            </w:tcBorders>
            <w:shd w:val="clear" w:color="auto" w:fill="auto"/>
            <w:tcMar>
              <w:left w:w="0" w:type="dxa"/>
            </w:tcMar>
          </w:tcPr>
          <w:p w14:paraId="7898B57C"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15774551" w14:textId="77777777" w:rsidR="00F307CB" w:rsidRPr="007B3A78" w:rsidRDefault="00F307CB" w:rsidP="000A3D9E">
            <w:pPr>
              <w:spacing w:after="200" w:line="240" w:lineRule="auto"/>
              <w:jc w:val="left"/>
              <w:rPr>
                <w:rFonts w:cs="Arial"/>
                <w:sz w:val="14"/>
                <w:szCs w:val="14"/>
              </w:rPr>
            </w:pPr>
            <w:r>
              <w:rPr>
                <w:sz w:val="14"/>
                <w:szCs w:val="14"/>
              </w:rPr>
              <w:t>Zdroj: MF ČR</w:t>
            </w:r>
          </w:p>
        </w:tc>
      </w:tr>
      <w:tr w:rsidR="00F307CB" w:rsidRPr="008266F0" w14:paraId="5C0794C4" w14:textId="77777777" w:rsidTr="000A3D9E">
        <w:trPr>
          <w:trHeight w:val="145"/>
        </w:trPr>
        <w:tc>
          <w:tcPr>
            <w:tcW w:w="1732" w:type="dxa"/>
            <w:tcBorders>
              <w:top w:val="nil"/>
              <w:left w:val="nil"/>
              <w:bottom w:val="nil"/>
              <w:right w:val="nil"/>
            </w:tcBorders>
            <w:shd w:val="clear" w:color="auto" w:fill="auto"/>
            <w:tcMar>
              <w:left w:w="0" w:type="dxa"/>
            </w:tcMar>
          </w:tcPr>
          <w:p w14:paraId="0ACDE9B5" w14:textId="77777777" w:rsidR="00F307CB" w:rsidRDefault="00F307CB" w:rsidP="000A3D9E">
            <w:pPr>
              <w:pStyle w:val="Marginlie"/>
            </w:pPr>
            <w:r>
              <w:lastRenderedPageBreak/>
              <w:t>Výběr DPH i vlivem slabší spotřeby vládního sektoru meziročně stagnoval. Pokles inkasa spotřebních daní byl negativně ovlivněn výběrem u tabákových výrobků.</w:t>
            </w:r>
          </w:p>
        </w:tc>
        <w:tc>
          <w:tcPr>
            <w:tcW w:w="217" w:type="dxa"/>
            <w:tcBorders>
              <w:top w:val="nil"/>
              <w:left w:val="nil"/>
              <w:bottom w:val="nil"/>
              <w:right w:val="nil"/>
            </w:tcBorders>
            <w:shd w:val="clear" w:color="auto" w:fill="auto"/>
            <w:tcMar>
              <w:left w:w="0" w:type="dxa"/>
            </w:tcMar>
          </w:tcPr>
          <w:p w14:paraId="188B86EB"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3BC3A7C2" w14:textId="3DDB3C8F" w:rsidR="00F307CB" w:rsidRPr="008266F0" w:rsidRDefault="00F307CB">
            <w:pPr>
              <w:spacing w:after="220"/>
            </w:pPr>
            <w:r>
              <w:rPr>
                <w:spacing w:val="-4"/>
              </w:rPr>
              <w:t>Celostátní inkaso DPH – váhově dominantní daně – v 1. čtvrtletí meziročně fakticky stagnovalo</w:t>
            </w:r>
            <w:r w:rsidRPr="003C07E6">
              <w:rPr>
                <w:rStyle w:val="Znakapoznpodarou"/>
                <w:spacing w:val="-4"/>
              </w:rPr>
              <w:footnoteReference w:id="47"/>
            </w:r>
            <w:r>
              <w:rPr>
                <w:spacing w:val="-4"/>
              </w:rPr>
              <w:t xml:space="preserve">. Projevilo se patrně </w:t>
            </w:r>
            <w:r w:rsidR="00EE7179">
              <w:rPr>
                <w:spacing w:val="-4"/>
              </w:rPr>
              <w:t xml:space="preserve">mírné </w:t>
            </w:r>
            <w:r>
              <w:rPr>
                <w:spacing w:val="-4"/>
              </w:rPr>
              <w:t xml:space="preserve">zpomalení </w:t>
            </w:r>
            <w:r w:rsidR="00971B87">
              <w:rPr>
                <w:spacing w:val="-4"/>
              </w:rPr>
              <w:t xml:space="preserve">nominálního tempa </w:t>
            </w:r>
            <w:r>
              <w:rPr>
                <w:spacing w:val="-4"/>
              </w:rPr>
              <w:t xml:space="preserve">výdajů na konečnou spotřebu (více u vládních institucí než </w:t>
            </w:r>
            <w:r w:rsidR="00EE7179">
              <w:rPr>
                <w:spacing w:val="-4"/>
              </w:rPr>
              <w:t>u </w:t>
            </w:r>
            <w:r>
              <w:rPr>
                <w:spacing w:val="-4"/>
              </w:rPr>
              <w:t xml:space="preserve">domácností). </w:t>
            </w:r>
            <w:r w:rsidR="00971B87">
              <w:rPr>
                <w:spacing w:val="-4"/>
              </w:rPr>
              <w:t>V</w:t>
            </w:r>
            <w:r>
              <w:rPr>
                <w:spacing w:val="-4"/>
              </w:rPr>
              <w:t xml:space="preserve">liv mělo také </w:t>
            </w:r>
            <w:r w:rsidR="00971B87">
              <w:rPr>
                <w:spacing w:val="-4"/>
              </w:rPr>
              <w:t xml:space="preserve">meziroční </w:t>
            </w:r>
            <w:r>
              <w:rPr>
                <w:spacing w:val="-4"/>
              </w:rPr>
              <w:t>snížení</w:t>
            </w:r>
            <w:r>
              <w:t xml:space="preserve"> objemu zadržovaných nadměrných odpočtů orgány finanční správy i zavedení nižší sazby DPH na pravidelnou hromadnou dopravu. Ze všech spotřebních daní získal SR meziročně o</w:t>
            </w:r>
            <w:r>
              <w:rPr>
                <w:spacing w:val="-4"/>
              </w:rPr>
              <w:t> </w:t>
            </w:r>
            <w:r>
              <w:t>4,1</w:t>
            </w:r>
            <w:r w:rsidR="00870ECD">
              <w:t> %</w:t>
            </w:r>
            <w:r>
              <w:t xml:space="preserve"> méně, téměř výhradně vlivem propadu inkasa z tabákových výrobků. Projevilo se zde předzásobení prodejců produkty se staršími tabákovými nálepkami na sklonku loňského roku a také skutečnost, že v roce 2019 se nepočítá se zvyšování</w:t>
            </w:r>
            <w:r w:rsidR="00EE7179">
              <w:t>m</w:t>
            </w:r>
            <w:r>
              <w:t xml:space="preserve"> sazeb této daně (podobná situace nastala naposledy v roce 2011). </w:t>
            </w:r>
            <w:r w:rsidR="00EB7BAC">
              <w:t xml:space="preserve">Tempo </w:t>
            </w:r>
            <w:r w:rsidR="00EB7BAC">
              <w:rPr>
                <w:rFonts w:cs="Arial"/>
                <w:color w:val="000000" w:themeColor="text1"/>
                <w:spacing w:val="-4"/>
                <w:szCs w:val="20"/>
              </w:rPr>
              <w:t>v</w:t>
            </w:r>
            <w:r>
              <w:rPr>
                <w:rFonts w:cs="Arial"/>
                <w:color w:val="000000" w:themeColor="text1"/>
                <w:spacing w:val="-4"/>
              </w:rPr>
              <w:t>ýběr</w:t>
            </w:r>
            <w:r w:rsidR="00EB7BAC">
              <w:rPr>
                <w:rFonts w:cs="Arial"/>
                <w:color w:val="000000" w:themeColor="text1"/>
                <w:spacing w:val="-4"/>
              </w:rPr>
              <w:t>u</w:t>
            </w:r>
            <w:r>
              <w:rPr>
                <w:rFonts w:cs="Arial"/>
                <w:color w:val="000000" w:themeColor="text1"/>
                <w:spacing w:val="-4"/>
              </w:rPr>
              <w:t xml:space="preserve"> váhově dominantní skupiny</w:t>
            </w:r>
            <w:r w:rsidRPr="009D4D1C">
              <w:rPr>
                <w:rFonts w:cs="Arial"/>
                <w:color w:val="000000" w:themeColor="text1"/>
                <w:spacing w:val="-4"/>
              </w:rPr>
              <w:t xml:space="preserve"> </w:t>
            </w:r>
            <w:r>
              <w:rPr>
                <w:rFonts w:cs="Arial"/>
                <w:color w:val="000000" w:themeColor="text1"/>
                <w:spacing w:val="-4"/>
              </w:rPr>
              <w:t xml:space="preserve">spotřební </w:t>
            </w:r>
            <w:r w:rsidRPr="009D4D1C">
              <w:rPr>
                <w:rFonts w:cs="Arial"/>
                <w:color w:val="000000" w:themeColor="text1"/>
                <w:spacing w:val="-4"/>
              </w:rPr>
              <w:t>daně –</w:t>
            </w:r>
            <w:r>
              <w:rPr>
                <w:rFonts w:cs="Arial"/>
                <w:color w:val="000000" w:themeColor="text1"/>
                <w:spacing w:val="-4"/>
              </w:rPr>
              <w:t xml:space="preserve"> </w:t>
            </w:r>
            <w:r w:rsidRPr="009D4D1C">
              <w:rPr>
                <w:rFonts w:cs="Arial"/>
                <w:color w:val="000000" w:themeColor="text1"/>
                <w:spacing w:val="-4"/>
              </w:rPr>
              <w:t>z minerálních ole</w:t>
            </w:r>
            <w:r>
              <w:rPr>
                <w:rFonts w:cs="Arial"/>
                <w:color w:val="000000" w:themeColor="text1"/>
                <w:spacing w:val="-4"/>
              </w:rPr>
              <w:t>jů – byl</w:t>
            </w:r>
            <w:r w:rsidR="00EB7BAC">
              <w:rPr>
                <w:rFonts w:cs="Arial"/>
                <w:color w:val="000000" w:themeColor="text1"/>
                <w:spacing w:val="-4"/>
              </w:rPr>
              <w:t>o</w:t>
            </w:r>
            <w:r>
              <w:rPr>
                <w:rFonts w:cs="Arial"/>
                <w:color w:val="000000" w:themeColor="text1"/>
                <w:spacing w:val="-4"/>
              </w:rPr>
              <w:t xml:space="preserve"> letos, podobně jako loni, jen mír</w:t>
            </w:r>
            <w:r w:rsidR="00EB7BAC">
              <w:rPr>
                <w:rFonts w:cs="Arial"/>
                <w:color w:val="000000" w:themeColor="text1"/>
                <w:spacing w:val="-4"/>
              </w:rPr>
              <w:t>né</w:t>
            </w:r>
            <w:r>
              <w:rPr>
                <w:rFonts w:cs="Arial"/>
                <w:color w:val="000000" w:themeColor="text1"/>
                <w:spacing w:val="-4"/>
              </w:rPr>
              <w:t xml:space="preserve"> (+0,8</w:t>
            </w:r>
            <w:r>
              <w:t> </w:t>
            </w:r>
            <w:r>
              <w:rPr>
                <w:rFonts w:cs="Arial"/>
                <w:color w:val="000000" w:themeColor="text1"/>
                <w:spacing w:val="-4"/>
              </w:rPr>
              <w:t>%)</w:t>
            </w:r>
            <w:r>
              <w:rPr>
                <w:rStyle w:val="Znakapoznpodarou"/>
                <w:color w:val="000000" w:themeColor="text1"/>
                <w:spacing w:val="-4"/>
              </w:rPr>
              <w:footnoteReference w:id="48"/>
            </w:r>
            <w:r>
              <w:rPr>
                <w:rFonts w:cs="Arial"/>
                <w:color w:val="000000" w:themeColor="text1"/>
                <w:spacing w:val="-4"/>
              </w:rPr>
              <w:t>. V</w:t>
            </w:r>
            <w:r w:rsidRPr="009D4D1C">
              <w:rPr>
                <w:rFonts w:cs="Arial"/>
                <w:color w:val="000000" w:themeColor="text1"/>
                <w:spacing w:val="-4"/>
              </w:rPr>
              <w:t xml:space="preserve">liv pozitivního dopadu hospodářského růstu na osobní </w:t>
            </w:r>
            <w:r>
              <w:rPr>
                <w:rFonts w:cs="Arial"/>
                <w:color w:val="000000" w:themeColor="text1"/>
                <w:spacing w:val="-4"/>
              </w:rPr>
              <w:t>i</w:t>
            </w:r>
            <w:r w:rsidRPr="009D4D1C">
              <w:rPr>
                <w:rFonts w:cs="Arial"/>
                <w:color w:val="000000" w:themeColor="text1"/>
                <w:spacing w:val="-4"/>
              </w:rPr>
              <w:t> </w:t>
            </w:r>
            <w:r>
              <w:rPr>
                <w:rFonts w:cs="Arial"/>
                <w:color w:val="000000" w:themeColor="text1"/>
                <w:spacing w:val="-4"/>
              </w:rPr>
              <w:t>nákladní dopravu byl tlumen</w:t>
            </w:r>
            <w:r w:rsidRPr="009D4D1C">
              <w:rPr>
                <w:rFonts w:cs="Arial"/>
                <w:color w:val="000000" w:themeColor="text1"/>
                <w:spacing w:val="-4"/>
              </w:rPr>
              <w:t xml:space="preserve"> negativní</w:t>
            </w:r>
            <w:r>
              <w:rPr>
                <w:rFonts w:cs="Arial"/>
                <w:color w:val="000000" w:themeColor="text1"/>
                <w:spacing w:val="-4"/>
              </w:rPr>
              <w:t>m</w:t>
            </w:r>
            <w:r w:rsidRPr="009D4D1C">
              <w:rPr>
                <w:rFonts w:cs="Arial"/>
                <w:color w:val="000000" w:themeColor="text1"/>
                <w:spacing w:val="-4"/>
              </w:rPr>
              <w:t xml:space="preserve"> efekt</w:t>
            </w:r>
            <w:r>
              <w:rPr>
                <w:rFonts w:cs="Arial"/>
                <w:color w:val="000000" w:themeColor="text1"/>
                <w:spacing w:val="-4"/>
              </w:rPr>
              <w:t>em</w:t>
            </w:r>
            <w:r w:rsidRPr="009D4D1C">
              <w:rPr>
                <w:rFonts w:cs="Arial"/>
                <w:color w:val="000000" w:themeColor="text1"/>
                <w:spacing w:val="-4"/>
              </w:rPr>
              <w:t xml:space="preserve"> spojený</w:t>
            </w:r>
            <w:r>
              <w:rPr>
                <w:rFonts w:cs="Arial"/>
                <w:color w:val="000000" w:themeColor="text1"/>
                <w:spacing w:val="-4"/>
              </w:rPr>
              <w:t xml:space="preserve">m s administrativními </w:t>
            </w:r>
            <w:r w:rsidRPr="009D4D1C">
              <w:rPr>
                <w:rFonts w:cs="Arial"/>
                <w:color w:val="000000" w:themeColor="text1"/>
                <w:spacing w:val="-4"/>
              </w:rPr>
              <w:t>vlivy</w:t>
            </w:r>
            <w:r w:rsidRPr="009D4D1C">
              <w:rPr>
                <w:rStyle w:val="Znakapoznpodarou"/>
                <w:color w:val="000000" w:themeColor="text1"/>
                <w:spacing w:val="-4"/>
              </w:rPr>
              <w:footnoteReference w:id="49"/>
            </w:r>
            <w:r w:rsidRPr="009D4D1C">
              <w:rPr>
                <w:rFonts w:cs="Arial"/>
                <w:color w:val="000000" w:themeColor="text1"/>
                <w:spacing w:val="-4"/>
              </w:rPr>
              <w:t>.</w:t>
            </w:r>
          </w:p>
        </w:tc>
      </w:tr>
      <w:tr w:rsidR="00F307CB" w:rsidRPr="008E4F8A" w14:paraId="19ABD449" w14:textId="77777777" w:rsidTr="000A3D9E">
        <w:trPr>
          <w:trHeight w:val="145"/>
        </w:trPr>
        <w:tc>
          <w:tcPr>
            <w:tcW w:w="1732" w:type="dxa"/>
            <w:tcBorders>
              <w:top w:val="nil"/>
              <w:left w:val="nil"/>
              <w:bottom w:val="nil"/>
              <w:right w:val="nil"/>
            </w:tcBorders>
            <w:shd w:val="clear" w:color="auto" w:fill="auto"/>
            <w:tcMar>
              <w:left w:w="0" w:type="dxa"/>
            </w:tcMar>
          </w:tcPr>
          <w:p w14:paraId="29E3147F" w14:textId="77777777" w:rsidR="00F307CB" w:rsidRDefault="00F307CB" w:rsidP="000A3D9E">
            <w:pPr>
              <w:pStyle w:val="Marginlie"/>
            </w:pPr>
            <w:r>
              <w:t>Sílící mzdové náklady působily na výběr přímých daní rozdílně. U DPFO ze závislé činnosti jej nadále stimulovaly, u korporátní daně tlumily.</w:t>
            </w:r>
          </w:p>
        </w:tc>
        <w:tc>
          <w:tcPr>
            <w:tcW w:w="217" w:type="dxa"/>
            <w:tcBorders>
              <w:top w:val="nil"/>
              <w:left w:val="nil"/>
              <w:bottom w:val="nil"/>
              <w:right w:val="nil"/>
            </w:tcBorders>
            <w:shd w:val="clear" w:color="auto" w:fill="auto"/>
            <w:tcMar>
              <w:left w:w="0" w:type="dxa"/>
            </w:tcMar>
          </w:tcPr>
          <w:p w14:paraId="07961831"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242AD14A" w14:textId="0A71E71E" w:rsidR="00F307CB" w:rsidRPr="008E4F8A" w:rsidRDefault="00F307CB" w:rsidP="000A3D9E">
            <w:pPr>
              <w:spacing w:after="200"/>
              <w:rPr>
                <w:spacing w:val="-2"/>
              </w:rPr>
            </w:pPr>
            <w:r>
              <w:rPr>
                <w:rFonts w:cs="Arial"/>
                <w:color w:val="000000" w:themeColor="text1"/>
                <w:spacing w:val="-4"/>
              </w:rPr>
              <w:t xml:space="preserve">K růstu celostátního výběru přímých daní přispěly v 1. čtvrtletí všechny jejich hlavní druhy, </w:t>
            </w:r>
            <w:r>
              <w:rPr>
                <w:rFonts w:cs="Arial"/>
                <w:color w:val="000000" w:themeColor="text1"/>
                <w:spacing w:val="-4"/>
              </w:rPr>
              <w:br/>
              <w:t xml:space="preserve">nejvíce daň </w:t>
            </w:r>
            <w:r w:rsidRPr="00E12BB3">
              <w:rPr>
                <w:rFonts w:cs="Arial"/>
                <w:color w:val="0D0D0D" w:themeColor="text1" w:themeTint="F2"/>
                <w:spacing w:val="-4"/>
              </w:rPr>
              <w:t>z příjmů fyzických osob (DPFO) ze závislé činnosti</w:t>
            </w:r>
            <w:r>
              <w:rPr>
                <w:rFonts w:cs="Arial"/>
                <w:color w:val="0D0D0D" w:themeColor="text1" w:themeTint="F2"/>
                <w:spacing w:val="-4"/>
              </w:rPr>
              <w:t xml:space="preserve">. Ta meziročně </w:t>
            </w:r>
            <w:r w:rsidR="00CE3E48">
              <w:rPr>
                <w:rFonts w:cs="Arial"/>
                <w:color w:val="0D0D0D" w:themeColor="text1" w:themeTint="F2"/>
                <w:spacing w:val="-4"/>
              </w:rPr>
              <w:t>posílila o 12,5</w:t>
            </w:r>
            <w:r>
              <w:rPr>
                <w:rFonts w:cs="Arial"/>
                <w:color w:val="000000" w:themeColor="text1"/>
                <w:spacing w:val="-4"/>
              </w:rPr>
              <w:t> </w:t>
            </w:r>
            <w:r>
              <w:rPr>
                <w:rFonts w:cs="Arial"/>
                <w:color w:val="0D0D0D" w:themeColor="text1" w:themeTint="F2"/>
                <w:spacing w:val="-4"/>
              </w:rPr>
              <w:t xml:space="preserve">%. Přestože tempo jejího růstu na rozdíl od přechozích čtyř let již nesílilo, stále převyšovalo dynamiku z konjunkturního období minulé dekády. Zasloužil se o to i rekordní počet pracujících osob a dále též svižný růst průměrných výdělků – hlavně v odvětvích s dominancí veřejného sektoru. Dvojciferný růst převyšující rozpočtové očekávání zaznamenaly letos ostatní druhy DPFO – daň z kapitálových výnosů i daň </w:t>
            </w:r>
            <w:r w:rsidRPr="00E12BB3">
              <w:rPr>
                <w:rFonts w:cs="Arial"/>
                <w:spacing w:val="-4"/>
              </w:rPr>
              <w:t>ze sam</w:t>
            </w:r>
            <w:r>
              <w:rPr>
                <w:rFonts w:cs="Arial"/>
                <w:spacing w:val="-4"/>
              </w:rPr>
              <w:t>ostatné výdělečné činnosti, související zejména s objem</w:t>
            </w:r>
            <w:r w:rsidR="00005D9E">
              <w:rPr>
                <w:rFonts w:cs="Arial"/>
                <w:spacing w:val="-4"/>
              </w:rPr>
              <w:t>em</w:t>
            </w:r>
            <w:r>
              <w:rPr>
                <w:rFonts w:cs="Arial"/>
                <w:spacing w:val="-4"/>
              </w:rPr>
              <w:t xml:space="preserve"> tržeb plynoucích z drobného podnikání. Inkaso korporátní daně (DPPO) vzrostlo o 3,8</w:t>
            </w:r>
            <w:r w:rsidR="00870ECD">
              <w:rPr>
                <w:rFonts w:cs="Arial"/>
                <w:spacing w:val="-4"/>
              </w:rPr>
              <w:t> %</w:t>
            </w:r>
            <w:r>
              <w:rPr>
                <w:rFonts w:cs="Arial"/>
                <w:spacing w:val="-4"/>
              </w:rPr>
              <w:t xml:space="preserve"> a odráželo </w:t>
            </w:r>
            <w:r>
              <w:rPr>
                <w:rFonts w:cs="Arial"/>
                <w:color w:val="0D0D0D" w:themeColor="text1" w:themeTint="F2"/>
                <w:spacing w:val="-4"/>
              </w:rPr>
              <w:t xml:space="preserve">klesající ziskovost </w:t>
            </w:r>
            <w:r w:rsidR="00CE3E48">
              <w:rPr>
                <w:rFonts w:cs="Arial"/>
                <w:color w:val="0D0D0D" w:themeColor="text1" w:themeTint="F2"/>
                <w:spacing w:val="-4"/>
              </w:rPr>
              <w:t>podniků hlavně</w:t>
            </w:r>
            <w:r>
              <w:rPr>
                <w:rFonts w:cs="Arial"/>
                <w:color w:val="0D0D0D" w:themeColor="text1" w:themeTint="F2"/>
                <w:spacing w:val="-4"/>
              </w:rPr>
              <w:t xml:space="preserve"> vlivem sílících mzdových nákladů, ale i relativně slabší loňskou základnu této daně</w:t>
            </w:r>
            <w:r>
              <w:rPr>
                <w:rStyle w:val="Znakapoznpodarou"/>
                <w:color w:val="000000" w:themeColor="text1"/>
                <w:spacing w:val="-4"/>
              </w:rPr>
              <w:footnoteReference w:id="50"/>
            </w:r>
            <w:r>
              <w:rPr>
                <w:rFonts w:cs="Arial"/>
                <w:color w:val="0D0D0D" w:themeColor="text1" w:themeTint="F2"/>
                <w:spacing w:val="-4"/>
              </w:rPr>
              <w:t>.</w:t>
            </w:r>
          </w:p>
        </w:tc>
      </w:tr>
      <w:tr w:rsidR="00F307CB" w14:paraId="6452A11C" w14:textId="77777777" w:rsidTr="000A3D9E">
        <w:trPr>
          <w:trHeight w:val="145"/>
        </w:trPr>
        <w:tc>
          <w:tcPr>
            <w:tcW w:w="1732" w:type="dxa"/>
            <w:tcBorders>
              <w:top w:val="nil"/>
              <w:left w:val="nil"/>
              <w:bottom w:val="nil"/>
              <w:right w:val="nil"/>
            </w:tcBorders>
            <w:shd w:val="clear" w:color="auto" w:fill="auto"/>
            <w:tcMar>
              <w:left w:w="0" w:type="dxa"/>
            </w:tcMar>
          </w:tcPr>
          <w:p w14:paraId="6FFBA42C" w14:textId="7A3185C9" w:rsidR="00F307CB" w:rsidRDefault="00F307CB" w:rsidP="00CA47BC">
            <w:pPr>
              <w:pStyle w:val="Marginlie"/>
            </w:pPr>
            <w:r>
              <w:t xml:space="preserve">Růst celkových výdajů SR </w:t>
            </w:r>
            <w:r w:rsidR="00D5560A">
              <w:t xml:space="preserve">táhly </w:t>
            </w:r>
            <w:r>
              <w:t>na počátku roku</w:t>
            </w:r>
            <w:r w:rsidR="00D5560A">
              <w:t xml:space="preserve"> jak běžné, tak</w:t>
            </w:r>
            <w:r w:rsidR="00CA47BC">
              <w:t xml:space="preserve"> </w:t>
            </w:r>
            <w:r w:rsidR="00D5560A">
              <w:t>investiční výdaje.</w:t>
            </w:r>
          </w:p>
        </w:tc>
        <w:tc>
          <w:tcPr>
            <w:tcW w:w="217" w:type="dxa"/>
            <w:tcBorders>
              <w:top w:val="nil"/>
              <w:left w:val="nil"/>
              <w:bottom w:val="nil"/>
              <w:right w:val="nil"/>
            </w:tcBorders>
            <w:shd w:val="clear" w:color="auto" w:fill="auto"/>
            <w:tcMar>
              <w:left w:w="0" w:type="dxa"/>
            </w:tcMar>
          </w:tcPr>
          <w:p w14:paraId="23D619E8"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67AC9EBD" w14:textId="1D606F97" w:rsidR="00F307CB" w:rsidRDefault="00F307CB">
            <w:pPr>
              <w:spacing w:after="220"/>
              <w:rPr>
                <w:spacing w:val="-4"/>
              </w:rPr>
            </w:pPr>
            <w:r>
              <w:rPr>
                <w:spacing w:val="-4"/>
              </w:rPr>
              <w:t xml:space="preserve">Tempo růstu výdajů SR v posledních dvou letech výrazně zrychlovalo. Podílely se na něm jak běžné, tak investiční výdaje. V 1. čtvrtletí 2019 posílily celkové výdaje meziročně o 13,4 %, v rámci tohoto období roku nejvíce za posledních jedenáct let. Kapitálové výdaje vzrostly </w:t>
            </w:r>
            <w:r w:rsidR="007A4782">
              <w:rPr>
                <w:spacing w:val="-4"/>
              </w:rPr>
              <w:t xml:space="preserve">i vlivem velmi nízké loňské základny </w:t>
            </w:r>
            <w:r>
              <w:rPr>
                <w:spacing w:val="-4"/>
              </w:rPr>
              <w:t>o 4,7</w:t>
            </w:r>
            <w:r w:rsidR="00870ECD">
              <w:rPr>
                <w:spacing w:val="-4"/>
              </w:rPr>
              <w:t> mld</w:t>
            </w:r>
            <w:r>
              <w:rPr>
                <w:spacing w:val="-4"/>
              </w:rPr>
              <w:t>. korun, resp. o 40</w:t>
            </w:r>
            <w:r w:rsidR="00870ECD">
              <w:rPr>
                <w:spacing w:val="-4"/>
              </w:rPr>
              <w:t> %</w:t>
            </w:r>
            <w:r>
              <w:rPr>
                <w:spacing w:val="-4"/>
              </w:rPr>
              <w:t xml:space="preserve">. </w:t>
            </w:r>
            <w:r w:rsidR="007A4782">
              <w:rPr>
                <w:spacing w:val="-4"/>
              </w:rPr>
              <w:t>D</w:t>
            </w:r>
            <w:r>
              <w:rPr>
                <w:spacing w:val="-4"/>
              </w:rPr>
              <w:t xml:space="preserve">osavadní letošní čerpání </w:t>
            </w:r>
            <w:r w:rsidR="00971B87">
              <w:rPr>
                <w:spacing w:val="-4"/>
              </w:rPr>
              <w:t xml:space="preserve">investic </w:t>
            </w:r>
            <w:r>
              <w:rPr>
                <w:spacing w:val="-4"/>
              </w:rPr>
              <w:t xml:space="preserve">bylo na konci března </w:t>
            </w:r>
            <w:r w:rsidR="00971B87">
              <w:rPr>
                <w:spacing w:val="-4"/>
              </w:rPr>
              <w:t>jen</w:t>
            </w:r>
            <w:r>
              <w:rPr>
                <w:spacing w:val="-4"/>
              </w:rPr>
              <w:t xml:space="preserve"> na osmině celoročně rozpočtované částky. Více než 80</w:t>
            </w:r>
            <w:r w:rsidR="00870ECD">
              <w:rPr>
                <w:spacing w:val="-4"/>
              </w:rPr>
              <w:t> %</w:t>
            </w:r>
            <w:r>
              <w:rPr>
                <w:spacing w:val="-4"/>
              </w:rPr>
              <w:t xml:space="preserve"> investic směřovalo na společné projekty ČR a EU</w:t>
            </w:r>
            <w:r w:rsidRPr="003C07E6">
              <w:rPr>
                <w:rStyle w:val="Znakapoznpodarou"/>
                <w:spacing w:val="-4"/>
              </w:rPr>
              <w:footnoteReference w:id="51"/>
            </w:r>
            <w:r>
              <w:rPr>
                <w:spacing w:val="-4"/>
              </w:rPr>
              <w:t>, jejich objem meziročně vzrostl o bezmála 5</w:t>
            </w:r>
            <w:r w:rsidR="00870ECD">
              <w:rPr>
                <w:spacing w:val="-4"/>
              </w:rPr>
              <w:t> mld</w:t>
            </w:r>
            <w:r>
              <w:rPr>
                <w:spacing w:val="-4"/>
              </w:rPr>
              <w:t xml:space="preserve">. korun (zejména zásluhou vyšší alokace OP Doprava </w:t>
            </w:r>
            <w:r w:rsidR="00BC50BE">
              <w:rPr>
                <w:spacing w:val="-4"/>
              </w:rPr>
              <w:t xml:space="preserve">a </w:t>
            </w:r>
            <w:r>
              <w:rPr>
                <w:spacing w:val="-4"/>
              </w:rPr>
              <w:t>také Integrovaného regionální operačního programu). Podíl investic na celkových výdajích SR se navyšoval již druhým rokem v řadě a letos dosáhl 4,4</w:t>
            </w:r>
            <w:r w:rsidR="00870ECD">
              <w:rPr>
                <w:spacing w:val="-4"/>
              </w:rPr>
              <w:t> %</w:t>
            </w:r>
            <w:r>
              <w:rPr>
                <w:spacing w:val="-4"/>
              </w:rPr>
              <w:t xml:space="preserve">. Přesto šlo o třetí nejnižší hodnotu za posledních dvanáct let. V pozadí této skutečnosti stojí prohlubující se nerovnost investiční aktivity </w:t>
            </w:r>
            <w:r w:rsidR="00BC50BE">
              <w:rPr>
                <w:spacing w:val="-4"/>
              </w:rPr>
              <w:t xml:space="preserve">státu </w:t>
            </w:r>
            <w:r>
              <w:rPr>
                <w:spacing w:val="-4"/>
              </w:rPr>
              <w:t>v průběhu kalendářního roku.</w:t>
            </w:r>
          </w:p>
        </w:tc>
      </w:tr>
      <w:tr w:rsidR="00F307CB" w:rsidRPr="00763CC3" w14:paraId="29F6F74C" w14:textId="77777777" w:rsidTr="000A3D9E">
        <w:trPr>
          <w:trHeight w:val="145"/>
        </w:trPr>
        <w:tc>
          <w:tcPr>
            <w:tcW w:w="1732" w:type="dxa"/>
            <w:tcBorders>
              <w:top w:val="nil"/>
              <w:left w:val="nil"/>
              <w:bottom w:val="nil"/>
              <w:right w:val="nil"/>
            </w:tcBorders>
            <w:shd w:val="clear" w:color="auto" w:fill="auto"/>
            <w:tcMar>
              <w:left w:w="0" w:type="dxa"/>
            </w:tcMar>
          </w:tcPr>
          <w:p w14:paraId="50FB90F4" w14:textId="77777777" w:rsidR="00F307CB" w:rsidRDefault="00F307CB" w:rsidP="000A3D9E">
            <w:pPr>
              <w:pStyle w:val="Marginlie"/>
            </w:pPr>
            <w:r>
              <w:t>K navýšení běžných výdajů přispěl svižný růst průměrné výše důchodů, výdaje na platy v rozpočtové sféře i vyšší odvody do rozpočtu EU.</w:t>
            </w:r>
          </w:p>
          <w:p w14:paraId="5DF4BC0D" w14:textId="77777777" w:rsidR="00F307CB" w:rsidRDefault="00F307CB" w:rsidP="000A3D9E">
            <w:pPr>
              <w:pStyle w:val="Marginlie"/>
            </w:pPr>
          </w:p>
          <w:p w14:paraId="10DF2FA5" w14:textId="77777777" w:rsidR="00F307CB" w:rsidRDefault="00F307CB" w:rsidP="000A3D9E">
            <w:pPr>
              <w:pStyle w:val="Marginlie"/>
            </w:pPr>
          </w:p>
          <w:p w14:paraId="5D337627" w14:textId="77777777" w:rsidR="00F307CB" w:rsidRDefault="00F307CB" w:rsidP="000A3D9E">
            <w:pPr>
              <w:pStyle w:val="Marginlie"/>
            </w:pPr>
          </w:p>
          <w:p w14:paraId="1A488C43" w14:textId="77777777" w:rsidR="00F307CB" w:rsidRDefault="00F307CB" w:rsidP="000A3D9E">
            <w:pPr>
              <w:pStyle w:val="Marginlie"/>
            </w:pPr>
          </w:p>
          <w:p w14:paraId="6C39B4DD" w14:textId="77777777" w:rsidR="00F307CB" w:rsidRDefault="00F307CB" w:rsidP="000A3D9E">
            <w:pPr>
              <w:pStyle w:val="Marginlie"/>
            </w:pPr>
          </w:p>
          <w:p w14:paraId="7CDC69E8" w14:textId="77777777" w:rsidR="00F307CB" w:rsidRDefault="00F307CB" w:rsidP="000A3D9E">
            <w:pPr>
              <w:pStyle w:val="Marginlie"/>
            </w:pPr>
            <w:r>
              <w:lastRenderedPageBreak/>
              <w:t>Saldo důchodového účtu bylo vyrovnané. Mírný růst četnosti osob pobírajících důchody se zastavil.</w:t>
            </w:r>
          </w:p>
        </w:tc>
        <w:tc>
          <w:tcPr>
            <w:tcW w:w="217" w:type="dxa"/>
            <w:tcBorders>
              <w:top w:val="nil"/>
              <w:left w:val="nil"/>
              <w:bottom w:val="nil"/>
              <w:right w:val="nil"/>
            </w:tcBorders>
            <w:shd w:val="clear" w:color="auto" w:fill="auto"/>
            <w:tcMar>
              <w:left w:w="0" w:type="dxa"/>
            </w:tcMar>
          </w:tcPr>
          <w:p w14:paraId="2ED7F194"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2D5B7DD4" w14:textId="3B6A566B" w:rsidR="00F307CB" w:rsidRPr="00763CC3" w:rsidRDefault="00F307CB" w:rsidP="000A3D9E">
            <w:pPr>
              <w:spacing w:after="200"/>
              <w:rPr>
                <w:rFonts w:cs="Arial"/>
                <w:color w:val="0D0D0D" w:themeColor="text1" w:themeTint="F2"/>
                <w:spacing w:val="-4"/>
              </w:rPr>
            </w:pPr>
            <w:r>
              <w:rPr>
                <w:rFonts w:cs="Arial"/>
                <w:color w:val="0D0D0D" w:themeColor="text1" w:themeTint="F2"/>
                <w:spacing w:val="-4"/>
              </w:rPr>
              <w:t>Na běžných výdajích utratil letos stát meziročně o osminu více (resp. o 39,4</w:t>
            </w:r>
            <w:r w:rsidR="00870ECD">
              <w:rPr>
                <w:rFonts w:cs="Arial"/>
                <w:color w:val="0D0D0D" w:themeColor="text1" w:themeTint="F2"/>
                <w:spacing w:val="-4"/>
              </w:rPr>
              <w:t> mld</w:t>
            </w:r>
            <w:r>
              <w:rPr>
                <w:rFonts w:cs="Arial"/>
                <w:color w:val="0D0D0D" w:themeColor="text1" w:themeTint="F2"/>
                <w:spacing w:val="-4"/>
              </w:rPr>
              <w:t>. korun). Bezmála třetinou se na tom podílely vyšší výdaje na sociální dávky, pětinou neinvestiční transfery veřejným rozpočtům územní úrovně</w:t>
            </w:r>
            <w:r w:rsidRPr="009D4D1C">
              <w:rPr>
                <w:rStyle w:val="Znakapoznpodarou"/>
                <w:color w:val="000000" w:themeColor="text1"/>
                <w:spacing w:val="-4"/>
              </w:rPr>
              <w:footnoteReference w:id="52"/>
            </w:r>
            <w:r>
              <w:rPr>
                <w:rFonts w:cs="Arial"/>
                <w:color w:val="0D0D0D" w:themeColor="text1" w:themeTint="F2"/>
                <w:spacing w:val="-4"/>
              </w:rPr>
              <w:t xml:space="preserve"> a šestinou vyšší povinné odvody ČR do rozpočtu EU. Přestože tempo výdajů na sociální dávky se ve srovnání s počátkem roku 2018 zdvojnásobilo (na 8,0</w:t>
            </w:r>
            <w:r w:rsidR="00870ECD">
              <w:rPr>
                <w:rFonts w:cs="Arial"/>
                <w:color w:val="0D0D0D" w:themeColor="text1" w:themeTint="F2"/>
                <w:spacing w:val="-4"/>
              </w:rPr>
              <w:t> %</w:t>
            </w:r>
            <w:r>
              <w:rPr>
                <w:rFonts w:cs="Arial"/>
                <w:color w:val="0D0D0D" w:themeColor="text1" w:themeTint="F2"/>
                <w:spacing w:val="-4"/>
              </w:rPr>
              <w:t xml:space="preserve">), jejich podíl na celkových výdajích SR nadále klesal (pod 40% hranici). Nárůst objemu sociálních dávek byl </w:t>
            </w:r>
            <w:r w:rsidR="003C3608">
              <w:rPr>
                <w:rFonts w:cs="Arial"/>
                <w:color w:val="0D0D0D" w:themeColor="text1" w:themeTint="F2"/>
                <w:spacing w:val="-4"/>
              </w:rPr>
              <w:t>z </w:t>
            </w:r>
            <w:r>
              <w:rPr>
                <w:rFonts w:cs="Arial"/>
                <w:color w:val="0D0D0D" w:themeColor="text1" w:themeTint="F2"/>
                <w:spacing w:val="-4"/>
              </w:rPr>
              <w:t>více než 80</w:t>
            </w:r>
            <w:r w:rsidR="00870ECD">
              <w:rPr>
                <w:rFonts w:cs="Arial"/>
                <w:color w:val="0D0D0D" w:themeColor="text1" w:themeTint="F2"/>
                <w:spacing w:val="-4"/>
              </w:rPr>
              <w:t> %</w:t>
            </w:r>
            <w:r>
              <w:rPr>
                <w:rFonts w:cs="Arial"/>
                <w:color w:val="0D0D0D" w:themeColor="text1" w:themeTint="F2"/>
                <w:spacing w:val="-4"/>
              </w:rPr>
              <w:t xml:space="preserve"> tažen prostředky na důchody. Ty vzrostly o 8,5</w:t>
            </w:r>
            <w:r w:rsidR="00870ECD">
              <w:rPr>
                <w:rFonts w:cs="Arial"/>
                <w:color w:val="0D0D0D" w:themeColor="text1" w:themeTint="F2"/>
                <w:spacing w:val="-4"/>
              </w:rPr>
              <w:t> %</w:t>
            </w:r>
            <w:r>
              <w:rPr>
                <w:rFonts w:cs="Arial"/>
                <w:color w:val="0D0D0D" w:themeColor="text1" w:themeTint="F2"/>
                <w:spacing w:val="-4"/>
              </w:rPr>
              <w:t xml:space="preserve"> </w:t>
            </w:r>
            <w:r w:rsidR="00531C5A">
              <w:rPr>
                <w:rFonts w:cs="Arial"/>
                <w:color w:val="0D0D0D" w:themeColor="text1" w:themeTint="F2"/>
                <w:spacing w:val="-4"/>
              </w:rPr>
              <w:t>–</w:t>
            </w:r>
            <w:r>
              <w:rPr>
                <w:rFonts w:cs="Arial"/>
                <w:color w:val="0D0D0D" w:themeColor="text1" w:themeTint="F2"/>
                <w:spacing w:val="-4"/>
              </w:rPr>
              <w:t xml:space="preserve"> v rámci 1. čtvrtletí nejvíce za posledních deset let. Zásadně se projevil vliv zákonných úprav </w:t>
            </w:r>
            <w:r w:rsidR="00531C5A">
              <w:rPr>
                <w:rFonts w:cs="Arial"/>
                <w:color w:val="0D0D0D" w:themeColor="text1" w:themeTint="F2"/>
                <w:spacing w:val="-4"/>
              </w:rPr>
              <w:t>–</w:t>
            </w:r>
            <w:r>
              <w:rPr>
                <w:rFonts w:cs="Arial"/>
                <w:color w:val="0D0D0D" w:themeColor="text1" w:themeTint="F2"/>
                <w:spacing w:val="-4"/>
              </w:rPr>
              <w:t xml:space="preserve"> </w:t>
            </w:r>
            <w:r>
              <w:t>zvýšení základní výměry důchodu z 9</w:t>
            </w:r>
            <w:r w:rsidR="00870ECD">
              <w:t> %</w:t>
            </w:r>
            <w:r>
              <w:t xml:space="preserve"> na 10</w:t>
            </w:r>
            <w:r w:rsidR="00870ECD">
              <w:t> %</w:t>
            </w:r>
            <w:r>
              <w:t xml:space="preserve"> průměrné mzdy a také procentní výměry důchodů o 1</w:t>
            </w:r>
            <w:r w:rsidR="00C11244">
              <w:t> </w:t>
            </w:r>
            <w:r>
              <w:t>000</w:t>
            </w:r>
            <w:r w:rsidR="00870ECD">
              <w:t> Kč</w:t>
            </w:r>
            <w:r>
              <w:t xml:space="preserve"> u příjemců důchodů starších 85 let</w:t>
            </w:r>
            <w:r>
              <w:rPr>
                <w:rFonts w:cs="Arial"/>
                <w:color w:val="0D0D0D" w:themeColor="text1" w:themeTint="F2"/>
                <w:spacing w:val="-4"/>
              </w:rPr>
              <w:t xml:space="preserve">. Díky </w:t>
            </w:r>
            <w:r>
              <w:rPr>
                <w:rFonts w:cs="Arial"/>
                <w:color w:val="0D0D0D" w:themeColor="text1" w:themeTint="F2"/>
                <w:spacing w:val="-4"/>
              </w:rPr>
              <w:lastRenderedPageBreak/>
              <w:t>valorizačnímu mechanismu byl reflektován vliv růst</w:t>
            </w:r>
            <w:r w:rsidR="003C3608">
              <w:rPr>
                <w:rFonts w:cs="Arial"/>
                <w:color w:val="0D0D0D" w:themeColor="text1" w:themeTint="F2"/>
                <w:spacing w:val="-4"/>
              </w:rPr>
              <w:t>u</w:t>
            </w:r>
            <w:r>
              <w:rPr>
                <w:rFonts w:cs="Arial"/>
                <w:color w:val="0D0D0D" w:themeColor="text1" w:themeTint="F2"/>
                <w:spacing w:val="-4"/>
              </w:rPr>
              <w:t xml:space="preserve"> životních nákladů i loňská akcelerace růstu průměrných mezd. Průměrný sólo starobní důchod v březnu 2019 činil 13</w:t>
            </w:r>
            <w:r w:rsidR="003C3608">
              <w:rPr>
                <w:rFonts w:cs="Arial"/>
                <w:color w:val="0D0D0D" w:themeColor="text1" w:themeTint="F2"/>
                <w:spacing w:val="-4"/>
              </w:rPr>
              <w:t> </w:t>
            </w:r>
            <w:r>
              <w:rPr>
                <w:rFonts w:cs="Arial"/>
                <w:color w:val="0D0D0D" w:themeColor="text1" w:themeTint="F2"/>
                <w:spacing w:val="-4"/>
              </w:rPr>
              <w:t>377</w:t>
            </w:r>
            <w:r w:rsidR="003C3608">
              <w:rPr>
                <w:rFonts w:cs="Arial"/>
                <w:color w:val="0D0D0D" w:themeColor="text1" w:themeTint="F2"/>
                <w:spacing w:val="-4"/>
              </w:rPr>
              <w:t> </w:t>
            </w:r>
            <w:r>
              <w:rPr>
                <w:rFonts w:cs="Arial"/>
                <w:color w:val="0D0D0D" w:themeColor="text1" w:themeTint="F2"/>
                <w:spacing w:val="-4"/>
              </w:rPr>
              <w:t>korun, meziročně byl o 1</w:t>
            </w:r>
            <w:r w:rsidR="003C3608">
              <w:rPr>
                <w:rFonts w:cs="Arial"/>
                <w:color w:val="0D0D0D" w:themeColor="text1" w:themeTint="F2"/>
                <w:spacing w:val="-4"/>
              </w:rPr>
              <w:t> </w:t>
            </w:r>
            <w:r>
              <w:rPr>
                <w:rFonts w:cs="Arial"/>
                <w:color w:val="0D0D0D" w:themeColor="text1" w:themeTint="F2"/>
                <w:spacing w:val="-4"/>
              </w:rPr>
              <w:t>030</w:t>
            </w:r>
            <w:r w:rsidR="003C3608">
              <w:rPr>
                <w:rFonts w:cs="Arial"/>
                <w:color w:val="0D0D0D" w:themeColor="text1" w:themeTint="F2"/>
                <w:spacing w:val="-4"/>
              </w:rPr>
              <w:t> </w:t>
            </w:r>
            <w:r>
              <w:rPr>
                <w:rFonts w:cs="Arial"/>
                <w:color w:val="0D0D0D" w:themeColor="text1" w:themeTint="F2"/>
                <w:spacing w:val="-4"/>
              </w:rPr>
              <w:t>korun vyšší. Nějakou formu důchodu pobíralo od státu 2</w:t>
            </w:r>
            <w:r w:rsidR="003C3608">
              <w:rPr>
                <w:rFonts w:cs="Arial"/>
                <w:color w:val="0D0D0D" w:themeColor="text1" w:themeTint="F2"/>
                <w:spacing w:val="-4"/>
              </w:rPr>
              <w:t> </w:t>
            </w:r>
            <w:r>
              <w:rPr>
                <w:rFonts w:cs="Arial"/>
                <w:color w:val="0D0D0D" w:themeColor="text1" w:themeTint="F2"/>
                <w:spacing w:val="-4"/>
              </w:rPr>
              <w:t>891</w:t>
            </w:r>
            <w:r w:rsidR="003C3608">
              <w:rPr>
                <w:rFonts w:cs="Arial"/>
                <w:color w:val="0D0D0D" w:themeColor="text1" w:themeTint="F2"/>
                <w:spacing w:val="-4"/>
              </w:rPr>
              <w:t> </w:t>
            </w:r>
            <w:r>
              <w:rPr>
                <w:rFonts w:cs="Arial"/>
                <w:color w:val="0D0D0D" w:themeColor="text1" w:themeTint="F2"/>
                <w:spacing w:val="-4"/>
              </w:rPr>
              <w:t xml:space="preserve">tis. osob, jejich počet se poprvé za posledních pět let snížil. To souviselo s mimořádně příznivým postavením zaměstnaných osob na pracovním trhu. Míra ekonomické aktivity osob na sklonku produktivního věku narůstala. Již čtvrtým rokem v řadě se zároveň snižovalo tempo přírůstku lidí s trvale kráceným starobním důchodem. Tempo růstu výběru pojistného na sociální zabezpečení po rekordním loňském roce mírně zvolnilo. </w:t>
            </w:r>
            <w:r>
              <w:rPr>
                <w:rFonts w:cs="Arial"/>
                <w:color w:val="0D0D0D" w:themeColor="text1" w:themeTint="F2"/>
                <w:spacing w:val="-2"/>
              </w:rPr>
              <w:t>Saldo důchodového účtu</w:t>
            </w:r>
            <w:r>
              <w:rPr>
                <w:rStyle w:val="Znakapoznpodarou"/>
                <w:color w:val="0D0D0D" w:themeColor="text1" w:themeTint="F2"/>
                <w:spacing w:val="-2"/>
              </w:rPr>
              <w:footnoteReference w:id="53"/>
            </w:r>
            <w:r>
              <w:rPr>
                <w:rFonts w:cs="Arial"/>
                <w:color w:val="0D0D0D" w:themeColor="text1" w:themeTint="F2"/>
                <w:spacing w:val="-2"/>
              </w:rPr>
              <w:t xml:space="preserve"> bylo v 1. čtvrtletí téměř vyrovnané.</w:t>
            </w:r>
          </w:p>
        </w:tc>
      </w:tr>
      <w:tr w:rsidR="00F307CB" w:rsidRPr="00F704D2" w14:paraId="15D7C4BA" w14:textId="77777777" w:rsidTr="000A3D9E">
        <w:trPr>
          <w:trHeight w:val="170"/>
        </w:trPr>
        <w:tc>
          <w:tcPr>
            <w:tcW w:w="1732" w:type="dxa"/>
            <w:vMerge w:val="restart"/>
            <w:tcBorders>
              <w:top w:val="nil"/>
              <w:left w:val="nil"/>
              <w:bottom w:val="nil"/>
              <w:right w:val="nil"/>
            </w:tcBorders>
            <w:shd w:val="clear" w:color="auto" w:fill="auto"/>
            <w:tcMar>
              <w:left w:w="0" w:type="dxa"/>
            </w:tcMar>
          </w:tcPr>
          <w:p w14:paraId="0279EAD1" w14:textId="77777777" w:rsidR="00F307CB" w:rsidRDefault="00F307CB" w:rsidP="000A3D9E">
            <w:pPr>
              <w:pStyle w:val="Marginlie"/>
            </w:pPr>
          </w:p>
        </w:tc>
        <w:tc>
          <w:tcPr>
            <w:tcW w:w="217" w:type="dxa"/>
            <w:vMerge w:val="restart"/>
            <w:tcBorders>
              <w:top w:val="nil"/>
              <w:left w:val="nil"/>
              <w:bottom w:val="nil"/>
              <w:right w:val="nil"/>
            </w:tcBorders>
            <w:shd w:val="clear" w:color="auto" w:fill="auto"/>
            <w:tcMar>
              <w:left w:w="0" w:type="dxa"/>
            </w:tcMar>
          </w:tcPr>
          <w:p w14:paraId="1A31FCFD"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0AC33E12" w14:textId="77777777" w:rsidR="00F307CB" w:rsidRDefault="001208E3" w:rsidP="000A3D9E">
            <w:pPr>
              <w:spacing w:after="0" w:line="240" w:lineRule="auto"/>
              <w:rPr>
                <w:rFonts w:cs="Arial"/>
                <w:bCs/>
                <w:spacing w:val="-4"/>
              </w:rPr>
            </w:pPr>
            <w:r>
              <w:rPr>
                <w:b/>
              </w:rPr>
              <w:t>Graf č. 18</w:t>
            </w:r>
            <w:r w:rsidR="00F307CB" w:rsidRPr="00F704D2">
              <w:rPr>
                <w:b/>
              </w:rPr>
              <w:t xml:space="preserve">: </w:t>
            </w:r>
            <w:r w:rsidR="00F307CB" w:rsidRPr="00F704D2">
              <w:rPr>
                <w:rFonts w:cs="Arial"/>
                <w:b/>
                <w:bCs/>
                <w:spacing w:val="-4"/>
              </w:rPr>
              <w:t>Příjemci</w:t>
            </w:r>
            <w:r w:rsidR="00F307CB" w:rsidRPr="001356FC">
              <w:rPr>
                <w:rFonts w:cs="Arial"/>
                <w:b/>
                <w:bCs/>
                <w:spacing w:val="-4"/>
              </w:rPr>
              <w:t xml:space="preserve"> důchodů</w:t>
            </w:r>
            <w:r w:rsidR="00F307CB" w:rsidRPr="001356FC">
              <w:rPr>
                <w:rFonts w:cs="Arial"/>
                <w:bCs/>
                <w:spacing w:val="-4"/>
              </w:rPr>
              <w:t>,</w:t>
            </w:r>
            <w:r w:rsidR="00F307CB" w:rsidRPr="001356FC">
              <w:rPr>
                <w:rFonts w:cs="Arial"/>
                <w:b/>
                <w:bCs/>
                <w:spacing w:val="-4"/>
              </w:rPr>
              <w:t xml:space="preserve"> příjmy i výdaje na důchody ze SR </w:t>
            </w:r>
            <w:r w:rsidR="00F307CB" w:rsidRPr="001356FC">
              <w:rPr>
                <w:rFonts w:cs="Arial"/>
                <w:bCs/>
                <w:spacing w:val="-4"/>
              </w:rPr>
              <w:t>(</w:t>
            </w:r>
            <w:r w:rsidR="00F307CB" w:rsidRPr="001356FC">
              <w:rPr>
                <w:spacing w:val="-4"/>
              </w:rPr>
              <w:t>meziročně</w:t>
            </w:r>
            <w:r w:rsidR="00F307CB" w:rsidRPr="001356FC">
              <w:rPr>
                <w:bCs/>
                <w:spacing w:val="-4"/>
              </w:rPr>
              <w:t xml:space="preserve"> v %)</w:t>
            </w:r>
          </w:p>
          <w:p w14:paraId="7F30FFF1" w14:textId="77777777" w:rsidR="00F307CB" w:rsidRPr="00F704D2" w:rsidRDefault="00F307CB" w:rsidP="000A3D9E">
            <w:pPr>
              <w:spacing w:after="40" w:line="240" w:lineRule="auto"/>
              <w:jc w:val="left"/>
              <w:rPr>
                <w:rFonts w:cs="Arial"/>
                <w:bCs/>
              </w:rPr>
            </w:pPr>
            <w:r>
              <w:rPr>
                <w:rFonts w:cs="Arial"/>
                <w:b/>
                <w:bCs/>
                <w:spacing w:val="-4"/>
              </w:rPr>
              <w:t>a jejich saldo</w:t>
            </w:r>
            <w:r w:rsidRPr="001356FC">
              <w:rPr>
                <w:rFonts w:cs="Arial"/>
                <w:b/>
                <w:bCs/>
                <w:spacing w:val="-4"/>
              </w:rPr>
              <w:t xml:space="preserve"> </w:t>
            </w:r>
            <w:r w:rsidRPr="001356FC">
              <w:rPr>
                <w:rFonts w:cs="Arial"/>
                <w:bCs/>
                <w:spacing w:val="-4"/>
              </w:rPr>
              <w:t>(v mld. korun)</w:t>
            </w:r>
          </w:p>
        </w:tc>
      </w:tr>
      <w:tr w:rsidR="00F307CB" w14:paraId="33F2E9D2" w14:textId="77777777" w:rsidTr="000A3D9E">
        <w:tblPrEx>
          <w:tblCellMar>
            <w:left w:w="70" w:type="dxa"/>
            <w:right w:w="70" w:type="dxa"/>
          </w:tblCellMar>
        </w:tblPrEx>
        <w:trPr>
          <w:trHeight w:val="170"/>
        </w:trPr>
        <w:tc>
          <w:tcPr>
            <w:tcW w:w="1732" w:type="dxa"/>
            <w:vMerge/>
            <w:tcBorders>
              <w:top w:val="nil"/>
              <w:left w:val="nil"/>
              <w:bottom w:val="nil"/>
              <w:right w:val="nil"/>
            </w:tcBorders>
            <w:shd w:val="clear" w:color="auto" w:fill="auto"/>
          </w:tcPr>
          <w:p w14:paraId="11A2D6EF" w14:textId="77777777" w:rsidR="00F307CB" w:rsidRDefault="00F307CB" w:rsidP="000A3D9E">
            <w:pPr>
              <w:pStyle w:val="Marginlie"/>
            </w:pPr>
          </w:p>
        </w:tc>
        <w:tc>
          <w:tcPr>
            <w:tcW w:w="217" w:type="dxa"/>
            <w:vMerge/>
            <w:tcBorders>
              <w:top w:val="nil"/>
              <w:left w:val="nil"/>
              <w:bottom w:val="nil"/>
              <w:right w:val="nil"/>
            </w:tcBorders>
            <w:shd w:val="clear" w:color="auto" w:fill="auto"/>
          </w:tcPr>
          <w:p w14:paraId="2F1C4D9E"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Pr>
          <w:p w14:paraId="6BDA621D" w14:textId="77777777" w:rsidR="00F307CB" w:rsidRDefault="00F307CB" w:rsidP="000A3D9E">
            <w:pPr>
              <w:spacing w:after="0"/>
            </w:pPr>
            <w:r>
              <w:rPr>
                <w:noProof/>
              </w:rPr>
              <w:drawing>
                <wp:inline distT="0" distB="0" distL="0" distR="0" wp14:anchorId="68BE2E3A" wp14:editId="630056B6">
                  <wp:extent cx="4751705" cy="3669476"/>
                  <wp:effectExtent l="0" t="0" r="0" b="762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F307CB" w:rsidRPr="00343AC1" w14:paraId="2551FA53" w14:textId="77777777" w:rsidTr="000A3D9E">
        <w:trPr>
          <w:trHeight w:val="170"/>
        </w:trPr>
        <w:tc>
          <w:tcPr>
            <w:tcW w:w="1732" w:type="dxa"/>
            <w:vMerge/>
            <w:tcBorders>
              <w:top w:val="nil"/>
              <w:left w:val="nil"/>
              <w:bottom w:val="nil"/>
              <w:right w:val="nil"/>
            </w:tcBorders>
            <w:shd w:val="clear" w:color="auto" w:fill="auto"/>
            <w:tcMar>
              <w:left w:w="0" w:type="dxa"/>
            </w:tcMar>
          </w:tcPr>
          <w:p w14:paraId="0900FDBA" w14:textId="77777777" w:rsidR="00F307CB" w:rsidRDefault="00F307CB" w:rsidP="000A3D9E">
            <w:pPr>
              <w:pStyle w:val="Marginlie"/>
            </w:pPr>
          </w:p>
        </w:tc>
        <w:tc>
          <w:tcPr>
            <w:tcW w:w="217" w:type="dxa"/>
            <w:vMerge/>
            <w:tcBorders>
              <w:top w:val="nil"/>
              <w:left w:val="nil"/>
              <w:bottom w:val="nil"/>
              <w:right w:val="nil"/>
            </w:tcBorders>
            <w:shd w:val="clear" w:color="auto" w:fill="auto"/>
            <w:tcMar>
              <w:left w:w="0" w:type="dxa"/>
            </w:tcMar>
          </w:tcPr>
          <w:p w14:paraId="06127349"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0CDD592A" w14:textId="4A11B299" w:rsidR="00F307CB" w:rsidRPr="0038786D" w:rsidRDefault="00F307CB" w:rsidP="000A3D9E">
            <w:pPr>
              <w:spacing w:after="0" w:line="240" w:lineRule="auto"/>
              <w:rPr>
                <w:sz w:val="14"/>
                <w:szCs w:val="14"/>
              </w:rPr>
            </w:pPr>
            <w:r w:rsidRPr="0038786D">
              <w:rPr>
                <w:sz w:val="14"/>
                <w:szCs w:val="14"/>
              </w:rPr>
              <w:t xml:space="preserve">* Vyjadřuje </w:t>
            </w:r>
            <w:r w:rsidRPr="0038786D">
              <w:rPr>
                <w:rFonts w:cs="Arial"/>
                <w:color w:val="000000" w:themeColor="text1"/>
                <w:spacing w:val="-4"/>
                <w:sz w:val="14"/>
                <w:szCs w:val="14"/>
              </w:rPr>
              <w:t>rozdíl mezi příjmy a výdaji na důchody ze státníh</w:t>
            </w:r>
            <w:r>
              <w:rPr>
                <w:rFonts w:cs="Arial"/>
                <w:color w:val="000000" w:themeColor="text1"/>
                <w:spacing w:val="-4"/>
                <w:sz w:val="14"/>
                <w:szCs w:val="14"/>
              </w:rPr>
              <w:t>o rozpočtu</w:t>
            </w:r>
            <w:r w:rsidRPr="0038786D">
              <w:rPr>
                <w:rFonts w:cs="Arial"/>
                <w:color w:val="000000" w:themeColor="text1"/>
                <w:spacing w:val="-4"/>
                <w:sz w:val="14"/>
                <w:szCs w:val="14"/>
              </w:rPr>
              <w:t xml:space="preserve">. </w:t>
            </w:r>
            <w:r>
              <w:rPr>
                <w:rFonts w:cs="Arial"/>
                <w:color w:val="000000" w:themeColor="text1"/>
                <w:spacing w:val="-4"/>
                <w:sz w:val="14"/>
                <w:szCs w:val="14"/>
              </w:rPr>
              <w:t>V saldu příjmů a výdajů nejsou zahrnuty náklady</w:t>
            </w:r>
            <w:r w:rsidRPr="0038786D">
              <w:rPr>
                <w:rFonts w:cs="Arial"/>
                <w:color w:val="000000" w:themeColor="text1"/>
                <w:spacing w:val="-4"/>
                <w:sz w:val="14"/>
                <w:szCs w:val="14"/>
              </w:rPr>
              <w:t xml:space="preserve"> na správu </w:t>
            </w:r>
            <w:r>
              <w:rPr>
                <w:rFonts w:cs="Arial"/>
                <w:color w:val="000000" w:themeColor="text1"/>
                <w:spacing w:val="-4"/>
                <w:sz w:val="14"/>
                <w:szCs w:val="14"/>
              </w:rPr>
              <w:t xml:space="preserve">systému </w:t>
            </w:r>
            <w:r w:rsidRPr="0038786D">
              <w:rPr>
                <w:rFonts w:cs="Arial"/>
                <w:color w:val="000000" w:themeColor="text1"/>
                <w:spacing w:val="-4"/>
                <w:sz w:val="14"/>
                <w:szCs w:val="14"/>
              </w:rPr>
              <w:t>důchodového pojištění.</w:t>
            </w:r>
          </w:p>
          <w:p w14:paraId="22B26917" w14:textId="77777777" w:rsidR="00F307CB" w:rsidRDefault="00F307CB" w:rsidP="000A3D9E">
            <w:pPr>
              <w:spacing w:after="0" w:line="240" w:lineRule="auto"/>
              <w:rPr>
                <w:sz w:val="14"/>
                <w:szCs w:val="14"/>
              </w:rPr>
            </w:pPr>
            <w:r w:rsidRPr="00B3757E">
              <w:rPr>
                <w:sz w:val="14"/>
                <w:szCs w:val="14"/>
              </w:rPr>
              <w:t>*</w:t>
            </w:r>
            <w:r>
              <w:rPr>
                <w:sz w:val="14"/>
                <w:szCs w:val="14"/>
              </w:rPr>
              <w:t>*</w:t>
            </w:r>
            <w:r w:rsidRPr="00B3757E">
              <w:rPr>
                <w:sz w:val="14"/>
                <w:szCs w:val="14"/>
              </w:rPr>
              <w:t>Jde o starobní důchod přiznaný před dosažením důchodového věku a krácený za předčasnost po celou dobu</w:t>
            </w:r>
            <w:r>
              <w:rPr>
                <w:sz w:val="14"/>
                <w:szCs w:val="14"/>
              </w:rPr>
              <w:t xml:space="preserve"> </w:t>
            </w:r>
            <w:r w:rsidRPr="00B3757E">
              <w:rPr>
                <w:sz w:val="14"/>
                <w:szCs w:val="14"/>
              </w:rPr>
              <w:t xml:space="preserve">pobírání </w:t>
            </w:r>
            <w:r>
              <w:rPr>
                <w:sz w:val="14"/>
                <w:szCs w:val="14"/>
              </w:rPr>
              <w:t xml:space="preserve">důchodu.                                                                                                                                                        </w:t>
            </w:r>
          </w:p>
          <w:p w14:paraId="3176601D" w14:textId="77777777" w:rsidR="00F307CB" w:rsidRPr="00343AC1" w:rsidRDefault="00F307CB" w:rsidP="000A3D9E">
            <w:pPr>
              <w:spacing w:after="220" w:line="240" w:lineRule="auto"/>
              <w:rPr>
                <w:rFonts w:cs="Arial"/>
                <w:color w:val="0D0D0D" w:themeColor="text1" w:themeTint="F2"/>
                <w:sz w:val="14"/>
                <w:szCs w:val="14"/>
              </w:rPr>
            </w:pPr>
            <w:r w:rsidRPr="007E5880">
              <w:rPr>
                <w:sz w:val="14"/>
                <w:szCs w:val="14"/>
              </w:rPr>
              <w:t>Zdroj: MF, ČSSZ</w:t>
            </w:r>
          </w:p>
        </w:tc>
      </w:tr>
      <w:tr w:rsidR="00F307CB" w:rsidRPr="004F63A0" w14:paraId="4A0BE1A0" w14:textId="77777777" w:rsidTr="000A3D9E">
        <w:trPr>
          <w:trHeight w:val="145"/>
        </w:trPr>
        <w:tc>
          <w:tcPr>
            <w:tcW w:w="1732" w:type="dxa"/>
            <w:tcBorders>
              <w:top w:val="nil"/>
              <w:left w:val="nil"/>
              <w:bottom w:val="nil"/>
              <w:right w:val="nil"/>
            </w:tcBorders>
            <w:shd w:val="clear" w:color="auto" w:fill="auto"/>
            <w:tcMar>
              <w:left w:w="0" w:type="dxa"/>
            </w:tcMar>
          </w:tcPr>
          <w:p w14:paraId="54FD080F" w14:textId="77777777" w:rsidR="00F307CB" w:rsidRDefault="00F307CB" w:rsidP="000A3D9E">
            <w:pPr>
              <w:pStyle w:val="Marginlie"/>
            </w:pPr>
            <w:r>
              <w:t>Tempo růstu výdajů na ostatní sociální dávky zrychlilo. Přispívaly k tomto nadále hlavně svižně rostoucí dávky nemocenského pojištění.</w:t>
            </w:r>
          </w:p>
        </w:tc>
        <w:tc>
          <w:tcPr>
            <w:tcW w:w="217" w:type="dxa"/>
            <w:tcBorders>
              <w:top w:val="nil"/>
              <w:left w:val="nil"/>
              <w:bottom w:val="nil"/>
              <w:right w:val="nil"/>
            </w:tcBorders>
            <w:shd w:val="clear" w:color="auto" w:fill="auto"/>
            <w:tcMar>
              <w:left w:w="0" w:type="dxa"/>
            </w:tcMar>
          </w:tcPr>
          <w:p w14:paraId="0A2B1359"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31920663" w14:textId="4B2C1B2B" w:rsidR="00F307CB" w:rsidRPr="004F63A0" w:rsidRDefault="00F307CB" w:rsidP="000A3D9E">
            <w:pPr>
              <w:pStyle w:val="Textpoznpodarou"/>
              <w:spacing w:after="200" w:line="276" w:lineRule="auto"/>
              <w:jc w:val="both"/>
              <w:rPr>
                <w:rFonts w:cs="Arial"/>
                <w:color w:val="0D0D0D" w:themeColor="text1" w:themeTint="F2"/>
                <w:spacing w:val="-4"/>
              </w:rPr>
            </w:pPr>
            <w:r>
              <w:rPr>
                <w:rFonts w:cs="Arial"/>
                <w:color w:val="0D0D0D" w:themeColor="text1" w:themeTint="F2"/>
                <w:spacing w:val="-4"/>
              </w:rPr>
              <w:t xml:space="preserve">Vedle </w:t>
            </w:r>
            <w:r w:rsidR="00F32649">
              <w:rPr>
                <w:rFonts w:cs="Arial"/>
                <w:color w:val="0D0D0D" w:themeColor="text1" w:themeTint="F2"/>
                <w:spacing w:val="-4"/>
              </w:rPr>
              <w:t xml:space="preserve">důchodů </w:t>
            </w:r>
            <w:r>
              <w:rPr>
                <w:rFonts w:cs="Arial"/>
                <w:color w:val="0D0D0D" w:themeColor="text1" w:themeTint="F2"/>
                <w:spacing w:val="-4"/>
              </w:rPr>
              <w:t>rostly letos svižně i výdaje na ostatní sociální dávky (v úhrnu o 6,5</w:t>
            </w:r>
            <w:r w:rsidR="00870ECD">
              <w:rPr>
                <w:rFonts w:cs="Arial"/>
                <w:color w:val="0D0D0D" w:themeColor="text1" w:themeTint="F2"/>
                <w:spacing w:val="-4"/>
              </w:rPr>
              <w:t> %</w:t>
            </w:r>
            <w:r>
              <w:rPr>
                <w:rFonts w:cs="Arial"/>
                <w:color w:val="0D0D0D" w:themeColor="text1" w:themeTint="F2"/>
                <w:spacing w:val="-4"/>
              </w:rPr>
              <w:t>, nejvíce za poslední pětiletí). Ty jsou v posledních letech tradičně taženy zejména vyšším objemem dávek nemocenského pojištění (letos posílily meziročně o pětinu)</w:t>
            </w:r>
            <w:r w:rsidR="00F32649">
              <w:rPr>
                <w:rFonts w:cs="Arial"/>
                <w:color w:val="0D0D0D" w:themeColor="text1" w:themeTint="F2"/>
                <w:spacing w:val="-4"/>
              </w:rPr>
              <w:t>, a</w:t>
            </w:r>
            <w:r>
              <w:rPr>
                <w:rFonts w:cs="Arial"/>
                <w:color w:val="0D0D0D" w:themeColor="text1" w:themeTint="F2"/>
                <w:spacing w:val="-4"/>
              </w:rPr>
              <w:t>lespoň mírný růst ale letos zaznamenala výrazná většina váhově významných druhů dávek. Výjimko</w:t>
            </w:r>
            <w:r w:rsidR="00893EBE">
              <w:rPr>
                <w:rFonts w:cs="Arial"/>
                <w:color w:val="0D0D0D" w:themeColor="text1" w:themeTint="F2"/>
                <w:spacing w:val="-4"/>
              </w:rPr>
              <w:t>u byly jen dávky hmotné nouze (–23</w:t>
            </w:r>
            <w:r w:rsidR="00870ECD">
              <w:rPr>
                <w:rFonts w:cs="Arial"/>
                <w:color w:val="0D0D0D" w:themeColor="text1" w:themeTint="F2"/>
                <w:spacing w:val="-4"/>
              </w:rPr>
              <w:t> %</w:t>
            </w:r>
            <w:r w:rsidR="00893EBE">
              <w:rPr>
                <w:rFonts w:cs="Arial"/>
                <w:color w:val="0D0D0D" w:themeColor="text1" w:themeTint="F2"/>
                <w:spacing w:val="-4"/>
              </w:rPr>
              <w:t>, za posledních pět let –</w:t>
            </w:r>
            <w:r>
              <w:rPr>
                <w:rFonts w:cs="Arial"/>
                <w:color w:val="0D0D0D" w:themeColor="text1" w:themeTint="F2"/>
                <w:spacing w:val="-4"/>
              </w:rPr>
              <w:t>59</w:t>
            </w:r>
            <w:r w:rsidR="00870ECD">
              <w:rPr>
                <w:rFonts w:cs="Arial"/>
                <w:color w:val="0D0D0D" w:themeColor="text1" w:themeTint="F2"/>
                <w:spacing w:val="-4"/>
              </w:rPr>
              <w:t> %</w:t>
            </w:r>
            <w:r>
              <w:rPr>
                <w:rFonts w:cs="Arial"/>
                <w:color w:val="0D0D0D" w:themeColor="text1" w:themeTint="F2"/>
                <w:spacing w:val="-4"/>
              </w:rPr>
              <w:t>) a také některé dávky státní sociální podpory vázané na příjem domácnosti (především příspěvek na bydlení)</w:t>
            </w:r>
            <w:r w:rsidRPr="009D4D1C">
              <w:rPr>
                <w:rStyle w:val="Znakapoznpodarou"/>
                <w:color w:val="000000" w:themeColor="text1"/>
                <w:spacing w:val="-4"/>
              </w:rPr>
              <w:footnoteReference w:id="54"/>
            </w:r>
            <w:r>
              <w:rPr>
                <w:rFonts w:cs="Arial"/>
                <w:color w:val="0D0D0D" w:themeColor="text1" w:themeTint="F2"/>
                <w:spacing w:val="-4"/>
              </w:rPr>
              <w:t>. Po čtyřech letech se letos zastavil pokles vyplacených dávek podpor nezaměstnaným,</w:t>
            </w:r>
            <w:r w:rsidR="00F32649">
              <w:rPr>
                <w:rFonts w:cs="Arial"/>
                <w:color w:val="0D0D0D" w:themeColor="text1" w:themeTint="F2"/>
                <w:spacing w:val="-4"/>
              </w:rPr>
              <w:br/>
            </w:r>
            <w:r>
              <w:rPr>
                <w:spacing w:val="-4"/>
              </w:rPr>
              <w:t>mj. i</w:t>
            </w:r>
            <w:r>
              <w:rPr>
                <w:rFonts w:cs="Arial"/>
                <w:color w:val="0D0D0D" w:themeColor="text1" w:themeTint="F2"/>
                <w:spacing w:val="-4"/>
              </w:rPr>
              <w:t> </w:t>
            </w:r>
            <w:r>
              <w:rPr>
                <w:spacing w:val="-4"/>
              </w:rPr>
              <w:t xml:space="preserve">vlivem vysokého podílu frikční složky nezaměstnanosti i růstu průměrné měsíční dávky </w:t>
            </w:r>
            <w:r w:rsidR="00F32649">
              <w:rPr>
                <w:spacing w:val="-4"/>
              </w:rPr>
              <w:t>v </w:t>
            </w:r>
            <w:r>
              <w:rPr>
                <w:spacing w:val="-4"/>
              </w:rPr>
              <w:t>nezaměstnanosti (odvozené od předchozích pracovních výdělků uchazeče o práci).</w:t>
            </w:r>
          </w:p>
        </w:tc>
      </w:tr>
      <w:tr w:rsidR="00F307CB" w:rsidRPr="00F704D2" w14:paraId="1D0D2DB3" w14:textId="77777777" w:rsidTr="000A3D9E">
        <w:trPr>
          <w:trHeight w:val="170"/>
        </w:trPr>
        <w:tc>
          <w:tcPr>
            <w:tcW w:w="1732" w:type="dxa"/>
            <w:vMerge w:val="restart"/>
            <w:tcBorders>
              <w:top w:val="nil"/>
              <w:left w:val="nil"/>
              <w:bottom w:val="nil"/>
              <w:right w:val="nil"/>
            </w:tcBorders>
            <w:shd w:val="clear" w:color="auto" w:fill="auto"/>
            <w:tcMar>
              <w:left w:w="0" w:type="dxa"/>
            </w:tcMar>
          </w:tcPr>
          <w:p w14:paraId="44DB92EA" w14:textId="77777777" w:rsidR="00F307CB" w:rsidRDefault="00F307CB" w:rsidP="000A3D9E">
            <w:pPr>
              <w:pStyle w:val="Marginlie"/>
            </w:pPr>
          </w:p>
        </w:tc>
        <w:tc>
          <w:tcPr>
            <w:tcW w:w="217" w:type="dxa"/>
            <w:vMerge w:val="restart"/>
            <w:tcBorders>
              <w:top w:val="nil"/>
              <w:left w:val="nil"/>
              <w:bottom w:val="nil"/>
              <w:right w:val="nil"/>
            </w:tcBorders>
            <w:shd w:val="clear" w:color="auto" w:fill="auto"/>
            <w:tcMar>
              <w:left w:w="0" w:type="dxa"/>
            </w:tcMar>
          </w:tcPr>
          <w:p w14:paraId="369FE20A"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2EAF7AF7" w14:textId="77777777" w:rsidR="00F307CB" w:rsidRPr="00F704D2" w:rsidRDefault="001208E3" w:rsidP="000A3D9E">
            <w:pPr>
              <w:spacing w:after="40" w:line="240" w:lineRule="auto"/>
              <w:jc w:val="left"/>
              <w:rPr>
                <w:rFonts w:cs="Arial"/>
                <w:bCs/>
              </w:rPr>
            </w:pPr>
            <w:r>
              <w:rPr>
                <w:b/>
                <w:spacing w:val="-2"/>
              </w:rPr>
              <w:t>Graf č. 19</w:t>
            </w:r>
            <w:r w:rsidR="00F307CB" w:rsidRPr="00DC43A2">
              <w:rPr>
                <w:b/>
                <w:spacing w:val="-2"/>
              </w:rPr>
              <w:t xml:space="preserve"> </w:t>
            </w:r>
            <w:r w:rsidR="00F307CB" w:rsidRPr="00DC43A2">
              <w:rPr>
                <w:rFonts w:cs="Arial"/>
                <w:b/>
                <w:bCs/>
                <w:spacing w:val="-2"/>
              </w:rPr>
              <w:t>Vybrané výdaje státního rozpočtu</w:t>
            </w:r>
            <w:r w:rsidR="00F307CB" w:rsidRPr="00DC43A2">
              <w:rPr>
                <w:rFonts w:cs="Arial"/>
                <w:bCs/>
                <w:spacing w:val="-2"/>
              </w:rPr>
              <w:t xml:space="preserve"> (v mld. korun)</w:t>
            </w:r>
          </w:p>
        </w:tc>
      </w:tr>
      <w:tr w:rsidR="00F307CB" w14:paraId="6BC6DABE" w14:textId="77777777" w:rsidTr="00D215B0">
        <w:tblPrEx>
          <w:tblCellMar>
            <w:left w:w="70" w:type="dxa"/>
            <w:right w:w="70" w:type="dxa"/>
          </w:tblCellMar>
        </w:tblPrEx>
        <w:trPr>
          <w:trHeight w:val="170"/>
        </w:trPr>
        <w:tc>
          <w:tcPr>
            <w:tcW w:w="1732" w:type="dxa"/>
            <w:vMerge/>
            <w:tcBorders>
              <w:top w:val="nil"/>
              <w:left w:val="nil"/>
              <w:bottom w:val="nil"/>
              <w:right w:val="nil"/>
            </w:tcBorders>
            <w:shd w:val="clear" w:color="auto" w:fill="auto"/>
          </w:tcPr>
          <w:p w14:paraId="1D9EE8F2" w14:textId="77777777" w:rsidR="00F307CB" w:rsidRDefault="00F307CB" w:rsidP="000A3D9E">
            <w:pPr>
              <w:pStyle w:val="Marginlie"/>
            </w:pPr>
          </w:p>
        </w:tc>
        <w:tc>
          <w:tcPr>
            <w:tcW w:w="217" w:type="dxa"/>
            <w:vMerge/>
            <w:tcBorders>
              <w:top w:val="nil"/>
              <w:left w:val="nil"/>
              <w:bottom w:val="nil"/>
              <w:right w:val="nil"/>
            </w:tcBorders>
            <w:shd w:val="clear" w:color="auto" w:fill="auto"/>
          </w:tcPr>
          <w:p w14:paraId="745B593D"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Pr>
          <w:p w14:paraId="6F7B6461" w14:textId="17A5A4B6" w:rsidR="00F307CB" w:rsidRDefault="00D215B0" w:rsidP="000A3D9E">
            <w:pPr>
              <w:spacing w:after="0"/>
            </w:pPr>
            <w:r>
              <w:rPr>
                <w:noProof/>
              </w:rPr>
              <w:drawing>
                <wp:inline distT="0" distB="0" distL="0" distR="0" wp14:anchorId="79A633EA" wp14:editId="42D0C785">
                  <wp:extent cx="4797477" cy="3488586"/>
                  <wp:effectExtent l="0" t="0" r="3175" b="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F307CB" w:rsidRPr="00343AC1" w14:paraId="05507CDA" w14:textId="77777777" w:rsidTr="00236700">
        <w:trPr>
          <w:trHeight w:val="170"/>
        </w:trPr>
        <w:tc>
          <w:tcPr>
            <w:tcW w:w="1732" w:type="dxa"/>
            <w:vMerge/>
            <w:tcBorders>
              <w:top w:val="nil"/>
              <w:left w:val="nil"/>
              <w:bottom w:val="nil"/>
              <w:right w:val="nil"/>
            </w:tcBorders>
            <w:shd w:val="clear" w:color="auto" w:fill="auto"/>
            <w:tcMar>
              <w:left w:w="0" w:type="dxa"/>
            </w:tcMar>
          </w:tcPr>
          <w:p w14:paraId="46C28E74" w14:textId="77777777" w:rsidR="00F307CB" w:rsidRDefault="00F307CB" w:rsidP="000A3D9E">
            <w:pPr>
              <w:pStyle w:val="Marginlie"/>
            </w:pPr>
          </w:p>
        </w:tc>
        <w:tc>
          <w:tcPr>
            <w:tcW w:w="217" w:type="dxa"/>
            <w:vMerge/>
            <w:tcBorders>
              <w:top w:val="nil"/>
              <w:left w:val="nil"/>
              <w:bottom w:val="nil"/>
              <w:right w:val="nil"/>
            </w:tcBorders>
            <w:shd w:val="clear" w:color="auto" w:fill="auto"/>
            <w:tcMar>
              <w:left w:w="0" w:type="dxa"/>
            </w:tcMar>
          </w:tcPr>
          <w:p w14:paraId="30DFD37B"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111ED7A8" w14:textId="7FC44EB6" w:rsidR="00D215B0" w:rsidRDefault="00D215B0" w:rsidP="000A3D9E">
            <w:pPr>
              <w:pStyle w:val="Textpoznpodarou"/>
              <w:rPr>
                <w:sz w:val="14"/>
                <w:szCs w:val="14"/>
              </w:rPr>
            </w:pPr>
            <w:r>
              <w:rPr>
                <w:sz w:val="14"/>
                <w:szCs w:val="14"/>
              </w:rPr>
              <w:t>*Pokrývá výdaje na platy v ústředních orgánech státní správy. Nezahrnuje např. mzdové výdaje na regionální školství.</w:t>
            </w:r>
          </w:p>
          <w:p w14:paraId="225BFFC3" w14:textId="6A4239EE" w:rsidR="00F307CB" w:rsidRDefault="00F307CB" w:rsidP="000A3D9E">
            <w:pPr>
              <w:pStyle w:val="Textpoznpodarou"/>
              <w:rPr>
                <w:sz w:val="14"/>
                <w:szCs w:val="14"/>
              </w:rPr>
            </w:pPr>
            <w:r>
              <w:rPr>
                <w:sz w:val="14"/>
                <w:szCs w:val="14"/>
              </w:rPr>
              <w:t>*</w:t>
            </w:r>
            <w:r w:rsidR="00D215B0">
              <w:rPr>
                <w:sz w:val="14"/>
                <w:szCs w:val="14"/>
              </w:rPr>
              <w:t>*</w:t>
            </w:r>
            <w:r>
              <w:rPr>
                <w:sz w:val="14"/>
                <w:szCs w:val="14"/>
              </w:rPr>
              <w:t>Zahrnuje i dávky pěstounské péče.</w:t>
            </w:r>
          </w:p>
          <w:p w14:paraId="3E6FB18F" w14:textId="09B55195" w:rsidR="00F307CB" w:rsidRDefault="00F307CB" w:rsidP="000A3D9E">
            <w:pPr>
              <w:pStyle w:val="Textpoznpodarou"/>
              <w:rPr>
                <w:sz w:val="14"/>
                <w:szCs w:val="14"/>
              </w:rPr>
            </w:pPr>
            <w:r>
              <w:rPr>
                <w:sz w:val="14"/>
                <w:szCs w:val="14"/>
              </w:rPr>
              <w:t>**</w:t>
            </w:r>
            <w:r w:rsidR="00D215B0">
              <w:rPr>
                <w:sz w:val="14"/>
                <w:szCs w:val="14"/>
              </w:rPr>
              <w:t>*</w:t>
            </w:r>
            <w:r>
              <w:rPr>
                <w:sz w:val="14"/>
                <w:szCs w:val="14"/>
              </w:rPr>
              <w:t>Zahrnuje d</w:t>
            </w:r>
            <w:r w:rsidRPr="007E5880">
              <w:rPr>
                <w:sz w:val="14"/>
                <w:szCs w:val="14"/>
              </w:rPr>
              <w:t>ávky pomoci</w:t>
            </w:r>
            <w:r>
              <w:rPr>
                <w:sz w:val="14"/>
                <w:szCs w:val="14"/>
              </w:rPr>
              <w:t xml:space="preserve"> v hmotné</w:t>
            </w:r>
            <w:r w:rsidRPr="007E5880">
              <w:rPr>
                <w:sz w:val="14"/>
                <w:szCs w:val="14"/>
              </w:rPr>
              <w:t xml:space="preserve"> </w:t>
            </w:r>
            <w:r>
              <w:rPr>
                <w:sz w:val="14"/>
                <w:szCs w:val="14"/>
              </w:rPr>
              <w:t>n</w:t>
            </w:r>
            <w:r w:rsidRPr="007E5880">
              <w:rPr>
                <w:sz w:val="14"/>
                <w:szCs w:val="14"/>
              </w:rPr>
              <w:t>ouzi,</w:t>
            </w:r>
            <w:r>
              <w:rPr>
                <w:sz w:val="14"/>
                <w:szCs w:val="14"/>
              </w:rPr>
              <w:t xml:space="preserve"> dávky osobám se zdravotním</w:t>
            </w:r>
            <w:r w:rsidRPr="007E5880">
              <w:rPr>
                <w:sz w:val="14"/>
                <w:szCs w:val="14"/>
              </w:rPr>
              <w:t xml:space="preserve"> </w:t>
            </w:r>
            <w:r>
              <w:rPr>
                <w:sz w:val="14"/>
                <w:szCs w:val="14"/>
              </w:rPr>
              <w:t>p</w:t>
            </w:r>
            <w:r w:rsidRPr="007E5880">
              <w:rPr>
                <w:sz w:val="14"/>
                <w:szCs w:val="14"/>
              </w:rPr>
              <w:t>ostižením, pří</w:t>
            </w:r>
            <w:r>
              <w:rPr>
                <w:sz w:val="14"/>
                <w:szCs w:val="14"/>
              </w:rPr>
              <w:t>spěvek na péči dle zákona o</w:t>
            </w:r>
            <w:r w:rsidR="00540056">
              <w:rPr>
                <w:sz w:val="14"/>
                <w:szCs w:val="14"/>
              </w:rPr>
              <w:t> </w:t>
            </w:r>
            <w:r>
              <w:rPr>
                <w:sz w:val="14"/>
                <w:szCs w:val="14"/>
              </w:rPr>
              <w:t>sociálních službách.</w:t>
            </w:r>
          </w:p>
          <w:p w14:paraId="165CE882" w14:textId="77777777" w:rsidR="00F307CB" w:rsidRPr="00BF15CA" w:rsidRDefault="00F307CB" w:rsidP="00BF15CA">
            <w:pPr>
              <w:pStyle w:val="Textpoznpodarou"/>
              <w:spacing w:after="200"/>
              <w:rPr>
                <w:sz w:val="14"/>
                <w:szCs w:val="14"/>
              </w:rPr>
            </w:pPr>
            <w:r>
              <w:rPr>
                <w:sz w:val="14"/>
                <w:szCs w:val="14"/>
              </w:rPr>
              <w:t>Zdroj: MF ČR, MPSV</w:t>
            </w:r>
          </w:p>
        </w:tc>
      </w:tr>
      <w:tr w:rsidR="00F307CB" w:rsidRPr="00DC43A2" w14:paraId="06CF7FC8" w14:textId="77777777" w:rsidTr="00236700">
        <w:trPr>
          <w:trHeight w:val="145"/>
        </w:trPr>
        <w:tc>
          <w:tcPr>
            <w:tcW w:w="1732" w:type="dxa"/>
            <w:tcBorders>
              <w:top w:val="nil"/>
              <w:left w:val="nil"/>
              <w:bottom w:val="nil"/>
              <w:right w:val="nil"/>
            </w:tcBorders>
            <w:shd w:val="clear" w:color="auto" w:fill="auto"/>
            <w:tcMar>
              <w:left w:w="0" w:type="dxa"/>
            </w:tcMar>
          </w:tcPr>
          <w:p w14:paraId="7BD25E74" w14:textId="77777777" w:rsidR="00F307CB" w:rsidRDefault="00F307CB" w:rsidP="000A3D9E">
            <w:pPr>
              <w:pStyle w:val="Marginlie"/>
            </w:pPr>
            <w:r>
              <w:t>Výše státního dluhu od počátku roku významněji vzrostla. V dlouhodobějším pohledu ale zůstává stabilizovaná.</w:t>
            </w:r>
          </w:p>
        </w:tc>
        <w:tc>
          <w:tcPr>
            <w:tcW w:w="217" w:type="dxa"/>
            <w:tcBorders>
              <w:top w:val="nil"/>
              <w:left w:val="nil"/>
              <w:bottom w:val="nil"/>
              <w:right w:val="nil"/>
            </w:tcBorders>
            <w:shd w:val="clear" w:color="auto" w:fill="auto"/>
            <w:tcMar>
              <w:left w:w="0" w:type="dxa"/>
            </w:tcMar>
          </w:tcPr>
          <w:p w14:paraId="507E8F3C" w14:textId="77777777" w:rsidR="00F307CB" w:rsidRDefault="00F307CB" w:rsidP="000A3D9E">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2249DDD2" w14:textId="295DB33D" w:rsidR="00F307CB" w:rsidRPr="00117474" w:rsidRDefault="00F307CB" w:rsidP="00C401A9">
            <w:pPr>
              <w:pStyle w:val="Textpoznpodarou"/>
              <w:spacing w:after="220" w:line="276" w:lineRule="auto"/>
              <w:jc w:val="both"/>
              <w:rPr>
                <w:spacing w:val="-4"/>
              </w:rPr>
            </w:pPr>
            <w:r w:rsidRPr="00117474">
              <w:rPr>
                <w:rFonts w:cs="Arial"/>
                <w:color w:val="0D0D0D" w:themeColor="text1" w:themeTint="F2"/>
                <w:spacing w:val="-4"/>
              </w:rPr>
              <w:t>Sedmým rokem v řadě pokračoval trend stabilizace výše státního dluhu. Ten dosáhl na konci 1. čtvrtletí 2019 hodnoty 1</w:t>
            </w:r>
            <w:r w:rsidR="00E3724A">
              <w:rPr>
                <w:rFonts w:cs="Arial"/>
                <w:color w:val="0D0D0D" w:themeColor="text1" w:themeTint="F2"/>
                <w:spacing w:val="-4"/>
              </w:rPr>
              <w:t> </w:t>
            </w:r>
            <w:r w:rsidRPr="00117474">
              <w:rPr>
                <w:rFonts w:cs="Arial"/>
                <w:color w:val="0D0D0D" w:themeColor="text1" w:themeTint="F2"/>
                <w:spacing w:val="-4"/>
              </w:rPr>
              <w:t>731,6</w:t>
            </w:r>
            <w:r w:rsidR="00870ECD">
              <w:rPr>
                <w:rFonts w:cs="Arial"/>
                <w:color w:val="0D0D0D" w:themeColor="text1" w:themeTint="F2"/>
                <w:spacing w:val="-4"/>
              </w:rPr>
              <w:t> mld</w:t>
            </w:r>
            <w:r w:rsidRPr="00117474">
              <w:rPr>
                <w:rFonts w:cs="Arial"/>
                <w:color w:val="0D0D0D" w:themeColor="text1" w:themeTint="F2"/>
                <w:spacing w:val="-4"/>
              </w:rPr>
              <w:t>. korun. Meziročně mírně vzrostl (+1,1</w:t>
            </w:r>
            <w:r w:rsidR="00870ECD">
              <w:rPr>
                <w:rFonts w:cs="Arial"/>
                <w:color w:val="0D0D0D" w:themeColor="text1" w:themeTint="F2"/>
                <w:spacing w:val="-4"/>
              </w:rPr>
              <w:t> %</w:t>
            </w:r>
            <w:r w:rsidRPr="00117474">
              <w:rPr>
                <w:rFonts w:cs="Arial"/>
                <w:color w:val="0D0D0D" w:themeColor="text1" w:themeTint="F2"/>
                <w:spacing w:val="-4"/>
              </w:rPr>
              <w:t xml:space="preserve">), </w:t>
            </w:r>
            <w:r w:rsidR="00E3724A">
              <w:rPr>
                <w:rFonts w:cs="Arial"/>
                <w:color w:val="0D0D0D" w:themeColor="text1" w:themeTint="F2"/>
                <w:spacing w:val="-4"/>
              </w:rPr>
              <w:t>ve</w:t>
            </w:r>
            <w:r w:rsidR="00E3724A" w:rsidRPr="00117474">
              <w:rPr>
                <w:rFonts w:cs="Arial"/>
                <w:color w:val="0D0D0D" w:themeColor="text1" w:themeTint="F2"/>
                <w:spacing w:val="-4"/>
              </w:rPr>
              <w:t xml:space="preserve"> </w:t>
            </w:r>
            <w:r w:rsidRPr="00117474">
              <w:rPr>
                <w:rFonts w:cs="Arial"/>
                <w:color w:val="0D0D0D" w:themeColor="text1" w:themeTint="F2"/>
                <w:spacing w:val="-4"/>
              </w:rPr>
              <w:t>srovnání se stavem na konci roku 2018 se jeho úroveň navýšila významněji (+6,8</w:t>
            </w:r>
            <w:r w:rsidR="00870ECD">
              <w:rPr>
                <w:rFonts w:cs="Arial"/>
                <w:color w:val="0D0D0D" w:themeColor="text1" w:themeTint="F2"/>
                <w:spacing w:val="-4"/>
              </w:rPr>
              <w:t> %</w:t>
            </w:r>
            <w:r w:rsidRPr="00117474">
              <w:rPr>
                <w:rFonts w:cs="Arial"/>
                <w:color w:val="0D0D0D" w:themeColor="text1" w:themeTint="F2"/>
                <w:spacing w:val="-4"/>
              </w:rPr>
              <w:t>, resp. 109,6</w:t>
            </w:r>
            <w:r w:rsidR="00870ECD">
              <w:rPr>
                <w:rFonts w:cs="Arial"/>
                <w:color w:val="0D0D0D" w:themeColor="text1" w:themeTint="F2"/>
                <w:spacing w:val="-4"/>
              </w:rPr>
              <w:t> mld</w:t>
            </w:r>
            <w:r w:rsidRPr="00117474">
              <w:rPr>
                <w:rFonts w:cs="Arial"/>
                <w:color w:val="0D0D0D" w:themeColor="text1" w:themeTint="F2"/>
                <w:spacing w:val="-4"/>
              </w:rPr>
              <w:t>. korun). Tato fluktuace byla dána z drtivé většiny zvýšením stavu středně</w:t>
            </w:r>
            <w:r w:rsidR="00E3724A">
              <w:rPr>
                <w:rFonts w:cs="Arial"/>
                <w:color w:val="0D0D0D" w:themeColor="text1" w:themeTint="F2"/>
                <w:spacing w:val="-4"/>
              </w:rPr>
              <w:t>dobých</w:t>
            </w:r>
            <w:r w:rsidRPr="00117474">
              <w:rPr>
                <w:rFonts w:cs="Arial"/>
                <w:color w:val="0D0D0D" w:themeColor="text1" w:themeTint="F2"/>
                <w:spacing w:val="-4"/>
              </w:rPr>
              <w:t xml:space="preserve"> a</w:t>
            </w:r>
            <w:r w:rsidR="00E3724A">
              <w:rPr>
                <w:rFonts w:cs="Arial"/>
                <w:color w:val="0D0D0D" w:themeColor="text1" w:themeTint="F2"/>
                <w:spacing w:val="-4"/>
              </w:rPr>
              <w:t> </w:t>
            </w:r>
            <w:r w:rsidRPr="00117474">
              <w:rPr>
                <w:rFonts w:cs="Arial"/>
                <w:color w:val="0D0D0D" w:themeColor="text1" w:themeTint="F2"/>
                <w:spacing w:val="-4"/>
              </w:rPr>
              <w:t>dlouhodobých  státních dluhopisů vydaných na domácím trhu. Již pátým rokem v řadě se snižovala korunová hodnota vnějšího dluhu. Ten tvořil na konci března 2018 jen 13,1</w:t>
            </w:r>
            <w:r w:rsidR="00870ECD">
              <w:rPr>
                <w:rFonts w:cs="Arial"/>
                <w:color w:val="0D0D0D" w:themeColor="text1" w:themeTint="F2"/>
                <w:spacing w:val="-4"/>
              </w:rPr>
              <w:t> %</w:t>
            </w:r>
            <w:r w:rsidRPr="00117474">
              <w:rPr>
                <w:rFonts w:cs="Arial"/>
                <w:color w:val="0D0D0D" w:themeColor="text1" w:themeTint="F2"/>
                <w:spacing w:val="-4"/>
              </w:rPr>
              <w:t xml:space="preserve"> celkového státního dluhu, nejméně od konce roku 2004.</w:t>
            </w:r>
          </w:p>
        </w:tc>
      </w:tr>
      <w:tr w:rsidR="00C401A9" w:rsidRPr="00DC43A2" w14:paraId="508929F5" w14:textId="77777777" w:rsidTr="002763A2">
        <w:trPr>
          <w:trHeight w:val="145"/>
        </w:trPr>
        <w:tc>
          <w:tcPr>
            <w:tcW w:w="1732" w:type="dxa"/>
            <w:tcBorders>
              <w:top w:val="nil"/>
              <w:left w:val="nil"/>
              <w:bottom w:val="nil"/>
              <w:right w:val="nil"/>
            </w:tcBorders>
            <w:shd w:val="clear" w:color="auto" w:fill="auto"/>
            <w:tcMar>
              <w:left w:w="0" w:type="dxa"/>
            </w:tcMar>
          </w:tcPr>
          <w:p w14:paraId="6165E1DD" w14:textId="77777777" w:rsidR="00C401A9" w:rsidRPr="002F0708" w:rsidRDefault="00C401A9" w:rsidP="00C401A9">
            <w:pPr>
              <w:pStyle w:val="Marginlie"/>
              <w:rPr>
                <w:spacing w:val="-3"/>
              </w:rPr>
            </w:pPr>
            <w:r w:rsidRPr="002F0708">
              <w:rPr>
                <w:spacing w:val="-3"/>
              </w:rPr>
              <w:t>Sektor vládních institucí docílil loni přebytku již třetím rokem v řadě.</w:t>
            </w:r>
            <w:r>
              <w:rPr>
                <w:spacing w:val="-3"/>
              </w:rPr>
              <w:t xml:space="preserve"> </w:t>
            </w:r>
          </w:p>
        </w:tc>
        <w:tc>
          <w:tcPr>
            <w:tcW w:w="217" w:type="dxa"/>
            <w:tcBorders>
              <w:top w:val="nil"/>
              <w:left w:val="nil"/>
              <w:bottom w:val="nil"/>
              <w:right w:val="nil"/>
            </w:tcBorders>
            <w:shd w:val="clear" w:color="auto" w:fill="auto"/>
            <w:tcMar>
              <w:left w:w="0" w:type="dxa"/>
            </w:tcMar>
          </w:tcPr>
          <w:p w14:paraId="1C96BCB2" w14:textId="77777777" w:rsidR="00C401A9" w:rsidRDefault="00C401A9" w:rsidP="00C401A9">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5DD1B13C" w14:textId="7605FF47" w:rsidR="00C401A9" w:rsidRPr="00117474" w:rsidRDefault="00C401A9" w:rsidP="00C401A9">
            <w:pPr>
              <w:pStyle w:val="Textpoznpodarou"/>
              <w:spacing w:after="220" w:line="276" w:lineRule="auto"/>
              <w:jc w:val="both"/>
              <w:rPr>
                <w:color w:val="000000" w:themeColor="text1"/>
                <w:spacing w:val="-4"/>
              </w:rPr>
            </w:pPr>
            <w:r w:rsidRPr="00117474">
              <w:rPr>
                <w:color w:val="000000" w:themeColor="text1"/>
                <w:spacing w:val="-4"/>
              </w:rPr>
              <w:t>Konsolidovaný dluh</w:t>
            </w:r>
            <w:r w:rsidRPr="00117474">
              <w:rPr>
                <w:color w:val="0D0D0D" w:themeColor="text1" w:themeTint="F2"/>
                <w:spacing w:val="-4"/>
              </w:rPr>
              <w:t xml:space="preserve"> celého sektoru vládních institucí</w:t>
            </w:r>
            <w:r w:rsidRPr="00117474">
              <w:rPr>
                <w:rStyle w:val="Znakapoznpodarou"/>
                <w:spacing w:val="-4"/>
              </w:rPr>
              <w:footnoteReference w:id="55"/>
            </w:r>
            <w:r w:rsidRPr="00117474">
              <w:rPr>
                <w:color w:val="0D0D0D" w:themeColor="text1" w:themeTint="F2"/>
                <w:spacing w:val="-4"/>
              </w:rPr>
              <w:t xml:space="preserve"> </w:t>
            </w:r>
            <w:r w:rsidR="00117474" w:rsidRPr="00117474">
              <w:rPr>
                <w:color w:val="000000" w:themeColor="text1"/>
                <w:spacing w:val="-4"/>
              </w:rPr>
              <w:t>činil</w:t>
            </w:r>
            <w:r w:rsidRPr="00117474">
              <w:rPr>
                <w:color w:val="000000" w:themeColor="text1"/>
                <w:spacing w:val="-4"/>
              </w:rPr>
              <w:t xml:space="preserve"> d</w:t>
            </w:r>
            <w:r w:rsidR="00117474">
              <w:rPr>
                <w:color w:val="000000" w:themeColor="text1"/>
                <w:spacing w:val="-4"/>
              </w:rPr>
              <w:t>le dat</w:t>
            </w:r>
            <w:r w:rsidRPr="00117474">
              <w:rPr>
                <w:color w:val="000000" w:themeColor="text1"/>
                <w:spacing w:val="-4"/>
              </w:rPr>
              <w:t xml:space="preserve"> ČSÚ na konci 4. čtvrtletí 201</w:t>
            </w:r>
            <w:r w:rsidR="00117474">
              <w:rPr>
                <w:color w:val="000000" w:themeColor="text1"/>
                <w:spacing w:val="-4"/>
              </w:rPr>
              <w:t xml:space="preserve">8 </w:t>
            </w:r>
            <w:r w:rsidRPr="00117474">
              <w:rPr>
                <w:color w:val="000000" w:themeColor="text1"/>
                <w:spacing w:val="-4"/>
              </w:rPr>
              <w:t xml:space="preserve">1 735 mld. </w:t>
            </w:r>
            <w:r w:rsidR="00117474">
              <w:rPr>
                <w:color w:val="000000" w:themeColor="text1"/>
                <w:spacing w:val="-4"/>
              </w:rPr>
              <w:t>korun. Hodnota</w:t>
            </w:r>
            <w:r w:rsidRPr="00117474">
              <w:rPr>
                <w:color w:val="000000" w:themeColor="text1"/>
                <w:spacing w:val="-4"/>
              </w:rPr>
              <w:t xml:space="preserve"> dluhu zůstává již šestým rokem v řadě stabilizovaná. Míra zadlužení činila 32,71</w:t>
            </w:r>
            <w:r w:rsidR="00870ECD">
              <w:rPr>
                <w:color w:val="000000" w:themeColor="text1"/>
                <w:spacing w:val="-4"/>
              </w:rPr>
              <w:t> %</w:t>
            </w:r>
            <w:r w:rsidRPr="00117474">
              <w:rPr>
                <w:color w:val="000000" w:themeColor="text1"/>
                <w:spacing w:val="-4"/>
              </w:rPr>
              <w:t xml:space="preserve"> HDP a ve srovnání s koncem roku 2017 klesla o 1,95</w:t>
            </w:r>
            <w:r w:rsidR="00870ECD">
              <w:rPr>
                <w:color w:val="000000" w:themeColor="text1"/>
                <w:spacing w:val="-4"/>
              </w:rPr>
              <w:t> p. b.</w:t>
            </w:r>
            <w:r w:rsidRPr="00117474">
              <w:rPr>
                <w:color w:val="000000" w:themeColor="text1"/>
                <w:spacing w:val="-4"/>
              </w:rPr>
              <w:t xml:space="preserve"> Snížila se primárně vlivem posílení nominálního HDP, samotný meziroční pokles dluhu se podílel jen necelou sedminou. V roce 2018 docílil sektor vládních institucí v ČR přebytku hospodaření</w:t>
            </w:r>
            <w:r w:rsidR="003810F0">
              <w:rPr>
                <w:color w:val="000000" w:themeColor="text1"/>
                <w:spacing w:val="-4"/>
              </w:rPr>
              <w:t xml:space="preserve"> </w:t>
            </w:r>
            <w:r w:rsidRPr="00117474">
              <w:rPr>
                <w:color w:val="000000" w:themeColor="text1"/>
                <w:spacing w:val="-4"/>
              </w:rPr>
              <w:t>+47,4</w:t>
            </w:r>
            <w:r w:rsidR="00870ECD">
              <w:rPr>
                <w:color w:val="000000" w:themeColor="text1"/>
                <w:spacing w:val="-4"/>
              </w:rPr>
              <w:t> mld</w:t>
            </w:r>
            <w:r w:rsidRPr="00117474">
              <w:rPr>
                <w:color w:val="000000" w:themeColor="text1"/>
                <w:spacing w:val="-4"/>
              </w:rPr>
              <w:t>. korun, celoroční kladný výsledek přetrvával již třetím rokem v řadě</w:t>
            </w:r>
            <w:r w:rsidRPr="00117474">
              <w:rPr>
                <w:rStyle w:val="Znakapoznpodarou"/>
                <w:spacing w:val="-4"/>
              </w:rPr>
              <w:footnoteReference w:id="56"/>
            </w:r>
            <w:r w:rsidRPr="00117474">
              <w:rPr>
                <w:color w:val="000000" w:themeColor="text1"/>
                <w:spacing w:val="-4"/>
              </w:rPr>
              <w:t>.</w:t>
            </w:r>
          </w:p>
        </w:tc>
      </w:tr>
      <w:tr w:rsidR="00C006D6" w:rsidRPr="00DC43A2" w14:paraId="09202D73" w14:textId="77777777" w:rsidTr="002763A2">
        <w:trPr>
          <w:trHeight w:val="145"/>
        </w:trPr>
        <w:tc>
          <w:tcPr>
            <w:tcW w:w="1732" w:type="dxa"/>
            <w:tcBorders>
              <w:top w:val="nil"/>
              <w:left w:val="nil"/>
              <w:bottom w:val="nil"/>
              <w:right w:val="nil"/>
            </w:tcBorders>
            <w:shd w:val="clear" w:color="auto" w:fill="auto"/>
            <w:tcMar>
              <w:left w:w="0" w:type="dxa"/>
            </w:tcMar>
          </w:tcPr>
          <w:p w14:paraId="391B69B5" w14:textId="77777777" w:rsidR="00C006D6" w:rsidRDefault="00A06F99" w:rsidP="00C401A9">
            <w:pPr>
              <w:pStyle w:val="Marginlie"/>
              <w:rPr>
                <w:spacing w:val="-3"/>
              </w:rPr>
            </w:pPr>
            <w:r>
              <w:rPr>
                <w:spacing w:val="-3"/>
              </w:rPr>
              <w:t>Česko loni dosáhlo sedmého relativně nejvyššího přebytku hospodaření sektoru vládních institucí.</w:t>
            </w:r>
          </w:p>
          <w:p w14:paraId="6BB30617" w14:textId="77777777" w:rsidR="00A06F99" w:rsidRDefault="00A06F99" w:rsidP="00C401A9">
            <w:pPr>
              <w:pStyle w:val="Marginlie"/>
              <w:rPr>
                <w:spacing w:val="-3"/>
              </w:rPr>
            </w:pPr>
          </w:p>
          <w:p w14:paraId="4DFD892E" w14:textId="77777777" w:rsidR="00A06F99" w:rsidRDefault="00A06F99" w:rsidP="00C401A9">
            <w:pPr>
              <w:pStyle w:val="Marginlie"/>
              <w:rPr>
                <w:spacing w:val="-3"/>
              </w:rPr>
            </w:pPr>
          </w:p>
          <w:p w14:paraId="1284880C" w14:textId="77777777" w:rsidR="004E5F41" w:rsidRDefault="004E5F41" w:rsidP="00C401A9">
            <w:pPr>
              <w:pStyle w:val="Marginlie"/>
              <w:rPr>
                <w:spacing w:val="-3"/>
              </w:rPr>
            </w:pPr>
          </w:p>
          <w:p w14:paraId="01640224" w14:textId="472E1755" w:rsidR="00A06F99" w:rsidRDefault="00A06F99" w:rsidP="00C401A9">
            <w:pPr>
              <w:pStyle w:val="Marginlie"/>
              <w:rPr>
                <w:spacing w:val="-3"/>
              </w:rPr>
            </w:pPr>
            <w:r>
              <w:rPr>
                <w:spacing w:val="-3"/>
              </w:rPr>
              <w:lastRenderedPageBreak/>
              <w:t xml:space="preserve">Míra zadlužení </w:t>
            </w:r>
            <w:r w:rsidR="004E5F41">
              <w:rPr>
                <w:spacing w:val="-3"/>
              </w:rPr>
              <w:t>vládních institucí klesá v EU jen pozvolna</w:t>
            </w:r>
            <w:r w:rsidR="00480BAE">
              <w:rPr>
                <w:spacing w:val="-3"/>
              </w:rPr>
              <w:t>.</w:t>
            </w:r>
          </w:p>
          <w:p w14:paraId="74B2C105" w14:textId="77777777" w:rsidR="004E5F41" w:rsidRDefault="004E5F41" w:rsidP="00C401A9">
            <w:pPr>
              <w:pStyle w:val="Marginlie"/>
              <w:rPr>
                <w:spacing w:val="-3"/>
              </w:rPr>
            </w:pPr>
            <w:r>
              <w:rPr>
                <w:spacing w:val="-3"/>
              </w:rPr>
              <w:t>Česko obhájilo v rámci EU pozici státu se čtvrtou nejnižší mírou zadlužení.</w:t>
            </w:r>
          </w:p>
          <w:p w14:paraId="08A3C186" w14:textId="77777777" w:rsidR="004E5F41" w:rsidRPr="002F0708" w:rsidRDefault="004E5F41" w:rsidP="00C401A9">
            <w:pPr>
              <w:pStyle w:val="Marginlie"/>
              <w:rPr>
                <w:spacing w:val="-3"/>
              </w:rPr>
            </w:pPr>
          </w:p>
        </w:tc>
        <w:tc>
          <w:tcPr>
            <w:tcW w:w="217" w:type="dxa"/>
            <w:tcBorders>
              <w:top w:val="nil"/>
              <w:left w:val="nil"/>
              <w:bottom w:val="nil"/>
              <w:right w:val="nil"/>
            </w:tcBorders>
            <w:shd w:val="clear" w:color="auto" w:fill="auto"/>
            <w:tcMar>
              <w:left w:w="0" w:type="dxa"/>
            </w:tcMar>
          </w:tcPr>
          <w:p w14:paraId="0D43F57E" w14:textId="77777777" w:rsidR="00C006D6" w:rsidRDefault="00C006D6" w:rsidP="00C401A9">
            <w:pPr>
              <w:pStyle w:val="Textpoznpodarou"/>
              <w:jc w:val="both"/>
              <w:rPr>
                <w:spacing w:val="-4"/>
              </w:rPr>
            </w:pPr>
          </w:p>
        </w:tc>
        <w:tc>
          <w:tcPr>
            <w:tcW w:w="7720" w:type="dxa"/>
            <w:tcBorders>
              <w:top w:val="nil"/>
              <w:left w:val="nil"/>
              <w:bottom w:val="nil"/>
              <w:right w:val="nil"/>
            </w:tcBorders>
            <w:shd w:val="clear" w:color="auto" w:fill="auto"/>
            <w:tcMar>
              <w:left w:w="0" w:type="dxa"/>
            </w:tcMar>
          </w:tcPr>
          <w:p w14:paraId="032DA504" w14:textId="468A4D71" w:rsidR="00C006D6" w:rsidRDefault="00117474" w:rsidP="002763A2">
            <w:pPr>
              <w:pStyle w:val="Textpoznpodarou"/>
              <w:spacing w:line="276" w:lineRule="auto"/>
              <w:jc w:val="both"/>
              <w:rPr>
                <w:color w:val="000000" w:themeColor="text1"/>
                <w:spacing w:val="-4"/>
              </w:rPr>
            </w:pPr>
            <w:r>
              <w:rPr>
                <w:color w:val="000000" w:themeColor="text1"/>
                <w:spacing w:val="-4"/>
              </w:rPr>
              <w:t>Přestože přebytku či alespo</w:t>
            </w:r>
            <w:r w:rsidR="00C94CDD">
              <w:rPr>
                <w:color w:val="000000" w:themeColor="text1"/>
                <w:spacing w:val="-4"/>
              </w:rPr>
              <w:t>ň vyrovnaného salda</w:t>
            </w:r>
            <w:r>
              <w:rPr>
                <w:color w:val="000000" w:themeColor="text1"/>
                <w:spacing w:val="-4"/>
              </w:rPr>
              <w:t xml:space="preserve"> hospodaření sektoru vládních institucí dosáhla v roce 2018 polovina států Unie, v </w:t>
            </w:r>
            <w:r w:rsidR="00C94CDD">
              <w:rPr>
                <w:color w:val="000000" w:themeColor="text1"/>
                <w:spacing w:val="-4"/>
              </w:rPr>
              <w:t>úhrnu celá</w:t>
            </w:r>
            <w:r>
              <w:rPr>
                <w:color w:val="000000" w:themeColor="text1"/>
                <w:spacing w:val="-4"/>
              </w:rPr>
              <w:t xml:space="preserve"> EU</w:t>
            </w:r>
            <w:r w:rsidR="00C94CDD">
              <w:rPr>
                <w:color w:val="000000" w:themeColor="text1"/>
                <w:spacing w:val="-4"/>
              </w:rPr>
              <w:t xml:space="preserve"> zaznamenala deficit (0,6</w:t>
            </w:r>
            <w:r w:rsidR="00870ECD">
              <w:rPr>
                <w:color w:val="000000" w:themeColor="text1"/>
                <w:spacing w:val="-4"/>
              </w:rPr>
              <w:t> %</w:t>
            </w:r>
            <w:r w:rsidR="00C94CDD">
              <w:rPr>
                <w:color w:val="000000" w:themeColor="text1"/>
                <w:spacing w:val="-4"/>
              </w:rPr>
              <w:t xml:space="preserve"> HDP). Ten se plynule redukoval již osmým rokem v řadě. </w:t>
            </w:r>
            <w:r w:rsidR="00503D54">
              <w:rPr>
                <w:color w:val="000000" w:themeColor="text1"/>
                <w:spacing w:val="-4"/>
              </w:rPr>
              <w:t xml:space="preserve">Česko </w:t>
            </w:r>
            <w:r w:rsidR="00236700">
              <w:rPr>
                <w:color w:val="000000" w:themeColor="text1"/>
                <w:spacing w:val="-4"/>
              </w:rPr>
              <w:t xml:space="preserve">dosáhlo sedmé nejlepší pozice, z novějších členských států Unie docílily příznivějšího postavení jen Malta a Bulharsko. </w:t>
            </w:r>
            <w:r w:rsidR="00893EBE">
              <w:rPr>
                <w:color w:val="000000" w:themeColor="text1"/>
                <w:spacing w:val="-4"/>
              </w:rPr>
              <w:t>Nejhlubší deficity sužovaly loni Kypr (</w:t>
            </w:r>
            <w:r w:rsidR="00893EBE">
              <w:rPr>
                <w:rFonts w:cs="Arial"/>
                <w:color w:val="0D0D0D" w:themeColor="text1" w:themeTint="F2"/>
                <w:spacing w:val="-4"/>
              </w:rPr>
              <w:t>–</w:t>
            </w:r>
            <w:r w:rsidR="00893EBE">
              <w:rPr>
                <w:color w:val="000000" w:themeColor="text1"/>
                <w:spacing w:val="-4"/>
              </w:rPr>
              <w:t>4,8</w:t>
            </w:r>
            <w:r w:rsidR="00870ECD">
              <w:rPr>
                <w:color w:val="000000" w:themeColor="text1"/>
                <w:spacing w:val="-4"/>
              </w:rPr>
              <w:t> %</w:t>
            </w:r>
            <w:r w:rsidR="00893EBE">
              <w:rPr>
                <w:color w:val="000000" w:themeColor="text1"/>
                <w:spacing w:val="-4"/>
              </w:rPr>
              <w:t>) a Rumunsko (</w:t>
            </w:r>
            <w:r w:rsidR="00893EBE">
              <w:rPr>
                <w:rFonts w:cs="Arial"/>
                <w:color w:val="0D0D0D" w:themeColor="text1" w:themeTint="F2"/>
                <w:spacing w:val="-4"/>
              </w:rPr>
              <w:t>–</w:t>
            </w:r>
            <w:r w:rsidR="00893EBE">
              <w:rPr>
                <w:color w:val="000000" w:themeColor="text1"/>
                <w:spacing w:val="-4"/>
              </w:rPr>
              <w:t>3,0</w:t>
            </w:r>
            <w:r w:rsidR="00870ECD">
              <w:rPr>
                <w:color w:val="000000" w:themeColor="text1"/>
                <w:spacing w:val="-4"/>
              </w:rPr>
              <w:t> %</w:t>
            </w:r>
            <w:r w:rsidR="00893EBE">
              <w:rPr>
                <w:color w:val="000000" w:themeColor="text1"/>
                <w:spacing w:val="-4"/>
              </w:rPr>
              <w:t>)</w:t>
            </w:r>
            <w:r w:rsidR="004769E1">
              <w:rPr>
                <w:color w:val="000000" w:themeColor="text1"/>
                <w:spacing w:val="-4"/>
              </w:rPr>
              <w:t xml:space="preserve">. O moc lépe se nevedlo ani většině velkých ekonomik eurozóny: </w:t>
            </w:r>
            <w:r w:rsidR="004103F6">
              <w:rPr>
                <w:color w:val="000000" w:themeColor="text1"/>
                <w:spacing w:val="-4"/>
              </w:rPr>
              <w:t xml:space="preserve">Španělsku </w:t>
            </w:r>
            <w:r w:rsidR="004769E1">
              <w:rPr>
                <w:color w:val="000000" w:themeColor="text1"/>
                <w:spacing w:val="-4"/>
              </w:rPr>
              <w:t xml:space="preserve">a </w:t>
            </w:r>
            <w:r w:rsidR="004103F6">
              <w:rPr>
                <w:color w:val="000000" w:themeColor="text1"/>
                <w:spacing w:val="-4"/>
              </w:rPr>
              <w:t xml:space="preserve">Francii </w:t>
            </w:r>
            <w:r w:rsidR="004769E1">
              <w:rPr>
                <w:color w:val="000000" w:themeColor="text1"/>
                <w:spacing w:val="-4"/>
              </w:rPr>
              <w:t>(shod</w:t>
            </w:r>
            <w:r w:rsidR="00C845A4">
              <w:rPr>
                <w:color w:val="000000" w:themeColor="text1"/>
                <w:spacing w:val="-4"/>
              </w:rPr>
              <w:t xml:space="preserve">ně </w:t>
            </w:r>
            <w:r w:rsidR="004769E1">
              <w:rPr>
                <w:rFonts w:cs="Arial"/>
                <w:color w:val="0D0D0D" w:themeColor="text1" w:themeTint="F2"/>
                <w:spacing w:val="-4"/>
              </w:rPr>
              <w:t>–</w:t>
            </w:r>
            <w:r w:rsidR="004769E1">
              <w:rPr>
                <w:color w:val="000000" w:themeColor="text1"/>
                <w:spacing w:val="-4"/>
              </w:rPr>
              <w:t>2,5</w:t>
            </w:r>
            <w:r w:rsidR="00870ECD">
              <w:rPr>
                <w:color w:val="000000" w:themeColor="text1"/>
                <w:spacing w:val="-4"/>
              </w:rPr>
              <w:t> %</w:t>
            </w:r>
            <w:r w:rsidR="004769E1">
              <w:rPr>
                <w:color w:val="000000" w:themeColor="text1"/>
                <w:spacing w:val="-4"/>
              </w:rPr>
              <w:t xml:space="preserve">), </w:t>
            </w:r>
            <w:r w:rsidR="004103F6">
              <w:rPr>
                <w:color w:val="000000" w:themeColor="text1"/>
                <w:spacing w:val="-4"/>
              </w:rPr>
              <w:t xml:space="preserve">Itálii </w:t>
            </w:r>
            <w:r w:rsidR="00667856">
              <w:rPr>
                <w:color w:val="000000" w:themeColor="text1"/>
                <w:spacing w:val="-4"/>
              </w:rPr>
              <w:br/>
            </w:r>
            <w:r w:rsidR="004769E1">
              <w:rPr>
                <w:color w:val="000000" w:themeColor="text1"/>
                <w:spacing w:val="-4"/>
              </w:rPr>
              <w:t>(</w:t>
            </w:r>
            <w:r w:rsidR="004769E1">
              <w:rPr>
                <w:rFonts w:cs="Arial"/>
                <w:color w:val="0D0D0D" w:themeColor="text1" w:themeTint="F2"/>
                <w:spacing w:val="-4"/>
              </w:rPr>
              <w:t>–</w:t>
            </w:r>
            <w:r w:rsidR="00766460">
              <w:rPr>
                <w:rFonts w:cs="Arial"/>
                <w:color w:val="0D0D0D" w:themeColor="text1" w:themeTint="F2"/>
                <w:spacing w:val="-4"/>
              </w:rPr>
              <w:t>2,1</w:t>
            </w:r>
            <w:r w:rsidR="00766460" w:rsidRPr="00117474">
              <w:rPr>
                <w:color w:val="000000" w:themeColor="text1"/>
                <w:spacing w:val="-4"/>
              </w:rPr>
              <w:t> </w:t>
            </w:r>
            <w:r w:rsidR="004769E1">
              <w:rPr>
                <w:rFonts w:cs="Arial"/>
                <w:color w:val="0D0D0D" w:themeColor="text1" w:themeTint="F2"/>
                <w:spacing w:val="-4"/>
              </w:rPr>
              <w:t xml:space="preserve">%) a </w:t>
            </w:r>
            <w:r w:rsidR="004103F6">
              <w:rPr>
                <w:rFonts w:cs="Arial"/>
                <w:color w:val="0D0D0D" w:themeColor="text1" w:themeTint="F2"/>
                <w:spacing w:val="-4"/>
              </w:rPr>
              <w:t xml:space="preserve">Velké Británii </w:t>
            </w:r>
            <w:r w:rsidR="004769E1">
              <w:rPr>
                <w:rFonts w:cs="Arial"/>
                <w:color w:val="0D0D0D" w:themeColor="text1" w:themeTint="F2"/>
                <w:spacing w:val="-4"/>
              </w:rPr>
              <w:t>(–1,5</w:t>
            </w:r>
            <w:r w:rsidR="00870ECD">
              <w:rPr>
                <w:rFonts w:cs="Arial"/>
                <w:color w:val="0D0D0D" w:themeColor="text1" w:themeTint="F2"/>
                <w:spacing w:val="-4"/>
              </w:rPr>
              <w:t> %</w:t>
            </w:r>
            <w:r w:rsidR="00BF15CA">
              <w:rPr>
                <w:rFonts w:cs="Arial"/>
                <w:color w:val="0D0D0D" w:themeColor="text1" w:themeTint="F2"/>
                <w:spacing w:val="-4"/>
              </w:rPr>
              <w:t xml:space="preserve">). I tato skutečnost přispívá k tomu, že míra zadluženosti sektoru vládních institucí v EU klesá jen velmi pozvolna. </w:t>
            </w:r>
            <w:r w:rsidR="00B748BD">
              <w:rPr>
                <w:rFonts w:cs="Arial"/>
                <w:color w:val="0D0D0D" w:themeColor="text1" w:themeTint="F2"/>
                <w:spacing w:val="-4"/>
              </w:rPr>
              <w:t>Na konci roku 2018 čítala 80</w:t>
            </w:r>
            <w:r w:rsidR="00870ECD">
              <w:rPr>
                <w:rFonts w:cs="Arial"/>
                <w:color w:val="0D0D0D" w:themeColor="text1" w:themeTint="F2"/>
                <w:spacing w:val="-4"/>
              </w:rPr>
              <w:t> %</w:t>
            </w:r>
            <w:r w:rsidR="00B748BD">
              <w:rPr>
                <w:rFonts w:cs="Arial"/>
                <w:color w:val="0D0D0D" w:themeColor="text1" w:themeTint="F2"/>
                <w:spacing w:val="-4"/>
              </w:rPr>
              <w:t xml:space="preserve"> </w:t>
            </w:r>
            <w:r w:rsidR="00B748BD">
              <w:rPr>
                <w:rFonts w:cs="Arial"/>
                <w:color w:val="0D0D0D" w:themeColor="text1" w:themeTint="F2"/>
                <w:spacing w:val="-4"/>
              </w:rPr>
              <w:lastRenderedPageBreak/>
              <w:t>HDP (proti maximu z roku 2014 o 6,6</w:t>
            </w:r>
            <w:r w:rsidR="00870ECD">
              <w:rPr>
                <w:rFonts w:cs="Arial"/>
                <w:color w:val="0D0D0D" w:themeColor="text1" w:themeTint="F2"/>
                <w:spacing w:val="-4"/>
              </w:rPr>
              <w:t> p. b.</w:t>
            </w:r>
            <w:r w:rsidR="00B748BD">
              <w:rPr>
                <w:rFonts w:cs="Arial"/>
                <w:color w:val="0D0D0D" w:themeColor="text1" w:themeTint="F2"/>
                <w:spacing w:val="-4"/>
              </w:rPr>
              <w:t xml:space="preserve"> méně). Zadluženost pod úrovní 60</w:t>
            </w:r>
            <w:r w:rsidR="00870ECD">
              <w:rPr>
                <w:rFonts w:cs="Arial"/>
                <w:color w:val="0D0D0D" w:themeColor="text1" w:themeTint="F2"/>
                <w:spacing w:val="-4"/>
              </w:rPr>
              <w:t> %</w:t>
            </w:r>
            <w:r w:rsidR="00B748BD">
              <w:rPr>
                <w:rFonts w:cs="Arial"/>
                <w:color w:val="0D0D0D" w:themeColor="text1" w:themeTint="F2"/>
                <w:spacing w:val="-4"/>
              </w:rPr>
              <w:t xml:space="preserve"> HDP vykázala polovina států Unie. Ze starších členských států, které jsou zároveň součástí eurozóny</w:t>
            </w:r>
            <w:r w:rsidR="002763A2">
              <w:rPr>
                <w:rFonts w:cs="Arial"/>
                <w:color w:val="0D0D0D" w:themeColor="text1" w:themeTint="F2"/>
                <w:spacing w:val="-4"/>
              </w:rPr>
              <w:t>,</w:t>
            </w:r>
            <w:r w:rsidR="00B748BD">
              <w:rPr>
                <w:rFonts w:cs="Arial"/>
                <w:color w:val="0D0D0D" w:themeColor="text1" w:themeTint="F2"/>
                <w:spacing w:val="-4"/>
              </w:rPr>
              <w:t xml:space="preserve"> platilo totéž pouze pro Lucembursko (21</w:t>
            </w:r>
            <w:r w:rsidR="00870ECD">
              <w:rPr>
                <w:rFonts w:cs="Arial"/>
                <w:color w:val="0D0D0D" w:themeColor="text1" w:themeTint="F2"/>
                <w:spacing w:val="-4"/>
              </w:rPr>
              <w:t> %</w:t>
            </w:r>
            <w:r w:rsidR="00B748BD">
              <w:rPr>
                <w:rFonts w:cs="Arial"/>
                <w:color w:val="0D0D0D" w:themeColor="text1" w:themeTint="F2"/>
                <w:spacing w:val="-4"/>
              </w:rPr>
              <w:t>), Nizozemsko (52</w:t>
            </w:r>
            <w:r w:rsidR="00870ECD">
              <w:rPr>
                <w:rFonts w:cs="Arial"/>
                <w:color w:val="0D0D0D" w:themeColor="text1" w:themeTint="F2"/>
                <w:spacing w:val="-4"/>
              </w:rPr>
              <w:t> %</w:t>
            </w:r>
            <w:r w:rsidR="00B748BD">
              <w:rPr>
                <w:rFonts w:cs="Arial"/>
                <w:color w:val="0D0D0D" w:themeColor="text1" w:themeTint="F2"/>
                <w:spacing w:val="-4"/>
              </w:rPr>
              <w:t>) a Finsko (59</w:t>
            </w:r>
            <w:r w:rsidR="00870ECD">
              <w:rPr>
                <w:rFonts w:cs="Arial"/>
                <w:color w:val="0D0D0D" w:themeColor="text1" w:themeTint="F2"/>
                <w:spacing w:val="-4"/>
              </w:rPr>
              <w:t> </w:t>
            </w:r>
            <w:r w:rsidR="004103F6">
              <w:rPr>
                <w:rFonts w:cs="Arial"/>
                <w:color w:val="0D0D0D" w:themeColor="text1" w:themeTint="F2"/>
                <w:spacing w:val="-4"/>
              </w:rPr>
              <w:t xml:space="preserve">%). </w:t>
            </w:r>
            <w:r w:rsidR="00B748BD">
              <w:rPr>
                <w:rFonts w:cs="Arial"/>
                <w:color w:val="0D0D0D" w:themeColor="text1" w:themeTint="F2"/>
                <w:spacing w:val="-4"/>
              </w:rPr>
              <w:t>Této úrovni se i díky nepřetržitým rozpočtovým přebytkům v posledních pěti letech blížilo Německo (61</w:t>
            </w:r>
            <w:r w:rsidR="00870ECD">
              <w:rPr>
                <w:rFonts w:cs="Arial"/>
                <w:color w:val="0D0D0D" w:themeColor="text1" w:themeTint="F2"/>
                <w:spacing w:val="-4"/>
              </w:rPr>
              <w:t> %</w:t>
            </w:r>
            <w:r w:rsidR="00B748BD">
              <w:rPr>
                <w:rFonts w:cs="Arial"/>
                <w:color w:val="0D0D0D" w:themeColor="text1" w:themeTint="F2"/>
                <w:spacing w:val="-4"/>
              </w:rPr>
              <w:t>). To by</w:t>
            </w:r>
            <w:r w:rsidR="004103F6">
              <w:rPr>
                <w:rFonts w:cs="Arial"/>
                <w:color w:val="0D0D0D" w:themeColor="text1" w:themeTint="F2"/>
                <w:spacing w:val="-4"/>
              </w:rPr>
              <w:t>lo</w:t>
            </w:r>
            <w:r w:rsidR="00B748BD">
              <w:rPr>
                <w:rFonts w:cs="Arial"/>
                <w:color w:val="0D0D0D" w:themeColor="text1" w:themeTint="F2"/>
                <w:spacing w:val="-4"/>
              </w:rPr>
              <w:t xml:space="preserve"> také společně </w:t>
            </w:r>
            <w:r w:rsidR="002763A2">
              <w:rPr>
                <w:rFonts w:cs="Arial"/>
                <w:color w:val="0D0D0D" w:themeColor="text1" w:themeTint="F2"/>
                <w:spacing w:val="-4"/>
              </w:rPr>
              <w:t>se Švédskem a Maltou jed</w:t>
            </w:r>
            <w:r w:rsidR="004103F6">
              <w:rPr>
                <w:rFonts w:cs="Arial"/>
                <w:color w:val="0D0D0D" w:themeColor="text1" w:themeTint="F2"/>
                <w:spacing w:val="-4"/>
              </w:rPr>
              <w:t>i</w:t>
            </w:r>
            <w:r w:rsidR="002763A2">
              <w:rPr>
                <w:rFonts w:cs="Arial"/>
                <w:color w:val="0D0D0D" w:themeColor="text1" w:themeTint="F2"/>
                <w:spacing w:val="-4"/>
              </w:rPr>
              <w:t>nou unijní ekonomikou, ve které se podařilo snížit míru zadlužení</w:t>
            </w:r>
            <w:r w:rsidR="002763A2" w:rsidRPr="0043535F">
              <w:rPr>
                <w:rFonts w:cs="Arial"/>
                <w:bCs/>
                <w:iCs/>
                <w:color w:val="0D0D0D" w:themeColor="text1" w:themeTint="F2"/>
                <w:spacing w:val="-4"/>
              </w:rPr>
              <w:t xml:space="preserve"> na úroveň blízk</w:t>
            </w:r>
            <w:r w:rsidR="002763A2">
              <w:rPr>
                <w:rFonts w:cs="Arial"/>
                <w:bCs/>
                <w:iCs/>
                <w:color w:val="0D0D0D" w:themeColor="text1" w:themeTint="F2"/>
                <w:spacing w:val="-4"/>
              </w:rPr>
              <w:t>ou</w:t>
            </w:r>
            <w:r w:rsidR="002763A2" w:rsidRPr="0043535F">
              <w:rPr>
                <w:rFonts w:cs="Arial"/>
                <w:bCs/>
                <w:iCs/>
                <w:color w:val="0D0D0D" w:themeColor="text1" w:themeTint="F2"/>
                <w:spacing w:val="-4"/>
              </w:rPr>
              <w:t xml:space="preserve"> předkrizovému roku 2008</w:t>
            </w:r>
            <w:r w:rsidR="002763A2">
              <w:rPr>
                <w:rFonts w:cs="Arial"/>
                <w:bCs/>
                <w:iCs/>
                <w:color w:val="0D0D0D" w:themeColor="text1" w:themeTint="F2"/>
                <w:spacing w:val="-4"/>
              </w:rPr>
              <w:t xml:space="preserve">. </w:t>
            </w:r>
            <w:r w:rsidR="002763A2">
              <w:rPr>
                <w:rFonts w:cs="Arial"/>
                <w:color w:val="0D0D0D" w:themeColor="text1" w:themeTint="F2"/>
                <w:spacing w:val="-4"/>
              </w:rPr>
              <w:t xml:space="preserve">Česko drželo podobně jako na konci </w:t>
            </w:r>
            <w:r w:rsidR="004103F6">
              <w:rPr>
                <w:rFonts w:cs="Arial"/>
                <w:color w:val="0D0D0D" w:themeColor="text1" w:themeTint="F2"/>
                <w:spacing w:val="-4"/>
              </w:rPr>
              <w:t xml:space="preserve">let </w:t>
            </w:r>
            <w:r w:rsidR="002763A2">
              <w:rPr>
                <w:rFonts w:cs="Arial"/>
                <w:color w:val="0D0D0D" w:themeColor="text1" w:themeTint="F2"/>
                <w:spacing w:val="-4"/>
              </w:rPr>
              <w:t>2016 a 2017 pozici čtvrté relativně nejméně zadlužené ekonomiky (z pohledu veřejných financí).</w:t>
            </w:r>
          </w:p>
        </w:tc>
      </w:tr>
    </w:tbl>
    <w:p w14:paraId="327C4197" w14:textId="77777777" w:rsidR="00C401A9" w:rsidRPr="00C401A9" w:rsidRDefault="00C401A9" w:rsidP="00965797">
      <w:pPr>
        <w:pStyle w:val="Nadpis11"/>
        <w:rPr>
          <w:b w:val="0"/>
          <w:sz w:val="2"/>
          <w:szCs w:val="2"/>
        </w:rPr>
      </w:pPr>
    </w:p>
    <w:p w14:paraId="63ECF9C9" w14:textId="4A98C3A6" w:rsidR="00A50D73" w:rsidRPr="009110F7" w:rsidRDefault="00A50D73" w:rsidP="00E1444C">
      <w:pPr>
        <w:rPr>
          <w:sz w:val="2"/>
          <w:szCs w:val="2"/>
        </w:rPr>
      </w:pPr>
    </w:p>
    <w:sectPr w:rsidR="00A50D73" w:rsidRPr="009110F7" w:rsidSect="00A03B10">
      <w:pgSz w:w="11906" w:h="16838" w:code="9"/>
      <w:pgMar w:top="1134" w:right="1134" w:bottom="1418" w:left="1134" w:header="680" w:footer="7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BDC4D" w16cid:durableId="20AA22BF"/>
  <w16cid:commentId w16cid:paraId="1D79D092" w16cid:durableId="20AA7522"/>
  <w16cid:commentId w16cid:paraId="35C66900" w16cid:durableId="20AA841D"/>
  <w16cid:commentId w16cid:paraId="39CFBFF6" w16cid:durableId="20AA9586"/>
  <w16cid:commentId w16cid:paraId="385B1D8E" w16cid:durableId="20AB3CC7"/>
  <w16cid:commentId w16cid:paraId="1DCDDDF9" w16cid:durableId="20AB3E90"/>
  <w16cid:commentId w16cid:paraId="33D3157C" w16cid:durableId="20AB41FD"/>
  <w16cid:commentId w16cid:paraId="2F2C6295" w16cid:durableId="20AB535B"/>
  <w16cid:commentId w16cid:paraId="50067FCC" w16cid:durableId="20AB53EB"/>
  <w16cid:commentId w16cid:paraId="3FC61740" w16cid:durableId="20AB6E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9B0D3" w14:textId="77777777" w:rsidR="007A282C" w:rsidRDefault="007A282C" w:rsidP="00E71A58">
      <w:r>
        <w:separator/>
      </w:r>
    </w:p>
  </w:endnote>
  <w:endnote w:type="continuationSeparator" w:id="0">
    <w:p w14:paraId="1C61637B" w14:textId="77777777" w:rsidR="007A282C" w:rsidRDefault="007A282C"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604468CB" w:rsidR="0052200D" w:rsidRPr="00932443" w:rsidRDefault="0052200D"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9"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620B77">
      <w:rPr>
        <w:szCs w:val="16"/>
      </w:rPr>
      <w:t>28</w:t>
    </w:r>
    <w:r w:rsidRPr="00932443">
      <w:rPr>
        <w:szCs w:val="16"/>
      </w:rPr>
      <w:fldChar w:fldCharType="end"/>
    </w:r>
    <w:r w:rsidRPr="00932443">
      <w:rPr>
        <w:szCs w:val="16"/>
      </w:rPr>
      <w:tab/>
    </w:r>
    <w:r>
      <w:rPr>
        <w:szCs w:val="16"/>
      </w:rPr>
      <w:t>1. čtvrtletí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24F8C1EF" w:rsidR="0052200D" w:rsidRPr="00932443" w:rsidRDefault="0052200D" w:rsidP="00FA6CB6">
    <w:pPr>
      <w:pStyle w:val="Zpat"/>
      <w:rPr>
        <w:szCs w:val="16"/>
      </w:rPr>
    </w:pPr>
    <w:r w:rsidRPr="00FA6CB6">
      <w:rPr>
        <w:szCs w:val="16"/>
      </w:rPr>
      <w:tab/>
      <w:t>1</w:t>
    </w:r>
    <w:r>
      <w:t xml:space="preserve">. </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10"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čtvrtletí 2</w:t>
    </w:r>
    <w:r>
      <w:t>019</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620B77">
      <w:rPr>
        <w:rStyle w:val="ZpatChar"/>
        <w:szCs w:val="16"/>
      </w:rPr>
      <w:t>27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7EEBE" w14:textId="77777777" w:rsidR="007A282C" w:rsidRDefault="007A282C" w:rsidP="00E71A58">
      <w:r>
        <w:separator/>
      </w:r>
    </w:p>
  </w:footnote>
  <w:footnote w:type="continuationSeparator" w:id="0">
    <w:p w14:paraId="7125FEAA" w14:textId="77777777" w:rsidR="007A282C" w:rsidRDefault="007A282C" w:rsidP="00E71A58">
      <w:r>
        <w:continuationSeparator/>
      </w:r>
    </w:p>
  </w:footnote>
  <w:footnote w:id="1">
    <w:p w14:paraId="7E86F2E7" w14:textId="77777777" w:rsidR="0052200D" w:rsidRPr="0021507A" w:rsidRDefault="0052200D" w:rsidP="00144588">
      <w:pPr>
        <w:pStyle w:val="Textpoznpodarou"/>
        <w:rPr>
          <w:sz w:val="16"/>
          <w:szCs w:val="16"/>
        </w:rPr>
      </w:pPr>
      <w:r w:rsidRPr="0021507A">
        <w:rPr>
          <w:rStyle w:val="Znakapoznpodarou"/>
          <w:sz w:val="16"/>
          <w:szCs w:val="16"/>
        </w:rPr>
        <w:footnoteRef/>
      </w:r>
      <w:r w:rsidRPr="0021507A">
        <w:rPr>
          <w:sz w:val="16"/>
          <w:szCs w:val="16"/>
        </w:rPr>
        <w:t xml:space="preserve"> Data o</w:t>
      </w:r>
      <w:r>
        <w:rPr>
          <w:sz w:val="16"/>
          <w:szCs w:val="16"/>
        </w:rPr>
        <w:t> </w:t>
      </w:r>
      <w:r w:rsidRPr="0021507A">
        <w:rPr>
          <w:sz w:val="16"/>
          <w:szCs w:val="16"/>
        </w:rPr>
        <w:t>HDP, hrubé přidané hodnotě a</w:t>
      </w:r>
      <w:r>
        <w:rPr>
          <w:sz w:val="16"/>
          <w:szCs w:val="16"/>
        </w:rPr>
        <w:t> </w:t>
      </w:r>
      <w:r w:rsidRPr="0021507A">
        <w:rPr>
          <w:sz w:val="16"/>
          <w:szCs w:val="16"/>
        </w:rPr>
        <w:t>jejich složkách jsou vyjádřena ve stálých cenách a</w:t>
      </w:r>
      <w:r>
        <w:rPr>
          <w:sz w:val="16"/>
          <w:szCs w:val="16"/>
        </w:rPr>
        <w:t> </w:t>
      </w:r>
      <w:r w:rsidRPr="0021507A">
        <w:rPr>
          <w:sz w:val="16"/>
          <w:szCs w:val="16"/>
        </w:rPr>
        <w:t>v očištění o</w:t>
      </w:r>
      <w:r>
        <w:rPr>
          <w:sz w:val="16"/>
          <w:szCs w:val="16"/>
        </w:rPr>
        <w:t> </w:t>
      </w:r>
      <w:r w:rsidRPr="0021507A">
        <w:rPr>
          <w:sz w:val="16"/>
          <w:szCs w:val="16"/>
        </w:rPr>
        <w:t>sezónní a kalendářní vlivy.</w:t>
      </w:r>
    </w:p>
  </w:footnote>
  <w:footnote w:id="2">
    <w:p w14:paraId="1A2173F8" w14:textId="77777777" w:rsidR="0052200D" w:rsidRPr="00B4223A" w:rsidRDefault="0052200D" w:rsidP="00AC2118">
      <w:pPr>
        <w:pStyle w:val="Textpoznpodarou"/>
        <w:jc w:val="both"/>
        <w:rPr>
          <w:sz w:val="16"/>
          <w:szCs w:val="16"/>
        </w:rPr>
      </w:pPr>
      <w:r w:rsidRPr="00B4223A">
        <w:rPr>
          <w:rStyle w:val="Znakapoznpodarou"/>
          <w:sz w:val="16"/>
          <w:szCs w:val="16"/>
        </w:rPr>
        <w:footnoteRef/>
      </w:r>
      <w:r w:rsidRPr="00B4223A">
        <w:rPr>
          <w:sz w:val="16"/>
          <w:szCs w:val="16"/>
        </w:rPr>
        <w:t xml:space="preserve"> </w:t>
      </w:r>
      <w:r>
        <w:rPr>
          <w:sz w:val="16"/>
          <w:szCs w:val="16"/>
        </w:rPr>
        <w:t>Údaje o zaměstnanosti</w:t>
      </w:r>
      <w:r w:rsidRPr="00B4223A">
        <w:rPr>
          <w:sz w:val="16"/>
          <w:szCs w:val="16"/>
        </w:rPr>
        <w:t xml:space="preserve"> </w:t>
      </w:r>
      <w:r>
        <w:rPr>
          <w:sz w:val="16"/>
          <w:szCs w:val="16"/>
        </w:rPr>
        <w:t>jsou uvedeny v pojetí národních účtů a</w:t>
      </w:r>
      <w:r w:rsidRPr="00B4223A">
        <w:rPr>
          <w:sz w:val="16"/>
          <w:szCs w:val="16"/>
        </w:rPr>
        <w:t> očištěn</w:t>
      </w:r>
      <w:r>
        <w:rPr>
          <w:sz w:val="16"/>
          <w:szCs w:val="16"/>
        </w:rPr>
        <w:t>y</w:t>
      </w:r>
      <w:r w:rsidRPr="00B4223A">
        <w:rPr>
          <w:sz w:val="16"/>
          <w:szCs w:val="16"/>
        </w:rPr>
        <w:t xml:space="preserve"> o sezónní vlivy.</w:t>
      </w:r>
    </w:p>
  </w:footnote>
  <w:footnote w:id="3">
    <w:p w14:paraId="106AA1E0" w14:textId="77777777" w:rsidR="0052200D" w:rsidRPr="00EF1EE3" w:rsidRDefault="0052200D" w:rsidP="00572900">
      <w:pPr>
        <w:pStyle w:val="Textpoznpodarou"/>
        <w:rPr>
          <w:sz w:val="16"/>
          <w:szCs w:val="16"/>
        </w:rPr>
      </w:pPr>
      <w:r w:rsidRPr="00EF1EE3">
        <w:rPr>
          <w:rStyle w:val="Znakapoznpodarou"/>
          <w:sz w:val="16"/>
          <w:szCs w:val="16"/>
        </w:rPr>
        <w:footnoteRef/>
      </w:r>
      <w:r w:rsidRPr="00EF1EE3">
        <w:rPr>
          <w:sz w:val="16"/>
          <w:szCs w:val="16"/>
        </w:rPr>
        <w:t xml:space="preserve"> </w:t>
      </w:r>
      <w:r>
        <w:rPr>
          <w:sz w:val="16"/>
          <w:szCs w:val="16"/>
        </w:rPr>
        <w:t>Vývoj</w:t>
      </w:r>
      <w:r w:rsidRPr="00EF1EE3">
        <w:rPr>
          <w:sz w:val="16"/>
          <w:szCs w:val="16"/>
        </w:rPr>
        <w:t xml:space="preserve"> HDP, hrubé přidané hodnot</w:t>
      </w:r>
      <w:r>
        <w:rPr>
          <w:sz w:val="16"/>
          <w:szCs w:val="16"/>
        </w:rPr>
        <w:t>y</w:t>
      </w:r>
      <w:r w:rsidRPr="00EF1EE3">
        <w:rPr>
          <w:sz w:val="16"/>
          <w:szCs w:val="16"/>
        </w:rPr>
        <w:t xml:space="preserve"> a</w:t>
      </w:r>
      <w:r>
        <w:rPr>
          <w:sz w:val="16"/>
          <w:szCs w:val="16"/>
        </w:rPr>
        <w:t> </w:t>
      </w:r>
      <w:r w:rsidRPr="00EF1EE3">
        <w:rPr>
          <w:sz w:val="16"/>
          <w:szCs w:val="16"/>
        </w:rPr>
        <w:t>jejich slož</w:t>
      </w:r>
      <w:r>
        <w:rPr>
          <w:sz w:val="16"/>
          <w:szCs w:val="16"/>
        </w:rPr>
        <w:t>e</w:t>
      </w:r>
      <w:r w:rsidRPr="00EF1EE3">
        <w:rPr>
          <w:sz w:val="16"/>
          <w:szCs w:val="16"/>
        </w:rPr>
        <w:t xml:space="preserve">k </w:t>
      </w:r>
      <w:r>
        <w:rPr>
          <w:sz w:val="16"/>
          <w:szCs w:val="16"/>
        </w:rPr>
        <w:t xml:space="preserve">je </w:t>
      </w:r>
      <w:r w:rsidRPr="00EF1EE3">
        <w:rPr>
          <w:sz w:val="16"/>
          <w:szCs w:val="16"/>
        </w:rPr>
        <w:t>vyjádřen</w:t>
      </w:r>
      <w:r>
        <w:rPr>
          <w:sz w:val="16"/>
          <w:szCs w:val="16"/>
        </w:rPr>
        <w:t xml:space="preserve"> prostřednictvím objemových indexů (tj. očištěn o vliv cen)</w:t>
      </w:r>
      <w:r w:rsidRPr="00EF1EE3">
        <w:rPr>
          <w:sz w:val="16"/>
          <w:szCs w:val="16"/>
        </w:rPr>
        <w:t xml:space="preserve"> a</w:t>
      </w:r>
      <w:r>
        <w:rPr>
          <w:sz w:val="16"/>
          <w:szCs w:val="16"/>
        </w:rPr>
        <w:t> po</w:t>
      </w:r>
      <w:r w:rsidRPr="00EF1EE3">
        <w:rPr>
          <w:sz w:val="16"/>
          <w:szCs w:val="16"/>
        </w:rPr>
        <w:t> očištění o</w:t>
      </w:r>
      <w:r>
        <w:rPr>
          <w:sz w:val="16"/>
          <w:szCs w:val="16"/>
        </w:rPr>
        <w:t> </w:t>
      </w:r>
      <w:r w:rsidRPr="00EF1EE3">
        <w:rPr>
          <w:sz w:val="16"/>
          <w:szCs w:val="16"/>
        </w:rPr>
        <w:t>sezónní a kalendářn</w:t>
      </w:r>
      <w:r>
        <w:rPr>
          <w:sz w:val="16"/>
          <w:szCs w:val="16"/>
        </w:rPr>
        <w:t>í vlivy. Údaje jsou platné k 31. 5. 2019</w:t>
      </w:r>
      <w:r w:rsidRPr="00EF1EE3">
        <w:rPr>
          <w:sz w:val="16"/>
          <w:szCs w:val="16"/>
        </w:rPr>
        <w:t>.</w:t>
      </w:r>
    </w:p>
  </w:footnote>
  <w:footnote w:id="4">
    <w:p w14:paraId="65D0CB5D" w14:textId="77777777" w:rsidR="0052200D" w:rsidRPr="009C6EA8" w:rsidRDefault="0052200D" w:rsidP="00486132">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5">
    <w:p w14:paraId="1616A972" w14:textId="77777777" w:rsidR="0052200D" w:rsidRPr="00BB319F" w:rsidRDefault="0052200D" w:rsidP="000C4769">
      <w:pPr>
        <w:pStyle w:val="Textpoznpodarou"/>
        <w:rPr>
          <w:sz w:val="16"/>
          <w:szCs w:val="16"/>
        </w:rPr>
      </w:pPr>
      <w:r w:rsidRPr="00AF6B7C">
        <w:rPr>
          <w:rStyle w:val="Znakapoznpodarou"/>
          <w:sz w:val="16"/>
          <w:szCs w:val="16"/>
        </w:rPr>
        <w:footnoteRef/>
      </w:r>
      <w:r w:rsidRPr="00AF6B7C">
        <w:rPr>
          <w:sz w:val="16"/>
          <w:szCs w:val="16"/>
        </w:rPr>
        <w:t xml:space="preserve"> </w:t>
      </w:r>
      <w:r w:rsidRPr="00BB319F">
        <w:rPr>
          <w:sz w:val="16"/>
          <w:szCs w:val="16"/>
        </w:rPr>
        <w:t>Nedostupná data za</w:t>
      </w:r>
      <w:r>
        <w:rPr>
          <w:sz w:val="16"/>
          <w:szCs w:val="16"/>
        </w:rPr>
        <w:t xml:space="preserve"> Bulharsko,</w:t>
      </w:r>
      <w:r w:rsidRPr="00BB319F">
        <w:rPr>
          <w:sz w:val="16"/>
          <w:szCs w:val="16"/>
        </w:rPr>
        <w:t xml:space="preserve"> Irsko</w:t>
      </w:r>
      <w:r>
        <w:rPr>
          <w:sz w:val="16"/>
          <w:szCs w:val="16"/>
        </w:rPr>
        <w:t>, Kypr, </w:t>
      </w:r>
      <w:r w:rsidRPr="00BB319F">
        <w:rPr>
          <w:sz w:val="16"/>
          <w:szCs w:val="16"/>
        </w:rPr>
        <w:t>Lucembursko</w:t>
      </w:r>
      <w:r>
        <w:rPr>
          <w:sz w:val="16"/>
          <w:szCs w:val="16"/>
        </w:rPr>
        <w:t xml:space="preserve"> a Maltu</w:t>
      </w:r>
      <w:r w:rsidRPr="00BB319F">
        <w:rPr>
          <w:sz w:val="16"/>
          <w:szCs w:val="16"/>
        </w:rPr>
        <w:t>.</w:t>
      </w:r>
      <w:r>
        <w:rPr>
          <w:sz w:val="16"/>
          <w:szCs w:val="16"/>
        </w:rPr>
        <w:t xml:space="preserve"> Data za Slovensko nejsou očištěna o kalendářní vlivy.</w:t>
      </w:r>
    </w:p>
  </w:footnote>
  <w:footnote w:id="6">
    <w:p w14:paraId="7E6F3B26" w14:textId="77777777" w:rsidR="0052200D" w:rsidRDefault="0052200D" w:rsidP="00486132">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xml:space="preserve"> pojetí národních účtů, </w:t>
      </w:r>
      <w:r>
        <w:rPr>
          <w:sz w:val="16"/>
          <w:szCs w:val="16"/>
        </w:rPr>
        <w:t xml:space="preserve">údaj je </w:t>
      </w:r>
      <w:r w:rsidRPr="009C6EA8">
        <w:rPr>
          <w:sz w:val="16"/>
          <w:szCs w:val="16"/>
        </w:rPr>
        <w:t>sezónně očištěn</w:t>
      </w:r>
      <w:r w:rsidRPr="00004BA8">
        <w:rPr>
          <w:sz w:val="16"/>
        </w:rPr>
        <w:t>.</w:t>
      </w:r>
    </w:p>
  </w:footnote>
  <w:footnote w:id="7">
    <w:p w14:paraId="0C3D1E9D" w14:textId="77777777" w:rsidR="0052200D" w:rsidRPr="009C6EA8" w:rsidRDefault="0052200D" w:rsidP="00486132">
      <w:pPr>
        <w:pStyle w:val="Textpoznpodarou"/>
        <w:rPr>
          <w:sz w:val="16"/>
          <w:szCs w:val="16"/>
        </w:rPr>
      </w:pPr>
      <w:r w:rsidRPr="009C6EA8">
        <w:rPr>
          <w:rStyle w:val="Znakapoznpodarou"/>
          <w:sz w:val="16"/>
          <w:szCs w:val="16"/>
        </w:rPr>
        <w:footnoteRef/>
      </w:r>
      <w:r w:rsidRPr="009C6EA8">
        <w:rPr>
          <w:sz w:val="16"/>
          <w:szCs w:val="16"/>
        </w:rPr>
        <w:t xml:space="preserve"> Do reálného vyjádření převedeno s využitím deflátoru výdajů na konečnou spotřebu domácností.</w:t>
      </w:r>
    </w:p>
  </w:footnote>
  <w:footnote w:id="8">
    <w:p w14:paraId="1FCC1F9D" w14:textId="77777777" w:rsidR="0052200D" w:rsidRPr="00771972" w:rsidRDefault="0052200D" w:rsidP="00486132">
      <w:pPr>
        <w:pStyle w:val="Textpoznpodarou"/>
        <w:rPr>
          <w:sz w:val="16"/>
          <w:szCs w:val="16"/>
        </w:rPr>
      </w:pPr>
      <w:r w:rsidRPr="00771972">
        <w:rPr>
          <w:rStyle w:val="Znakapoznpodarou"/>
          <w:sz w:val="16"/>
          <w:szCs w:val="16"/>
        </w:rPr>
        <w:footnoteRef/>
      </w:r>
      <w:r w:rsidRPr="00771972">
        <w:rPr>
          <w:sz w:val="16"/>
          <w:szCs w:val="16"/>
        </w:rPr>
        <w:t xml:space="preserve"> Veřejná správa a obrana, vzdělávání, zdravotní a sociální péče.</w:t>
      </w:r>
    </w:p>
  </w:footnote>
  <w:footnote w:id="9">
    <w:p w14:paraId="74E594D0" w14:textId="77777777" w:rsidR="0052200D" w:rsidRPr="0021552C" w:rsidRDefault="0052200D" w:rsidP="00486132">
      <w:pPr>
        <w:pStyle w:val="Textpoznpodarou"/>
        <w:rPr>
          <w:sz w:val="16"/>
          <w:szCs w:val="16"/>
        </w:rPr>
      </w:pPr>
      <w:r w:rsidRPr="0021552C">
        <w:rPr>
          <w:rStyle w:val="Znakapoznpodarou"/>
          <w:sz w:val="16"/>
          <w:szCs w:val="16"/>
        </w:rPr>
        <w:footnoteRef/>
      </w:r>
      <w:r w:rsidRPr="0021552C">
        <w:rPr>
          <w:sz w:val="16"/>
          <w:szCs w:val="16"/>
        </w:rPr>
        <w:t xml:space="preserve"> </w:t>
      </w:r>
      <w:r>
        <w:rPr>
          <w:rFonts w:cs="Arial"/>
          <w:sz w:val="16"/>
          <w:szCs w:val="16"/>
        </w:rPr>
        <w:t>D</w:t>
      </w:r>
      <w:r w:rsidRPr="0021552C">
        <w:rPr>
          <w:rFonts w:cs="Arial"/>
          <w:sz w:val="16"/>
          <w:szCs w:val="16"/>
        </w:rPr>
        <w:t>ata o</w:t>
      </w:r>
      <w:r>
        <w:rPr>
          <w:rFonts w:cs="Arial"/>
          <w:sz w:val="16"/>
          <w:szCs w:val="16"/>
        </w:rPr>
        <w:t> </w:t>
      </w:r>
      <w:r w:rsidRPr="0021552C">
        <w:rPr>
          <w:rFonts w:cs="Arial"/>
          <w:sz w:val="16"/>
          <w:szCs w:val="16"/>
        </w:rPr>
        <w:t xml:space="preserve">věcném členění tvorby </w:t>
      </w:r>
      <w:r>
        <w:rPr>
          <w:rFonts w:cs="Arial"/>
          <w:sz w:val="16"/>
          <w:szCs w:val="16"/>
        </w:rPr>
        <w:t>hrubého fixního kapitálu</w:t>
      </w:r>
      <w:r w:rsidRPr="0021552C">
        <w:rPr>
          <w:rFonts w:cs="Arial"/>
          <w:sz w:val="16"/>
          <w:szCs w:val="16"/>
        </w:rPr>
        <w:t xml:space="preserve"> nejsou sezónně očištěna</w:t>
      </w:r>
      <w:r>
        <w:rPr>
          <w:rFonts w:cs="Arial"/>
          <w:sz w:val="16"/>
          <w:szCs w:val="16"/>
        </w:rPr>
        <w:t>.</w:t>
      </w:r>
    </w:p>
  </w:footnote>
  <w:footnote w:id="10">
    <w:p w14:paraId="268AD40B" w14:textId="77777777" w:rsidR="0052200D" w:rsidRPr="00167B30" w:rsidRDefault="0052200D" w:rsidP="00486132">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w:t>
      </w:r>
    </w:p>
  </w:footnote>
  <w:footnote w:id="11">
    <w:p w14:paraId="36F573CD" w14:textId="77777777" w:rsidR="0052200D" w:rsidRPr="00FB58F4" w:rsidRDefault="0052200D" w:rsidP="00C35A2A">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Údaje o HPH jsou vyjádřeny ve stálých cenách a v očištění o sezónní a kalendářní vlivy.</w:t>
      </w:r>
    </w:p>
  </w:footnote>
  <w:footnote w:id="12">
    <w:p w14:paraId="01685618" w14:textId="77777777" w:rsidR="0052200D" w:rsidRPr="00FB58F4" w:rsidRDefault="0052200D" w:rsidP="00C35A2A">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Zahrnutá odvětví: </w:t>
      </w:r>
      <w:r>
        <w:rPr>
          <w:rFonts w:cs="Arial"/>
          <w:color w:val="0D0D0D" w:themeColor="text1" w:themeTint="F2"/>
          <w:spacing w:val="-2"/>
          <w:sz w:val="16"/>
          <w:szCs w:val="16"/>
        </w:rPr>
        <w:t>t</w:t>
      </w:r>
      <w:r w:rsidRPr="00FB58F4">
        <w:rPr>
          <w:rFonts w:cs="Arial"/>
          <w:color w:val="0D0D0D" w:themeColor="text1" w:themeTint="F2"/>
          <w:spacing w:val="-2"/>
          <w:sz w:val="16"/>
          <w:szCs w:val="16"/>
        </w:rPr>
        <w:t xml:space="preserve">ěžba a dobývání, </w:t>
      </w:r>
      <w:r>
        <w:rPr>
          <w:rFonts w:cs="Arial"/>
          <w:color w:val="0D0D0D" w:themeColor="text1" w:themeTint="F2"/>
          <w:spacing w:val="-2"/>
          <w:sz w:val="16"/>
          <w:szCs w:val="16"/>
        </w:rPr>
        <w:t>z</w:t>
      </w:r>
      <w:r w:rsidRPr="00FB58F4">
        <w:rPr>
          <w:rFonts w:cs="Arial"/>
          <w:color w:val="0D0D0D" w:themeColor="text1" w:themeTint="F2"/>
          <w:spacing w:val="-2"/>
          <w:sz w:val="16"/>
          <w:szCs w:val="16"/>
        </w:rPr>
        <w:t xml:space="preserve">pracovatelský průmysl, </w:t>
      </w:r>
      <w:r>
        <w:rPr>
          <w:rFonts w:cs="Arial"/>
          <w:color w:val="0D0D0D" w:themeColor="text1" w:themeTint="F2"/>
          <w:spacing w:val="-2"/>
          <w:sz w:val="16"/>
          <w:szCs w:val="16"/>
        </w:rPr>
        <w:t>e</w:t>
      </w:r>
      <w:r w:rsidRPr="00FB58F4">
        <w:rPr>
          <w:rFonts w:cs="Arial"/>
          <w:color w:val="0D0D0D" w:themeColor="text1" w:themeTint="F2"/>
          <w:spacing w:val="-2"/>
          <w:sz w:val="16"/>
          <w:szCs w:val="16"/>
        </w:rPr>
        <w:t>nergetika. Všechna meziroční tempa produkce (na úrovni odvětvových sekcí i oddílů) j</w:t>
      </w:r>
      <w:r>
        <w:rPr>
          <w:rFonts w:cs="Arial"/>
          <w:color w:val="0D0D0D" w:themeColor="text1" w:themeTint="F2"/>
          <w:spacing w:val="-2"/>
          <w:sz w:val="16"/>
          <w:szCs w:val="16"/>
        </w:rPr>
        <w:t>sou očištěna o kalendářní vlivy, m</w:t>
      </w:r>
      <w:r w:rsidRPr="00FB58F4">
        <w:rPr>
          <w:rFonts w:cs="Arial"/>
          <w:color w:val="0D0D0D" w:themeColor="text1" w:themeTint="F2"/>
          <w:spacing w:val="-2"/>
          <w:sz w:val="16"/>
          <w:szCs w:val="16"/>
        </w:rPr>
        <w:t>ezičtvrtletní tempa pak kromě toho také o vliv sezónnosti.</w:t>
      </w:r>
    </w:p>
  </w:footnote>
  <w:footnote w:id="13">
    <w:p w14:paraId="1ABB894C" w14:textId="59D5FB96" w:rsidR="0052200D" w:rsidRPr="00164B53" w:rsidRDefault="0052200D" w:rsidP="00C35A2A">
      <w:pPr>
        <w:spacing w:after="0" w:line="240" w:lineRule="auto"/>
        <w:rPr>
          <w:spacing w:val="-4"/>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164B53">
        <w:rPr>
          <w:rFonts w:eastAsia="Calibri" w:cs="Arial"/>
          <w:color w:val="0D0D0D" w:themeColor="text1" w:themeTint="F2"/>
          <w:spacing w:val="-2"/>
          <w:sz w:val="16"/>
          <w:szCs w:val="16"/>
        </w:rPr>
        <w:t xml:space="preserve">Průmyslová produkce v eurozóně klesla ve 4. čtvrtletí </w:t>
      </w:r>
      <w:proofErr w:type="spellStart"/>
      <w:r w:rsidRPr="00164B53">
        <w:rPr>
          <w:rFonts w:eastAsia="Calibri" w:cs="Arial"/>
          <w:color w:val="0D0D0D" w:themeColor="text1" w:themeTint="F2"/>
          <w:spacing w:val="-2"/>
          <w:sz w:val="16"/>
          <w:szCs w:val="16"/>
        </w:rPr>
        <w:t>mezičtvrtletně</w:t>
      </w:r>
      <w:proofErr w:type="spellEnd"/>
      <w:r w:rsidRPr="00164B53">
        <w:rPr>
          <w:rFonts w:eastAsia="Calibri" w:cs="Arial"/>
          <w:color w:val="0D0D0D" w:themeColor="text1" w:themeTint="F2"/>
          <w:spacing w:val="-2"/>
          <w:sz w:val="16"/>
          <w:szCs w:val="16"/>
        </w:rPr>
        <w:t xml:space="preserve"> o 1,1</w:t>
      </w:r>
      <w:r>
        <w:rPr>
          <w:rFonts w:eastAsia="Calibri" w:cs="Arial"/>
          <w:color w:val="0D0D0D" w:themeColor="text1" w:themeTint="F2"/>
          <w:spacing w:val="-2"/>
          <w:sz w:val="16"/>
          <w:szCs w:val="16"/>
        </w:rPr>
        <w:t> %</w:t>
      </w:r>
      <w:r w:rsidRPr="00164B53">
        <w:rPr>
          <w:rFonts w:eastAsia="Calibri" w:cs="Arial"/>
          <w:color w:val="0D0D0D" w:themeColor="text1" w:themeTint="F2"/>
          <w:spacing w:val="-2"/>
          <w:sz w:val="16"/>
          <w:szCs w:val="16"/>
        </w:rPr>
        <w:t>, meziročně dokonce o 1,9</w:t>
      </w:r>
      <w:r>
        <w:rPr>
          <w:rFonts w:eastAsia="Calibri" w:cs="Arial"/>
          <w:color w:val="0D0D0D" w:themeColor="text1" w:themeTint="F2"/>
          <w:spacing w:val="-2"/>
          <w:sz w:val="16"/>
          <w:szCs w:val="16"/>
        </w:rPr>
        <w:t> </w:t>
      </w:r>
      <w:r w:rsidRPr="00164B53">
        <w:rPr>
          <w:rFonts w:eastAsia="Calibri" w:cs="Arial"/>
          <w:color w:val="0D0D0D" w:themeColor="text1" w:themeTint="F2"/>
          <w:spacing w:val="-2"/>
          <w:sz w:val="16"/>
          <w:szCs w:val="16"/>
        </w:rPr>
        <w:t>%</w:t>
      </w:r>
      <w:r>
        <w:rPr>
          <w:rFonts w:eastAsia="Calibri" w:cs="Arial"/>
          <w:color w:val="0D0D0D" w:themeColor="text1" w:themeTint="F2"/>
          <w:spacing w:val="-2"/>
          <w:sz w:val="16"/>
          <w:szCs w:val="16"/>
        </w:rPr>
        <w:t xml:space="preserve"> (nejhorší výsledek po 1. čtvrtletí 2013)</w:t>
      </w:r>
      <w:r w:rsidRPr="00164B53">
        <w:rPr>
          <w:rFonts w:eastAsia="Calibri" w:cs="Arial"/>
          <w:color w:val="0D0D0D" w:themeColor="text1" w:themeTint="F2"/>
          <w:spacing w:val="-2"/>
          <w:sz w:val="16"/>
          <w:szCs w:val="16"/>
        </w:rPr>
        <w:t xml:space="preserve">. Současně se snížila i ve všech pěti největších ekonomikách EU (meziročně i </w:t>
      </w:r>
      <w:proofErr w:type="spellStart"/>
      <w:r w:rsidRPr="00164B53">
        <w:rPr>
          <w:rFonts w:eastAsia="Calibri" w:cs="Arial"/>
          <w:color w:val="0D0D0D" w:themeColor="text1" w:themeTint="F2"/>
          <w:spacing w:val="-2"/>
          <w:sz w:val="16"/>
          <w:szCs w:val="16"/>
        </w:rPr>
        <w:t>mezičtvrtletně</w:t>
      </w:r>
      <w:proofErr w:type="spellEnd"/>
      <w:r w:rsidRPr="00164B53">
        <w:rPr>
          <w:rFonts w:eastAsia="Calibri" w:cs="Arial"/>
          <w:color w:val="0D0D0D" w:themeColor="text1" w:themeTint="F2"/>
          <w:spacing w:val="-2"/>
          <w:sz w:val="16"/>
          <w:szCs w:val="16"/>
        </w:rPr>
        <w:t>).</w:t>
      </w:r>
    </w:p>
  </w:footnote>
  <w:footnote w:id="14">
    <w:p w14:paraId="278EF364" w14:textId="7D90DDA6" w:rsidR="0052200D" w:rsidRPr="00164B53" w:rsidRDefault="0052200D" w:rsidP="00C35A2A">
      <w:pPr>
        <w:spacing w:after="0" w:line="240" w:lineRule="auto"/>
        <w:rPr>
          <w:spacing w:val="-4"/>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Dle údaje Sdružení automobilového průmyslu bylo v 1. čtvrtletí 2019 v Česku vyrobeno 363 tis. osobních automobilů, meziročně o 3,8 % méně. Naopak podobně jako vloni se dařilo výrobě ostatních </w:t>
      </w:r>
      <w:r>
        <w:rPr>
          <w:rFonts w:cs="Arial"/>
          <w:color w:val="0D0D0D" w:themeColor="text1" w:themeTint="F2"/>
          <w:sz w:val="16"/>
          <w:szCs w:val="16"/>
        </w:rPr>
        <w:t xml:space="preserve">druhů silničních motorových vozidel. Na to, že za slabšími výkony odvětví výroby motorových vozidel stojí zčásti faktory krátkodobého charakteru, mohou poukazovat příznivější dubnové údaje. Za první čtyři měsíce roku 2019 činil meziroční pokles výroby osobních automobilů 1,1 %. V jeho pozadí stál slabší prodej v tuzemsku (váhově výrazně dominantní odbyt v zahraničí stagnoval). Lehce optimistická očekávání v tomto odvětví naznačují i některé předstihové ukazatele (saldo </w:t>
      </w:r>
      <w:r w:rsidRPr="00EA7CFE">
        <w:rPr>
          <w:rFonts w:cs="Arial"/>
          <w:color w:val="0D0D0D" w:themeColor="text1" w:themeTint="F2"/>
          <w:sz w:val="16"/>
          <w:szCs w:val="16"/>
        </w:rPr>
        <w:t>důvěry podnikatelů,</w:t>
      </w:r>
      <w:r>
        <w:rPr>
          <w:rFonts w:cs="Arial"/>
          <w:color w:val="0D0D0D" w:themeColor="text1" w:themeTint="F2"/>
          <w:sz w:val="16"/>
          <w:szCs w:val="16"/>
        </w:rPr>
        <w:t xml:space="preserve"> pokračující mírný růst zakázek i celkové zaměstnanosti).</w:t>
      </w:r>
    </w:p>
  </w:footnote>
  <w:footnote w:id="15">
    <w:p w14:paraId="321C0CF2" w14:textId="77777777" w:rsidR="0052200D" w:rsidRPr="00164B53" w:rsidRDefault="0052200D" w:rsidP="00C35A2A">
      <w:pPr>
        <w:spacing w:after="0" w:line="240" w:lineRule="auto"/>
        <w:rPr>
          <w:spacing w:val="-4"/>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Průměrný evidenční počet zaměstnanců v celém odvětví průmyslu se dle podnikových statistik v 1. čtvrtletí 2019 meziročně snížil o 0,2 %. </w:t>
      </w:r>
    </w:p>
  </w:footnote>
  <w:footnote w:id="16">
    <w:p w14:paraId="7929784A" w14:textId="77777777" w:rsidR="0052200D" w:rsidRPr="009D7F89" w:rsidRDefault="0052200D" w:rsidP="00C35A2A">
      <w:pPr>
        <w:spacing w:after="0" w:line="240" w:lineRule="auto"/>
        <w:rPr>
          <w:rFonts w:cs="Arial"/>
          <w:spacing w:val="-4"/>
          <w:sz w:val="16"/>
          <w:szCs w:val="16"/>
        </w:rPr>
      </w:pPr>
      <w:r w:rsidRPr="009D7F89">
        <w:rPr>
          <w:rStyle w:val="Znakapoznpodarou"/>
          <w:rFonts w:cs="Arial"/>
          <w:color w:val="0D0D0D" w:themeColor="text1" w:themeTint="F2"/>
          <w:spacing w:val="-2"/>
          <w:sz w:val="16"/>
          <w:szCs w:val="16"/>
        </w:rPr>
        <w:footnoteRef/>
      </w:r>
      <w:r w:rsidRPr="009D7F89">
        <w:rPr>
          <w:rFonts w:cs="Arial"/>
          <w:color w:val="0D0D0D" w:themeColor="text1" w:themeTint="F2"/>
          <w:spacing w:val="-2"/>
          <w:sz w:val="16"/>
          <w:szCs w:val="16"/>
        </w:rPr>
        <w:t xml:space="preserve"> </w:t>
      </w:r>
      <w:r w:rsidRPr="009D7F89">
        <w:rPr>
          <w:rFonts w:cs="Arial"/>
          <w:color w:val="333333"/>
          <w:sz w:val="16"/>
          <w:szCs w:val="16"/>
        </w:rPr>
        <w:t>Zjišťování zakázek probíhá pouze ve vybraných oddílech CZ-NACE (13, 14, 17, 20, 21, 24, 25, 26, 27, 28, 29, 30), které vyrábějí převážně na zakázku, s dlouhodobějším výrobním cyklem a s většími zásobami zakázek</w:t>
      </w:r>
      <w:r>
        <w:rPr>
          <w:rFonts w:cs="Arial"/>
          <w:color w:val="333333"/>
          <w:sz w:val="16"/>
          <w:szCs w:val="16"/>
        </w:rPr>
        <w:t>.</w:t>
      </w:r>
    </w:p>
  </w:footnote>
  <w:footnote w:id="17">
    <w:p w14:paraId="46F8A54F" w14:textId="77777777" w:rsidR="0052200D" w:rsidRPr="00D85B50" w:rsidRDefault="0052200D" w:rsidP="00C35A2A">
      <w:pPr>
        <w:pStyle w:val="Textpoznpodarou"/>
        <w:jc w:val="both"/>
        <w:rPr>
          <w:spacing w:val="-4"/>
          <w:sz w:val="16"/>
          <w:szCs w:val="16"/>
        </w:rPr>
      </w:pPr>
      <w:r w:rsidRPr="005813A9">
        <w:rPr>
          <w:rStyle w:val="Znakapoznpodarou"/>
          <w:rFonts w:cs="Arial"/>
          <w:color w:val="0D0D0D" w:themeColor="text1" w:themeTint="F2"/>
          <w:spacing w:val="-2"/>
          <w:sz w:val="16"/>
          <w:szCs w:val="16"/>
        </w:rPr>
        <w:footnoteRef/>
      </w:r>
      <w:r w:rsidRPr="005813A9">
        <w:rPr>
          <w:rFonts w:cs="Arial"/>
          <w:color w:val="0D0D0D" w:themeColor="text1" w:themeTint="F2"/>
          <w:spacing w:val="-2"/>
          <w:sz w:val="16"/>
          <w:szCs w:val="16"/>
        </w:rPr>
        <w:t xml:space="preserve"> Všechny meziroční údaje o stavební produkci jsou očištěny o kalendářní vlivy, mezičtvrtletní tempa pak kromě toho také o vliv sezónnosti.</w:t>
      </w:r>
    </w:p>
  </w:footnote>
  <w:footnote w:id="18">
    <w:p w14:paraId="4BEA91A7" w14:textId="77777777" w:rsidR="0052200D" w:rsidRPr="00D85B50" w:rsidRDefault="0052200D" w:rsidP="00C35A2A">
      <w:pPr>
        <w:pStyle w:val="Textpoznpodarou"/>
        <w:jc w:val="both"/>
        <w:rPr>
          <w:spacing w:val="-4"/>
          <w:sz w:val="16"/>
          <w:szCs w:val="16"/>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V 1. čtvrtletí 2018 činil meziroční růst stavební produkce 15,3 %, což bylo nejvyšší tempo po roce 2007.</w:t>
      </w:r>
    </w:p>
  </w:footnote>
  <w:footnote w:id="19">
    <w:p w14:paraId="00E2983A" w14:textId="77777777" w:rsidR="0052200D" w:rsidRPr="00D85B50" w:rsidRDefault="0052200D" w:rsidP="00C35A2A">
      <w:pPr>
        <w:pStyle w:val="Textpoznpodarou"/>
        <w:jc w:val="both"/>
        <w:rPr>
          <w:spacing w:val="-4"/>
          <w:sz w:val="16"/>
          <w:szCs w:val="16"/>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Pokles počtu zahájených bytů v kategorii </w:t>
      </w:r>
      <w:r w:rsidRPr="006B5BF6">
        <w:rPr>
          <w:rFonts w:cs="Arial"/>
          <w:color w:val="0D0D0D" w:themeColor="text1" w:themeTint="F2"/>
          <w:spacing w:val="-2"/>
          <w:sz w:val="16"/>
          <w:szCs w:val="16"/>
        </w:rPr>
        <w:t xml:space="preserve">stavebně </w:t>
      </w:r>
      <w:r>
        <w:rPr>
          <w:rFonts w:cs="Arial"/>
          <w:color w:val="0D0D0D" w:themeColor="text1" w:themeTint="F2"/>
          <w:spacing w:val="-2"/>
          <w:sz w:val="16"/>
          <w:szCs w:val="16"/>
        </w:rPr>
        <w:t>upravených nebytových prostor byl ovlivněn i nebývale vysokou základnou. Loni bylo takto v ČR započato 678 bytů, v rámci 1. čtvrtletí šlo o druhou nejvyšší hodnotu v historii samostatné ČR.</w:t>
      </w:r>
    </w:p>
  </w:footnote>
  <w:footnote w:id="20">
    <w:p w14:paraId="0FF69368" w14:textId="77777777" w:rsidR="0052200D" w:rsidRPr="005B4D3B" w:rsidRDefault="0052200D" w:rsidP="00C35A2A">
      <w:pPr>
        <w:pStyle w:val="Textpoznpodarou"/>
        <w:jc w:val="both"/>
        <w:rPr>
          <w:spacing w:val="-2"/>
          <w:sz w:val="16"/>
          <w:szCs w:val="16"/>
        </w:rPr>
      </w:pPr>
      <w:r w:rsidRPr="005B4D3B">
        <w:rPr>
          <w:rStyle w:val="Znakapoznpodarou"/>
          <w:rFonts w:cs="Arial"/>
          <w:color w:val="0D0D0D" w:themeColor="text1" w:themeTint="F2"/>
          <w:spacing w:val="-2"/>
          <w:sz w:val="16"/>
          <w:szCs w:val="16"/>
        </w:rPr>
        <w:footnoteRef/>
      </w:r>
      <w:r w:rsidRPr="005B4D3B">
        <w:rPr>
          <w:rFonts w:cs="Arial"/>
          <w:color w:val="0D0D0D" w:themeColor="text1" w:themeTint="F2"/>
          <w:spacing w:val="-2"/>
          <w:sz w:val="16"/>
          <w:szCs w:val="16"/>
        </w:rPr>
        <w:t xml:space="preserve"> Dle sezónně očištěných údajů z konjunkturních průzkumů odhadovali podnikatelé ve stavebnictví zajištění práce z rezervoáru celkových zakázek na počátku 2. čtvrtletí 2019 na 10,5 měsíce, v 1. čtvrtletí 2018 „jen“ na 8,3 měsíce.</w:t>
      </w:r>
    </w:p>
  </w:footnote>
  <w:footnote w:id="21">
    <w:p w14:paraId="0181C850" w14:textId="77777777" w:rsidR="0052200D" w:rsidRPr="005B4D3B" w:rsidRDefault="0052200D" w:rsidP="00C35A2A">
      <w:pPr>
        <w:spacing w:after="0" w:line="240" w:lineRule="auto"/>
        <w:rPr>
          <w:spacing w:val="-2"/>
        </w:rPr>
      </w:pPr>
      <w:r w:rsidRPr="005B4D3B">
        <w:rPr>
          <w:rStyle w:val="Znakapoznpodarou"/>
          <w:color w:val="0D0D0D" w:themeColor="text1" w:themeTint="F2"/>
          <w:spacing w:val="-2"/>
          <w:sz w:val="16"/>
          <w:szCs w:val="16"/>
        </w:rPr>
        <w:footnoteRef/>
      </w:r>
      <w:r w:rsidRPr="005B4D3B">
        <w:rPr>
          <w:color w:val="0D0D0D" w:themeColor="text1" w:themeTint="F2"/>
          <w:spacing w:val="-2"/>
          <w:sz w:val="16"/>
          <w:szCs w:val="16"/>
        </w:rPr>
        <w:t>Bez obchodu, peněžnictví, pojišťovnictví, vědy, výzkumu a veřejných služeb. Všechny údaje za služby jsou ve stálých cenách, meziroční údaje jsou očištěny o kalendářní vlivy, mezičtvrtletní jsou očištěny o sezónní vlivy (včetně vlivu počtu pracovních dnů).</w:t>
      </w:r>
    </w:p>
  </w:footnote>
  <w:footnote w:id="22">
    <w:p w14:paraId="6AEE67A2" w14:textId="1E8803CD" w:rsidR="0052200D" w:rsidRPr="00D85B50" w:rsidRDefault="0052200D" w:rsidP="00C35A2A">
      <w:pPr>
        <w:pStyle w:val="Textpoznpodarou"/>
        <w:jc w:val="both"/>
        <w:rPr>
          <w:spacing w:val="-4"/>
          <w:sz w:val="16"/>
          <w:szCs w:val="16"/>
        </w:rPr>
      </w:pPr>
      <w:r w:rsidRPr="005B4D3B">
        <w:rPr>
          <w:rStyle w:val="Znakapoznpodarou"/>
          <w:rFonts w:cs="Arial"/>
          <w:color w:val="0D0D0D" w:themeColor="text1" w:themeTint="F2"/>
          <w:spacing w:val="-2"/>
          <w:sz w:val="16"/>
          <w:szCs w:val="16"/>
        </w:rPr>
        <w:footnoteRef/>
      </w:r>
      <w:r w:rsidRPr="005B4D3B">
        <w:rPr>
          <w:rFonts w:cs="Arial"/>
          <w:color w:val="0D0D0D" w:themeColor="text1" w:themeTint="F2"/>
          <w:spacing w:val="-2"/>
          <w:sz w:val="16"/>
          <w:szCs w:val="16"/>
        </w:rPr>
        <w:t xml:space="preserve"> Dařilo se i samotnému </w:t>
      </w:r>
      <w:r w:rsidRPr="005B4D3B">
        <w:rPr>
          <w:spacing w:val="-2"/>
          <w:sz w:val="16"/>
          <w:szCs w:val="16"/>
        </w:rPr>
        <w:t>segmentu filmové distribuce. Dle údajů Unie filmových distributorů vzrostly v 1. čtvrtletí 2019 tržby ze vstupného v</w:t>
      </w:r>
      <w:r>
        <w:rPr>
          <w:spacing w:val="-2"/>
          <w:sz w:val="16"/>
          <w:szCs w:val="16"/>
        </w:rPr>
        <w:t> </w:t>
      </w:r>
      <w:r w:rsidRPr="005B4D3B">
        <w:rPr>
          <w:spacing w:val="-2"/>
          <w:sz w:val="16"/>
          <w:szCs w:val="16"/>
        </w:rPr>
        <w:t>kinech v ČR meziročně o 29</w:t>
      </w:r>
      <w:r>
        <w:rPr>
          <w:spacing w:val="-2"/>
          <w:sz w:val="16"/>
          <w:szCs w:val="16"/>
        </w:rPr>
        <w:t> % a</w:t>
      </w:r>
      <w:r w:rsidRPr="005B4D3B">
        <w:rPr>
          <w:spacing w:val="-2"/>
          <w:sz w:val="16"/>
          <w:szCs w:val="16"/>
        </w:rPr>
        <w:t xml:space="preserve"> počet návštěvníků o bezmála čtvrtinu (na 5,1 mil., nejvyšší počet </w:t>
      </w:r>
      <w:r>
        <w:rPr>
          <w:spacing w:val="-2"/>
          <w:sz w:val="16"/>
          <w:szCs w:val="16"/>
        </w:rPr>
        <w:t xml:space="preserve">v rámci 1. čtvrtletí </w:t>
      </w:r>
      <w:r w:rsidRPr="005B4D3B">
        <w:rPr>
          <w:spacing w:val="-2"/>
          <w:sz w:val="16"/>
          <w:szCs w:val="16"/>
        </w:rPr>
        <w:t>po roce 1993).</w:t>
      </w:r>
    </w:p>
  </w:footnote>
  <w:footnote w:id="23">
    <w:p w14:paraId="570AADBF" w14:textId="77777777" w:rsidR="0052200D" w:rsidRPr="00D85B50" w:rsidRDefault="0052200D" w:rsidP="00C35A2A">
      <w:pPr>
        <w:pStyle w:val="Textpoznpodarou"/>
        <w:jc w:val="both"/>
        <w:rPr>
          <w:spacing w:val="-4"/>
          <w:sz w:val="16"/>
          <w:szCs w:val="16"/>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Pr>
          <w:spacing w:val="-2"/>
          <w:sz w:val="16"/>
          <w:szCs w:val="16"/>
        </w:rPr>
        <w:t>Počet přenocování</w:t>
      </w:r>
      <w:r w:rsidRPr="00DA5EBF">
        <w:rPr>
          <w:spacing w:val="-2"/>
          <w:sz w:val="16"/>
          <w:szCs w:val="16"/>
        </w:rPr>
        <w:t xml:space="preserve"> </w:t>
      </w:r>
      <w:r>
        <w:rPr>
          <w:spacing w:val="-2"/>
          <w:sz w:val="16"/>
          <w:szCs w:val="16"/>
        </w:rPr>
        <w:t xml:space="preserve">všech </w:t>
      </w:r>
      <w:r w:rsidRPr="00DA5EBF">
        <w:rPr>
          <w:spacing w:val="-2"/>
          <w:sz w:val="16"/>
          <w:szCs w:val="16"/>
        </w:rPr>
        <w:t>hostů v hromadných ubytovacích zařízení</w:t>
      </w:r>
      <w:r>
        <w:rPr>
          <w:spacing w:val="-2"/>
          <w:sz w:val="16"/>
          <w:szCs w:val="16"/>
        </w:rPr>
        <w:t>ch (HUZ) v ČR vzrostl v 1. čtvrtletí 2019 meziročně o 0,9 % (nejméně za posledních osmnáct čtvrtletí). Hosté ze zahraničí v HUZ strávili dokonce o 2,3 % nocí méně, na čemž se při stagnující průměrné délce jejich pobytu podílel výhradně nižší počet jejich příjezdů do ČR.</w:t>
      </w:r>
    </w:p>
  </w:footnote>
  <w:footnote w:id="24">
    <w:p w14:paraId="4FB857C5" w14:textId="49B474DB" w:rsidR="0052200D" w:rsidRDefault="0052200D" w:rsidP="00C35A2A">
      <w:pPr>
        <w:spacing w:after="0" w:line="240" w:lineRule="auto"/>
      </w:pPr>
      <w:r w:rsidRPr="00A85D8E">
        <w:rPr>
          <w:rStyle w:val="Znakapoznpodarou"/>
          <w:sz w:val="16"/>
          <w:szCs w:val="16"/>
        </w:rPr>
        <w:footnoteRef/>
      </w:r>
      <w:r>
        <w:rPr>
          <w:sz w:val="16"/>
          <w:szCs w:val="16"/>
        </w:rPr>
        <w:t xml:space="preserve"> Všechna</w:t>
      </w:r>
      <w:r w:rsidRPr="00A85D8E">
        <w:rPr>
          <w:sz w:val="16"/>
          <w:szCs w:val="16"/>
        </w:rPr>
        <w:t xml:space="preserve"> </w:t>
      </w:r>
      <w:r>
        <w:rPr>
          <w:sz w:val="16"/>
          <w:szCs w:val="16"/>
        </w:rPr>
        <w:t>meziroční tempa</w:t>
      </w:r>
      <w:r>
        <w:rPr>
          <w:color w:val="0D0D0D" w:themeColor="text1" w:themeTint="F2"/>
          <w:sz w:val="16"/>
          <w:szCs w:val="16"/>
        </w:rPr>
        <w:t xml:space="preserve"> tržeb</w:t>
      </w:r>
      <w:r w:rsidRPr="00A85D8E">
        <w:rPr>
          <w:color w:val="0D0D0D" w:themeColor="text1" w:themeTint="F2"/>
          <w:sz w:val="16"/>
          <w:szCs w:val="16"/>
        </w:rPr>
        <w:t xml:space="preserve"> za maloobchod</w:t>
      </w:r>
      <w:r w:rsidRPr="004A26AF">
        <w:rPr>
          <w:color w:val="0D0D0D" w:themeColor="text1" w:themeTint="F2"/>
          <w:sz w:val="16"/>
          <w:szCs w:val="16"/>
        </w:rPr>
        <w:t xml:space="preserve"> jsou </w:t>
      </w:r>
      <w:r>
        <w:rPr>
          <w:color w:val="0D0D0D" w:themeColor="text1" w:themeTint="F2"/>
          <w:sz w:val="16"/>
          <w:szCs w:val="16"/>
        </w:rPr>
        <w:t>uvedena ve stálých cenách a očištěna</w:t>
      </w:r>
      <w:r w:rsidRPr="004A26AF">
        <w:rPr>
          <w:color w:val="0D0D0D" w:themeColor="text1" w:themeTint="F2"/>
          <w:sz w:val="16"/>
          <w:szCs w:val="16"/>
        </w:rPr>
        <w:t xml:space="preserve"> o kal</w:t>
      </w:r>
      <w:r>
        <w:rPr>
          <w:color w:val="0D0D0D" w:themeColor="text1" w:themeTint="F2"/>
          <w:sz w:val="16"/>
          <w:szCs w:val="16"/>
        </w:rPr>
        <w:t>endářní vlivy, mezičtvrtletní tempa jsou očištěna o sezónní vlivy (včetně vlivu počtu pracovních dnů)</w:t>
      </w:r>
      <w:r w:rsidRPr="004A26AF">
        <w:rPr>
          <w:color w:val="0D0D0D" w:themeColor="text1" w:themeTint="F2"/>
          <w:sz w:val="16"/>
          <w:szCs w:val="16"/>
        </w:rPr>
        <w:t>.</w:t>
      </w:r>
    </w:p>
  </w:footnote>
  <w:footnote w:id="25">
    <w:p w14:paraId="6E0C032B" w14:textId="77777777" w:rsidR="0052200D" w:rsidRDefault="0052200D" w:rsidP="00C35A2A">
      <w:pPr>
        <w:spacing w:after="0" w:line="240" w:lineRule="auto"/>
      </w:pPr>
      <w:r w:rsidRPr="00A85D8E">
        <w:rPr>
          <w:rStyle w:val="Znakapoznpodarou"/>
          <w:sz w:val="16"/>
          <w:szCs w:val="16"/>
        </w:rPr>
        <w:footnoteRef/>
      </w:r>
      <w:r>
        <w:rPr>
          <w:sz w:val="16"/>
          <w:szCs w:val="16"/>
        </w:rPr>
        <w:t xml:space="preserve"> V 1. čtvrtletí 2018 rostly o 6,3 %. V rámci tohoto období roku šlo o nejsilnější tempo za posledních jedenáct let. </w:t>
      </w:r>
    </w:p>
  </w:footnote>
  <w:footnote w:id="26">
    <w:p w14:paraId="5DE28A52" w14:textId="77777777" w:rsidR="0052200D" w:rsidRPr="00DE38E6" w:rsidRDefault="0052200D" w:rsidP="00C35A2A">
      <w:pPr>
        <w:spacing w:after="0" w:line="240" w:lineRule="auto"/>
      </w:pPr>
      <w:r w:rsidRPr="004A26AF">
        <w:rPr>
          <w:rStyle w:val="Znakapoznpodarou"/>
          <w:color w:val="0D0D0D" w:themeColor="text1" w:themeTint="F2"/>
          <w:sz w:val="16"/>
          <w:szCs w:val="16"/>
        </w:rPr>
        <w:footnoteRef/>
      </w:r>
      <w:r>
        <w:rPr>
          <w:color w:val="0D0D0D" w:themeColor="text1" w:themeTint="F2"/>
          <w:sz w:val="16"/>
          <w:szCs w:val="16"/>
        </w:rPr>
        <w:t xml:space="preserve">Saldo indikátorů důvěry spotřebitelů bylo v březnu 2019 nejslabší za posledních 31 měsíců (+2,3 bodu). </w:t>
      </w:r>
      <w:r>
        <w:rPr>
          <w:sz w:val="16"/>
          <w:szCs w:val="16"/>
        </w:rPr>
        <w:t>Naopak nálada spotřebitelů z loňského jara (+10 až 11 bodů) dosáhla maxima v historii sledování (od roku 1998).</w:t>
      </w:r>
    </w:p>
  </w:footnote>
  <w:footnote w:id="27">
    <w:p w14:paraId="56E155D0" w14:textId="77777777" w:rsidR="0052200D" w:rsidRPr="00B520F5" w:rsidRDefault="0052200D">
      <w:pPr>
        <w:pStyle w:val="Textpoznpodarou"/>
        <w:rPr>
          <w:sz w:val="16"/>
          <w:szCs w:val="16"/>
        </w:rPr>
      </w:pPr>
      <w:r w:rsidRPr="00B520F5">
        <w:rPr>
          <w:rStyle w:val="Znakapoznpodarou"/>
          <w:sz w:val="16"/>
          <w:szCs w:val="16"/>
        </w:rPr>
        <w:footnoteRef/>
      </w:r>
      <w:r w:rsidRPr="00B520F5">
        <w:rPr>
          <w:sz w:val="16"/>
          <w:szCs w:val="16"/>
        </w:rPr>
        <w:t xml:space="preserve"> Názvem polotovary jsou označeny tržní výrobky tříděné hlavně podle materiálu (SITC 6).</w:t>
      </w:r>
    </w:p>
  </w:footnote>
  <w:footnote w:id="28">
    <w:p w14:paraId="1DA5E73A" w14:textId="77777777" w:rsidR="0052200D" w:rsidRPr="008E5F91" w:rsidRDefault="0052200D">
      <w:pPr>
        <w:pStyle w:val="Textpoznpodarou"/>
        <w:rPr>
          <w:sz w:val="16"/>
          <w:szCs w:val="16"/>
        </w:rPr>
      </w:pPr>
      <w:r w:rsidRPr="008E5F91">
        <w:rPr>
          <w:rStyle w:val="Znakapoznpodarou"/>
          <w:sz w:val="16"/>
          <w:szCs w:val="16"/>
        </w:rPr>
        <w:footnoteRef/>
      </w:r>
      <w:r w:rsidRPr="008E5F91">
        <w:rPr>
          <w:sz w:val="16"/>
          <w:szCs w:val="16"/>
        </w:rPr>
        <w:t xml:space="preserve"> Názvem ostatní suroviny jsou označeny surové materiály, nepoživatelné, s výjimkou paliv (SITC 2).</w:t>
      </w:r>
    </w:p>
  </w:footnote>
  <w:footnote w:id="29">
    <w:p w14:paraId="00A46DAC" w14:textId="77777777" w:rsidR="0052200D" w:rsidRPr="006A4CF3" w:rsidRDefault="0052200D" w:rsidP="00003849">
      <w:pPr>
        <w:pStyle w:val="Textpoznpodarou"/>
        <w:jc w:val="both"/>
        <w:rPr>
          <w:spacing w:val="-2"/>
          <w:sz w:val="16"/>
          <w:szCs w:val="16"/>
        </w:rPr>
      </w:pPr>
      <w:r w:rsidRPr="006A4CF3">
        <w:rPr>
          <w:rStyle w:val="Znakapoznpodarou"/>
          <w:spacing w:val="-2"/>
          <w:sz w:val="16"/>
          <w:szCs w:val="16"/>
        </w:rPr>
        <w:footnoteRef/>
      </w:r>
      <w:r w:rsidRPr="006A4CF3">
        <w:rPr>
          <w:spacing w:val="-2"/>
          <w:sz w:val="16"/>
          <w:szCs w:val="16"/>
        </w:rPr>
        <w:t xml:space="preserve"> Pokud není uvedeno jinak, jsou v této kapitole údaje o zaměstnanosti uvedeny v pojetí národních účtů v očištění o sezónní vlivy.</w:t>
      </w:r>
    </w:p>
  </w:footnote>
  <w:footnote w:id="30">
    <w:p w14:paraId="3F100B8B" w14:textId="3B91A8F0" w:rsidR="0052200D" w:rsidRPr="006A4CF3" w:rsidRDefault="0052200D" w:rsidP="00003849">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Očekávání vyjádřená dle </w:t>
      </w:r>
      <w:r w:rsidRPr="002402DF">
        <w:rPr>
          <w:spacing w:val="-4"/>
          <w:sz w:val="16"/>
          <w:szCs w:val="16"/>
        </w:rPr>
        <w:t>sezónně očištěných údajů z konjunkturálních šetření</w:t>
      </w:r>
      <w:r>
        <w:rPr>
          <w:spacing w:val="-4"/>
          <w:sz w:val="16"/>
          <w:szCs w:val="16"/>
        </w:rPr>
        <w:t xml:space="preserve"> jako rozdíl (v p. b.) mezi podílem podniků očekávajících v nejbližších třech měsících navýšení zaměstnanosti a podniků vyhlížejících naopak redukci stavu svých pracovníků.</w:t>
      </w:r>
    </w:p>
  </w:footnote>
  <w:footnote w:id="31">
    <w:p w14:paraId="6597A5D7" w14:textId="10AF46BF" w:rsidR="0052200D" w:rsidRPr="006A4CF3" w:rsidRDefault="0052200D" w:rsidP="00003849">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Očekávání se ale významně lišila dle odvětví. Růst zaměstnanosti signalizovaly vedle obchodu hlavně podniky v informačních a komunikačních činnostech a také v profesních, vědeckých a technických činnostech, dále též v odvětvových oddílech skladování a vedlejší činnosti v dopravě a rovněž v činnostech</w:t>
      </w:r>
      <w:r w:rsidRPr="004B3D88">
        <w:rPr>
          <w:spacing w:val="-2"/>
          <w:sz w:val="16"/>
          <w:szCs w:val="16"/>
        </w:rPr>
        <w:t xml:space="preserve"> související</w:t>
      </w:r>
      <w:r>
        <w:rPr>
          <w:spacing w:val="-2"/>
          <w:sz w:val="16"/>
          <w:szCs w:val="16"/>
        </w:rPr>
        <w:t>ch</w:t>
      </w:r>
      <w:r w:rsidRPr="004B3D88">
        <w:rPr>
          <w:spacing w:val="-2"/>
          <w:sz w:val="16"/>
          <w:szCs w:val="16"/>
        </w:rPr>
        <w:t xml:space="preserve"> se zaměstnáním</w:t>
      </w:r>
      <w:r>
        <w:rPr>
          <w:spacing w:val="-2"/>
          <w:sz w:val="16"/>
          <w:szCs w:val="16"/>
        </w:rPr>
        <w:t xml:space="preserve"> (pracovní agentury). Negativní vyhlídky byly patrné v poštovních a kurýrních činnostech, telekomunikacích, v peněžnictví a v odvětví administrativních a podpůrných činností (vyjma pracovních agentur).</w:t>
      </w:r>
    </w:p>
  </w:footnote>
  <w:footnote w:id="32">
    <w:p w14:paraId="05C22651" w14:textId="5072B52F" w:rsidR="0052200D" w:rsidRPr="006A4CF3" w:rsidRDefault="0052200D" w:rsidP="00003849">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Jde o osoby, které nepracují, aktivně práci nehledají (tudíž nesplňují podmínku pro zařazení mezi nezaměstnané), ale vyjadřují ochotu pracovat (bez ohledu na schopnost rychle do nového zaměstnání nastoupit). </w:t>
      </w:r>
    </w:p>
  </w:footnote>
  <w:footnote w:id="33">
    <w:p w14:paraId="0444928C" w14:textId="40E4AEF1" w:rsidR="0052200D" w:rsidRPr="00731175" w:rsidRDefault="0052200D" w:rsidP="00003849">
      <w:pPr>
        <w:pStyle w:val="Textpoznpodarou"/>
        <w:jc w:val="both"/>
        <w:rPr>
          <w:sz w:val="16"/>
          <w:szCs w:val="16"/>
        </w:rPr>
      </w:pPr>
      <w:r w:rsidRPr="006A4CF3">
        <w:rPr>
          <w:rStyle w:val="Znakapoznpodarou"/>
          <w:spacing w:val="-2"/>
          <w:sz w:val="16"/>
          <w:szCs w:val="16"/>
        </w:rPr>
        <w:footnoteRef/>
      </w:r>
      <w:r w:rsidRPr="006A4CF3">
        <w:rPr>
          <w:spacing w:val="-2"/>
          <w:sz w:val="16"/>
          <w:szCs w:val="16"/>
        </w:rPr>
        <w:t xml:space="preserve"> Nepřímo o tom v</w:t>
      </w:r>
      <w:r>
        <w:rPr>
          <w:spacing w:val="-2"/>
          <w:sz w:val="16"/>
          <w:szCs w:val="16"/>
        </w:rPr>
        <w:t>ypovídá i počet</w:t>
      </w:r>
      <w:r w:rsidRPr="006A4CF3">
        <w:rPr>
          <w:spacing w:val="-2"/>
          <w:sz w:val="16"/>
          <w:szCs w:val="16"/>
        </w:rPr>
        <w:t xml:space="preserve"> cizinců</w:t>
      </w:r>
      <w:r>
        <w:rPr>
          <w:spacing w:val="-2"/>
          <w:sz w:val="16"/>
          <w:szCs w:val="16"/>
        </w:rPr>
        <w:t xml:space="preserve"> s trvalým či přechodným pobytem</w:t>
      </w:r>
      <w:r w:rsidRPr="006A4CF3">
        <w:rPr>
          <w:spacing w:val="-2"/>
          <w:sz w:val="16"/>
          <w:szCs w:val="16"/>
        </w:rPr>
        <w:t xml:space="preserve">. Dle </w:t>
      </w:r>
      <w:r>
        <w:rPr>
          <w:spacing w:val="-2"/>
          <w:sz w:val="16"/>
          <w:szCs w:val="16"/>
        </w:rPr>
        <w:t xml:space="preserve">předběžných údajů </w:t>
      </w:r>
      <w:r w:rsidRPr="006A4CF3">
        <w:rPr>
          <w:spacing w:val="-2"/>
          <w:sz w:val="16"/>
          <w:szCs w:val="16"/>
        </w:rPr>
        <w:t xml:space="preserve">Ředitelství služby cizinecké policie jich na konci </w:t>
      </w:r>
      <w:r>
        <w:rPr>
          <w:spacing w:val="-2"/>
          <w:sz w:val="16"/>
          <w:szCs w:val="16"/>
        </w:rPr>
        <w:t xml:space="preserve">dubna </w:t>
      </w:r>
      <w:r w:rsidRPr="006A4CF3">
        <w:rPr>
          <w:spacing w:val="-2"/>
          <w:sz w:val="16"/>
          <w:szCs w:val="16"/>
        </w:rPr>
        <w:t xml:space="preserve">roku </w:t>
      </w:r>
      <w:r>
        <w:rPr>
          <w:spacing w:val="-2"/>
          <w:sz w:val="16"/>
          <w:szCs w:val="16"/>
        </w:rPr>
        <w:t>2019 v ČR legálně pobývalo 571 tis., ve srovnání s koncem loňského roku o 4 tis. více. Za stejné období roku 2018 činil ale přírůstek 12 tis. osob. Toto zpomalení by mohlo souviset se slabším růstem poptávky v oblasti agenturní zaměstnanosti v průmyslu.</w:t>
      </w:r>
    </w:p>
  </w:footnote>
  <w:footnote w:id="34">
    <w:p w14:paraId="55B6C346" w14:textId="77777777" w:rsidR="0052200D" w:rsidRPr="00742AF1" w:rsidRDefault="0052200D" w:rsidP="00003849">
      <w:pPr>
        <w:pStyle w:val="Textpoznpodarou"/>
        <w:jc w:val="both"/>
        <w:rPr>
          <w:spacing w:val="-2"/>
          <w:sz w:val="16"/>
          <w:szCs w:val="16"/>
        </w:rPr>
      </w:pPr>
      <w:r w:rsidRPr="00742AF1">
        <w:rPr>
          <w:rStyle w:val="Znakapoznpodarou"/>
          <w:spacing w:val="-2"/>
          <w:sz w:val="16"/>
          <w:szCs w:val="16"/>
        </w:rPr>
        <w:footnoteRef/>
      </w:r>
      <w:r w:rsidRPr="00742AF1">
        <w:rPr>
          <w:spacing w:val="-2"/>
          <w:sz w:val="16"/>
          <w:szCs w:val="16"/>
        </w:rPr>
        <w:t xml:space="preserve"> </w:t>
      </w:r>
      <w:r>
        <w:rPr>
          <w:spacing w:val="-2"/>
          <w:sz w:val="16"/>
          <w:szCs w:val="16"/>
        </w:rPr>
        <w:t>Z podrobnějších údajů VŠPS za</w:t>
      </w:r>
      <w:r w:rsidRPr="00742AF1">
        <w:rPr>
          <w:spacing w:val="-2"/>
          <w:sz w:val="16"/>
          <w:szCs w:val="16"/>
        </w:rPr>
        <w:t xml:space="preserve"> 1. čtvrtletí </w:t>
      </w:r>
      <w:r>
        <w:rPr>
          <w:spacing w:val="-2"/>
          <w:sz w:val="16"/>
          <w:szCs w:val="16"/>
        </w:rPr>
        <w:t xml:space="preserve">2019 </w:t>
      </w:r>
      <w:r w:rsidRPr="00742AF1">
        <w:rPr>
          <w:spacing w:val="-2"/>
          <w:sz w:val="16"/>
          <w:szCs w:val="16"/>
        </w:rPr>
        <w:t>plyne, že mírné navýšení celkového počtu podnikatelů se zaměstnanci (+4 tis.) bylo z větší části kompenzováno nevýznamnou redukcí v kategorii podnikatelů bez zaměstnanců.</w:t>
      </w:r>
    </w:p>
  </w:footnote>
  <w:footnote w:id="35">
    <w:p w14:paraId="5F6E3A08" w14:textId="77777777" w:rsidR="0052200D" w:rsidRPr="006A4CF3" w:rsidRDefault="0052200D" w:rsidP="00003849">
      <w:pPr>
        <w:pStyle w:val="Textpoznpodarou"/>
        <w:jc w:val="both"/>
        <w:rPr>
          <w:spacing w:val="-2"/>
          <w:sz w:val="16"/>
          <w:szCs w:val="16"/>
        </w:rPr>
      </w:pPr>
      <w:r w:rsidRPr="006A4CF3">
        <w:rPr>
          <w:rStyle w:val="Znakapoznpodarou"/>
          <w:spacing w:val="-2"/>
          <w:sz w:val="16"/>
          <w:szCs w:val="16"/>
        </w:rPr>
        <w:footnoteRef/>
      </w:r>
      <w:r>
        <w:rPr>
          <w:spacing w:val="-2"/>
          <w:sz w:val="16"/>
          <w:szCs w:val="16"/>
        </w:rPr>
        <w:t xml:space="preserve"> Vzrostl např. počet pracujících ve věku 65 a více let (meziročně o 7 tis., resp. o 4,9 %). Trend mírného růstu míry zaměstnanosti je u mužů i žen v této věkové skupině v Česku patrný již po roce 2014.</w:t>
      </w:r>
    </w:p>
  </w:footnote>
  <w:footnote w:id="36">
    <w:p w14:paraId="22B52A70" w14:textId="77777777" w:rsidR="0052200D" w:rsidRPr="00742AF1" w:rsidRDefault="0052200D" w:rsidP="00003849">
      <w:pPr>
        <w:pStyle w:val="Textpoznpodarou"/>
        <w:jc w:val="both"/>
        <w:rPr>
          <w:spacing w:val="-2"/>
          <w:sz w:val="16"/>
          <w:szCs w:val="16"/>
        </w:rPr>
      </w:pPr>
      <w:r w:rsidRPr="00742AF1">
        <w:rPr>
          <w:rStyle w:val="Znakapoznpodarou"/>
          <w:spacing w:val="-2"/>
          <w:sz w:val="16"/>
          <w:szCs w:val="16"/>
        </w:rPr>
        <w:footnoteRef/>
      </w:r>
      <w:r w:rsidRPr="00742AF1">
        <w:rPr>
          <w:spacing w:val="-2"/>
          <w:sz w:val="16"/>
          <w:szCs w:val="16"/>
        </w:rPr>
        <w:t xml:space="preserve"> </w:t>
      </w:r>
      <w:r>
        <w:rPr>
          <w:spacing w:val="-2"/>
          <w:sz w:val="16"/>
          <w:szCs w:val="16"/>
        </w:rPr>
        <w:t>Z údajů VŠPS plyne, že ve 4. čtvrtletí 2018 pracovalo v rámci věkové skupiny 15 až 64 let touto formou jen 2,6 % mužů a 11,0 % žen. O pět let dříve činily obdobné podíly 2,5 % a 9,9 %.</w:t>
      </w:r>
    </w:p>
  </w:footnote>
  <w:footnote w:id="37">
    <w:p w14:paraId="1B29C2E3" w14:textId="3B787C51" w:rsidR="0052200D" w:rsidRPr="006D36DD" w:rsidRDefault="0052200D" w:rsidP="00003849">
      <w:pPr>
        <w:pStyle w:val="Textpoznpodarou"/>
        <w:jc w:val="both"/>
        <w:rPr>
          <w:spacing w:val="-2"/>
          <w:sz w:val="16"/>
          <w:szCs w:val="16"/>
        </w:rPr>
      </w:pPr>
      <w:r w:rsidRPr="006D36DD">
        <w:rPr>
          <w:rStyle w:val="Znakapoznpodarou"/>
          <w:spacing w:val="-2"/>
          <w:sz w:val="16"/>
          <w:szCs w:val="16"/>
        </w:rPr>
        <w:footnoteRef/>
      </w:r>
      <w:r w:rsidRPr="006D36DD">
        <w:rPr>
          <w:spacing w:val="-2"/>
          <w:sz w:val="16"/>
          <w:szCs w:val="16"/>
        </w:rPr>
        <w:t xml:space="preserve"> Téměř</w:t>
      </w:r>
      <w:r w:rsidRPr="006D36DD">
        <w:rPr>
          <w:rFonts w:cs="Arial"/>
          <w:color w:val="0D0D0D" w:themeColor="text1" w:themeTint="F2"/>
          <w:spacing w:val="-4"/>
          <w:sz w:val="16"/>
          <w:szCs w:val="16"/>
        </w:rPr>
        <w:t xml:space="preserve"> 91</w:t>
      </w:r>
      <w:r>
        <w:rPr>
          <w:rFonts w:cs="Arial"/>
          <w:color w:val="0D0D0D" w:themeColor="text1" w:themeTint="F2"/>
          <w:spacing w:val="-4"/>
          <w:sz w:val="16"/>
          <w:szCs w:val="16"/>
        </w:rPr>
        <w:t> %</w:t>
      </w:r>
      <w:r w:rsidRPr="006D36DD">
        <w:rPr>
          <w:rFonts w:cs="Arial"/>
          <w:color w:val="0D0D0D" w:themeColor="text1" w:themeTint="F2"/>
          <w:spacing w:val="-4"/>
          <w:sz w:val="16"/>
          <w:szCs w:val="16"/>
        </w:rPr>
        <w:t xml:space="preserve"> se na růstu pracovních míst podílely pozice s velmi nízkými deklarovanými kvalifikačními nároky (maximálně základní vzdělání). </w:t>
      </w:r>
      <w:r>
        <w:rPr>
          <w:rFonts w:cs="Arial"/>
          <w:color w:val="0D0D0D" w:themeColor="text1" w:themeTint="F2"/>
          <w:spacing w:val="-4"/>
          <w:sz w:val="16"/>
          <w:szCs w:val="16"/>
        </w:rPr>
        <w:t>Počet těchto míst se meziročně zvýšil o třetinu, naopak míst pro středoškoláky bez maturity či s maturitou přibylo shodně „jen“ o necelých 7 %. Místa, pro něž postačovalo maximálně základní vzdělání, se na celkové nabídce pracovních pozic na konci letošního března podílela již 68 %.</w:t>
      </w:r>
    </w:p>
  </w:footnote>
  <w:footnote w:id="38">
    <w:p w14:paraId="2C263AC9" w14:textId="067342B9" w:rsidR="0052200D" w:rsidRPr="00CC2E73" w:rsidRDefault="0052200D" w:rsidP="00003849">
      <w:pPr>
        <w:pStyle w:val="Textpoznpodarou"/>
        <w:jc w:val="both"/>
        <w:rPr>
          <w:spacing w:val="-2"/>
          <w:sz w:val="16"/>
          <w:szCs w:val="16"/>
        </w:rPr>
      </w:pPr>
      <w:r w:rsidRPr="00CC2E73">
        <w:rPr>
          <w:rStyle w:val="Znakapoznpodarou"/>
          <w:spacing w:val="-2"/>
          <w:sz w:val="16"/>
          <w:szCs w:val="16"/>
        </w:rPr>
        <w:footnoteRef/>
      </w:r>
      <w:r>
        <w:rPr>
          <w:spacing w:val="-2"/>
          <w:sz w:val="16"/>
          <w:szCs w:val="16"/>
        </w:rPr>
        <w:t xml:space="preserve"> Plných 71 %</w:t>
      </w:r>
      <w:r w:rsidRPr="00CC2E73">
        <w:rPr>
          <w:spacing w:val="-2"/>
          <w:sz w:val="16"/>
          <w:szCs w:val="16"/>
        </w:rPr>
        <w:t xml:space="preserve"> celorepublikového </w:t>
      </w:r>
      <w:r>
        <w:rPr>
          <w:spacing w:val="-2"/>
          <w:sz w:val="16"/>
          <w:szCs w:val="16"/>
        </w:rPr>
        <w:t>meziročního přírůstku míst připadalo</w:t>
      </w:r>
      <w:r w:rsidRPr="00CC2E73">
        <w:rPr>
          <w:spacing w:val="-2"/>
          <w:sz w:val="16"/>
          <w:szCs w:val="16"/>
        </w:rPr>
        <w:t xml:space="preserve"> </w:t>
      </w:r>
      <w:r>
        <w:rPr>
          <w:spacing w:val="-2"/>
          <w:sz w:val="16"/>
          <w:szCs w:val="16"/>
        </w:rPr>
        <w:t xml:space="preserve">pouze </w:t>
      </w:r>
      <w:r w:rsidRPr="00CC2E73">
        <w:rPr>
          <w:spacing w:val="-2"/>
          <w:sz w:val="16"/>
          <w:szCs w:val="16"/>
        </w:rPr>
        <w:t xml:space="preserve">na </w:t>
      </w:r>
      <w:r>
        <w:rPr>
          <w:spacing w:val="-2"/>
          <w:sz w:val="16"/>
          <w:szCs w:val="16"/>
        </w:rPr>
        <w:t>čtyři kraje (Prahu, Středočeský, Plzeňský a</w:t>
      </w:r>
      <w:r w:rsidRPr="006D36DD">
        <w:rPr>
          <w:rFonts w:cs="Arial"/>
          <w:color w:val="0D0D0D" w:themeColor="text1" w:themeTint="F2"/>
          <w:spacing w:val="-4"/>
          <w:sz w:val="16"/>
          <w:szCs w:val="16"/>
        </w:rPr>
        <w:t> </w:t>
      </w:r>
      <w:r>
        <w:rPr>
          <w:spacing w:val="-2"/>
          <w:sz w:val="16"/>
          <w:szCs w:val="16"/>
        </w:rPr>
        <w:t>Pardubický)</w:t>
      </w:r>
      <w:r w:rsidRPr="00CC2E73">
        <w:rPr>
          <w:spacing w:val="-2"/>
          <w:sz w:val="16"/>
          <w:szCs w:val="16"/>
        </w:rPr>
        <w:t>.</w:t>
      </w:r>
      <w:r>
        <w:rPr>
          <w:spacing w:val="-2"/>
          <w:sz w:val="16"/>
          <w:szCs w:val="16"/>
        </w:rPr>
        <w:t xml:space="preserve"> Naopak kraje s dlouhodobě nadprůměrnou nezaměstnaností (Karlovarský, Ústecký, Olomoucký a Moravskoslezský) se podílely jen 8 %.</w:t>
      </w:r>
    </w:p>
  </w:footnote>
  <w:footnote w:id="39">
    <w:p w14:paraId="51A9ECF6" w14:textId="0174A94F" w:rsidR="0052200D" w:rsidRPr="006D36DD" w:rsidRDefault="0052200D" w:rsidP="00003849">
      <w:pPr>
        <w:pStyle w:val="Textpoznpodarou"/>
        <w:jc w:val="both"/>
        <w:rPr>
          <w:spacing w:val="-2"/>
          <w:sz w:val="16"/>
          <w:szCs w:val="16"/>
        </w:rPr>
      </w:pPr>
      <w:r w:rsidRPr="006D36DD">
        <w:rPr>
          <w:rStyle w:val="Znakapoznpodarou"/>
          <w:spacing w:val="-2"/>
          <w:sz w:val="16"/>
          <w:szCs w:val="16"/>
        </w:rPr>
        <w:footnoteRef/>
      </w:r>
      <w:r>
        <w:rPr>
          <w:spacing w:val="-2"/>
          <w:sz w:val="16"/>
          <w:szCs w:val="16"/>
        </w:rPr>
        <w:t xml:space="preserve"> Více než 3,0</w:t>
      </w:r>
      <w:r w:rsidRPr="00CC2E73">
        <w:rPr>
          <w:spacing w:val="-2"/>
          <w:sz w:val="16"/>
          <w:szCs w:val="16"/>
        </w:rPr>
        <w:t xml:space="preserve"> uchazeče </w:t>
      </w:r>
      <w:r>
        <w:rPr>
          <w:spacing w:val="-2"/>
          <w:sz w:val="16"/>
          <w:szCs w:val="16"/>
        </w:rPr>
        <w:t>„bojovalo“ v březnu 2019 o</w:t>
      </w:r>
      <w:r w:rsidRPr="00CC2E73">
        <w:rPr>
          <w:spacing w:val="-2"/>
          <w:sz w:val="16"/>
          <w:szCs w:val="16"/>
        </w:rPr>
        <w:t xml:space="preserve"> volné mí</w:t>
      </w:r>
      <w:r>
        <w:rPr>
          <w:spacing w:val="-2"/>
          <w:sz w:val="16"/>
          <w:szCs w:val="16"/>
        </w:rPr>
        <w:t>sto pouze v</w:t>
      </w:r>
      <w:r w:rsidRPr="00CC2E73">
        <w:rPr>
          <w:spacing w:val="-2"/>
          <w:sz w:val="16"/>
          <w:szCs w:val="16"/>
        </w:rPr>
        <w:t xml:space="preserve"> okresech (Karviná, Jeseník, </w:t>
      </w:r>
      <w:r>
        <w:rPr>
          <w:spacing w:val="-2"/>
          <w:sz w:val="16"/>
          <w:szCs w:val="16"/>
        </w:rPr>
        <w:t xml:space="preserve">Znojmo a </w:t>
      </w:r>
      <w:r w:rsidRPr="00CC2E73">
        <w:rPr>
          <w:spacing w:val="-2"/>
          <w:sz w:val="16"/>
          <w:szCs w:val="16"/>
        </w:rPr>
        <w:t xml:space="preserve">Ústí nad </w:t>
      </w:r>
      <w:r>
        <w:rPr>
          <w:spacing w:val="-2"/>
          <w:sz w:val="16"/>
          <w:szCs w:val="16"/>
        </w:rPr>
        <w:t>Labem</w:t>
      </w:r>
      <w:r w:rsidRPr="00CC2E73">
        <w:rPr>
          <w:spacing w:val="-2"/>
          <w:sz w:val="16"/>
          <w:szCs w:val="16"/>
        </w:rPr>
        <w:t>).</w:t>
      </w:r>
    </w:p>
  </w:footnote>
  <w:footnote w:id="40">
    <w:p w14:paraId="7EF47F31" w14:textId="73AD6E7A" w:rsidR="0052200D" w:rsidRPr="00DC27D3" w:rsidRDefault="0052200D" w:rsidP="00003849">
      <w:pPr>
        <w:pStyle w:val="Textpoznpodarou"/>
        <w:jc w:val="both"/>
        <w:rPr>
          <w:spacing w:val="-3"/>
          <w:sz w:val="16"/>
          <w:szCs w:val="16"/>
        </w:rPr>
      </w:pPr>
      <w:r w:rsidRPr="00DC27D3">
        <w:rPr>
          <w:rStyle w:val="Znakapoznpodarou"/>
          <w:spacing w:val="-3"/>
          <w:sz w:val="16"/>
          <w:szCs w:val="16"/>
        </w:rPr>
        <w:footnoteRef/>
      </w:r>
      <w:r w:rsidRPr="00DC27D3">
        <w:rPr>
          <w:spacing w:val="-3"/>
          <w:sz w:val="16"/>
          <w:szCs w:val="16"/>
        </w:rPr>
        <w:t xml:space="preserve"> Vyjadřuje poměr počtu volných pracovních míst k součtu volných i obsazených pracovních míst. Údaje vycház</w:t>
      </w:r>
      <w:r>
        <w:rPr>
          <w:spacing w:val="-3"/>
          <w:sz w:val="16"/>
          <w:szCs w:val="16"/>
        </w:rPr>
        <w:t>ej</w:t>
      </w:r>
      <w:r w:rsidRPr="00DC27D3">
        <w:rPr>
          <w:spacing w:val="-3"/>
          <w:sz w:val="16"/>
          <w:szCs w:val="16"/>
        </w:rPr>
        <w:t xml:space="preserve">í ze statistik </w:t>
      </w:r>
      <w:proofErr w:type="spellStart"/>
      <w:r w:rsidRPr="00DC27D3">
        <w:rPr>
          <w:spacing w:val="-3"/>
          <w:sz w:val="16"/>
          <w:szCs w:val="16"/>
        </w:rPr>
        <w:t>Eurostatu</w:t>
      </w:r>
      <w:proofErr w:type="spellEnd"/>
      <w:r w:rsidRPr="00DC27D3">
        <w:rPr>
          <w:spacing w:val="-3"/>
          <w:sz w:val="16"/>
          <w:szCs w:val="16"/>
        </w:rPr>
        <w:t>, nejsou sezón</w:t>
      </w:r>
      <w:r>
        <w:rPr>
          <w:spacing w:val="-3"/>
          <w:sz w:val="16"/>
          <w:szCs w:val="16"/>
        </w:rPr>
        <w:t>n</w:t>
      </w:r>
      <w:r w:rsidRPr="00DC27D3">
        <w:rPr>
          <w:spacing w:val="-3"/>
          <w:sz w:val="16"/>
          <w:szCs w:val="16"/>
        </w:rPr>
        <w:t>ě očištěné a nezahrnují odvětví zemědělství, lesnictví a rybářství. Míra volných míst se ve 4. čtvrtletí 2018 v EU rovnala 2,3. Nadprůměrných hodnot dosahovaly vedle ČR (6,0) také Belgie, Nizozemsko, Německo, Rakousko, Velká Británie a Maďarsko (v rozmezí 2,7 a</w:t>
      </w:r>
      <w:r>
        <w:rPr>
          <w:spacing w:val="-3"/>
          <w:sz w:val="16"/>
          <w:szCs w:val="16"/>
        </w:rPr>
        <w:t>ž</w:t>
      </w:r>
      <w:r w:rsidRPr="00DC27D3">
        <w:rPr>
          <w:spacing w:val="-3"/>
          <w:sz w:val="16"/>
          <w:szCs w:val="16"/>
        </w:rPr>
        <w:t xml:space="preserve"> 3,4), nejnižší pak Řecko (0,4), Španělsko, Portugalsko a překvapivě i Irsko (shodně 0,9). V EU se míra meziročně zvýšila o 0,3 p.</w:t>
      </w:r>
      <w:r>
        <w:rPr>
          <w:spacing w:val="-3"/>
          <w:sz w:val="16"/>
          <w:szCs w:val="16"/>
        </w:rPr>
        <w:t> </w:t>
      </w:r>
      <w:r w:rsidRPr="00DC27D3">
        <w:rPr>
          <w:spacing w:val="-3"/>
          <w:sz w:val="16"/>
          <w:szCs w:val="16"/>
        </w:rPr>
        <w:t>b.</w:t>
      </w:r>
    </w:p>
  </w:footnote>
  <w:footnote w:id="41">
    <w:p w14:paraId="2EC7867C" w14:textId="77777777" w:rsidR="00620B77" w:rsidRPr="00E83936" w:rsidRDefault="00620B77" w:rsidP="00620B77">
      <w:pPr>
        <w:pStyle w:val="Textpoznpodarou"/>
        <w:rPr>
          <w:sz w:val="16"/>
          <w:szCs w:val="16"/>
        </w:rPr>
      </w:pPr>
      <w:r w:rsidRPr="00E83936">
        <w:rPr>
          <w:rStyle w:val="Znakapoznpodarou"/>
          <w:sz w:val="16"/>
          <w:szCs w:val="16"/>
        </w:rPr>
        <w:footnoteRef/>
      </w:r>
      <w:r w:rsidRPr="00E83936">
        <w:rPr>
          <w:sz w:val="16"/>
          <w:szCs w:val="16"/>
        </w:rPr>
        <w:t xml:space="preserve"> Kurzy devizového trhu vyhlašované ČNB</w:t>
      </w:r>
      <w:r>
        <w:rPr>
          <w:sz w:val="16"/>
          <w:szCs w:val="16"/>
        </w:rPr>
        <w:t xml:space="preserve"> v pracovních dnech</w:t>
      </w:r>
      <w:r w:rsidRPr="00E83936">
        <w:rPr>
          <w:sz w:val="16"/>
          <w:szCs w:val="16"/>
        </w:rPr>
        <w:t>.</w:t>
      </w:r>
      <w:r>
        <w:rPr>
          <w:sz w:val="16"/>
          <w:szCs w:val="16"/>
        </w:rPr>
        <w:t xml:space="preserve"> Není-li uvedeno jinak, jsou veškeré údaje převzaty z databáze ARAD České národní banky.</w:t>
      </w:r>
      <w:r w:rsidRPr="00E83936">
        <w:rPr>
          <w:sz w:val="16"/>
          <w:szCs w:val="16"/>
        </w:rPr>
        <w:t xml:space="preserve"> </w:t>
      </w:r>
    </w:p>
  </w:footnote>
  <w:footnote w:id="42">
    <w:p w14:paraId="04C0753D" w14:textId="77777777" w:rsidR="0052200D" w:rsidRPr="00113954" w:rsidRDefault="0052200D">
      <w:pPr>
        <w:pStyle w:val="Textpoznpodarou"/>
        <w:rPr>
          <w:sz w:val="16"/>
          <w:szCs w:val="16"/>
        </w:rPr>
      </w:pPr>
      <w:r w:rsidRPr="00113954">
        <w:rPr>
          <w:rStyle w:val="Znakapoznpodarou"/>
          <w:sz w:val="16"/>
          <w:szCs w:val="16"/>
        </w:rPr>
        <w:footnoteRef/>
      </w:r>
      <w:r w:rsidRPr="00113954">
        <w:rPr>
          <w:sz w:val="16"/>
          <w:szCs w:val="16"/>
        </w:rPr>
        <w:t xml:space="preserve"> Podle komentáře ČNB v lednu 2019 došlo v bankovní statistice oproti prosinci 2018 k poklesu kreditních zůstatků na </w:t>
      </w:r>
      <w:r>
        <w:rPr>
          <w:sz w:val="16"/>
          <w:szCs w:val="16"/>
        </w:rPr>
        <w:t xml:space="preserve">běžných účtech </w:t>
      </w:r>
      <w:r w:rsidRPr="00113954">
        <w:rPr>
          <w:sz w:val="16"/>
          <w:szCs w:val="16"/>
        </w:rPr>
        <w:t xml:space="preserve">zejména v sektoru domácnosti. Tento výkyv byl způsoben jednorázovou </w:t>
      </w:r>
      <w:proofErr w:type="spellStart"/>
      <w:r w:rsidRPr="00113954">
        <w:rPr>
          <w:sz w:val="16"/>
          <w:szCs w:val="16"/>
        </w:rPr>
        <w:t>překlasifikací</w:t>
      </w:r>
      <w:proofErr w:type="spellEnd"/>
      <w:r w:rsidRPr="00113954">
        <w:rPr>
          <w:sz w:val="16"/>
          <w:szCs w:val="16"/>
        </w:rPr>
        <w:t xml:space="preserve"> ze strany vykazujících subjektů do úsporných vkladů na požádání.</w:t>
      </w:r>
    </w:p>
  </w:footnote>
  <w:footnote w:id="43">
    <w:p w14:paraId="665E5124" w14:textId="7E74A65E" w:rsidR="0052200D" w:rsidRPr="00C26AB2" w:rsidRDefault="0052200D" w:rsidP="0045321B">
      <w:pPr>
        <w:rPr>
          <w:sz w:val="16"/>
          <w:szCs w:val="16"/>
        </w:rPr>
      </w:pPr>
      <w:r w:rsidRPr="00C26AB2">
        <w:rPr>
          <w:rStyle w:val="Znakapoznpodarou"/>
          <w:sz w:val="16"/>
          <w:szCs w:val="16"/>
        </w:rPr>
        <w:footnoteRef/>
      </w:r>
      <w:r w:rsidRPr="00C26AB2">
        <w:rPr>
          <w:sz w:val="16"/>
          <w:szCs w:val="16"/>
        </w:rPr>
        <w:t xml:space="preserve"> V důsledku úpravy definice hypotečního úvěru podle novelizovaného zákona č. 190/2004 Sb.</w:t>
      </w:r>
      <w:r>
        <w:rPr>
          <w:sz w:val="16"/>
          <w:szCs w:val="16"/>
        </w:rPr>
        <w:t>,</w:t>
      </w:r>
      <w:r w:rsidRPr="00C26AB2">
        <w:rPr>
          <w:sz w:val="16"/>
          <w:szCs w:val="16"/>
        </w:rPr>
        <w:t xml:space="preserve"> s účinností od 4. 1. 2019, o dluhopisech.</w:t>
      </w:r>
    </w:p>
  </w:footnote>
  <w:footnote w:id="44">
    <w:p w14:paraId="4B5BC3D2" w14:textId="77777777" w:rsidR="0052200D" w:rsidRPr="00795437" w:rsidRDefault="0052200D" w:rsidP="00F307CB">
      <w:pPr>
        <w:pStyle w:val="Textpoznpodarou"/>
        <w:jc w:val="both"/>
        <w:rPr>
          <w:sz w:val="16"/>
          <w:szCs w:val="16"/>
        </w:rPr>
      </w:pPr>
      <w:r w:rsidRPr="00795437">
        <w:rPr>
          <w:rStyle w:val="Znakapoznpodarou"/>
          <w:sz w:val="16"/>
          <w:szCs w:val="16"/>
        </w:rPr>
        <w:footnoteRef/>
      </w:r>
      <w:r w:rsidRPr="00795437">
        <w:rPr>
          <w:sz w:val="16"/>
          <w:szCs w:val="16"/>
        </w:rPr>
        <w:t xml:space="preserve"> </w:t>
      </w:r>
      <w:r w:rsidRPr="00795437">
        <w:rPr>
          <w:color w:val="0D0D0D" w:themeColor="text1" w:themeTint="F2"/>
          <w:spacing w:val="-2"/>
          <w:sz w:val="16"/>
          <w:szCs w:val="16"/>
        </w:rPr>
        <w:t xml:space="preserve">Pokud není uvedeno jinak, vycházejí všechny údaje týkající se státního rozpočtu </w:t>
      </w:r>
      <w:r w:rsidRPr="00795437">
        <w:rPr>
          <w:rFonts w:cs="Arial"/>
          <w:color w:val="0D0D0D" w:themeColor="text1" w:themeTint="F2"/>
          <w:spacing w:val="-2"/>
          <w:sz w:val="16"/>
          <w:szCs w:val="16"/>
        </w:rPr>
        <w:t>z dat Ministerstva financí o pokladním plnění.</w:t>
      </w:r>
    </w:p>
  </w:footnote>
  <w:footnote w:id="45">
    <w:p w14:paraId="1A741ECA" w14:textId="77777777" w:rsidR="0052200D" w:rsidRPr="008D1085" w:rsidRDefault="0052200D" w:rsidP="00F307CB">
      <w:pPr>
        <w:pStyle w:val="Textpoznpodarou"/>
        <w:jc w:val="both"/>
        <w:rPr>
          <w:sz w:val="16"/>
          <w:szCs w:val="16"/>
        </w:rPr>
      </w:pPr>
      <w:r w:rsidRPr="008D1085">
        <w:rPr>
          <w:rStyle w:val="Znakapoznpodarou"/>
          <w:sz w:val="16"/>
          <w:szCs w:val="16"/>
        </w:rPr>
        <w:footnoteRef/>
      </w:r>
      <w:r w:rsidRPr="008D1085">
        <w:rPr>
          <w:sz w:val="16"/>
          <w:szCs w:val="16"/>
        </w:rPr>
        <w:t xml:space="preserve"> </w:t>
      </w:r>
      <w:r w:rsidRPr="008D1085">
        <w:rPr>
          <w:color w:val="0D0D0D" w:themeColor="text1" w:themeTint="F2"/>
          <w:spacing w:val="-2"/>
          <w:sz w:val="16"/>
          <w:szCs w:val="16"/>
        </w:rPr>
        <w:t xml:space="preserve">Dle propočtů MF skončilo </w:t>
      </w:r>
      <w:r w:rsidRPr="008D1085">
        <w:rPr>
          <w:sz w:val="16"/>
          <w:szCs w:val="16"/>
        </w:rPr>
        <w:t xml:space="preserve">hospodaření SR očištěné na příjmové i výdajové straně o prostředky z EU a z finančních mechanismů schodkem </w:t>
      </w:r>
      <w:r>
        <w:rPr>
          <w:sz w:val="16"/>
          <w:szCs w:val="16"/>
        </w:rPr>
        <w:t>6,3 mld. Kč.</w:t>
      </w:r>
      <w:r w:rsidRPr="008D1085">
        <w:rPr>
          <w:sz w:val="16"/>
          <w:szCs w:val="16"/>
        </w:rPr>
        <w:t xml:space="preserve"> V 1. čtvrtletí </w:t>
      </w:r>
      <w:r>
        <w:rPr>
          <w:sz w:val="16"/>
          <w:szCs w:val="16"/>
        </w:rPr>
        <w:t>2018 činil</w:t>
      </w:r>
      <w:r w:rsidRPr="008D1085">
        <w:rPr>
          <w:sz w:val="16"/>
          <w:szCs w:val="16"/>
        </w:rPr>
        <w:t xml:space="preserve"> obdobný schodek 5,3</w:t>
      </w:r>
      <w:r>
        <w:rPr>
          <w:sz w:val="16"/>
          <w:szCs w:val="16"/>
        </w:rPr>
        <w:t> mld</w:t>
      </w:r>
      <w:r w:rsidRPr="008D1085">
        <w:rPr>
          <w:sz w:val="16"/>
          <w:szCs w:val="16"/>
        </w:rPr>
        <w:t>.</w:t>
      </w:r>
      <w:r>
        <w:rPr>
          <w:sz w:val="16"/>
          <w:szCs w:val="16"/>
        </w:rPr>
        <w:t> Kč</w:t>
      </w:r>
      <w:r w:rsidRPr="008D1085">
        <w:rPr>
          <w:sz w:val="16"/>
          <w:szCs w:val="16"/>
        </w:rPr>
        <w:t>.</w:t>
      </w:r>
    </w:p>
  </w:footnote>
  <w:footnote w:id="46">
    <w:p w14:paraId="73CDFA81" w14:textId="14D3E7C7" w:rsidR="0052200D" w:rsidRPr="008E4F8A" w:rsidRDefault="0052200D" w:rsidP="00F307CB">
      <w:pPr>
        <w:pStyle w:val="Textpoznpodarou"/>
        <w:jc w:val="both"/>
        <w:rPr>
          <w:sz w:val="16"/>
          <w:szCs w:val="16"/>
        </w:rPr>
      </w:pPr>
      <w:r w:rsidRPr="008E4F8A">
        <w:rPr>
          <w:rStyle w:val="Znakapoznpodarou"/>
          <w:sz w:val="16"/>
          <w:szCs w:val="16"/>
        </w:rPr>
        <w:footnoteRef/>
      </w:r>
      <w:r w:rsidRPr="008E4F8A">
        <w:rPr>
          <w:sz w:val="16"/>
          <w:szCs w:val="16"/>
        </w:rPr>
        <w:t xml:space="preserve"> </w:t>
      </w:r>
      <w:r>
        <w:rPr>
          <w:sz w:val="16"/>
          <w:szCs w:val="16"/>
        </w:rPr>
        <w:t xml:space="preserve">Zahrnují i příjmy z tzv. finančních mechanismů </w:t>
      </w:r>
      <w:r>
        <w:rPr>
          <w:rStyle w:val="Zdraznn"/>
          <w:color w:val="0D0D0D" w:themeColor="text1" w:themeTint="F2"/>
          <w:spacing w:val="-2"/>
          <w:sz w:val="16"/>
          <w:szCs w:val="16"/>
        </w:rPr>
        <w:t>(</w:t>
      </w:r>
      <w:r w:rsidRPr="00D0716A">
        <w:rPr>
          <w:rStyle w:val="Zdraznn"/>
          <w:i w:val="0"/>
          <w:color w:val="0D0D0D" w:themeColor="text1" w:themeTint="F2"/>
          <w:spacing w:val="-2"/>
          <w:sz w:val="16"/>
          <w:szCs w:val="16"/>
        </w:rPr>
        <w:t>EHP a Norské fondy, Program švýcarsko-české spolupráce)</w:t>
      </w:r>
      <w:r>
        <w:rPr>
          <w:rStyle w:val="Zdraznn"/>
          <w:i w:val="0"/>
          <w:color w:val="0D0D0D" w:themeColor="text1" w:themeTint="F2"/>
          <w:spacing w:val="-2"/>
          <w:sz w:val="16"/>
          <w:szCs w:val="16"/>
        </w:rPr>
        <w:t>.</w:t>
      </w:r>
      <w:r>
        <w:rPr>
          <w:rStyle w:val="Zdraznn"/>
          <w:color w:val="0D0D0D" w:themeColor="text1" w:themeTint="F2"/>
          <w:spacing w:val="-2"/>
          <w:sz w:val="16"/>
          <w:szCs w:val="16"/>
        </w:rPr>
        <w:t xml:space="preserve"> </w:t>
      </w:r>
      <w:r>
        <w:rPr>
          <w:spacing w:val="-4"/>
          <w:sz w:val="16"/>
          <w:szCs w:val="16"/>
        </w:rPr>
        <w:t>Jejich hlubší pokles byl ovlivněn nestandardně vysokou loňskou základnou – v 1. čtvrtletí 2018 získal SR</w:t>
      </w:r>
      <w:r w:rsidRPr="008E4F8A">
        <w:rPr>
          <w:spacing w:val="-4"/>
          <w:sz w:val="16"/>
          <w:szCs w:val="16"/>
        </w:rPr>
        <w:t xml:space="preserve"> </w:t>
      </w:r>
      <w:r>
        <w:rPr>
          <w:spacing w:val="-2"/>
          <w:sz w:val="16"/>
          <w:szCs w:val="16"/>
        </w:rPr>
        <w:t>část závěrečných plateb</w:t>
      </w:r>
      <w:r w:rsidRPr="008E4F8A">
        <w:rPr>
          <w:spacing w:val="-2"/>
          <w:sz w:val="16"/>
          <w:szCs w:val="16"/>
        </w:rPr>
        <w:t xml:space="preserve"> vztahující</w:t>
      </w:r>
      <w:r>
        <w:rPr>
          <w:spacing w:val="-2"/>
          <w:sz w:val="16"/>
          <w:szCs w:val="16"/>
        </w:rPr>
        <w:t>ch</w:t>
      </w:r>
      <w:r w:rsidRPr="008E4F8A">
        <w:rPr>
          <w:spacing w:val="-2"/>
          <w:sz w:val="16"/>
          <w:szCs w:val="16"/>
        </w:rPr>
        <w:t xml:space="preserve"> se k již skončenému programovému </w:t>
      </w:r>
      <w:r>
        <w:rPr>
          <w:spacing w:val="-2"/>
          <w:sz w:val="16"/>
          <w:szCs w:val="16"/>
        </w:rPr>
        <w:t xml:space="preserve">období 2007 až 2013 (ve výši 20 mld. korun). </w:t>
      </w:r>
    </w:p>
  </w:footnote>
  <w:footnote w:id="47">
    <w:p w14:paraId="40101FDF" w14:textId="77777777" w:rsidR="0052200D" w:rsidRPr="008D1085" w:rsidRDefault="0052200D" w:rsidP="00F307CB">
      <w:pPr>
        <w:pStyle w:val="Textpoznpodarou"/>
        <w:jc w:val="both"/>
        <w:rPr>
          <w:sz w:val="16"/>
          <w:szCs w:val="16"/>
        </w:rPr>
      </w:pPr>
      <w:r w:rsidRPr="008D1085">
        <w:rPr>
          <w:rStyle w:val="Znakapoznpodarou"/>
          <w:sz w:val="16"/>
          <w:szCs w:val="16"/>
        </w:rPr>
        <w:footnoteRef/>
      </w:r>
      <w:r w:rsidRPr="008D1085">
        <w:rPr>
          <w:sz w:val="16"/>
          <w:szCs w:val="16"/>
        </w:rPr>
        <w:t xml:space="preserve"> </w:t>
      </w:r>
      <w:r>
        <w:rPr>
          <w:color w:val="0D0D0D" w:themeColor="text1" w:themeTint="F2"/>
          <w:spacing w:val="-2"/>
          <w:sz w:val="16"/>
          <w:szCs w:val="16"/>
        </w:rPr>
        <w:t>V úhrnu za období od ledna do dubna 2019 se výběr DPH vrátil k růstu (2,5 %), jeho tempo ale zůstávalo výrazněji za celoročním rozpočtovým očekáváním (+6,8 %).</w:t>
      </w:r>
    </w:p>
  </w:footnote>
  <w:footnote w:id="48">
    <w:p w14:paraId="45A39556" w14:textId="6CED1F53" w:rsidR="0052200D" w:rsidRDefault="0052200D" w:rsidP="00F307CB">
      <w:pPr>
        <w:pStyle w:val="Textpoznpodarou"/>
        <w:jc w:val="both"/>
      </w:pPr>
      <w:r w:rsidRPr="00390875">
        <w:rPr>
          <w:rStyle w:val="Znakapoznpodarou"/>
          <w:sz w:val="16"/>
          <w:szCs w:val="16"/>
        </w:rPr>
        <w:footnoteRef/>
      </w:r>
      <w:r w:rsidRPr="00390875">
        <w:rPr>
          <w:sz w:val="16"/>
          <w:szCs w:val="16"/>
        </w:rPr>
        <w:t xml:space="preserve"> </w:t>
      </w:r>
      <w:r>
        <w:rPr>
          <w:sz w:val="16"/>
          <w:szCs w:val="16"/>
        </w:rPr>
        <w:t>Slabou letošní dynamiku dokládají i data ČSÚ. Z váhově významnější položky ropných produktů vzrostla během prvních dvou měsíců roku spotřeba pouze u motorové nafty (+1,9 %). Pokles nastal naopak u motorového benzínu (–2,6 %) i leteckého petroleje (–8,0</w:t>
      </w:r>
      <w:r>
        <w:rPr>
          <w:rFonts w:cs="Arial"/>
          <w:color w:val="0D0D0D" w:themeColor="text1" w:themeTint="F2"/>
          <w:sz w:val="16"/>
          <w:szCs w:val="16"/>
          <w:shd w:val="clear" w:color="auto" w:fill="FFFFFF"/>
        </w:rPr>
        <w:t> </w:t>
      </w:r>
      <w:r>
        <w:rPr>
          <w:sz w:val="16"/>
          <w:szCs w:val="16"/>
        </w:rPr>
        <w:t>%, po silném růstu na počátku roku 2018).</w:t>
      </w:r>
    </w:p>
  </w:footnote>
  <w:footnote w:id="49">
    <w:p w14:paraId="2FA4F097" w14:textId="77777777" w:rsidR="0052200D" w:rsidRPr="002101D5" w:rsidRDefault="0052200D" w:rsidP="00F307CB">
      <w:pPr>
        <w:pStyle w:val="Textpoznpodarou"/>
        <w:jc w:val="both"/>
        <w:rPr>
          <w:rFonts w:cs="Arial"/>
          <w:color w:val="0D0D0D" w:themeColor="text1" w:themeTint="F2"/>
          <w:sz w:val="16"/>
          <w:szCs w:val="16"/>
        </w:rPr>
      </w:pPr>
      <w:r w:rsidRPr="002101D5">
        <w:rPr>
          <w:rStyle w:val="Znakapoznpodarou"/>
          <w:rFonts w:cs="Arial"/>
          <w:color w:val="0D0D0D" w:themeColor="text1" w:themeTint="F2"/>
          <w:sz w:val="16"/>
          <w:szCs w:val="16"/>
        </w:rPr>
        <w:footnoteRef/>
      </w:r>
      <w:r w:rsidRPr="002101D5">
        <w:rPr>
          <w:rFonts w:cs="Arial"/>
          <w:color w:val="0D0D0D" w:themeColor="text1" w:themeTint="F2"/>
          <w:sz w:val="16"/>
          <w:szCs w:val="16"/>
        </w:rPr>
        <w:t xml:space="preserve"> Jde </w:t>
      </w:r>
      <w:r>
        <w:rPr>
          <w:rFonts w:cs="Arial"/>
          <w:color w:val="0D0D0D" w:themeColor="text1" w:themeTint="F2"/>
          <w:sz w:val="16"/>
          <w:szCs w:val="16"/>
        </w:rPr>
        <w:t xml:space="preserve">hlavně </w:t>
      </w:r>
      <w:r w:rsidRPr="002101D5">
        <w:rPr>
          <w:rFonts w:cs="Arial"/>
          <w:color w:val="0D0D0D" w:themeColor="text1" w:themeTint="F2"/>
          <w:sz w:val="16"/>
          <w:szCs w:val="16"/>
        </w:rPr>
        <w:t xml:space="preserve">o tzv. zelenou naftu umožňující vrácení této daně </w:t>
      </w:r>
      <w:r>
        <w:rPr>
          <w:rFonts w:cs="Arial"/>
          <w:color w:val="0D0D0D" w:themeColor="text1" w:themeTint="F2"/>
          <w:sz w:val="16"/>
          <w:szCs w:val="16"/>
        </w:rPr>
        <w:t xml:space="preserve">subjektům působícím </w:t>
      </w:r>
      <w:r w:rsidRPr="002101D5">
        <w:rPr>
          <w:rFonts w:cs="Arial"/>
          <w:color w:val="0D0D0D" w:themeColor="text1" w:themeTint="F2"/>
          <w:sz w:val="16"/>
          <w:szCs w:val="16"/>
        </w:rPr>
        <w:t xml:space="preserve">v oblasti živočišné prvovýroby. </w:t>
      </w:r>
    </w:p>
  </w:footnote>
  <w:footnote w:id="50">
    <w:p w14:paraId="65AE9D5B" w14:textId="615F42AB" w:rsidR="0052200D" w:rsidRDefault="0052200D" w:rsidP="00F307CB">
      <w:pPr>
        <w:pStyle w:val="Textpoznpodarou"/>
        <w:jc w:val="both"/>
      </w:pPr>
      <w:r w:rsidRPr="00390875">
        <w:rPr>
          <w:rStyle w:val="Znakapoznpodarou"/>
          <w:sz w:val="16"/>
          <w:szCs w:val="16"/>
        </w:rPr>
        <w:footnoteRef/>
      </w:r>
      <w:r w:rsidRPr="00390875">
        <w:rPr>
          <w:sz w:val="16"/>
          <w:szCs w:val="16"/>
        </w:rPr>
        <w:t xml:space="preserve"> </w:t>
      </w:r>
      <w:r>
        <w:rPr>
          <w:sz w:val="16"/>
          <w:szCs w:val="16"/>
        </w:rPr>
        <w:t>V 1. čtvrtletí 2018 posílilo inkaso DPPO jen o 1,2 %. V rámci tohoto období roku šlo o nejslabší růst od konce poslední recese.</w:t>
      </w:r>
    </w:p>
  </w:footnote>
  <w:footnote w:id="51">
    <w:p w14:paraId="76D7975A" w14:textId="2949C7D8" w:rsidR="0052200D" w:rsidRPr="006D61C4" w:rsidRDefault="0052200D" w:rsidP="00F307CB">
      <w:pPr>
        <w:pStyle w:val="Textpoznpodarou"/>
        <w:jc w:val="both"/>
        <w:rPr>
          <w:sz w:val="16"/>
          <w:szCs w:val="16"/>
        </w:rPr>
      </w:pPr>
      <w:r w:rsidRPr="006D61C4">
        <w:rPr>
          <w:rStyle w:val="Znakapoznpodarou"/>
          <w:sz w:val="16"/>
          <w:szCs w:val="16"/>
        </w:rPr>
        <w:footnoteRef/>
      </w:r>
      <w:r w:rsidRPr="006D61C4">
        <w:rPr>
          <w:sz w:val="16"/>
          <w:szCs w:val="16"/>
        </w:rPr>
        <w:t xml:space="preserve"> </w:t>
      </w:r>
      <w:r w:rsidRPr="006D61C4">
        <w:rPr>
          <w:color w:val="0D0D0D" w:themeColor="text1" w:themeTint="F2"/>
          <w:spacing w:val="-2"/>
          <w:sz w:val="16"/>
          <w:szCs w:val="16"/>
        </w:rPr>
        <w:t xml:space="preserve">Celkové výdaje </w:t>
      </w:r>
      <w:r w:rsidRPr="006D61C4">
        <w:rPr>
          <w:sz w:val="16"/>
          <w:szCs w:val="16"/>
        </w:rPr>
        <w:t>na financování společných programů EU a ČR (vč. běžných výdajů) v 1. čtvrtletí čítaly 36,3</w:t>
      </w:r>
      <w:r>
        <w:rPr>
          <w:sz w:val="16"/>
          <w:szCs w:val="16"/>
        </w:rPr>
        <w:t> mld</w:t>
      </w:r>
      <w:r w:rsidRPr="006D61C4">
        <w:rPr>
          <w:sz w:val="16"/>
          <w:szCs w:val="16"/>
        </w:rPr>
        <w:t>.</w:t>
      </w:r>
      <w:r>
        <w:rPr>
          <w:sz w:val="16"/>
          <w:szCs w:val="16"/>
        </w:rPr>
        <w:t> Kč</w:t>
      </w:r>
      <w:r w:rsidRPr="006D61C4">
        <w:rPr>
          <w:sz w:val="16"/>
          <w:szCs w:val="16"/>
        </w:rPr>
        <w:t>, meziročně</w:t>
      </w:r>
      <w:r>
        <w:rPr>
          <w:sz w:val="16"/>
          <w:szCs w:val="16"/>
        </w:rPr>
        <w:t xml:space="preserve"> o 10,6 </w:t>
      </w:r>
      <w:r w:rsidRPr="006D61C4">
        <w:rPr>
          <w:sz w:val="16"/>
          <w:szCs w:val="16"/>
        </w:rPr>
        <w:t xml:space="preserve">mld. </w:t>
      </w:r>
      <w:r>
        <w:rPr>
          <w:sz w:val="16"/>
          <w:szCs w:val="16"/>
        </w:rPr>
        <w:t>Kč</w:t>
      </w:r>
      <w:r w:rsidRPr="006D61C4">
        <w:rPr>
          <w:sz w:val="16"/>
          <w:szCs w:val="16"/>
        </w:rPr>
        <w:t xml:space="preserve"> více.</w:t>
      </w:r>
    </w:p>
  </w:footnote>
  <w:footnote w:id="52">
    <w:p w14:paraId="47D65C18" w14:textId="4CC44F5E" w:rsidR="0052200D" w:rsidRPr="00844A10" w:rsidRDefault="0052200D" w:rsidP="00F307CB">
      <w:pPr>
        <w:pStyle w:val="Textpoznpodarou"/>
        <w:jc w:val="both"/>
        <w:rPr>
          <w:rFonts w:cs="Arial"/>
          <w:color w:val="0D0D0D" w:themeColor="text1" w:themeTint="F2"/>
          <w:sz w:val="16"/>
          <w:szCs w:val="16"/>
        </w:rPr>
      </w:pPr>
      <w:r w:rsidRPr="00844A10">
        <w:rPr>
          <w:rStyle w:val="Znakapoznpodarou"/>
          <w:rFonts w:cs="Arial"/>
          <w:color w:val="0D0D0D" w:themeColor="text1" w:themeTint="F2"/>
          <w:sz w:val="16"/>
          <w:szCs w:val="16"/>
        </w:rPr>
        <w:footnoteRef/>
      </w:r>
      <w:r w:rsidRPr="00844A10">
        <w:rPr>
          <w:rFonts w:cs="Arial"/>
          <w:color w:val="0D0D0D" w:themeColor="text1" w:themeTint="F2"/>
          <w:sz w:val="16"/>
          <w:szCs w:val="16"/>
        </w:rPr>
        <w:t xml:space="preserve"> Jednalo se hlavně o </w:t>
      </w:r>
      <w:r w:rsidRPr="00844A10">
        <w:rPr>
          <w:rFonts w:cs="Arial"/>
          <w:color w:val="0D0D0D" w:themeColor="text1" w:themeTint="F2"/>
          <w:spacing w:val="-4"/>
          <w:sz w:val="16"/>
          <w:szCs w:val="16"/>
        </w:rPr>
        <w:t xml:space="preserve">přímé </w:t>
      </w:r>
      <w:r w:rsidRPr="00844A10">
        <w:rPr>
          <w:sz w:val="16"/>
          <w:szCs w:val="16"/>
        </w:rPr>
        <w:t>náklady základních a</w:t>
      </w:r>
      <w:r w:rsidRPr="00844A10">
        <w:rPr>
          <w:spacing w:val="-2"/>
          <w:sz w:val="16"/>
          <w:szCs w:val="16"/>
        </w:rPr>
        <w:t> </w:t>
      </w:r>
      <w:r w:rsidRPr="00844A10">
        <w:rPr>
          <w:sz w:val="16"/>
          <w:szCs w:val="16"/>
        </w:rPr>
        <w:t xml:space="preserve">středních škol a také </w:t>
      </w:r>
      <w:r>
        <w:rPr>
          <w:sz w:val="16"/>
          <w:szCs w:val="16"/>
        </w:rPr>
        <w:t>o </w:t>
      </w:r>
      <w:r w:rsidRPr="00844A10">
        <w:rPr>
          <w:sz w:val="16"/>
          <w:szCs w:val="16"/>
        </w:rPr>
        <w:t>transfery obcím a krajům dle zákona o</w:t>
      </w:r>
      <w:r w:rsidRPr="00844A10">
        <w:rPr>
          <w:spacing w:val="-2"/>
          <w:sz w:val="16"/>
          <w:szCs w:val="16"/>
        </w:rPr>
        <w:t> </w:t>
      </w:r>
      <w:r w:rsidRPr="00844A10">
        <w:rPr>
          <w:sz w:val="16"/>
          <w:szCs w:val="16"/>
        </w:rPr>
        <w:t>sociálních službách</w:t>
      </w:r>
      <w:r>
        <w:rPr>
          <w:sz w:val="16"/>
          <w:szCs w:val="16"/>
        </w:rPr>
        <w:t>.</w:t>
      </w:r>
      <w:r w:rsidRPr="00844A10">
        <w:rPr>
          <w:rFonts w:cs="Arial"/>
          <w:color w:val="0D0D0D" w:themeColor="text1" w:themeTint="F2"/>
          <w:sz w:val="16"/>
          <w:szCs w:val="16"/>
        </w:rPr>
        <w:t xml:space="preserve"> </w:t>
      </w:r>
    </w:p>
  </w:footnote>
  <w:footnote w:id="53">
    <w:p w14:paraId="0597DD10" w14:textId="2145FF97" w:rsidR="0052200D" w:rsidRDefault="0052200D" w:rsidP="00F307CB">
      <w:pPr>
        <w:pStyle w:val="Textpoznpodarou"/>
        <w:jc w:val="both"/>
      </w:pPr>
      <w:r w:rsidRPr="000315DB">
        <w:rPr>
          <w:sz w:val="16"/>
          <w:szCs w:val="16"/>
        </w:rPr>
        <w:t xml:space="preserve"> </w:t>
      </w:r>
      <w:r w:rsidRPr="000315DB">
        <w:rPr>
          <w:rStyle w:val="Znakapoznpodarou"/>
          <w:sz w:val="16"/>
          <w:szCs w:val="16"/>
        </w:rPr>
        <w:footnoteRef/>
      </w:r>
      <w:r w:rsidRPr="000315DB">
        <w:rPr>
          <w:sz w:val="16"/>
          <w:szCs w:val="16"/>
        </w:rPr>
        <w:t xml:space="preserve"> Je vyjádřeno jako </w:t>
      </w:r>
      <w:r w:rsidRPr="000315DB">
        <w:rPr>
          <w:rFonts w:cs="Arial"/>
          <w:color w:val="000000" w:themeColor="text1"/>
          <w:spacing w:val="-4"/>
          <w:sz w:val="16"/>
          <w:szCs w:val="16"/>
        </w:rPr>
        <w:t>rozdíl mezi příjmy a výdaji na</w:t>
      </w:r>
      <w:r>
        <w:rPr>
          <w:rFonts w:cs="Arial"/>
          <w:color w:val="000000" w:themeColor="text1"/>
          <w:spacing w:val="-4"/>
          <w:sz w:val="16"/>
          <w:szCs w:val="16"/>
        </w:rPr>
        <w:t xml:space="preserve"> důchody ze SR</w:t>
      </w:r>
      <w:r w:rsidRPr="000315DB">
        <w:rPr>
          <w:rFonts w:cs="Arial"/>
          <w:color w:val="000000" w:themeColor="text1"/>
          <w:spacing w:val="-4"/>
          <w:sz w:val="16"/>
          <w:szCs w:val="16"/>
        </w:rPr>
        <w:t>.</w:t>
      </w:r>
      <w:r>
        <w:rPr>
          <w:rFonts w:cs="Arial"/>
          <w:color w:val="000000" w:themeColor="text1"/>
          <w:spacing w:val="-4"/>
          <w:sz w:val="16"/>
          <w:szCs w:val="16"/>
        </w:rPr>
        <w:t xml:space="preserve"> Nejsou zahrnuty výdaje na správu systému důchodového pojištění (ty za celý rok 2018 dosáhly dle údajů MF výše 6,4 mld. korun).</w:t>
      </w:r>
    </w:p>
  </w:footnote>
  <w:footnote w:id="54">
    <w:p w14:paraId="2E086836" w14:textId="223D97A5" w:rsidR="0052200D" w:rsidRPr="00844A10" w:rsidRDefault="0052200D" w:rsidP="00F307CB">
      <w:pPr>
        <w:pStyle w:val="Textpoznpodarou"/>
        <w:jc w:val="both"/>
        <w:rPr>
          <w:rFonts w:cs="Arial"/>
          <w:color w:val="0D0D0D" w:themeColor="text1" w:themeTint="F2"/>
          <w:sz w:val="16"/>
          <w:szCs w:val="16"/>
        </w:rPr>
      </w:pPr>
      <w:r w:rsidRPr="00844A10">
        <w:rPr>
          <w:rStyle w:val="Znakapoznpodarou"/>
          <w:rFonts w:cs="Arial"/>
          <w:color w:val="0D0D0D" w:themeColor="text1" w:themeTint="F2"/>
          <w:sz w:val="16"/>
          <w:szCs w:val="16"/>
        </w:rPr>
        <w:footnoteRef/>
      </w:r>
      <w:r w:rsidRPr="00844A10">
        <w:rPr>
          <w:rFonts w:cs="Arial"/>
          <w:color w:val="0D0D0D" w:themeColor="text1" w:themeTint="F2"/>
          <w:sz w:val="16"/>
          <w:szCs w:val="16"/>
        </w:rPr>
        <w:t xml:space="preserve"> </w:t>
      </w:r>
      <w:r>
        <w:rPr>
          <w:rFonts w:cs="Arial"/>
          <w:color w:val="0D0D0D" w:themeColor="text1" w:themeTint="F2"/>
          <w:sz w:val="16"/>
          <w:szCs w:val="16"/>
        </w:rPr>
        <w:t>Mírně naopak rostly přídavky na dítě (+1,2 %), nikoli však jako důsledek zhoršené finanční situace domácností, ale spíše jako reflexe mírně rostoucího počtu narozených dětí. Více bylo vyplaceno i na váhově nejvýznamnější složce státní sociální podpory (SSP) – rodičovském příspěvku (+2,3 %). Pokračoval trend posilování dávek na pěstounskou péči. Celkově vydal SR na dávky SSP 9,55 mld. korun, meziročně o 0,7 % více.</w:t>
      </w:r>
    </w:p>
  </w:footnote>
  <w:footnote w:id="55">
    <w:p w14:paraId="13929857" w14:textId="77777777" w:rsidR="0052200D" w:rsidRPr="00117474" w:rsidRDefault="0052200D" w:rsidP="00C401A9">
      <w:pPr>
        <w:pStyle w:val="Textpoznpodarou"/>
        <w:rPr>
          <w:spacing w:val="-4"/>
          <w:sz w:val="16"/>
          <w:szCs w:val="16"/>
        </w:rPr>
      </w:pPr>
      <w:r w:rsidRPr="00117474">
        <w:rPr>
          <w:rStyle w:val="Znakapoznpodarou"/>
          <w:spacing w:val="-4"/>
          <w:sz w:val="16"/>
          <w:szCs w:val="16"/>
        </w:rPr>
        <w:footnoteRef/>
      </w:r>
      <w:r w:rsidRPr="00117474">
        <w:rPr>
          <w:spacing w:val="-4"/>
          <w:sz w:val="16"/>
          <w:szCs w:val="16"/>
        </w:rPr>
        <w:t xml:space="preserve"> Předběžné </w:t>
      </w:r>
      <w:r w:rsidRPr="00117474">
        <w:rPr>
          <w:color w:val="0D0D0D" w:themeColor="text1" w:themeTint="F2"/>
          <w:spacing w:val="-4"/>
          <w:sz w:val="16"/>
          <w:szCs w:val="16"/>
        </w:rPr>
        <w:t xml:space="preserve">údaje o dluhu a deficitu sektoru vládních institucí za 1. čtvrtletí 2019 zveřejní ČSÚ 1. července 2019, </w:t>
      </w:r>
      <w:proofErr w:type="spellStart"/>
      <w:r w:rsidRPr="00117474">
        <w:rPr>
          <w:color w:val="0D0D0D" w:themeColor="text1" w:themeTint="F2"/>
          <w:spacing w:val="-4"/>
          <w:sz w:val="16"/>
          <w:szCs w:val="16"/>
        </w:rPr>
        <w:t>Eurostat</w:t>
      </w:r>
      <w:proofErr w:type="spellEnd"/>
      <w:r w:rsidRPr="00117474">
        <w:rPr>
          <w:color w:val="0D0D0D" w:themeColor="text1" w:themeTint="F2"/>
          <w:spacing w:val="-4"/>
          <w:sz w:val="16"/>
          <w:szCs w:val="16"/>
        </w:rPr>
        <w:t xml:space="preserve"> 19.</w:t>
      </w:r>
      <w:r w:rsidRPr="00117474">
        <w:rPr>
          <w:spacing w:val="-4"/>
          <w:sz w:val="16"/>
          <w:szCs w:val="16"/>
        </w:rPr>
        <w:t> </w:t>
      </w:r>
      <w:r w:rsidRPr="00117474">
        <w:rPr>
          <w:color w:val="0D0D0D" w:themeColor="text1" w:themeTint="F2"/>
          <w:spacing w:val="-4"/>
          <w:sz w:val="16"/>
          <w:szCs w:val="16"/>
        </w:rPr>
        <w:t>července 2019.</w:t>
      </w:r>
    </w:p>
  </w:footnote>
  <w:footnote w:id="56">
    <w:p w14:paraId="79EB0856" w14:textId="77777777" w:rsidR="0052200D" w:rsidRPr="00810B5B" w:rsidRDefault="0052200D" w:rsidP="00C401A9">
      <w:pPr>
        <w:pStyle w:val="Textpoznpodarou"/>
        <w:rPr>
          <w:sz w:val="16"/>
          <w:szCs w:val="16"/>
        </w:rPr>
      </w:pPr>
      <w:r w:rsidRPr="00117474">
        <w:rPr>
          <w:rStyle w:val="Znakapoznpodarou"/>
          <w:spacing w:val="-2"/>
          <w:sz w:val="16"/>
          <w:szCs w:val="16"/>
        </w:rPr>
        <w:footnoteRef/>
      </w:r>
      <w:r w:rsidRPr="00117474">
        <w:rPr>
          <w:spacing w:val="-2"/>
          <w:sz w:val="16"/>
          <w:szCs w:val="16"/>
        </w:rPr>
        <w:t xml:space="preserve"> Podrobnější komentář k dluhu i deficitu sektoru vládních institucí v ČR je uveden v již dříve vydané publikaci ČSÚ „Vývoj ekonomiky ČR v roce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77777777" w:rsidR="0052200D" w:rsidRDefault="0052200D" w:rsidP="00937AE2">
    <w:pPr>
      <w:pStyle w:val="Zhlav"/>
    </w:pPr>
    <w:r>
      <w:t>Vývoj ekonomiky České republiky</w:t>
    </w:r>
  </w:p>
  <w:p w14:paraId="675E4C41" w14:textId="77777777" w:rsidR="0052200D" w:rsidRPr="006F5416" w:rsidRDefault="0052200D"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77777777" w:rsidR="0052200D" w:rsidRDefault="0052200D" w:rsidP="00937AE2">
    <w:pPr>
      <w:pStyle w:val="Zhlav"/>
    </w:pPr>
    <w:r>
      <w:t>Vývoj ekonomiky České republiky</w:t>
    </w:r>
  </w:p>
  <w:p w14:paraId="0CDCFD48" w14:textId="77777777" w:rsidR="0052200D" w:rsidRPr="006F5416" w:rsidRDefault="0052200D"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11D30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209D"/>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6420"/>
    <w:rsid w:val="00017B01"/>
    <w:rsid w:val="00020F22"/>
    <w:rsid w:val="0002195D"/>
    <w:rsid w:val="000228AE"/>
    <w:rsid w:val="000233D1"/>
    <w:rsid w:val="000234D6"/>
    <w:rsid w:val="00023D29"/>
    <w:rsid w:val="00024348"/>
    <w:rsid w:val="00026389"/>
    <w:rsid w:val="00031AE0"/>
    <w:rsid w:val="00031BB2"/>
    <w:rsid w:val="000322EF"/>
    <w:rsid w:val="00033FCD"/>
    <w:rsid w:val="00034DF7"/>
    <w:rsid w:val="00034E68"/>
    <w:rsid w:val="000350C8"/>
    <w:rsid w:val="00036195"/>
    <w:rsid w:val="000374B2"/>
    <w:rsid w:val="000376C0"/>
    <w:rsid w:val="000403A7"/>
    <w:rsid w:val="00040632"/>
    <w:rsid w:val="00041CEC"/>
    <w:rsid w:val="00044183"/>
    <w:rsid w:val="0004694F"/>
    <w:rsid w:val="00047D54"/>
    <w:rsid w:val="000522E4"/>
    <w:rsid w:val="00053713"/>
    <w:rsid w:val="0005434E"/>
    <w:rsid w:val="00055CB6"/>
    <w:rsid w:val="000572DD"/>
    <w:rsid w:val="00057B1E"/>
    <w:rsid w:val="000610E1"/>
    <w:rsid w:val="000616AD"/>
    <w:rsid w:val="000622A6"/>
    <w:rsid w:val="00062EC5"/>
    <w:rsid w:val="00062F22"/>
    <w:rsid w:val="00063975"/>
    <w:rsid w:val="00063CEA"/>
    <w:rsid w:val="000645FC"/>
    <w:rsid w:val="0006533F"/>
    <w:rsid w:val="00065348"/>
    <w:rsid w:val="00065A75"/>
    <w:rsid w:val="00070A87"/>
    <w:rsid w:val="000712B3"/>
    <w:rsid w:val="0007474E"/>
    <w:rsid w:val="0007512B"/>
    <w:rsid w:val="00075551"/>
    <w:rsid w:val="00076D90"/>
    <w:rsid w:val="00077FF0"/>
    <w:rsid w:val="00081A55"/>
    <w:rsid w:val="0008263E"/>
    <w:rsid w:val="00082C19"/>
    <w:rsid w:val="000837CD"/>
    <w:rsid w:val="00084BFF"/>
    <w:rsid w:val="00085395"/>
    <w:rsid w:val="00086896"/>
    <w:rsid w:val="00086AC1"/>
    <w:rsid w:val="00086D19"/>
    <w:rsid w:val="00087634"/>
    <w:rsid w:val="00087F2B"/>
    <w:rsid w:val="00090694"/>
    <w:rsid w:val="000913B1"/>
    <w:rsid w:val="00093241"/>
    <w:rsid w:val="00094A84"/>
    <w:rsid w:val="00095025"/>
    <w:rsid w:val="00095135"/>
    <w:rsid w:val="0009626E"/>
    <w:rsid w:val="00097191"/>
    <w:rsid w:val="000974D1"/>
    <w:rsid w:val="0009799E"/>
    <w:rsid w:val="000A0BC0"/>
    <w:rsid w:val="000A1183"/>
    <w:rsid w:val="000A212B"/>
    <w:rsid w:val="000A256D"/>
    <w:rsid w:val="000A3A2C"/>
    <w:rsid w:val="000A3D9E"/>
    <w:rsid w:val="000A4A54"/>
    <w:rsid w:val="000A4ED9"/>
    <w:rsid w:val="000A7377"/>
    <w:rsid w:val="000B03CC"/>
    <w:rsid w:val="000B4212"/>
    <w:rsid w:val="000C0EA8"/>
    <w:rsid w:val="000C13A2"/>
    <w:rsid w:val="000C30C3"/>
    <w:rsid w:val="000C3408"/>
    <w:rsid w:val="000C35AB"/>
    <w:rsid w:val="000C4769"/>
    <w:rsid w:val="000C4D56"/>
    <w:rsid w:val="000C6AFD"/>
    <w:rsid w:val="000C6C90"/>
    <w:rsid w:val="000D0A26"/>
    <w:rsid w:val="000D3058"/>
    <w:rsid w:val="000D310A"/>
    <w:rsid w:val="000D3EF4"/>
    <w:rsid w:val="000D5637"/>
    <w:rsid w:val="000D6F4E"/>
    <w:rsid w:val="000E0E96"/>
    <w:rsid w:val="000E2C7D"/>
    <w:rsid w:val="000E440D"/>
    <w:rsid w:val="000E4AC5"/>
    <w:rsid w:val="000E6253"/>
    <w:rsid w:val="000E6E4D"/>
    <w:rsid w:val="000E6FBD"/>
    <w:rsid w:val="000E6FCB"/>
    <w:rsid w:val="000F090B"/>
    <w:rsid w:val="000F3F3B"/>
    <w:rsid w:val="000F47E8"/>
    <w:rsid w:val="000F70E4"/>
    <w:rsid w:val="00100F5C"/>
    <w:rsid w:val="00101CDA"/>
    <w:rsid w:val="00102037"/>
    <w:rsid w:val="00103DCB"/>
    <w:rsid w:val="00104C4C"/>
    <w:rsid w:val="00105015"/>
    <w:rsid w:val="001057C2"/>
    <w:rsid w:val="001125EF"/>
    <w:rsid w:val="00112CAB"/>
    <w:rsid w:val="00116D3F"/>
    <w:rsid w:val="00117474"/>
    <w:rsid w:val="00117623"/>
    <w:rsid w:val="00117FEA"/>
    <w:rsid w:val="001200CF"/>
    <w:rsid w:val="001208E3"/>
    <w:rsid w:val="0012192F"/>
    <w:rsid w:val="00122994"/>
    <w:rsid w:val="00124B46"/>
    <w:rsid w:val="001257E0"/>
    <w:rsid w:val="00125D69"/>
    <w:rsid w:val="0012799C"/>
    <w:rsid w:val="00127E15"/>
    <w:rsid w:val="00130ADC"/>
    <w:rsid w:val="00130D9F"/>
    <w:rsid w:val="00132C4D"/>
    <w:rsid w:val="00133FC1"/>
    <w:rsid w:val="00134659"/>
    <w:rsid w:val="001405FA"/>
    <w:rsid w:val="00140D1A"/>
    <w:rsid w:val="00141315"/>
    <w:rsid w:val="00141AA0"/>
    <w:rsid w:val="001425C3"/>
    <w:rsid w:val="0014262D"/>
    <w:rsid w:val="00144588"/>
    <w:rsid w:val="001447DD"/>
    <w:rsid w:val="001459BC"/>
    <w:rsid w:val="00152F4F"/>
    <w:rsid w:val="001544A1"/>
    <w:rsid w:val="001553B8"/>
    <w:rsid w:val="001554C2"/>
    <w:rsid w:val="001571C0"/>
    <w:rsid w:val="0015753D"/>
    <w:rsid w:val="00157CC9"/>
    <w:rsid w:val="001612F4"/>
    <w:rsid w:val="00161553"/>
    <w:rsid w:val="0016256B"/>
    <w:rsid w:val="00162F81"/>
    <w:rsid w:val="00163793"/>
    <w:rsid w:val="00167485"/>
    <w:rsid w:val="00167CB9"/>
    <w:rsid w:val="00167DD8"/>
    <w:rsid w:val="001705AD"/>
    <w:rsid w:val="001706D6"/>
    <w:rsid w:val="001714F2"/>
    <w:rsid w:val="00171FEA"/>
    <w:rsid w:val="00175B9F"/>
    <w:rsid w:val="001762F4"/>
    <w:rsid w:val="00181BBC"/>
    <w:rsid w:val="0018385F"/>
    <w:rsid w:val="00184017"/>
    <w:rsid w:val="00184B08"/>
    <w:rsid w:val="00185010"/>
    <w:rsid w:val="00185C22"/>
    <w:rsid w:val="00192F05"/>
    <w:rsid w:val="00194729"/>
    <w:rsid w:val="00195234"/>
    <w:rsid w:val="00196016"/>
    <w:rsid w:val="00197A70"/>
    <w:rsid w:val="00197C0F"/>
    <w:rsid w:val="001A0487"/>
    <w:rsid w:val="001A1F68"/>
    <w:rsid w:val="001A4EF0"/>
    <w:rsid w:val="001A552F"/>
    <w:rsid w:val="001B2CA9"/>
    <w:rsid w:val="001B3110"/>
    <w:rsid w:val="001B3E38"/>
    <w:rsid w:val="001B40F5"/>
    <w:rsid w:val="001B4729"/>
    <w:rsid w:val="001B4F0E"/>
    <w:rsid w:val="001B6310"/>
    <w:rsid w:val="001B6C09"/>
    <w:rsid w:val="001C05CD"/>
    <w:rsid w:val="001C0F17"/>
    <w:rsid w:val="001C1B66"/>
    <w:rsid w:val="001C31A2"/>
    <w:rsid w:val="001C4BB8"/>
    <w:rsid w:val="001C5E46"/>
    <w:rsid w:val="001C6B3B"/>
    <w:rsid w:val="001D0EF1"/>
    <w:rsid w:val="001D22C2"/>
    <w:rsid w:val="001D2C99"/>
    <w:rsid w:val="001D54C1"/>
    <w:rsid w:val="001D556E"/>
    <w:rsid w:val="001D5DF2"/>
    <w:rsid w:val="001D68B2"/>
    <w:rsid w:val="001D7EFD"/>
    <w:rsid w:val="001D7F60"/>
    <w:rsid w:val="001E504C"/>
    <w:rsid w:val="001E5A17"/>
    <w:rsid w:val="001E74C5"/>
    <w:rsid w:val="001F1236"/>
    <w:rsid w:val="001F2F90"/>
    <w:rsid w:val="001F4597"/>
    <w:rsid w:val="001F4826"/>
    <w:rsid w:val="001F7CE0"/>
    <w:rsid w:val="00200085"/>
    <w:rsid w:val="00203332"/>
    <w:rsid w:val="00203CD5"/>
    <w:rsid w:val="00203D8F"/>
    <w:rsid w:val="00203DA4"/>
    <w:rsid w:val="00205186"/>
    <w:rsid w:val="00206516"/>
    <w:rsid w:val="002071D5"/>
    <w:rsid w:val="002111E5"/>
    <w:rsid w:val="002118B9"/>
    <w:rsid w:val="002142C0"/>
    <w:rsid w:val="00217C5B"/>
    <w:rsid w:val="00220A43"/>
    <w:rsid w:val="0022139E"/>
    <w:rsid w:val="00222729"/>
    <w:rsid w:val="002233D6"/>
    <w:rsid w:val="0022441D"/>
    <w:rsid w:val="00224574"/>
    <w:rsid w:val="00224E3F"/>
    <w:rsid w:val="002252E0"/>
    <w:rsid w:val="002255F6"/>
    <w:rsid w:val="00227605"/>
    <w:rsid w:val="00227850"/>
    <w:rsid w:val="00227A53"/>
    <w:rsid w:val="00227E2E"/>
    <w:rsid w:val="00227F53"/>
    <w:rsid w:val="00230C6E"/>
    <w:rsid w:val="00230E21"/>
    <w:rsid w:val="002316A8"/>
    <w:rsid w:val="0023288F"/>
    <w:rsid w:val="00233603"/>
    <w:rsid w:val="002340EF"/>
    <w:rsid w:val="00234B82"/>
    <w:rsid w:val="00236443"/>
    <w:rsid w:val="00236700"/>
    <w:rsid w:val="00240AF3"/>
    <w:rsid w:val="002418D5"/>
    <w:rsid w:val="00241B06"/>
    <w:rsid w:val="002436BA"/>
    <w:rsid w:val="00244A15"/>
    <w:rsid w:val="002452D9"/>
    <w:rsid w:val="00247319"/>
    <w:rsid w:val="0024799E"/>
    <w:rsid w:val="00247E60"/>
    <w:rsid w:val="00251C53"/>
    <w:rsid w:val="00252AB9"/>
    <w:rsid w:val="00253C0F"/>
    <w:rsid w:val="002558C1"/>
    <w:rsid w:val="00256207"/>
    <w:rsid w:val="002575F3"/>
    <w:rsid w:val="002603E1"/>
    <w:rsid w:val="0026120E"/>
    <w:rsid w:val="00262582"/>
    <w:rsid w:val="0026291D"/>
    <w:rsid w:val="00264309"/>
    <w:rsid w:val="0026564B"/>
    <w:rsid w:val="00265E85"/>
    <w:rsid w:val="00267B49"/>
    <w:rsid w:val="0027025F"/>
    <w:rsid w:val="002709CC"/>
    <w:rsid w:val="00271022"/>
    <w:rsid w:val="00271465"/>
    <w:rsid w:val="002721F5"/>
    <w:rsid w:val="00272DF4"/>
    <w:rsid w:val="0027583D"/>
    <w:rsid w:val="00275DEF"/>
    <w:rsid w:val="002763A2"/>
    <w:rsid w:val="00276B33"/>
    <w:rsid w:val="002812E3"/>
    <w:rsid w:val="002837AE"/>
    <w:rsid w:val="00283C13"/>
    <w:rsid w:val="002853FA"/>
    <w:rsid w:val="00285412"/>
    <w:rsid w:val="00286220"/>
    <w:rsid w:val="00291640"/>
    <w:rsid w:val="0029237E"/>
    <w:rsid w:val="00292997"/>
    <w:rsid w:val="00293D24"/>
    <w:rsid w:val="0029509B"/>
    <w:rsid w:val="0029588F"/>
    <w:rsid w:val="00297256"/>
    <w:rsid w:val="00297A5C"/>
    <w:rsid w:val="00297D51"/>
    <w:rsid w:val="002A0122"/>
    <w:rsid w:val="002A016B"/>
    <w:rsid w:val="002A16D4"/>
    <w:rsid w:val="002A1E4F"/>
    <w:rsid w:val="002A230C"/>
    <w:rsid w:val="002A2AF7"/>
    <w:rsid w:val="002A3EA2"/>
    <w:rsid w:val="002A532A"/>
    <w:rsid w:val="002A5846"/>
    <w:rsid w:val="002A5D97"/>
    <w:rsid w:val="002A603E"/>
    <w:rsid w:val="002A63B9"/>
    <w:rsid w:val="002B3EF4"/>
    <w:rsid w:val="002B4845"/>
    <w:rsid w:val="002B72AA"/>
    <w:rsid w:val="002C1F09"/>
    <w:rsid w:val="002C22A4"/>
    <w:rsid w:val="002C260B"/>
    <w:rsid w:val="002C27A6"/>
    <w:rsid w:val="002C398D"/>
    <w:rsid w:val="002C40D2"/>
    <w:rsid w:val="002C43BD"/>
    <w:rsid w:val="002C5245"/>
    <w:rsid w:val="002D05CB"/>
    <w:rsid w:val="002D0E59"/>
    <w:rsid w:val="002D455C"/>
    <w:rsid w:val="002E02A1"/>
    <w:rsid w:val="002E196A"/>
    <w:rsid w:val="002E20C7"/>
    <w:rsid w:val="002E20CD"/>
    <w:rsid w:val="002E222E"/>
    <w:rsid w:val="002E28D8"/>
    <w:rsid w:val="002E37D1"/>
    <w:rsid w:val="002E3BEE"/>
    <w:rsid w:val="002E4E4C"/>
    <w:rsid w:val="002E4EA7"/>
    <w:rsid w:val="002E5846"/>
    <w:rsid w:val="002E792B"/>
    <w:rsid w:val="002F1DCB"/>
    <w:rsid w:val="002F1DE4"/>
    <w:rsid w:val="002F333D"/>
    <w:rsid w:val="002F351A"/>
    <w:rsid w:val="002F46D6"/>
    <w:rsid w:val="002F498A"/>
    <w:rsid w:val="002F4AD8"/>
    <w:rsid w:val="002F5820"/>
    <w:rsid w:val="00300C31"/>
    <w:rsid w:val="00304771"/>
    <w:rsid w:val="003052D4"/>
    <w:rsid w:val="00306C5B"/>
    <w:rsid w:val="00307DB3"/>
    <w:rsid w:val="00307ED2"/>
    <w:rsid w:val="0031076D"/>
    <w:rsid w:val="00311AA6"/>
    <w:rsid w:val="00311C4D"/>
    <w:rsid w:val="003121AB"/>
    <w:rsid w:val="003153C8"/>
    <w:rsid w:val="00315524"/>
    <w:rsid w:val="0032058C"/>
    <w:rsid w:val="003208D0"/>
    <w:rsid w:val="003209D6"/>
    <w:rsid w:val="003217B9"/>
    <w:rsid w:val="00321924"/>
    <w:rsid w:val="00321EB6"/>
    <w:rsid w:val="003220A5"/>
    <w:rsid w:val="00323A1C"/>
    <w:rsid w:val="00324B59"/>
    <w:rsid w:val="0032656E"/>
    <w:rsid w:val="00332190"/>
    <w:rsid w:val="00333CD0"/>
    <w:rsid w:val="0033448D"/>
    <w:rsid w:val="00334AD2"/>
    <w:rsid w:val="0033709C"/>
    <w:rsid w:val="003370C5"/>
    <w:rsid w:val="00341D26"/>
    <w:rsid w:val="00341F05"/>
    <w:rsid w:val="0034335E"/>
    <w:rsid w:val="00344668"/>
    <w:rsid w:val="003462D9"/>
    <w:rsid w:val="00347247"/>
    <w:rsid w:val="00347DD4"/>
    <w:rsid w:val="00352B43"/>
    <w:rsid w:val="00352C28"/>
    <w:rsid w:val="0036077F"/>
    <w:rsid w:val="00360C86"/>
    <w:rsid w:val="00360F7A"/>
    <w:rsid w:val="00360FBC"/>
    <w:rsid w:val="00361537"/>
    <w:rsid w:val="0036242A"/>
    <w:rsid w:val="00362C23"/>
    <w:rsid w:val="00362E90"/>
    <w:rsid w:val="00364FA0"/>
    <w:rsid w:val="003657F3"/>
    <w:rsid w:val="00367F84"/>
    <w:rsid w:val="003712BC"/>
    <w:rsid w:val="00372164"/>
    <w:rsid w:val="003738BD"/>
    <w:rsid w:val="00374263"/>
    <w:rsid w:val="003746F0"/>
    <w:rsid w:val="00374A20"/>
    <w:rsid w:val="00374E21"/>
    <w:rsid w:val="003810F0"/>
    <w:rsid w:val="003818DC"/>
    <w:rsid w:val="00382513"/>
    <w:rsid w:val="00383388"/>
    <w:rsid w:val="003834F8"/>
    <w:rsid w:val="003838D0"/>
    <w:rsid w:val="003840C2"/>
    <w:rsid w:val="00384327"/>
    <w:rsid w:val="00384A89"/>
    <w:rsid w:val="00385086"/>
    <w:rsid w:val="00385D98"/>
    <w:rsid w:val="00390306"/>
    <w:rsid w:val="003908A6"/>
    <w:rsid w:val="003927F6"/>
    <w:rsid w:val="00396739"/>
    <w:rsid w:val="003A04F6"/>
    <w:rsid w:val="003A2B4D"/>
    <w:rsid w:val="003A2D12"/>
    <w:rsid w:val="003A45E3"/>
    <w:rsid w:val="003A478C"/>
    <w:rsid w:val="003A5525"/>
    <w:rsid w:val="003A5889"/>
    <w:rsid w:val="003A6B38"/>
    <w:rsid w:val="003A6B83"/>
    <w:rsid w:val="003A6C97"/>
    <w:rsid w:val="003A722F"/>
    <w:rsid w:val="003B039F"/>
    <w:rsid w:val="003B0DF4"/>
    <w:rsid w:val="003B1F9D"/>
    <w:rsid w:val="003B2AD1"/>
    <w:rsid w:val="003B2D2E"/>
    <w:rsid w:val="003B461F"/>
    <w:rsid w:val="003B483F"/>
    <w:rsid w:val="003B4998"/>
    <w:rsid w:val="003B5A32"/>
    <w:rsid w:val="003C0B07"/>
    <w:rsid w:val="003C2CE7"/>
    <w:rsid w:val="003C3490"/>
    <w:rsid w:val="003C3608"/>
    <w:rsid w:val="003C3D2C"/>
    <w:rsid w:val="003C6221"/>
    <w:rsid w:val="003C68CC"/>
    <w:rsid w:val="003C7E62"/>
    <w:rsid w:val="003D12B9"/>
    <w:rsid w:val="003D242B"/>
    <w:rsid w:val="003D2492"/>
    <w:rsid w:val="003D29AA"/>
    <w:rsid w:val="003D2A99"/>
    <w:rsid w:val="003D6920"/>
    <w:rsid w:val="003E1EF8"/>
    <w:rsid w:val="003E4C91"/>
    <w:rsid w:val="003E52D8"/>
    <w:rsid w:val="003F313C"/>
    <w:rsid w:val="003F37FC"/>
    <w:rsid w:val="003F4318"/>
    <w:rsid w:val="003F4B2C"/>
    <w:rsid w:val="003F551C"/>
    <w:rsid w:val="003F626D"/>
    <w:rsid w:val="003F72ED"/>
    <w:rsid w:val="003F7D23"/>
    <w:rsid w:val="00400050"/>
    <w:rsid w:val="004002C8"/>
    <w:rsid w:val="00400468"/>
    <w:rsid w:val="0040099D"/>
    <w:rsid w:val="00401B23"/>
    <w:rsid w:val="00402ADB"/>
    <w:rsid w:val="0040368D"/>
    <w:rsid w:val="00405318"/>
    <w:rsid w:val="004059D2"/>
    <w:rsid w:val="00406C2E"/>
    <w:rsid w:val="00406EB0"/>
    <w:rsid w:val="00407711"/>
    <w:rsid w:val="00407C13"/>
    <w:rsid w:val="004103F6"/>
    <w:rsid w:val="00410638"/>
    <w:rsid w:val="00412511"/>
    <w:rsid w:val="004125C2"/>
    <w:rsid w:val="00412DFA"/>
    <w:rsid w:val="00413465"/>
    <w:rsid w:val="0041501E"/>
    <w:rsid w:val="00415452"/>
    <w:rsid w:val="004159C3"/>
    <w:rsid w:val="00415A57"/>
    <w:rsid w:val="00416DAC"/>
    <w:rsid w:val="00420880"/>
    <w:rsid w:val="00421179"/>
    <w:rsid w:val="00431BFF"/>
    <w:rsid w:val="00432A58"/>
    <w:rsid w:val="004331C3"/>
    <w:rsid w:val="00434617"/>
    <w:rsid w:val="00435051"/>
    <w:rsid w:val="00435C69"/>
    <w:rsid w:val="004360FB"/>
    <w:rsid w:val="00437CED"/>
    <w:rsid w:val="00440900"/>
    <w:rsid w:val="0044121D"/>
    <w:rsid w:val="00441BF6"/>
    <w:rsid w:val="004441A0"/>
    <w:rsid w:val="00445861"/>
    <w:rsid w:val="00445A8E"/>
    <w:rsid w:val="00446D44"/>
    <w:rsid w:val="0045078A"/>
    <w:rsid w:val="0045086D"/>
    <w:rsid w:val="00451EF1"/>
    <w:rsid w:val="00452E60"/>
    <w:rsid w:val="0045321B"/>
    <w:rsid w:val="00456FE5"/>
    <w:rsid w:val="00457490"/>
    <w:rsid w:val="00457953"/>
    <w:rsid w:val="00460656"/>
    <w:rsid w:val="00460FB3"/>
    <w:rsid w:val="00464851"/>
    <w:rsid w:val="00467B14"/>
    <w:rsid w:val="004707FE"/>
    <w:rsid w:val="0047276D"/>
    <w:rsid w:val="00472AF6"/>
    <w:rsid w:val="00473482"/>
    <w:rsid w:val="00474A04"/>
    <w:rsid w:val="00476240"/>
    <w:rsid w:val="00476439"/>
    <w:rsid w:val="004769E1"/>
    <w:rsid w:val="0047735C"/>
    <w:rsid w:val="004776BC"/>
    <w:rsid w:val="00477820"/>
    <w:rsid w:val="00477B96"/>
    <w:rsid w:val="00480BAE"/>
    <w:rsid w:val="0048139F"/>
    <w:rsid w:val="00481E40"/>
    <w:rsid w:val="00482405"/>
    <w:rsid w:val="004826A7"/>
    <w:rsid w:val="0048368C"/>
    <w:rsid w:val="00484ECE"/>
    <w:rsid w:val="00486132"/>
    <w:rsid w:val="0048686D"/>
    <w:rsid w:val="00486A4D"/>
    <w:rsid w:val="004915CB"/>
    <w:rsid w:val="004924DC"/>
    <w:rsid w:val="00492879"/>
    <w:rsid w:val="004979A5"/>
    <w:rsid w:val="004A036E"/>
    <w:rsid w:val="004A14E4"/>
    <w:rsid w:val="004A204E"/>
    <w:rsid w:val="004A26A5"/>
    <w:rsid w:val="004A27F0"/>
    <w:rsid w:val="004A3212"/>
    <w:rsid w:val="004A37CD"/>
    <w:rsid w:val="004A40D9"/>
    <w:rsid w:val="004A4F8A"/>
    <w:rsid w:val="004A5494"/>
    <w:rsid w:val="004A61C5"/>
    <w:rsid w:val="004A62A0"/>
    <w:rsid w:val="004A77DF"/>
    <w:rsid w:val="004B1417"/>
    <w:rsid w:val="004B305C"/>
    <w:rsid w:val="004B339A"/>
    <w:rsid w:val="004B55B7"/>
    <w:rsid w:val="004B6468"/>
    <w:rsid w:val="004B6EF8"/>
    <w:rsid w:val="004B7125"/>
    <w:rsid w:val="004B756A"/>
    <w:rsid w:val="004B7FB1"/>
    <w:rsid w:val="004C0B3F"/>
    <w:rsid w:val="004C2C2D"/>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3296"/>
    <w:rsid w:val="004D5B0F"/>
    <w:rsid w:val="004D7626"/>
    <w:rsid w:val="004E1A40"/>
    <w:rsid w:val="004E200A"/>
    <w:rsid w:val="004E23FC"/>
    <w:rsid w:val="004E2409"/>
    <w:rsid w:val="004E261D"/>
    <w:rsid w:val="004E5F41"/>
    <w:rsid w:val="004E6DE6"/>
    <w:rsid w:val="004E765E"/>
    <w:rsid w:val="004E7815"/>
    <w:rsid w:val="004F06F5"/>
    <w:rsid w:val="004F12A4"/>
    <w:rsid w:val="004F253F"/>
    <w:rsid w:val="004F33A0"/>
    <w:rsid w:val="004F3BD2"/>
    <w:rsid w:val="004F46ED"/>
    <w:rsid w:val="00503D54"/>
    <w:rsid w:val="005048E2"/>
    <w:rsid w:val="00506603"/>
    <w:rsid w:val="0050689D"/>
    <w:rsid w:val="005077F5"/>
    <w:rsid w:val="005108C0"/>
    <w:rsid w:val="0051094F"/>
    <w:rsid w:val="00511873"/>
    <w:rsid w:val="00512461"/>
    <w:rsid w:val="00512A2F"/>
    <w:rsid w:val="00513B7E"/>
    <w:rsid w:val="0051475D"/>
    <w:rsid w:val="00514B11"/>
    <w:rsid w:val="00515BE9"/>
    <w:rsid w:val="00515C74"/>
    <w:rsid w:val="00517113"/>
    <w:rsid w:val="0052007E"/>
    <w:rsid w:val="00521CAD"/>
    <w:rsid w:val="0052200D"/>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4A28"/>
    <w:rsid w:val="00535018"/>
    <w:rsid w:val="0053595E"/>
    <w:rsid w:val="00537571"/>
    <w:rsid w:val="00540056"/>
    <w:rsid w:val="005410E2"/>
    <w:rsid w:val="00541508"/>
    <w:rsid w:val="00541AE3"/>
    <w:rsid w:val="00543498"/>
    <w:rsid w:val="00544011"/>
    <w:rsid w:val="00544BE5"/>
    <w:rsid w:val="005500F9"/>
    <w:rsid w:val="00550160"/>
    <w:rsid w:val="005523A8"/>
    <w:rsid w:val="00552F2C"/>
    <w:rsid w:val="00553A25"/>
    <w:rsid w:val="005547EB"/>
    <w:rsid w:val="005555E0"/>
    <w:rsid w:val="0055599F"/>
    <w:rsid w:val="00556D68"/>
    <w:rsid w:val="005570D6"/>
    <w:rsid w:val="00557E45"/>
    <w:rsid w:val="00561F44"/>
    <w:rsid w:val="00562B4D"/>
    <w:rsid w:val="00563EB8"/>
    <w:rsid w:val="005647BF"/>
    <w:rsid w:val="00564AF1"/>
    <w:rsid w:val="005655DB"/>
    <w:rsid w:val="00570270"/>
    <w:rsid w:val="00570BC3"/>
    <w:rsid w:val="0057182A"/>
    <w:rsid w:val="00571E59"/>
    <w:rsid w:val="00572079"/>
    <w:rsid w:val="00572900"/>
    <w:rsid w:val="00573602"/>
    <w:rsid w:val="0057364B"/>
    <w:rsid w:val="00574773"/>
    <w:rsid w:val="005761EC"/>
    <w:rsid w:val="00577C07"/>
    <w:rsid w:val="00577DB1"/>
    <w:rsid w:val="00580AD3"/>
    <w:rsid w:val="00580DE7"/>
    <w:rsid w:val="00583E52"/>
    <w:rsid w:val="00583FFD"/>
    <w:rsid w:val="0058519A"/>
    <w:rsid w:val="005856BD"/>
    <w:rsid w:val="00586BCA"/>
    <w:rsid w:val="00590B28"/>
    <w:rsid w:val="005911BE"/>
    <w:rsid w:val="00591273"/>
    <w:rsid w:val="00591E9E"/>
    <w:rsid w:val="005927A4"/>
    <w:rsid w:val="00593152"/>
    <w:rsid w:val="005956A3"/>
    <w:rsid w:val="00595958"/>
    <w:rsid w:val="00595CAB"/>
    <w:rsid w:val="00597BBF"/>
    <w:rsid w:val="005A0948"/>
    <w:rsid w:val="005A10F2"/>
    <w:rsid w:val="005A21E0"/>
    <w:rsid w:val="005A28FF"/>
    <w:rsid w:val="005A2C09"/>
    <w:rsid w:val="005A3778"/>
    <w:rsid w:val="005A3DF8"/>
    <w:rsid w:val="005A5549"/>
    <w:rsid w:val="005A7CF8"/>
    <w:rsid w:val="005B121D"/>
    <w:rsid w:val="005B41C9"/>
    <w:rsid w:val="005B4853"/>
    <w:rsid w:val="005B6CA1"/>
    <w:rsid w:val="005B770C"/>
    <w:rsid w:val="005C06ED"/>
    <w:rsid w:val="005C11B8"/>
    <w:rsid w:val="005C2609"/>
    <w:rsid w:val="005C412B"/>
    <w:rsid w:val="005C43EC"/>
    <w:rsid w:val="005C45DD"/>
    <w:rsid w:val="005D3F06"/>
    <w:rsid w:val="005D4B73"/>
    <w:rsid w:val="005D5802"/>
    <w:rsid w:val="005D5AA9"/>
    <w:rsid w:val="005D66E6"/>
    <w:rsid w:val="005D7119"/>
    <w:rsid w:val="005D76C8"/>
    <w:rsid w:val="005D7890"/>
    <w:rsid w:val="005E19C1"/>
    <w:rsid w:val="005E2194"/>
    <w:rsid w:val="005E24F0"/>
    <w:rsid w:val="005E36FE"/>
    <w:rsid w:val="005E490F"/>
    <w:rsid w:val="005E4BC9"/>
    <w:rsid w:val="005E5314"/>
    <w:rsid w:val="005E7C78"/>
    <w:rsid w:val="005F04A7"/>
    <w:rsid w:val="005F114F"/>
    <w:rsid w:val="005F18C5"/>
    <w:rsid w:val="005F2A08"/>
    <w:rsid w:val="005F36CC"/>
    <w:rsid w:val="005F3EB1"/>
    <w:rsid w:val="005F466B"/>
    <w:rsid w:val="005F46D8"/>
    <w:rsid w:val="005F480F"/>
    <w:rsid w:val="005F5469"/>
    <w:rsid w:val="005F63F3"/>
    <w:rsid w:val="005F6D7F"/>
    <w:rsid w:val="005F7174"/>
    <w:rsid w:val="00601EEF"/>
    <w:rsid w:val="00604307"/>
    <w:rsid w:val="0060487F"/>
    <w:rsid w:val="00604EAD"/>
    <w:rsid w:val="0060513F"/>
    <w:rsid w:val="006104FB"/>
    <w:rsid w:val="00612A2F"/>
    <w:rsid w:val="00612AAE"/>
    <w:rsid w:val="00612FD9"/>
    <w:rsid w:val="006139E0"/>
    <w:rsid w:val="00614D35"/>
    <w:rsid w:val="006156B4"/>
    <w:rsid w:val="00615DAF"/>
    <w:rsid w:val="00616E05"/>
    <w:rsid w:val="00617985"/>
    <w:rsid w:val="00620B77"/>
    <w:rsid w:val="0062131B"/>
    <w:rsid w:val="0062263A"/>
    <w:rsid w:val="006227DF"/>
    <w:rsid w:val="006236C8"/>
    <w:rsid w:val="00624093"/>
    <w:rsid w:val="00626079"/>
    <w:rsid w:val="00631698"/>
    <w:rsid w:val="00631E44"/>
    <w:rsid w:val="00634C57"/>
    <w:rsid w:val="00634CE7"/>
    <w:rsid w:val="006350D5"/>
    <w:rsid w:val="0063642C"/>
    <w:rsid w:val="00637858"/>
    <w:rsid w:val="006404A7"/>
    <w:rsid w:val="00640A38"/>
    <w:rsid w:val="00641787"/>
    <w:rsid w:val="00642489"/>
    <w:rsid w:val="00644055"/>
    <w:rsid w:val="00644137"/>
    <w:rsid w:val="0064478C"/>
    <w:rsid w:val="006451E4"/>
    <w:rsid w:val="00645B33"/>
    <w:rsid w:val="006516CB"/>
    <w:rsid w:val="00653BD0"/>
    <w:rsid w:val="00654110"/>
    <w:rsid w:val="00656C5D"/>
    <w:rsid w:val="00656CFB"/>
    <w:rsid w:val="00657E87"/>
    <w:rsid w:val="00660D2D"/>
    <w:rsid w:val="00662469"/>
    <w:rsid w:val="00664205"/>
    <w:rsid w:val="00664647"/>
    <w:rsid w:val="00664803"/>
    <w:rsid w:val="00665982"/>
    <w:rsid w:val="00665BA4"/>
    <w:rsid w:val="00667856"/>
    <w:rsid w:val="00667AF2"/>
    <w:rsid w:val="00670489"/>
    <w:rsid w:val="006710C9"/>
    <w:rsid w:val="006741CD"/>
    <w:rsid w:val="00674D89"/>
    <w:rsid w:val="00675E37"/>
    <w:rsid w:val="00676736"/>
    <w:rsid w:val="006769A4"/>
    <w:rsid w:val="00676D76"/>
    <w:rsid w:val="00676F9F"/>
    <w:rsid w:val="00677591"/>
    <w:rsid w:val="00677594"/>
    <w:rsid w:val="0068032F"/>
    <w:rsid w:val="00680D37"/>
    <w:rsid w:val="0068174E"/>
    <w:rsid w:val="00681DCE"/>
    <w:rsid w:val="0068260E"/>
    <w:rsid w:val="006846B3"/>
    <w:rsid w:val="00684D59"/>
    <w:rsid w:val="00684E25"/>
    <w:rsid w:val="006858A4"/>
    <w:rsid w:val="00686718"/>
    <w:rsid w:val="00686BFA"/>
    <w:rsid w:val="00686DED"/>
    <w:rsid w:val="006875A0"/>
    <w:rsid w:val="00687D27"/>
    <w:rsid w:val="00691943"/>
    <w:rsid w:val="00693550"/>
    <w:rsid w:val="00695065"/>
    <w:rsid w:val="00695BEF"/>
    <w:rsid w:val="006966C7"/>
    <w:rsid w:val="006968C1"/>
    <w:rsid w:val="006977F6"/>
    <w:rsid w:val="00697A13"/>
    <w:rsid w:val="006A109C"/>
    <w:rsid w:val="006A6565"/>
    <w:rsid w:val="006A7691"/>
    <w:rsid w:val="006A7EE2"/>
    <w:rsid w:val="006B0514"/>
    <w:rsid w:val="006B0F92"/>
    <w:rsid w:val="006B2785"/>
    <w:rsid w:val="006B344A"/>
    <w:rsid w:val="006B58C9"/>
    <w:rsid w:val="006B60ED"/>
    <w:rsid w:val="006B6CC5"/>
    <w:rsid w:val="006B74AC"/>
    <w:rsid w:val="006B78D8"/>
    <w:rsid w:val="006B79EA"/>
    <w:rsid w:val="006C0C5D"/>
    <w:rsid w:val="006C113F"/>
    <w:rsid w:val="006C123E"/>
    <w:rsid w:val="006C15A1"/>
    <w:rsid w:val="006C1752"/>
    <w:rsid w:val="006C28CA"/>
    <w:rsid w:val="006C2BBF"/>
    <w:rsid w:val="006C2FBD"/>
    <w:rsid w:val="006C4355"/>
    <w:rsid w:val="006C469D"/>
    <w:rsid w:val="006C46B5"/>
    <w:rsid w:val="006C484F"/>
    <w:rsid w:val="006C52EC"/>
    <w:rsid w:val="006C56D4"/>
    <w:rsid w:val="006C6681"/>
    <w:rsid w:val="006C683C"/>
    <w:rsid w:val="006C6924"/>
    <w:rsid w:val="006C6C1E"/>
    <w:rsid w:val="006C7076"/>
    <w:rsid w:val="006C7CA6"/>
    <w:rsid w:val="006D18B3"/>
    <w:rsid w:val="006D1E89"/>
    <w:rsid w:val="006D317E"/>
    <w:rsid w:val="006D3E8A"/>
    <w:rsid w:val="006D61F6"/>
    <w:rsid w:val="006E1332"/>
    <w:rsid w:val="006E279A"/>
    <w:rsid w:val="006E313B"/>
    <w:rsid w:val="006E3A45"/>
    <w:rsid w:val="006E53AD"/>
    <w:rsid w:val="006E58CB"/>
    <w:rsid w:val="006E7227"/>
    <w:rsid w:val="006F0741"/>
    <w:rsid w:val="006F1C27"/>
    <w:rsid w:val="006F2A65"/>
    <w:rsid w:val="006F40DF"/>
    <w:rsid w:val="006F42BB"/>
    <w:rsid w:val="006F438E"/>
    <w:rsid w:val="006F440B"/>
    <w:rsid w:val="006F5416"/>
    <w:rsid w:val="006F624B"/>
    <w:rsid w:val="006F6D87"/>
    <w:rsid w:val="0070398A"/>
    <w:rsid w:val="00705242"/>
    <w:rsid w:val="007055E0"/>
    <w:rsid w:val="007065C5"/>
    <w:rsid w:val="00706AA0"/>
    <w:rsid w:val="00706AD4"/>
    <w:rsid w:val="00707150"/>
    <w:rsid w:val="007124D7"/>
    <w:rsid w:val="00712C20"/>
    <w:rsid w:val="00713549"/>
    <w:rsid w:val="007140BE"/>
    <w:rsid w:val="00715502"/>
    <w:rsid w:val="00715E4D"/>
    <w:rsid w:val="00716F48"/>
    <w:rsid w:val="00717114"/>
    <w:rsid w:val="0071779F"/>
    <w:rsid w:val="007211F5"/>
    <w:rsid w:val="00722777"/>
    <w:rsid w:val="00723435"/>
    <w:rsid w:val="00723436"/>
    <w:rsid w:val="007240E2"/>
    <w:rsid w:val="0072583E"/>
    <w:rsid w:val="00725BB5"/>
    <w:rsid w:val="00727C02"/>
    <w:rsid w:val="00730AE8"/>
    <w:rsid w:val="00730F1B"/>
    <w:rsid w:val="0073186D"/>
    <w:rsid w:val="0073333D"/>
    <w:rsid w:val="007343D9"/>
    <w:rsid w:val="00735448"/>
    <w:rsid w:val="00737DEC"/>
    <w:rsid w:val="00741493"/>
    <w:rsid w:val="007434E5"/>
    <w:rsid w:val="0074499B"/>
    <w:rsid w:val="007450BF"/>
    <w:rsid w:val="007477BD"/>
    <w:rsid w:val="00752180"/>
    <w:rsid w:val="00752323"/>
    <w:rsid w:val="007532B7"/>
    <w:rsid w:val="00753CAB"/>
    <w:rsid w:val="00754A70"/>
    <w:rsid w:val="00754BC9"/>
    <w:rsid w:val="00755202"/>
    <w:rsid w:val="00755D3A"/>
    <w:rsid w:val="0075751D"/>
    <w:rsid w:val="007578D3"/>
    <w:rsid w:val="007602CF"/>
    <w:rsid w:val="00760391"/>
    <w:rsid w:val="007609C6"/>
    <w:rsid w:val="007615F3"/>
    <w:rsid w:val="0076175D"/>
    <w:rsid w:val="00761CB5"/>
    <w:rsid w:val="007629D5"/>
    <w:rsid w:val="007635F8"/>
    <w:rsid w:val="00763B85"/>
    <w:rsid w:val="00764974"/>
    <w:rsid w:val="00764D18"/>
    <w:rsid w:val="0076521E"/>
    <w:rsid w:val="007661E9"/>
    <w:rsid w:val="00766460"/>
    <w:rsid w:val="00767062"/>
    <w:rsid w:val="00767777"/>
    <w:rsid w:val="00771972"/>
    <w:rsid w:val="00772DAB"/>
    <w:rsid w:val="00774D2C"/>
    <w:rsid w:val="0077605B"/>
    <w:rsid w:val="00776169"/>
    <w:rsid w:val="00776527"/>
    <w:rsid w:val="00777040"/>
    <w:rsid w:val="00777CE6"/>
    <w:rsid w:val="00780EF1"/>
    <w:rsid w:val="00781A91"/>
    <w:rsid w:val="00785778"/>
    <w:rsid w:val="00786C87"/>
    <w:rsid w:val="0078755E"/>
    <w:rsid w:val="007877C9"/>
    <w:rsid w:val="00790764"/>
    <w:rsid w:val="0079085F"/>
    <w:rsid w:val="00790E96"/>
    <w:rsid w:val="00791005"/>
    <w:rsid w:val="00793D78"/>
    <w:rsid w:val="0079453C"/>
    <w:rsid w:val="00794677"/>
    <w:rsid w:val="007A170B"/>
    <w:rsid w:val="007A282C"/>
    <w:rsid w:val="007A2A3A"/>
    <w:rsid w:val="007A33E2"/>
    <w:rsid w:val="007A3CAF"/>
    <w:rsid w:val="007A4782"/>
    <w:rsid w:val="007A516D"/>
    <w:rsid w:val="007A5E65"/>
    <w:rsid w:val="007A65E1"/>
    <w:rsid w:val="007A775D"/>
    <w:rsid w:val="007B0834"/>
    <w:rsid w:val="007B0E83"/>
    <w:rsid w:val="007B11FA"/>
    <w:rsid w:val="007B1396"/>
    <w:rsid w:val="007B16D6"/>
    <w:rsid w:val="007B2011"/>
    <w:rsid w:val="007B2CFE"/>
    <w:rsid w:val="007B309B"/>
    <w:rsid w:val="007B3D5E"/>
    <w:rsid w:val="007B3DCB"/>
    <w:rsid w:val="007B5725"/>
    <w:rsid w:val="007B6689"/>
    <w:rsid w:val="007B6747"/>
    <w:rsid w:val="007B6F72"/>
    <w:rsid w:val="007C1F0C"/>
    <w:rsid w:val="007C1FFB"/>
    <w:rsid w:val="007C2D94"/>
    <w:rsid w:val="007C5F92"/>
    <w:rsid w:val="007C6227"/>
    <w:rsid w:val="007C6BBD"/>
    <w:rsid w:val="007C6D89"/>
    <w:rsid w:val="007D0382"/>
    <w:rsid w:val="007D1A1F"/>
    <w:rsid w:val="007D2E18"/>
    <w:rsid w:val="007D40DF"/>
    <w:rsid w:val="007D42E5"/>
    <w:rsid w:val="007D4458"/>
    <w:rsid w:val="007E0535"/>
    <w:rsid w:val="007E0D4A"/>
    <w:rsid w:val="007E1788"/>
    <w:rsid w:val="007E1EE3"/>
    <w:rsid w:val="007E29B4"/>
    <w:rsid w:val="007E2F12"/>
    <w:rsid w:val="007E435A"/>
    <w:rsid w:val="007E49F7"/>
    <w:rsid w:val="007E4C70"/>
    <w:rsid w:val="007E78B6"/>
    <w:rsid w:val="007E7E61"/>
    <w:rsid w:val="007F0845"/>
    <w:rsid w:val="007F20F3"/>
    <w:rsid w:val="007F2353"/>
    <w:rsid w:val="007F2390"/>
    <w:rsid w:val="007F2CAC"/>
    <w:rsid w:val="007F4740"/>
    <w:rsid w:val="007F595A"/>
    <w:rsid w:val="007F708D"/>
    <w:rsid w:val="008006B3"/>
    <w:rsid w:val="0080158A"/>
    <w:rsid w:val="00801E13"/>
    <w:rsid w:val="00803008"/>
    <w:rsid w:val="00803069"/>
    <w:rsid w:val="0080734C"/>
    <w:rsid w:val="00807C82"/>
    <w:rsid w:val="008117CC"/>
    <w:rsid w:val="00813D58"/>
    <w:rsid w:val="00813DCA"/>
    <w:rsid w:val="008161A6"/>
    <w:rsid w:val="008165B8"/>
    <w:rsid w:val="00816905"/>
    <w:rsid w:val="00816D98"/>
    <w:rsid w:val="00817A17"/>
    <w:rsid w:val="00817EC1"/>
    <w:rsid w:val="0082112D"/>
    <w:rsid w:val="00821FF6"/>
    <w:rsid w:val="00822574"/>
    <w:rsid w:val="00822F08"/>
    <w:rsid w:val="00825C4D"/>
    <w:rsid w:val="00826A08"/>
    <w:rsid w:val="00826AC0"/>
    <w:rsid w:val="00827186"/>
    <w:rsid w:val="00827C8E"/>
    <w:rsid w:val="00830569"/>
    <w:rsid w:val="00830AEA"/>
    <w:rsid w:val="00830E86"/>
    <w:rsid w:val="0083143E"/>
    <w:rsid w:val="008315D5"/>
    <w:rsid w:val="00831CDE"/>
    <w:rsid w:val="00834304"/>
    <w:rsid w:val="00834FAA"/>
    <w:rsid w:val="008354FB"/>
    <w:rsid w:val="00836086"/>
    <w:rsid w:val="0083630F"/>
    <w:rsid w:val="00836A06"/>
    <w:rsid w:val="008374BC"/>
    <w:rsid w:val="00837E48"/>
    <w:rsid w:val="00840293"/>
    <w:rsid w:val="008408D4"/>
    <w:rsid w:val="008417B5"/>
    <w:rsid w:val="00841901"/>
    <w:rsid w:val="008458BD"/>
    <w:rsid w:val="00846121"/>
    <w:rsid w:val="008466C6"/>
    <w:rsid w:val="0084708F"/>
    <w:rsid w:val="008477C8"/>
    <w:rsid w:val="008478A6"/>
    <w:rsid w:val="008502F6"/>
    <w:rsid w:val="0085114D"/>
    <w:rsid w:val="008520A8"/>
    <w:rsid w:val="00852217"/>
    <w:rsid w:val="00853282"/>
    <w:rsid w:val="00855408"/>
    <w:rsid w:val="00856D65"/>
    <w:rsid w:val="00861B41"/>
    <w:rsid w:val="00861B9F"/>
    <w:rsid w:val="00861BE3"/>
    <w:rsid w:val="008625D3"/>
    <w:rsid w:val="00863434"/>
    <w:rsid w:val="0086344F"/>
    <w:rsid w:val="008641AC"/>
    <w:rsid w:val="00865E4C"/>
    <w:rsid w:val="0086796D"/>
    <w:rsid w:val="00867DAB"/>
    <w:rsid w:val="0087000B"/>
    <w:rsid w:val="008701E4"/>
    <w:rsid w:val="008704E9"/>
    <w:rsid w:val="00870ECD"/>
    <w:rsid w:val="008734E7"/>
    <w:rsid w:val="0087368D"/>
    <w:rsid w:val="00874FE8"/>
    <w:rsid w:val="00875A32"/>
    <w:rsid w:val="00876086"/>
    <w:rsid w:val="00876E83"/>
    <w:rsid w:val="008772BC"/>
    <w:rsid w:val="00881CD7"/>
    <w:rsid w:val="00882911"/>
    <w:rsid w:val="00885D40"/>
    <w:rsid w:val="008873D4"/>
    <w:rsid w:val="00891EDF"/>
    <w:rsid w:val="00892872"/>
    <w:rsid w:val="0089296D"/>
    <w:rsid w:val="00893E85"/>
    <w:rsid w:val="00893EBE"/>
    <w:rsid w:val="00894031"/>
    <w:rsid w:val="00894C5D"/>
    <w:rsid w:val="00895508"/>
    <w:rsid w:val="008967E9"/>
    <w:rsid w:val="00896A5C"/>
    <w:rsid w:val="008972D2"/>
    <w:rsid w:val="0089754C"/>
    <w:rsid w:val="008A0ADD"/>
    <w:rsid w:val="008A0D27"/>
    <w:rsid w:val="008A37E2"/>
    <w:rsid w:val="008A388E"/>
    <w:rsid w:val="008A3CBA"/>
    <w:rsid w:val="008A4B59"/>
    <w:rsid w:val="008A63E1"/>
    <w:rsid w:val="008A66B7"/>
    <w:rsid w:val="008A7127"/>
    <w:rsid w:val="008B3A80"/>
    <w:rsid w:val="008B3C07"/>
    <w:rsid w:val="008B3F7B"/>
    <w:rsid w:val="008B6106"/>
    <w:rsid w:val="008B7C02"/>
    <w:rsid w:val="008B7D2B"/>
    <w:rsid w:val="008B7EF9"/>
    <w:rsid w:val="008C0049"/>
    <w:rsid w:val="008C0E88"/>
    <w:rsid w:val="008C1717"/>
    <w:rsid w:val="008C4B50"/>
    <w:rsid w:val="008C7569"/>
    <w:rsid w:val="008D0DBD"/>
    <w:rsid w:val="008D127E"/>
    <w:rsid w:val="008D1CA8"/>
    <w:rsid w:val="008D1E6A"/>
    <w:rsid w:val="008D2A16"/>
    <w:rsid w:val="008D33F5"/>
    <w:rsid w:val="008D35E4"/>
    <w:rsid w:val="008D6C3A"/>
    <w:rsid w:val="008E0001"/>
    <w:rsid w:val="008E292B"/>
    <w:rsid w:val="008E2C57"/>
    <w:rsid w:val="008E31FF"/>
    <w:rsid w:val="008E3287"/>
    <w:rsid w:val="008E6DCB"/>
    <w:rsid w:val="008E6F06"/>
    <w:rsid w:val="008E7B8E"/>
    <w:rsid w:val="008E7FC9"/>
    <w:rsid w:val="008F029B"/>
    <w:rsid w:val="008F2A5D"/>
    <w:rsid w:val="008F3636"/>
    <w:rsid w:val="008F3FC9"/>
    <w:rsid w:val="008F5383"/>
    <w:rsid w:val="008F585B"/>
    <w:rsid w:val="009003A8"/>
    <w:rsid w:val="00900977"/>
    <w:rsid w:val="009021DA"/>
    <w:rsid w:val="00902500"/>
    <w:rsid w:val="00902EFF"/>
    <w:rsid w:val="00903A8E"/>
    <w:rsid w:val="0090432C"/>
    <w:rsid w:val="00904F96"/>
    <w:rsid w:val="009052A3"/>
    <w:rsid w:val="009056D7"/>
    <w:rsid w:val="00905B8D"/>
    <w:rsid w:val="00906401"/>
    <w:rsid w:val="009065CB"/>
    <w:rsid w:val="00906B79"/>
    <w:rsid w:val="0090786F"/>
    <w:rsid w:val="009110F7"/>
    <w:rsid w:val="0091155E"/>
    <w:rsid w:val="00912437"/>
    <w:rsid w:val="00912A92"/>
    <w:rsid w:val="00915D07"/>
    <w:rsid w:val="009162AE"/>
    <w:rsid w:val="00917251"/>
    <w:rsid w:val="0091728D"/>
    <w:rsid w:val="009203CC"/>
    <w:rsid w:val="00920EC4"/>
    <w:rsid w:val="0092180B"/>
    <w:rsid w:val="00921F14"/>
    <w:rsid w:val="00923CB0"/>
    <w:rsid w:val="00924871"/>
    <w:rsid w:val="00924AC8"/>
    <w:rsid w:val="00925429"/>
    <w:rsid w:val="0092597A"/>
    <w:rsid w:val="00926520"/>
    <w:rsid w:val="00926CF0"/>
    <w:rsid w:val="009273A9"/>
    <w:rsid w:val="0093033E"/>
    <w:rsid w:val="009305FC"/>
    <w:rsid w:val="00930FB1"/>
    <w:rsid w:val="0093139F"/>
    <w:rsid w:val="00932443"/>
    <w:rsid w:val="00932B32"/>
    <w:rsid w:val="00933F4A"/>
    <w:rsid w:val="009341F1"/>
    <w:rsid w:val="00934FF2"/>
    <w:rsid w:val="00935BD4"/>
    <w:rsid w:val="00935DFE"/>
    <w:rsid w:val="009373B2"/>
    <w:rsid w:val="00937AE2"/>
    <w:rsid w:val="0094061F"/>
    <w:rsid w:val="00940F0F"/>
    <w:rsid w:val="0094416B"/>
    <w:rsid w:val="0094427A"/>
    <w:rsid w:val="00944C7C"/>
    <w:rsid w:val="00945245"/>
    <w:rsid w:val="00945523"/>
    <w:rsid w:val="00950921"/>
    <w:rsid w:val="00951D68"/>
    <w:rsid w:val="00952B7B"/>
    <w:rsid w:val="00954F39"/>
    <w:rsid w:val="0095664B"/>
    <w:rsid w:val="009568DC"/>
    <w:rsid w:val="00957445"/>
    <w:rsid w:val="0095759C"/>
    <w:rsid w:val="009618EE"/>
    <w:rsid w:val="009624D2"/>
    <w:rsid w:val="009628D9"/>
    <w:rsid w:val="009637AE"/>
    <w:rsid w:val="009640F6"/>
    <w:rsid w:val="00964776"/>
    <w:rsid w:val="00964A4E"/>
    <w:rsid w:val="00964B35"/>
    <w:rsid w:val="009651C7"/>
    <w:rsid w:val="00965797"/>
    <w:rsid w:val="00965A10"/>
    <w:rsid w:val="009670A3"/>
    <w:rsid w:val="009674BE"/>
    <w:rsid w:val="00971B87"/>
    <w:rsid w:val="00971C77"/>
    <w:rsid w:val="00972FCD"/>
    <w:rsid w:val="009741AE"/>
    <w:rsid w:val="009741FC"/>
    <w:rsid w:val="00974923"/>
    <w:rsid w:val="00975909"/>
    <w:rsid w:val="00977C3D"/>
    <w:rsid w:val="00980D3D"/>
    <w:rsid w:val="0098103E"/>
    <w:rsid w:val="00983101"/>
    <w:rsid w:val="00983E41"/>
    <w:rsid w:val="00987A30"/>
    <w:rsid w:val="00990312"/>
    <w:rsid w:val="0099182E"/>
    <w:rsid w:val="00992CF3"/>
    <w:rsid w:val="0099321E"/>
    <w:rsid w:val="00994868"/>
    <w:rsid w:val="00994D28"/>
    <w:rsid w:val="00994F2C"/>
    <w:rsid w:val="009957CC"/>
    <w:rsid w:val="009968D6"/>
    <w:rsid w:val="00997953"/>
    <w:rsid w:val="009A10A0"/>
    <w:rsid w:val="009A1CAB"/>
    <w:rsid w:val="009A2359"/>
    <w:rsid w:val="009A24F1"/>
    <w:rsid w:val="009A4D57"/>
    <w:rsid w:val="009A60D1"/>
    <w:rsid w:val="009A64F5"/>
    <w:rsid w:val="009B00D2"/>
    <w:rsid w:val="009B05B3"/>
    <w:rsid w:val="009B284F"/>
    <w:rsid w:val="009B3764"/>
    <w:rsid w:val="009B52AC"/>
    <w:rsid w:val="009B59EA"/>
    <w:rsid w:val="009B66CE"/>
    <w:rsid w:val="009B6FD3"/>
    <w:rsid w:val="009B7DB2"/>
    <w:rsid w:val="009C1750"/>
    <w:rsid w:val="009C2E29"/>
    <w:rsid w:val="009C3E8F"/>
    <w:rsid w:val="009C554B"/>
    <w:rsid w:val="009C7126"/>
    <w:rsid w:val="009C719E"/>
    <w:rsid w:val="009C7799"/>
    <w:rsid w:val="009D07A9"/>
    <w:rsid w:val="009D0AE2"/>
    <w:rsid w:val="009D0EBB"/>
    <w:rsid w:val="009D3ACD"/>
    <w:rsid w:val="009D4F21"/>
    <w:rsid w:val="009D587D"/>
    <w:rsid w:val="009D7731"/>
    <w:rsid w:val="009E1120"/>
    <w:rsid w:val="009E1922"/>
    <w:rsid w:val="009E1A3D"/>
    <w:rsid w:val="009E4715"/>
    <w:rsid w:val="009E5273"/>
    <w:rsid w:val="009E57A8"/>
    <w:rsid w:val="009E5B85"/>
    <w:rsid w:val="009E5DDB"/>
    <w:rsid w:val="009F4982"/>
    <w:rsid w:val="009F4CA7"/>
    <w:rsid w:val="009F7D36"/>
    <w:rsid w:val="00A00E71"/>
    <w:rsid w:val="00A0306F"/>
    <w:rsid w:val="00A03B10"/>
    <w:rsid w:val="00A03E2E"/>
    <w:rsid w:val="00A04616"/>
    <w:rsid w:val="00A04717"/>
    <w:rsid w:val="00A05EE4"/>
    <w:rsid w:val="00A06F99"/>
    <w:rsid w:val="00A10D66"/>
    <w:rsid w:val="00A14114"/>
    <w:rsid w:val="00A16413"/>
    <w:rsid w:val="00A16545"/>
    <w:rsid w:val="00A16AED"/>
    <w:rsid w:val="00A16E1D"/>
    <w:rsid w:val="00A171D5"/>
    <w:rsid w:val="00A17A15"/>
    <w:rsid w:val="00A17D5B"/>
    <w:rsid w:val="00A201E1"/>
    <w:rsid w:val="00A20FE1"/>
    <w:rsid w:val="00A23E43"/>
    <w:rsid w:val="00A24ED9"/>
    <w:rsid w:val="00A25216"/>
    <w:rsid w:val="00A2628E"/>
    <w:rsid w:val="00A266BF"/>
    <w:rsid w:val="00A2731E"/>
    <w:rsid w:val="00A309AC"/>
    <w:rsid w:val="00A30F65"/>
    <w:rsid w:val="00A3279E"/>
    <w:rsid w:val="00A35900"/>
    <w:rsid w:val="00A40EAC"/>
    <w:rsid w:val="00A418BC"/>
    <w:rsid w:val="00A41FCF"/>
    <w:rsid w:val="00A43CF8"/>
    <w:rsid w:val="00A43DF2"/>
    <w:rsid w:val="00A445A8"/>
    <w:rsid w:val="00A44B0D"/>
    <w:rsid w:val="00A44D21"/>
    <w:rsid w:val="00A45087"/>
    <w:rsid w:val="00A45489"/>
    <w:rsid w:val="00A465E9"/>
    <w:rsid w:val="00A468E7"/>
    <w:rsid w:val="00A46DE0"/>
    <w:rsid w:val="00A50D73"/>
    <w:rsid w:val="00A52A88"/>
    <w:rsid w:val="00A52CAD"/>
    <w:rsid w:val="00A53FC7"/>
    <w:rsid w:val="00A55569"/>
    <w:rsid w:val="00A60AC1"/>
    <w:rsid w:val="00A626FF"/>
    <w:rsid w:val="00A62CE1"/>
    <w:rsid w:val="00A65469"/>
    <w:rsid w:val="00A655D3"/>
    <w:rsid w:val="00A662D9"/>
    <w:rsid w:val="00A6741E"/>
    <w:rsid w:val="00A7016A"/>
    <w:rsid w:val="00A7018D"/>
    <w:rsid w:val="00A7191D"/>
    <w:rsid w:val="00A722F9"/>
    <w:rsid w:val="00A72D42"/>
    <w:rsid w:val="00A75E40"/>
    <w:rsid w:val="00A77D1D"/>
    <w:rsid w:val="00A81652"/>
    <w:rsid w:val="00A83150"/>
    <w:rsid w:val="00A83398"/>
    <w:rsid w:val="00A83D6E"/>
    <w:rsid w:val="00A8521A"/>
    <w:rsid w:val="00A857C0"/>
    <w:rsid w:val="00A90F2C"/>
    <w:rsid w:val="00A90FED"/>
    <w:rsid w:val="00A9189D"/>
    <w:rsid w:val="00A91E71"/>
    <w:rsid w:val="00A925B1"/>
    <w:rsid w:val="00A934F9"/>
    <w:rsid w:val="00A95F1A"/>
    <w:rsid w:val="00A96116"/>
    <w:rsid w:val="00A9614E"/>
    <w:rsid w:val="00A96C0F"/>
    <w:rsid w:val="00AA212F"/>
    <w:rsid w:val="00AA2996"/>
    <w:rsid w:val="00AA2AF4"/>
    <w:rsid w:val="00AA4282"/>
    <w:rsid w:val="00AA52BF"/>
    <w:rsid w:val="00AA559A"/>
    <w:rsid w:val="00AA6C31"/>
    <w:rsid w:val="00AA7752"/>
    <w:rsid w:val="00AA7CE8"/>
    <w:rsid w:val="00AB1457"/>
    <w:rsid w:val="00AB2AF1"/>
    <w:rsid w:val="00AB5A64"/>
    <w:rsid w:val="00AB5CA1"/>
    <w:rsid w:val="00AB6456"/>
    <w:rsid w:val="00AC044E"/>
    <w:rsid w:val="00AC2118"/>
    <w:rsid w:val="00AC2395"/>
    <w:rsid w:val="00AC2960"/>
    <w:rsid w:val="00AC2AC4"/>
    <w:rsid w:val="00AC4284"/>
    <w:rsid w:val="00AC45BD"/>
    <w:rsid w:val="00AC50BB"/>
    <w:rsid w:val="00AD0EE7"/>
    <w:rsid w:val="00AD168E"/>
    <w:rsid w:val="00AD306C"/>
    <w:rsid w:val="00AD44CD"/>
    <w:rsid w:val="00AD5AD2"/>
    <w:rsid w:val="00AD6462"/>
    <w:rsid w:val="00AD66C5"/>
    <w:rsid w:val="00AD68C4"/>
    <w:rsid w:val="00AD71F9"/>
    <w:rsid w:val="00AE09B3"/>
    <w:rsid w:val="00AE1A83"/>
    <w:rsid w:val="00AE30BE"/>
    <w:rsid w:val="00AE3E6A"/>
    <w:rsid w:val="00AE797C"/>
    <w:rsid w:val="00AE7CE7"/>
    <w:rsid w:val="00AE7FAB"/>
    <w:rsid w:val="00AF0DE4"/>
    <w:rsid w:val="00AF1E87"/>
    <w:rsid w:val="00AF436B"/>
    <w:rsid w:val="00AF5179"/>
    <w:rsid w:val="00AF5CC2"/>
    <w:rsid w:val="00AF6776"/>
    <w:rsid w:val="00AF6F98"/>
    <w:rsid w:val="00B00913"/>
    <w:rsid w:val="00B01593"/>
    <w:rsid w:val="00B01FF9"/>
    <w:rsid w:val="00B023F2"/>
    <w:rsid w:val="00B038CA"/>
    <w:rsid w:val="00B06DB4"/>
    <w:rsid w:val="00B10A4D"/>
    <w:rsid w:val="00B10C90"/>
    <w:rsid w:val="00B11002"/>
    <w:rsid w:val="00B121B2"/>
    <w:rsid w:val="00B141B6"/>
    <w:rsid w:val="00B14BC1"/>
    <w:rsid w:val="00B16EB8"/>
    <w:rsid w:val="00B17E71"/>
    <w:rsid w:val="00B17FDE"/>
    <w:rsid w:val="00B20632"/>
    <w:rsid w:val="00B2379C"/>
    <w:rsid w:val="00B23D5D"/>
    <w:rsid w:val="00B2687D"/>
    <w:rsid w:val="00B3108D"/>
    <w:rsid w:val="00B32DDB"/>
    <w:rsid w:val="00B32F57"/>
    <w:rsid w:val="00B3345C"/>
    <w:rsid w:val="00B34528"/>
    <w:rsid w:val="00B34CC9"/>
    <w:rsid w:val="00B3563B"/>
    <w:rsid w:val="00B36BDC"/>
    <w:rsid w:val="00B37D3A"/>
    <w:rsid w:val="00B402FC"/>
    <w:rsid w:val="00B422E2"/>
    <w:rsid w:val="00B42D5F"/>
    <w:rsid w:val="00B439DA"/>
    <w:rsid w:val="00B4411A"/>
    <w:rsid w:val="00B46604"/>
    <w:rsid w:val="00B47089"/>
    <w:rsid w:val="00B47587"/>
    <w:rsid w:val="00B52151"/>
    <w:rsid w:val="00B530CD"/>
    <w:rsid w:val="00B53C7D"/>
    <w:rsid w:val="00B53E56"/>
    <w:rsid w:val="00B55A97"/>
    <w:rsid w:val="00B55F5E"/>
    <w:rsid w:val="00B5642C"/>
    <w:rsid w:val="00B56B6F"/>
    <w:rsid w:val="00B5752E"/>
    <w:rsid w:val="00B60AC1"/>
    <w:rsid w:val="00B61FF6"/>
    <w:rsid w:val="00B62316"/>
    <w:rsid w:val="00B63A11"/>
    <w:rsid w:val="00B64425"/>
    <w:rsid w:val="00B64C24"/>
    <w:rsid w:val="00B65CEF"/>
    <w:rsid w:val="00B6608F"/>
    <w:rsid w:val="00B679FB"/>
    <w:rsid w:val="00B73A14"/>
    <w:rsid w:val="00B748BD"/>
    <w:rsid w:val="00B7680F"/>
    <w:rsid w:val="00B76D1E"/>
    <w:rsid w:val="00B77543"/>
    <w:rsid w:val="00B77584"/>
    <w:rsid w:val="00B80EC6"/>
    <w:rsid w:val="00B81288"/>
    <w:rsid w:val="00B81D70"/>
    <w:rsid w:val="00B833B9"/>
    <w:rsid w:val="00B83E07"/>
    <w:rsid w:val="00B84CF6"/>
    <w:rsid w:val="00B85016"/>
    <w:rsid w:val="00B8561A"/>
    <w:rsid w:val="00B86643"/>
    <w:rsid w:val="00B90131"/>
    <w:rsid w:val="00B92951"/>
    <w:rsid w:val="00B92D1D"/>
    <w:rsid w:val="00B930CE"/>
    <w:rsid w:val="00B938C5"/>
    <w:rsid w:val="00B9554A"/>
    <w:rsid w:val="00B95940"/>
    <w:rsid w:val="00B95ACA"/>
    <w:rsid w:val="00B97ACC"/>
    <w:rsid w:val="00B97FE2"/>
    <w:rsid w:val="00BA3787"/>
    <w:rsid w:val="00BA46E8"/>
    <w:rsid w:val="00BA4E19"/>
    <w:rsid w:val="00BA6436"/>
    <w:rsid w:val="00BA684E"/>
    <w:rsid w:val="00BA6C2B"/>
    <w:rsid w:val="00BA7B64"/>
    <w:rsid w:val="00BB02A3"/>
    <w:rsid w:val="00BB0351"/>
    <w:rsid w:val="00BB15C3"/>
    <w:rsid w:val="00BB1AF4"/>
    <w:rsid w:val="00BB2202"/>
    <w:rsid w:val="00BB3C6B"/>
    <w:rsid w:val="00BB3FD6"/>
    <w:rsid w:val="00BB453F"/>
    <w:rsid w:val="00BB46F3"/>
    <w:rsid w:val="00BB4CB1"/>
    <w:rsid w:val="00BB4F98"/>
    <w:rsid w:val="00BB5AB2"/>
    <w:rsid w:val="00BB5ABF"/>
    <w:rsid w:val="00BB6EA2"/>
    <w:rsid w:val="00BB7B5B"/>
    <w:rsid w:val="00BC003F"/>
    <w:rsid w:val="00BC327F"/>
    <w:rsid w:val="00BC3512"/>
    <w:rsid w:val="00BC50BE"/>
    <w:rsid w:val="00BC5332"/>
    <w:rsid w:val="00BC5715"/>
    <w:rsid w:val="00BC5C12"/>
    <w:rsid w:val="00BC7154"/>
    <w:rsid w:val="00BC731E"/>
    <w:rsid w:val="00BC7614"/>
    <w:rsid w:val="00BD25BB"/>
    <w:rsid w:val="00BD2AF8"/>
    <w:rsid w:val="00BD366B"/>
    <w:rsid w:val="00BD410B"/>
    <w:rsid w:val="00BD4A73"/>
    <w:rsid w:val="00BD6C75"/>
    <w:rsid w:val="00BD6D50"/>
    <w:rsid w:val="00BE0AD1"/>
    <w:rsid w:val="00BE0EF9"/>
    <w:rsid w:val="00BE10A1"/>
    <w:rsid w:val="00BE18B9"/>
    <w:rsid w:val="00BE190A"/>
    <w:rsid w:val="00BE2495"/>
    <w:rsid w:val="00BE24DD"/>
    <w:rsid w:val="00BE386D"/>
    <w:rsid w:val="00BE557B"/>
    <w:rsid w:val="00BF02C8"/>
    <w:rsid w:val="00BF1578"/>
    <w:rsid w:val="00BF15CA"/>
    <w:rsid w:val="00BF1D12"/>
    <w:rsid w:val="00BF1D3A"/>
    <w:rsid w:val="00BF2B5B"/>
    <w:rsid w:val="00BF2D41"/>
    <w:rsid w:val="00BF32DC"/>
    <w:rsid w:val="00BF4329"/>
    <w:rsid w:val="00BF4E43"/>
    <w:rsid w:val="00BF5C4C"/>
    <w:rsid w:val="00C006D6"/>
    <w:rsid w:val="00C00BD7"/>
    <w:rsid w:val="00C01410"/>
    <w:rsid w:val="00C04B78"/>
    <w:rsid w:val="00C052AA"/>
    <w:rsid w:val="00C06EE3"/>
    <w:rsid w:val="00C07749"/>
    <w:rsid w:val="00C11244"/>
    <w:rsid w:val="00C11D48"/>
    <w:rsid w:val="00C1493E"/>
    <w:rsid w:val="00C15DBD"/>
    <w:rsid w:val="00C2010D"/>
    <w:rsid w:val="00C20CB5"/>
    <w:rsid w:val="00C21430"/>
    <w:rsid w:val="00C21E61"/>
    <w:rsid w:val="00C21F94"/>
    <w:rsid w:val="00C234DB"/>
    <w:rsid w:val="00C2479A"/>
    <w:rsid w:val="00C24903"/>
    <w:rsid w:val="00C2590D"/>
    <w:rsid w:val="00C25D9C"/>
    <w:rsid w:val="00C27913"/>
    <w:rsid w:val="00C300E2"/>
    <w:rsid w:val="00C31F21"/>
    <w:rsid w:val="00C32631"/>
    <w:rsid w:val="00C33301"/>
    <w:rsid w:val="00C33311"/>
    <w:rsid w:val="00C33B68"/>
    <w:rsid w:val="00C35570"/>
    <w:rsid w:val="00C35A2A"/>
    <w:rsid w:val="00C36A79"/>
    <w:rsid w:val="00C401A9"/>
    <w:rsid w:val="00C401D2"/>
    <w:rsid w:val="00C4031A"/>
    <w:rsid w:val="00C405D4"/>
    <w:rsid w:val="00C419D5"/>
    <w:rsid w:val="00C4513B"/>
    <w:rsid w:val="00C50E79"/>
    <w:rsid w:val="00C525FB"/>
    <w:rsid w:val="00C5390B"/>
    <w:rsid w:val="00C54257"/>
    <w:rsid w:val="00C54697"/>
    <w:rsid w:val="00C550CE"/>
    <w:rsid w:val="00C553A5"/>
    <w:rsid w:val="00C55402"/>
    <w:rsid w:val="00C5603B"/>
    <w:rsid w:val="00C61F47"/>
    <w:rsid w:val="00C62828"/>
    <w:rsid w:val="00C719A3"/>
    <w:rsid w:val="00C71D2F"/>
    <w:rsid w:val="00C72984"/>
    <w:rsid w:val="00C73885"/>
    <w:rsid w:val="00C73C93"/>
    <w:rsid w:val="00C7435A"/>
    <w:rsid w:val="00C747B1"/>
    <w:rsid w:val="00C755F9"/>
    <w:rsid w:val="00C82191"/>
    <w:rsid w:val="00C83134"/>
    <w:rsid w:val="00C832F3"/>
    <w:rsid w:val="00C845A4"/>
    <w:rsid w:val="00C85545"/>
    <w:rsid w:val="00C855B5"/>
    <w:rsid w:val="00C85F0E"/>
    <w:rsid w:val="00C90CF4"/>
    <w:rsid w:val="00C922DE"/>
    <w:rsid w:val="00C92843"/>
    <w:rsid w:val="00C92EB6"/>
    <w:rsid w:val="00C93389"/>
    <w:rsid w:val="00C94CDD"/>
    <w:rsid w:val="00CA0346"/>
    <w:rsid w:val="00CA1BD6"/>
    <w:rsid w:val="00CA37FF"/>
    <w:rsid w:val="00CA423A"/>
    <w:rsid w:val="00CA47BC"/>
    <w:rsid w:val="00CA6AB4"/>
    <w:rsid w:val="00CA7255"/>
    <w:rsid w:val="00CB2351"/>
    <w:rsid w:val="00CB4930"/>
    <w:rsid w:val="00CB4C63"/>
    <w:rsid w:val="00CB5A48"/>
    <w:rsid w:val="00CB5E10"/>
    <w:rsid w:val="00CB613B"/>
    <w:rsid w:val="00CB6152"/>
    <w:rsid w:val="00CB64E1"/>
    <w:rsid w:val="00CC0834"/>
    <w:rsid w:val="00CC20FE"/>
    <w:rsid w:val="00CC2E7D"/>
    <w:rsid w:val="00CC612B"/>
    <w:rsid w:val="00CC655F"/>
    <w:rsid w:val="00CC6FE5"/>
    <w:rsid w:val="00CC7458"/>
    <w:rsid w:val="00CC76BD"/>
    <w:rsid w:val="00CC7A87"/>
    <w:rsid w:val="00CD10A5"/>
    <w:rsid w:val="00CD1129"/>
    <w:rsid w:val="00CD1A80"/>
    <w:rsid w:val="00CD1CB5"/>
    <w:rsid w:val="00CD2076"/>
    <w:rsid w:val="00CD24CE"/>
    <w:rsid w:val="00CD29B5"/>
    <w:rsid w:val="00CD2B78"/>
    <w:rsid w:val="00CD3FAB"/>
    <w:rsid w:val="00CD5456"/>
    <w:rsid w:val="00CD5C3E"/>
    <w:rsid w:val="00CD6331"/>
    <w:rsid w:val="00CE14BE"/>
    <w:rsid w:val="00CE17A4"/>
    <w:rsid w:val="00CE1BA9"/>
    <w:rsid w:val="00CE2D8F"/>
    <w:rsid w:val="00CE3E48"/>
    <w:rsid w:val="00CE47B8"/>
    <w:rsid w:val="00CE62FA"/>
    <w:rsid w:val="00CE670B"/>
    <w:rsid w:val="00CE6833"/>
    <w:rsid w:val="00CF2E4D"/>
    <w:rsid w:val="00CF4908"/>
    <w:rsid w:val="00CF51EC"/>
    <w:rsid w:val="00CF545D"/>
    <w:rsid w:val="00CF5873"/>
    <w:rsid w:val="00CF73AE"/>
    <w:rsid w:val="00D0242D"/>
    <w:rsid w:val="00D02716"/>
    <w:rsid w:val="00D03A72"/>
    <w:rsid w:val="00D040DD"/>
    <w:rsid w:val="00D05C65"/>
    <w:rsid w:val="00D06B56"/>
    <w:rsid w:val="00D06D68"/>
    <w:rsid w:val="00D075BE"/>
    <w:rsid w:val="00D10C15"/>
    <w:rsid w:val="00D11476"/>
    <w:rsid w:val="00D12C25"/>
    <w:rsid w:val="00D133B4"/>
    <w:rsid w:val="00D13986"/>
    <w:rsid w:val="00D14C5B"/>
    <w:rsid w:val="00D15FED"/>
    <w:rsid w:val="00D214EF"/>
    <w:rsid w:val="00D215B0"/>
    <w:rsid w:val="00D21D6D"/>
    <w:rsid w:val="00D21D83"/>
    <w:rsid w:val="00D235B7"/>
    <w:rsid w:val="00D23FAE"/>
    <w:rsid w:val="00D25F28"/>
    <w:rsid w:val="00D26071"/>
    <w:rsid w:val="00D269B9"/>
    <w:rsid w:val="00D27973"/>
    <w:rsid w:val="00D31537"/>
    <w:rsid w:val="00D31E1E"/>
    <w:rsid w:val="00D32824"/>
    <w:rsid w:val="00D334E2"/>
    <w:rsid w:val="00D35AD6"/>
    <w:rsid w:val="00D35BBB"/>
    <w:rsid w:val="00D35E1A"/>
    <w:rsid w:val="00D36DFB"/>
    <w:rsid w:val="00D36E1C"/>
    <w:rsid w:val="00D373AF"/>
    <w:rsid w:val="00D40556"/>
    <w:rsid w:val="00D41F74"/>
    <w:rsid w:val="00D43ED2"/>
    <w:rsid w:val="00D50F46"/>
    <w:rsid w:val="00D5384E"/>
    <w:rsid w:val="00D544E7"/>
    <w:rsid w:val="00D5560A"/>
    <w:rsid w:val="00D56FBF"/>
    <w:rsid w:val="00D57677"/>
    <w:rsid w:val="00D60415"/>
    <w:rsid w:val="00D60E3C"/>
    <w:rsid w:val="00D63BE5"/>
    <w:rsid w:val="00D6475F"/>
    <w:rsid w:val="00D66223"/>
    <w:rsid w:val="00D667B8"/>
    <w:rsid w:val="00D70289"/>
    <w:rsid w:val="00D70822"/>
    <w:rsid w:val="00D72076"/>
    <w:rsid w:val="00D726A9"/>
    <w:rsid w:val="00D743E0"/>
    <w:rsid w:val="00D75AC1"/>
    <w:rsid w:val="00D77252"/>
    <w:rsid w:val="00D8084C"/>
    <w:rsid w:val="00D81809"/>
    <w:rsid w:val="00D82EF1"/>
    <w:rsid w:val="00D84F43"/>
    <w:rsid w:val="00D85114"/>
    <w:rsid w:val="00D85821"/>
    <w:rsid w:val="00D8598C"/>
    <w:rsid w:val="00D87C06"/>
    <w:rsid w:val="00D915EA"/>
    <w:rsid w:val="00D919ED"/>
    <w:rsid w:val="00D922A1"/>
    <w:rsid w:val="00D928BE"/>
    <w:rsid w:val="00D95302"/>
    <w:rsid w:val="00D95C5D"/>
    <w:rsid w:val="00D97D00"/>
    <w:rsid w:val="00DA096C"/>
    <w:rsid w:val="00DA1AB6"/>
    <w:rsid w:val="00DA544C"/>
    <w:rsid w:val="00DA5F8E"/>
    <w:rsid w:val="00DA6364"/>
    <w:rsid w:val="00DA7114"/>
    <w:rsid w:val="00DA7C0C"/>
    <w:rsid w:val="00DB08A9"/>
    <w:rsid w:val="00DB2DFA"/>
    <w:rsid w:val="00DB2EC8"/>
    <w:rsid w:val="00DB459B"/>
    <w:rsid w:val="00DB47FD"/>
    <w:rsid w:val="00DB5E9A"/>
    <w:rsid w:val="00DB657E"/>
    <w:rsid w:val="00DB7342"/>
    <w:rsid w:val="00DC17D0"/>
    <w:rsid w:val="00DC2B41"/>
    <w:rsid w:val="00DC435B"/>
    <w:rsid w:val="00DC53D8"/>
    <w:rsid w:val="00DC56FE"/>
    <w:rsid w:val="00DC5B3B"/>
    <w:rsid w:val="00DC6C2D"/>
    <w:rsid w:val="00DC7B1A"/>
    <w:rsid w:val="00DD04B0"/>
    <w:rsid w:val="00DD129F"/>
    <w:rsid w:val="00DD29B5"/>
    <w:rsid w:val="00DD32DD"/>
    <w:rsid w:val="00DD5287"/>
    <w:rsid w:val="00DE0D8B"/>
    <w:rsid w:val="00DE1237"/>
    <w:rsid w:val="00DE140F"/>
    <w:rsid w:val="00DE2491"/>
    <w:rsid w:val="00DE7AC8"/>
    <w:rsid w:val="00DF3643"/>
    <w:rsid w:val="00DF42FF"/>
    <w:rsid w:val="00DF4369"/>
    <w:rsid w:val="00DF4423"/>
    <w:rsid w:val="00DF4ADF"/>
    <w:rsid w:val="00DF5D1E"/>
    <w:rsid w:val="00DF7F88"/>
    <w:rsid w:val="00E01C0E"/>
    <w:rsid w:val="00E0368F"/>
    <w:rsid w:val="00E03D73"/>
    <w:rsid w:val="00E03F9A"/>
    <w:rsid w:val="00E04694"/>
    <w:rsid w:val="00E129E7"/>
    <w:rsid w:val="00E12ABE"/>
    <w:rsid w:val="00E12B1E"/>
    <w:rsid w:val="00E1444C"/>
    <w:rsid w:val="00E17262"/>
    <w:rsid w:val="00E20016"/>
    <w:rsid w:val="00E2009B"/>
    <w:rsid w:val="00E20BB9"/>
    <w:rsid w:val="00E20BCC"/>
    <w:rsid w:val="00E2251C"/>
    <w:rsid w:val="00E2363D"/>
    <w:rsid w:val="00E23C6A"/>
    <w:rsid w:val="00E253A2"/>
    <w:rsid w:val="00E260F6"/>
    <w:rsid w:val="00E27127"/>
    <w:rsid w:val="00E27233"/>
    <w:rsid w:val="00E31771"/>
    <w:rsid w:val="00E31A3E"/>
    <w:rsid w:val="00E32080"/>
    <w:rsid w:val="00E3309D"/>
    <w:rsid w:val="00E3724A"/>
    <w:rsid w:val="00E378B1"/>
    <w:rsid w:val="00E417BE"/>
    <w:rsid w:val="00E41CD5"/>
    <w:rsid w:val="00E43A9E"/>
    <w:rsid w:val="00E453F9"/>
    <w:rsid w:val="00E45D7D"/>
    <w:rsid w:val="00E4623F"/>
    <w:rsid w:val="00E4665D"/>
    <w:rsid w:val="00E47854"/>
    <w:rsid w:val="00E47EBA"/>
    <w:rsid w:val="00E50156"/>
    <w:rsid w:val="00E5076C"/>
    <w:rsid w:val="00E50D2E"/>
    <w:rsid w:val="00E53470"/>
    <w:rsid w:val="00E539F6"/>
    <w:rsid w:val="00E54698"/>
    <w:rsid w:val="00E55791"/>
    <w:rsid w:val="00E578A2"/>
    <w:rsid w:val="00E60043"/>
    <w:rsid w:val="00E61740"/>
    <w:rsid w:val="00E61EB5"/>
    <w:rsid w:val="00E6324D"/>
    <w:rsid w:val="00E6519D"/>
    <w:rsid w:val="00E66062"/>
    <w:rsid w:val="00E6660E"/>
    <w:rsid w:val="00E67305"/>
    <w:rsid w:val="00E67696"/>
    <w:rsid w:val="00E71A58"/>
    <w:rsid w:val="00E72A26"/>
    <w:rsid w:val="00E72A7A"/>
    <w:rsid w:val="00E7335A"/>
    <w:rsid w:val="00E747DC"/>
    <w:rsid w:val="00E75C94"/>
    <w:rsid w:val="00E76B9B"/>
    <w:rsid w:val="00E76E61"/>
    <w:rsid w:val="00E80CA3"/>
    <w:rsid w:val="00E82618"/>
    <w:rsid w:val="00E84E09"/>
    <w:rsid w:val="00E90CA8"/>
    <w:rsid w:val="00E930A1"/>
    <w:rsid w:val="00E93820"/>
    <w:rsid w:val="00E94A86"/>
    <w:rsid w:val="00E953F6"/>
    <w:rsid w:val="00E96143"/>
    <w:rsid w:val="00E96833"/>
    <w:rsid w:val="00EA0C68"/>
    <w:rsid w:val="00EA1D0E"/>
    <w:rsid w:val="00EA2841"/>
    <w:rsid w:val="00EA32BC"/>
    <w:rsid w:val="00EA35A7"/>
    <w:rsid w:val="00EA3B32"/>
    <w:rsid w:val="00EA3D05"/>
    <w:rsid w:val="00EA4402"/>
    <w:rsid w:val="00EA4B8D"/>
    <w:rsid w:val="00EA513E"/>
    <w:rsid w:val="00EA7419"/>
    <w:rsid w:val="00EB0E32"/>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DF0"/>
    <w:rsid w:val="00ED2EA1"/>
    <w:rsid w:val="00ED3F10"/>
    <w:rsid w:val="00ED4D04"/>
    <w:rsid w:val="00ED5907"/>
    <w:rsid w:val="00ED5F5B"/>
    <w:rsid w:val="00ED62C6"/>
    <w:rsid w:val="00ED64C1"/>
    <w:rsid w:val="00EE3446"/>
    <w:rsid w:val="00EE3E78"/>
    <w:rsid w:val="00EE41FD"/>
    <w:rsid w:val="00EE460E"/>
    <w:rsid w:val="00EE4B1B"/>
    <w:rsid w:val="00EE5FBA"/>
    <w:rsid w:val="00EE6E06"/>
    <w:rsid w:val="00EE7179"/>
    <w:rsid w:val="00EF150D"/>
    <w:rsid w:val="00EF1F5A"/>
    <w:rsid w:val="00EF47BF"/>
    <w:rsid w:val="00EF59B1"/>
    <w:rsid w:val="00EF5A13"/>
    <w:rsid w:val="00EF5FF9"/>
    <w:rsid w:val="00EF7CC7"/>
    <w:rsid w:val="00F0160B"/>
    <w:rsid w:val="00F0193E"/>
    <w:rsid w:val="00F03F8D"/>
    <w:rsid w:val="00F04811"/>
    <w:rsid w:val="00F0488C"/>
    <w:rsid w:val="00F073ED"/>
    <w:rsid w:val="00F07C4C"/>
    <w:rsid w:val="00F10F11"/>
    <w:rsid w:val="00F11159"/>
    <w:rsid w:val="00F12CFB"/>
    <w:rsid w:val="00F15AAA"/>
    <w:rsid w:val="00F15BEF"/>
    <w:rsid w:val="00F17898"/>
    <w:rsid w:val="00F207C2"/>
    <w:rsid w:val="00F21337"/>
    <w:rsid w:val="00F219A1"/>
    <w:rsid w:val="00F23E20"/>
    <w:rsid w:val="00F24407"/>
    <w:rsid w:val="00F24FAA"/>
    <w:rsid w:val="00F25040"/>
    <w:rsid w:val="00F27071"/>
    <w:rsid w:val="00F27331"/>
    <w:rsid w:val="00F27EE5"/>
    <w:rsid w:val="00F307CB"/>
    <w:rsid w:val="00F30C65"/>
    <w:rsid w:val="00F32649"/>
    <w:rsid w:val="00F33523"/>
    <w:rsid w:val="00F3364D"/>
    <w:rsid w:val="00F349BF"/>
    <w:rsid w:val="00F34DDC"/>
    <w:rsid w:val="00F37EDC"/>
    <w:rsid w:val="00F437CC"/>
    <w:rsid w:val="00F44537"/>
    <w:rsid w:val="00F46185"/>
    <w:rsid w:val="00F46423"/>
    <w:rsid w:val="00F4696A"/>
    <w:rsid w:val="00F47067"/>
    <w:rsid w:val="00F525EB"/>
    <w:rsid w:val="00F52CB5"/>
    <w:rsid w:val="00F53A68"/>
    <w:rsid w:val="00F55A92"/>
    <w:rsid w:val="00F62BFF"/>
    <w:rsid w:val="00F63AAE"/>
    <w:rsid w:val="00F63DDE"/>
    <w:rsid w:val="00F63FB7"/>
    <w:rsid w:val="00F6421B"/>
    <w:rsid w:val="00F647F1"/>
    <w:rsid w:val="00F649D2"/>
    <w:rsid w:val="00F6602B"/>
    <w:rsid w:val="00F7150B"/>
    <w:rsid w:val="00F71DE6"/>
    <w:rsid w:val="00F72D71"/>
    <w:rsid w:val="00F7381C"/>
    <w:rsid w:val="00F73A0C"/>
    <w:rsid w:val="00F7549F"/>
    <w:rsid w:val="00F756DB"/>
    <w:rsid w:val="00F767A8"/>
    <w:rsid w:val="00F84E7D"/>
    <w:rsid w:val="00F85066"/>
    <w:rsid w:val="00F87A4D"/>
    <w:rsid w:val="00F93688"/>
    <w:rsid w:val="00F939F3"/>
    <w:rsid w:val="00F9644E"/>
    <w:rsid w:val="00FA0105"/>
    <w:rsid w:val="00FA05A0"/>
    <w:rsid w:val="00FA17CC"/>
    <w:rsid w:val="00FA1F01"/>
    <w:rsid w:val="00FA26DF"/>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4DE"/>
    <w:rsid w:val="00FC684B"/>
    <w:rsid w:val="00FC7D98"/>
    <w:rsid w:val="00FD1135"/>
    <w:rsid w:val="00FD3265"/>
    <w:rsid w:val="00FD3CF7"/>
    <w:rsid w:val="00FD4916"/>
    <w:rsid w:val="00FD4D12"/>
    <w:rsid w:val="00FD4F73"/>
    <w:rsid w:val="00FD595E"/>
    <w:rsid w:val="00FE27C7"/>
    <w:rsid w:val="00FE2C7E"/>
    <w:rsid w:val="00FE2F78"/>
    <w:rsid w:val="00FE3137"/>
    <w:rsid w:val="00FE346B"/>
    <w:rsid w:val="00FE48E4"/>
    <w:rsid w:val="00FE634C"/>
    <w:rsid w:val="00FE6E69"/>
    <w:rsid w:val="00FE6F59"/>
    <w:rsid w:val="00FF3D7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eader" Target="header2.xml"/><Relationship Id="rId26" Type="http://schemas.openxmlformats.org/officeDocument/2006/relationships/chart" Target="charts/chart14.xml"/><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2.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chart" Target="charts/chart2.xml"/><Relationship Id="rId19" Type="http://schemas.openxmlformats.org/officeDocument/2006/relationships/footer" Target="footer1.xml"/><Relationship Id="rId31" Type="http://schemas.openxmlformats.org/officeDocument/2006/relationships/chart" Target="charts/chart19.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9Q1\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kumenty\Anal&#253;za\Q\2019Q1\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kumenty\Anal&#253;za\Q\2019Q1\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kumenty\Anal&#253;za\Q\2019Q1\Makroanal&#253;za%20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JKAM%20CSU\PUBLIKACE\PUBLIKACE\2019\QMakro\1.&#269;tvrtlet&#237;%202019\po%20v&#237;kendu-dod&#283;lan&#233;\Trh%20pr&#225;ce\Grafy-trh%20pr&#225;ce-rok-2019-1q.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JKAM%20CSU\PUBLIKACE\PUBLIKACE\2019\QMakro\1.&#269;tvrtlet&#237;%202019\po%20v&#237;kendu-dod&#283;lan&#233;\Trh%20pr&#225;ce\Grafy-trh%20pr&#225;ce-rok-2019-1q.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JKAM%20CSU\PUBLIKACE\PUBLIKACE\2019\QMakro\1.&#269;tvrtlet&#237;%202019\po%20v&#237;kendu-dod&#283;lan&#233;\Trh%20pr&#225;ce\Grafy-trh%20pr&#225;ce-rok-2019-1q.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Dokumenty\Anal&#253;za\Q\2019Q1\Makroanal&#253;za%20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JKAM%20CSU\PUBLIKACE\PUBLIKACE\2019\QMakro\1.&#269;tvrtlet&#237;%202019\St&#225;n&#237;%20rozpo&#269;et\Grafy-st&#225;tn&#237;%20rozpo&#269;et-rok-1-q-201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JKAM%20CSU\PUBLIKACE\PUBLIKACE\2019\QMakro\1.&#269;tvrtlet&#237;%202019\St&#225;n&#237;%20rozpo&#269;et\Grafy-st&#225;tn&#237;%20rozpo&#269;et-rok-1-q-201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JKAM%20CSU\PUBLIKACE\PUBLIKACE\2019\QMakro\1.&#269;tvrtlet&#237;%202019\po%20v&#237;kendu-dod&#283;lan&#233;\St&#225;n&#237;%20rozpo&#269;et\Grafy-st&#225;tn&#237;%20rozpo&#269;et-rok-1-q-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Anal&#253;za\Q\2019Q1\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Anal&#253;za\Q\2019Q1\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Anal&#253;za\Q\2019Q1\Makroanal&#253;za%20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QMakro-dnes\Odv&#283;tv&#237;\Odv&#283;tv&#237;%20grafy-1-q-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QMakro-dnes\Odv&#283;tv&#237;\Odv&#283;tv&#237;%20grafy-1-q-2019.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9\QMakro\1.&#269;tvrtlet&#237;%202019\Odv&#283;tv&#237;\Odv&#283;tv&#237;%20grafy-1-q-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JKAM%20CSU\PUBLIKACE\PUBLIKACE\2019\QMakro\1.&#269;tvrtlet&#237;%202019\Odv&#283;tv&#237;\Odv&#283;tv&#237;%20grafy-1-q-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kumenty\Anal&#253;za\Q\2019Q1\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240163796014245E-2"/>
          <c:y val="2.3046636085626952E-2"/>
          <c:w val="0.93617042384329663"/>
          <c:h val="0.74192840256671611"/>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1'!$A$13:$B$33</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'souhrnná výkonnost 1'!$C$13:$C$33</c:f>
              <c:numCache>
                <c:formatCode>#\ ##0.0</c:formatCode>
                <c:ptCount val="21"/>
                <c:pt idx="0">
                  <c:v>1.5996926444218076</c:v>
                </c:pt>
                <c:pt idx="1">
                  <c:v>2.4019552100365473</c:v>
                </c:pt>
                <c:pt idx="2">
                  <c:v>3.4030564515715724</c:v>
                </c:pt>
                <c:pt idx="3">
                  <c:v>3.4380052076485867</c:v>
                </c:pt>
                <c:pt idx="4">
                  <c:v>5.2550726107844667</c:v>
                </c:pt>
                <c:pt idx="5">
                  <c:v>5.7987847820089087</c:v>
                </c:pt>
                <c:pt idx="6">
                  <c:v>5.5707669225332381</c:v>
                </c:pt>
                <c:pt idx="7">
                  <c:v>4.9148252973919995</c:v>
                </c:pt>
                <c:pt idx="8">
                  <c:v>3.562390609972212</c:v>
                </c:pt>
                <c:pt idx="9">
                  <c:v>2.4146777549828045</c:v>
                </c:pt>
                <c:pt idx="10">
                  <c:v>1.6940486553423995</c:v>
                </c:pt>
                <c:pt idx="11">
                  <c:v>1.8037525372218255</c:v>
                </c:pt>
                <c:pt idx="12">
                  <c:v>3</c:v>
                </c:pt>
                <c:pt idx="13">
                  <c:v>5</c:v>
                </c:pt>
                <c:pt idx="14">
                  <c:v>5.2</c:v>
                </c:pt>
                <c:pt idx="15">
                  <c:v>4.9881960614611103</c:v>
                </c:pt>
                <c:pt idx="16">
                  <c:v>4.2</c:v>
                </c:pt>
                <c:pt idx="17" formatCode="General">
                  <c:v>2.2999999999999998</c:v>
                </c:pt>
                <c:pt idx="18" formatCode="General">
                  <c:v>2.4</c:v>
                </c:pt>
                <c:pt idx="19">
                  <c:v>2.6</c:v>
                </c:pt>
                <c:pt idx="20">
                  <c:v>2.6</c:v>
                </c:pt>
              </c:numCache>
            </c:numRef>
          </c:val>
          <c:extLst>
            <c:ext xmlns:c16="http://schemas.microsoft.com/office/drawing/2014/chart" uri="{C3380CC4-5D6E-409C-BE32-E72D297353CC}">
              <c16:uniqueId val="{00000000-089F-43CE-8B27-E8C011BEF0BB}"/>
            </c:ext>
          </c:extLst>
        </c:ser>
        <c:ser>
          <c:idx val="1"/>
          <c:order val="1"/>
          <c:tx>
            <c:strRef>
              <c:f>'souhrnná výkonnost 1'!$D$4</c:f>
              <c:strCache>
                <c:ptCount val="1"/>
                <c:pt idx="0">
                  <c:v>EU28 meziroční změna</c:v>
                </c:pt>
              </c:strCache>
            </c:strRef>
          </c:tx>
          <c:spPr>
            <a:solidFill>
              <a:srgbClr val="808080"/>
            </a:solidFill>
            <a:ln>
              <a:noFill/>
            </a:ln>
          </c:spPr>
          <c:invertIfNegative val="0"/>
          <c:cat>
            <c:multiLvlStrRef>
              <c:f>'souhrnná výkonnost 1'!$A$13:$B$33</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'souhrnná výkonnost 1'!$D$13:$D$33</c:f>
              <c:numCache>
                <c:formatCode>#\ ##0.0</c:formatCode>
                <c:ptCount val="21"/>
                <c:pt idx="0">
                  <c:v>1.8</c:v>
                </c:pt>
                <c:pt idx="1">
                  <c:v>1.6</c:v>
                </c:pt>
                <c:pt idx="2">
                  <c:v>1.7</c:v>
                </c:pt>
                <c:pt idx="3">
                  <c:v>1.9</c:v>
                </c:pt>
                <c:pt idx="4">
                  <c:v>2.2000000000000002</c:v>
                </c:pt>
                <c:pt idx="5">
                  <c:v>2.2999999999999998</c:v>
                </c:pt>
                <c:pt idx="6">
                  <c:v>2.2000000000000002</c:v>
                </c:pt>
                <c:pt idx="7">
                  <c:v>2.2000000000000002</c:v>
                </c:pt>
                <c:pt idx="8">
                  <c:v>2</c:v>
                </c:pt>
                <c:pt idx="9">
                  <c:v>1.9</c:v>
                </c:pt>
                <c:pt idx="10">
                  <c:v>1.8</c:v>
                </c:pt>
                <c:pt idx="11">
                  <c:v>2.1</c:v>
                </c:pt>
                <c:pt idx="12">
                  <c:v>2.2000000000000002</c:v>
                </c:pt>
                <c:pt idx="13">
                  <c:v>2.5</c:v>
                </c:pt>
                <c:pt idx="14">
                  <c:v>2.8</c:v>
                </c:pt>
                <c:pt idx="15">
                  <c:v>2.7</c:v>
                </c:pt>
                <c:pt idx="16">
                  <c:v>2.4</c:v>
                </c:pt>
                <c:pt idx="17">
                  <c:v>2.2000000000000002</c:v>
                </c:pt>
                <c:pt idx="18">
                  <c:v>1.8</c:v>
                </c:pt>
                <c:pt idx="19">
                  <c:v>1.5</c:v>
                </c:pt>
                <c:pt idx="20">
                  <c:v>1.5</c:v>
                </c:pt>
              </c:numCache>
            </c:numRef>
          </c:val>
          <c:extLst>
            <c:ext xmlns:c16="http://schemas.microsoft.com/office/drawing/2014/chart" uri="{C3380CC4-5D6E-409C-BE32-E72D297353CC}">
              <c16:uniqueId val="{00000001-089F-43CE-8B27-E8C011BEF0BB}"/>
            </c:ext>
          </c:extLst>
        </c:ser>
        <c:dLbls>
          <c:showLegendKey val="0"/>
          <c:showVal val="0"/>
          <c:showCatName val="0"/>
          <c:showSerName val="0"/>
          <c:showPercent val="0"/>
          <c:showBubbleSize val="0"/>
        </c:dLbls>
        <c:gapWidth val="100"/>
        <c:axId val="267753344"/>
        <c:axId val="267767808"/>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1'!$A$13:$B$33</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'souhrnná výkonnost 1'!$E$13:$E$33</c:f>
              <c:numCache>
                <c:formatCode>#\ ##0.0</c:formatCode>
                <c:ptCount val="21"/>
                <c:pt idx="0">
                  <c:v>-0.15199361076162177</c:v>
                </c:pt>
                <c:pt idx="1">
                  <c:v>0.94354943170505123</c:v>
                </c:pt>
                <c:pt idx="2">
                  <c:v>1.300826710614885</c:v>
                </c:pt>
                <c:pt idx="3">
                  <c:v>1.3092680104703618</c:v>
                </c:pt>
                <c:pt idx="4">
                  <c:v>1.6020092561128081</c:v>
                </c:pt>
                <c:pt idx="5">
                  <c:v>1.4649897297471739</c:v>
                </c:pt>
                <c:pt idx="6">
                  <c:v>1.0825028639160621</c:v>
                </c:pt>
                <c:pt idx="7">
                  <c:v>0.67980430723308416</c:v>
                </c:pt>
                <c:pt idx="8">
                  <c:v>0.29227937532607484</c:v>
                </c:pt>
                <c:pt idx="9">
                  <c:v>0.34052096885528726</c:v>
                </c:pt>
                <c:pt idx="10">
                  <c:v>0.37124745966146122</c:v>
                </c:pt>
                <c:pt idx="11">
                  <c:v>0.78841405879090587</c:v>
                </c:pt>
                <c:pt idx="12">
                  <c:v>1.4</c:v>
                </c:pt>
                <c:pt idx="13">
                  <c:v>2.2999999999999998</c:v>
                </c:pt>
                <c:pt idx="14">
                  <c:v>0.6</c:v>
                </c:pt>
                <c:pt idx="15">
                  <c:v>0.6</c:v>
                </c:pt>
                <c:pt idx="16">
                  <c:v>0.6</c:v>
                </c:pt>
                <c:pt idx="17">
                  <c:v>0.5</c:v>
                </c:pt>
                <c:pt idx="18">
                  <c:v>0.7</c:v>
                </c:pt>
                <c:pt idx="19">
                  <c:v>0.8</c:v>
                </c:pt>
                <c:pt idx="20">
                  <c:v>0.6</c:v>
                </c:pt>
              </c:numCache>
            </c:numRef>
          </c:val>
          <c:smooth val="0"/>
          <c:extLst>
            <c:ext xmlns:c16="http://schemas.microsoft.com/office/drawing/2014/chart" uri="{C3380CC4-5D6E-409C-BE32-E72D297353CC}">
              <c16:uniqueId val="{00000002-089F-43CE-8B27-E8C011BEF0BB}"/>
            </c:ext>
          </c:extLst>
        </c:ser>
        <c:ser>
          <c:idx val="3"/>
          <c:order val="3"/>
          <c:tx>
            <c:strRef>
              <c:f>'souhrnná výkonnost 1'!$F$4</c:f>
              <c:strCache>
                <c:ptCount val="1"/>
                <c:pt idx="0">
                  <c:v>EU28 mezičtvrtletní změna</c:v>
                </c:pt>
              </c:strCache>
            </c:strRef>
          </c:tx>
          <c:spPr>
            <a:ln w="19050">
              <a:noFill/>
            </a:ln>
          </c:spPr>
          <c:marker>
            <c:symbol val="dash"/>
            <c:size val="8"/>
            <c:spPr>
              <a:solidFill>
                <a:srgbClr val="BD1B21"/>
              </a:solidFill>
              <a:ln>
                <a:noFill/>
              </a:ln>
            </c:spPr>
          </c:marker>
          <c:cat>
            <c:multiLvlStrRef>
              <c:f>'souhrnná výkonnost 1'!$A$13:$B$33</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'souhrnná výkonnost 1'!$F$13:$F$33</c:f>
              <c:numCache>
                <c:formatCode>#\ ##0.0</c:formatCode>
                <c:ptCount val="21"/>
                <c:pt idx="0">
                  <c:v>0.5</c:v>
                </c:pt>
                <c:pt idx="1">
                  <c:v>0.3</c:v>
                </c:pt>
                <c:pt idx="2">
                  <c:v>0.5</c:v>
                </c:pt>
                <c:pt idx="3">
                  <c:v>0.5</c:v>
                </c:pt>
                <c:pt idx="4">
                  <c:v>0.8</c:v>
                </c:pt>
                <c:pt idx="5">
                  <c:v>0.4</c:v>
                </c:pt>
                <c:pt idx="6">
                  <c:v>0.5</c:v>
                </c:pt>
                <c:pt idx="7">
                  <c:v>0.5</c:v>
                </c:pt>
                <c:pt idx="8">
                  <c:v>0.5</c:v>
                </c:pt>
                <c:pt idx="9">
                  <c:v>0.3</c:v>
                </c:pt>
                <c:pt idx="10">
                  <c:v>0.4</c:v>
                </c:pt>
                <c:pt idx="11">
                  <c:v>0.8</c:v>
                </c:pt>
                <c:pt idx="12">
                  <c:v>0.7</c:v>
                </c:pt>
                <c:pt idx="13">
                  <c:v>0.6</c:v>
                </c:pt>
                <c:pt idx="14">
                  <c:v>0.6</c:v>
                </c:pt>
                <c:pt idx="15">
                  <c:v>0.7</c:v>
                </c:pt>
                <c:pt idx="16">
                  <c:v>0.4</c:v>
                </c:pt>
                <c:pt idx="17">
                  <c:v>0.5</c:v>
                </c:pt>
                <c:pt idx="18">
                  <c:v>0.3</c:v>
                </c:pt>
                <c:pt idx="19">
                  <c:v>0.3</c:v>
                </c:pt>
                <c:pt idx="20">
                  <c:v>0.5</c:v>
                </c:pt>
              </c:numCache>
            </c:numRef>
          </c:val>
          <c:smooth val="0"/>
          <c:extLst>
            <c:ext xmlns:c16="http://schemas.microsoft.com/office/drawing/2014/chart" uri="{C3380CC4-5D6E-409C-BE32-E72D297353CC}">
              <c16:uniqueId val="{00000003-089F-43CE-8B27-E8C011BEF0BB}"/>
            </c:ext>
          </c:extLst>
        </c:ser>
        <c:dLbls>
          <c:showLegendKey val="0"/>
          <c:showVal val="0"/>
          <c:showCatName val="0"/>
          <c:showSerName val="0"/>
          <c:showPercent val="0"/>
          <c:showBubbleSize val="0"/>
        </c:dLbls>
        <c:marker val="1"/>
        <c:smooth val="0"/>
        <c:axId val="267753344"/>
        <c:axId val="267767808"/>
      </c:lineChart>
      <c:catAx>
        <c:axId val="26775334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67767808"/>
        <c:crosses val="autoZero"/>
        <c:auto val="1"/>
        <c:lblAlgn val="ctr"/>
        <c:lblOffset val="100"/>
        <c:noMultiLvlLbl val="0"/>
      </c:catAx>
      <c:valAx>
        <c:axId val="267767808"/>
        <c:scaling>
          <c:orientation val="minMax"/>
          <c:max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753344"/>
        <c:crosses val="autoZero"/>
        <c:crossBetween val="between"/>
      </c:valAx>
      <c:spPr>
        <a:ln>
          <a:solidFill>
            <a:schemeClr val="tx1"/>
          </a:solidFill>
        </a:ln>
      </c:spPr>
    </c:plotArea>
    <c:legend>
      <c:legendPos val="b"/>
      <c:layout>
        <c:manualLayout>
          <c:xMode val="edge"/>
          <c:yMode val="edge"/>
          <c:x val="3.9667131036811888E-2"/>
          <c:y val="0.89437255125717996"/>
          <c:w val="0.93714918946301962"/>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942586963863574E-2"/>
          <c:y val="2.8593943487561044E-2"/>
          <c:w val="0.92629263762242564"/>
          <c:h val="0.75790048407069865"/>
        </c:manualLayout>
      </c:layout>
      <c:barChart>
        <c:barDir val="col"/>
        <c:grouping val="clustered"/>
        <c:varyColors val="0"/>
        <c:ser>
          <c:idx val="3"/>
          <c:order val="3"/>
          <c:tx>
            <c:strRef>
              <c:f>'Ceny 3'!$H$5</c:f>
              <c:strCache>
                <c:ptCount val="1"/>
                <c:pt idx="0">
                  <c:v>Směnné relace</c:v>
                </c:pt>
              </c:strCache>
            </c:strRef>
          </c:tx>
          <c:spPr>
            <a:solidFill>
              <a:schemeClr val="bg1">
                <a:lumMod val="65000"/>
              </a:schemeClr>
            </a:solidFill>
          </c:spPr>
          <c:invertIfNegative val="0"/>
          <c:val>
            <c:numRef>
              <c:f>'Ceny 3'!$H$14:$H$34</c:f>
              <c:numCache>
                <c:formatCode>0.0</c:formatCode>
                <c:ptCount val="21"/>
                <c:pt idx="0">
                  <c:v>1.8784213412398998</c:v>
                </c:pt>
                <c:pt idx="1">
                  <c:v>2.0020176200900863</c:v>
                </c:pt>
                <c:pt idx="2">
                  <c:v>1.6653215602611766</c:v>
                </c:pt>
                <c:pt idx="3">
                  <c:v>0.61515952220756276</c:v>
                </c:pt>
                <c:pt idx="4">
                  <c:v>0.70897813043654878</c:v>
                </c:pt>
                <c:pt idx="5">
                  <c:v>1.5272904080077865E-2</c:v>
                </c:pt>
                <c:pt idx="6">
                  <c:v>5.6470144138785372E-2</c:v>
                </c:pt>
                <c:pt idx="7">
                  <c:v>0.72350624542671937</c:v>
                </c:pt>
                <c:pt idx="8">
                  <c:v>1.3716307461950237</c:v>
                </c:pt>
                <c:pt idx="9">
                  <c:v>1.6867359886262534</c:v>
                </c:pt>
                <c:pt idx="10">
                  <c:v>1.1999257237594492</c:v>
                </c:pt>
                <c:pt idx="11">
                  <c:v>-7.360987165711208E-2</c:v>
                </c:pt>
                <c:pt idx="12">
                  <c:v>-1.7911843078039453</c:v>
                </c:pt>
                <c:pt idx="13">
                  <c:v>-2.0087931751636461</c:v>
                </c:pt>
                <c:pt idx="14">
                  <c:v>-0.81828308981924636</c:v>
                </c:pt>
                <c:pt idx="15">
                  <c:v>0.36743330516347328</c:v>
                </c:pt>
                <c:pt idx="16">
                  <c:v>0.83350182108377169</c:v>
                </c:pt>
                <c:pt idx="17">
                  <c:v>0.26963500769743121</c:v>
                </c:pt>
                <c:pt idx="18">
                  <c:v>-1.2396050729682599</c:v>
                </c:pt>
                <c:pt idx="19">
                  <c:v>-0.92569217671029946</c:v>
                </c:pt>
                <c:pt idx="20">
                  <c:v>-6.8028472900266479E-2</c:v>
                </c:pt>
              </c:numCache>
            </c:numRef>
          </c:val>
          <c:extLst>
            <c:ext xmlns:c16="http://schemas.microsoft.com/office/drawing/2014/chart" uri="{C3380CC4-5D6E-409C-BE32-E72D297353CC}">
              <c16:uniqueId val="{00000000-CEDE-47F2-9EEE-A821DE2DC2B8}"/>
            </c:ext>
          </c:extLst>
        </c:ser>
        <c:dLbls>
          <c:showLegendKey val="0"/>
          <c:showVal val="0"/>
          <c:showCatName val="0"/>
          <c:showSerName val="0"/>
          <c:showPercent val="0"/>
          <c:showBubbleSize val="0"/>
        </c:dLbls>
        <c:gapWidth val="95"/>
        <c:axId val="271340672"/>
        <c:axId val="271342208"/>
      </c:barChart>
      <c:lineChart>
        <c:grouping val="standard"/>
        <c:varyColors val="0"/>
        <c:ser>
          <c:idx val="1"/>
          <c:order val="0"/>
          <c:tx>
            <c:strRef>
              <c:f>'Ceny 3'!$E$5</c:f>
              <c:strCache>
                <c:ptCount val="1"/>
                <c:pt idx="0">
                  <c:v>HDP</c:v>
                </c:pt>
              </c:strCache>
            </c:strRef>
          </c:tx>
          <c:spPr>
            <a:ln w="19050">
              <a:solidFill>
                <a:sysClr val="windowText" lastClr="000000"/>
              </a:solidFill>
            </a:ln>
          </c:spPr>
          <c:marker>
            <c:symbol val="none"/>
          </c:marker>
          <c:cat>
            <c:multiLvlStrRef>
              <c:f>'Ceny 3'!$A$14:$B$34</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'Ceny 3'!$E$14:$E$34</c:f>
              <c:numCache>
                <c:formatCode>#\ ##0.0</c:formatCode>
                <c:ptCount val="21"/>
                <c:pt idx="0">
                  <c:v>2.407594914453</c:v>
                </c:pt>
                <c:pt idx="1">
                  <c:v>2.7249796236052219</c:v>
                </c:pt>
                <c:pt idx="2">
                  <c:v>2.7309043114024405</c:v>
                </c:pt>
                <c:pt idx="3">
                  <c:v>2.0450860246019431</c:v>
                </c:pt>
                <c:pt idx="4">
                  <c:v>1.5290326327682209</c:v>
                </c:pt>
                <c:pt idx="5">
                  <c:v>1.3139842672081414</c:v>
                </c:pt>
                <c:pt idx="6">
                  <c:v>1.0788629840719182</c:v>
                </c:pt>
                <c:pt idx="7">
                  <c:v>0.77095099413880064</c:v>
                </c:pt>
                <c:pt idx="8">
                  <c:v>1.4387577162199534</c:v>
                </c:pt>
                <c:pt idx="9">
                  <c:v>1.1215971414352737</c:v>
                </c:pt>
                <c:pt idx="10">
                  <c:v>1.3438040001657185</c:v>
                </c:pt>
                <c:pt idx="11">
                  <c:v>1.1648544802629317</c:v>
                </c:pt>
                <c:pt idx="12" formatCode="General">
                  <c:v>0.69365165711947441</c:v>
                </c:pt>
                <c:pt idx="13" formatCode="General">
                  <c:v>0.99537659811153389</c:v>
                </c:pt>
                <c:pt idx="14" formatCode="General">
                  <c:v>1.6557106910590562</c:v>
                </c:pt>
                <c:pt idx="15" formatCode="General">
                  <c:v>2.3551331715590038</c:v>
                </c:pt>
                <c:pt idx="16" formatCode="General">
                  <c:v>2.312216622165991</c:v>
                </c:pt>
                <c:pt idx="17" formatCode="General">
                  <c:v>2.2156603104970856</c:v>
                </c:pt>
                <c:pt idx="18" formatCode="General">
                  <c:v>1.9620534815724398</c:v>
                </c:pt>
                <c:pt idx="19" formatCode="General">
                  <c:v>2.0818119378197935</c:v>
                </c:pt>
                <c:pt idx="20" formatCode="General">
                  <c:v>3.1394058304256305</c:v>
                </c:pt>
              </c:numCache>
            </c:numRef>
          </c:val>
          <c:smooth val="0"/>
          <c:extLst>
            <c:ext xmlns:c16="http://schemas.microsoft.com/office/drawing/2014/chart" uri="{C3380CC4-5D6E-409C-BE32-E72D297353CC}">
              <c16:uniqueId val="{00000001-CEDE-47F2-9EEE-A821DE2DC2B8}"/>
            </c:ext>
          </c:extLst>
        </c:ser>
        <c:ser>
          <c:idx val="0"/>
          <c:order val="1"/>
          <c:tx>
            <c:strRef>
              <c:f>'Ceny 3'!$C$5</c:f>
              <c:strCache>
                <c:ptCount val="1"/>
                <c:pt idx="0">
                  <c:v>Výdaje na konečnou spotřebu</c:v>
                </c:pt>
              </c:strCache>
            </c:strRef>
          </c:tx>
          <c:spPr>
            <a:ln w="19050">
              <a:solidFill>
                <a:srgbClr val="0071BC"/>
              </a:solidFill>
            </a:ln>
          </c:spPr>
          <c:marker>
            <c:symbol val="none"/>
          </c:marker>
          <c:cat>
            <c:multiLvlStrRef>
              <c:f>'Ceny 3'!$A$14:$B$34</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'Ceny 3'!$C$14:$C$34</c:f>
              <c:numCache>
                <c:formatCode>0.0</c:formatCode>
                <c:ptCount val="21"/>
                <c:pt idx="0">
                  <c:v>0.62650162156883482</c:v>
                </c:pt>
                <c:pt idx="1">
                  <c:v>0.80920277041865063</c:v>
                </c:pt>
                <c:pt idx="2">
                  <c:v>0.91624532168385997</c:v>
                </c:pt>
                <c:pt idx="3">
                  <c:v>1.3064353546973706</c:v>
                </c:pt>
                <c:pt idx="4">
                  <c:v>0.63652260848525088</c:v>
                </c:pt>
                <c:pt idx="5">
                  <c:v>0.86716532212489028</c:v>
                </c:pt>
                <c:pt idx="6">
                  <c:v>0.93683253130978983</c:v>
                </c:pt>
                <c:pt idx="7">
                  <c:v>0.16681703489827271</c:v>
                </c:pt>
                <c:pt idx="8">
                  <c:v>0.57557159874038177</c:v>
                </c:pt>
                <c:pt idx="9">
                  <c:v>0.40917866617269283</c:v>
                </c:pt>
                <c:pt idx="10">
                  <c:v>0.66134436037492605</c:v>
                </c:pt>
                <c:pt idx="11">
                  <c:v>1.4119242556033669</c:v>
                </c:pt>
                <c:pt idx="12" formatCode="General">
                  <c:v>2.4794807943920603</c:v>
                </c:pt>
                <c:pt idx="13" formatCode="General">
                  <c:v>2.6335121261332262</c:v>
                </c:pt>
                <c:pt idx="14" formatCode="General">
                  <c:v>2.9619255327752967</c:v>
                </c:pt>
                <c:pt idx="15" formatCode="General">
                  <c:v>3.3354677822326124</c:v>
                </c:pt>
                <c:pt idx="16" formatCode="General">
                  <c:v>3.1777338105128479</c:v>
                </c:pt>
                <c:pt idx="17" formatCode="General">
                  <c:v>3.3619214017019345</c:v>
                </c:pt>
                <c:pt idx="18" formatCode="General">
                  <c:v>3.5673656574830517</c:v>
                </c:pt>
                <c:pt idx="19" formatCode="General">
                  <c:v>2.9979310577608942</c:v>
                </c:pt>
                <c:pt idx="20" formatCode="General">
                  <c:v>3.2318572712953113</c:v>
                </c:pt>
              </c:numCache>
            </c:numRef>
          </c:val>
          <c:smooth val="0"/>
          <c:extLst>
            <c:ext xmlns:c16="http://schemas.microsoft.com/office/drawing/2014/chart" uri="{C3380CC4-5D6E-409C-BE32-E72D297353CC}">
              <c16:uniqueId val="{00000002-CEDE-47F2-9EEE-A821DE2DC2B8}"/>
            </c:ext>
          </c:extLst>
        </c:ser>
        <c:ser>
          <c:idx val="2"/>
          <c:order val="2"/>
          <c:tx>
            <c:strRef>
              <c:f>'Ceny 3'!$D$5</c:f>
              <c:strCache>
                <c:ptCount val="1"/>
                <c:pt idx="0">
                  <c:v>Tvorba hrubého kapitálu</c:v>
                </c:pt>
              </c:strCache>
            </c:strRef>
          </c:tx>
          <c:spPr>
            <a:ln w="19050">
              <a:solidFill>
                <a:srgbClr val="BD1B21"/>
              </a:solidFill>
            </a:ln>
          </c:spPr>
          <c:marker>
            <c:symbol val="none"/>
          </c:marker>
          <c:cat>
            <c:multiLvlStrRef>
              <c:f>'Ceny 3'!$A$14:$B$34</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'Ceny 3'!$D$14:$D$34</c:f>
              <c:numCache>
                <c:formatCode>0.0</c:formatCode>
                <c:ptCount val="21"/>
                <c:pt idx="0">
                  <c:v>1.119633392603987</c:v>
                </c:pt>
                <c:pt idx="1">
                  <c:v>1.6324225968647994</c:v>
                </c:pt>
                <c:pt idx="2">
                  <c:v>2.0883523339119847</c:v>
                </c:pt>
                <c:pt idx="3">
                  <c:v>2.0182548570513603</c:v>
                </c:pt>
                <c:pt idx="4">
                  <c:v>2.0919408211242256</c:v>
                </c:pt>
                <c:pt idx="5">
                  <c:v>2.5181249729440083</c:v>
                </c:pt>
                <c:pt idx="6">
                  <c:v>2.0736755454410485</c:v>
                </c:pt>
                <c:pt idx="7">
                  <c:v>1.110230989226423</c:v>
                </c:pt>
                <c:pt idx="8">
                  <c:v>1.0542109692344184</c:v>
                </c:pt>
                <c:pt idx="9">
                  <c:v>-0.4644562892466837</c:v>
                </c:pt>
                <c:pt idx="10">
                  <c:v>0.7121245326346326</c:v>
                </c:pt>
                <c:pt idx="11">
                  <c:v>1.2572281680150326</c:v>
                </c:pt>
                <c:pt idx="12" formatCode="General">
                  <c:v>1.0537696406372135</c:v>
                </c:pt>
                <c:pt idx="13" formatCode="General">
                  <c:v>2.9114331787664156</c:v>
                </c:pt>
                <c:pt idx="14" formatCode="General">
                  <c:v>1.6549156605788653</c:v>
                </c:pt>
                <c:pt idx="15" formatCode="General">
                  <c:v>0.39746543300944381</c:v>
                </c:pt>
                <c:pt idx="16" formatCode="General">
                  <c:v>-0.37866038551960912</c:v>
                </c:pt>
                <c:pt idx="17" formatCode="General">
                  <c:v>-0.40506446965153486</c:v>
                </c:pt>
                <c:pt idx="18" formatCode="General">
                  <c:v>1.5633289179078531</c:v>
                </c:pt>
                <c:pt idx="19" formatCode="General">
                  <c:v>2.1737781224447303</c:v>
                </c:pt>
                <c:pt idx="20" formatCode="General">
                  <c:v>3.2168624634888943</c:v>
                </c:pt>
              </c:numCache>
            </c:numRef>
          </c:val>
          <c:smooth val="0"/>
          <c:extLst>
            <c:ext xmlns:c16="http://schemas.microsoft.com/office/drawing/2014/chart" uri="{C3380CC4-5D6E-409C-BE32-E72D297353CC}">
              <c16:uniqueId val="{00000003-CEDE-47F2-9EEE-A821DE2DC2B8}"/>
            </c:ext>
          </c:extLst>
        </c:ser>
        <c:dLbls>
          <c:showLegendKey val="0"/>
          <c:showVal val="0"/>
          <c:showCatName val="0"/>
          <c:showSerName val="0"/>
          <c:showPercent val="0"/>
          <c:showBubbleSize val="0"/>
        </c:dLbls>
        <c:marker val="1"/>
        <c:smooth val="0"/>
        <c:axId val="271340672"/>
        <c:axId val="271342208"/>
      </c:lineChart>
      <c:catAx>
        <c:axId val="27134067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71342208"/>
        <c:crossesAt val="0"/>
        <c:auto val="1"/>
        <c:lblAlgn val="ctr"/>
        <c:lblOffset val="100"/>
        <c:noMultiLvlLbl val="0"/>
      </c:catAx>
      <c:valAx>
        <c:axId val="271342208"/>
        <c:scaling>
          <c:orientation val="minMax"/>
          <c:min val="-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340672"/>
        <c:crosses val="autoZero"/>
        <c:crossBetween val="between"/>
      </c:valAx>
      <c:spPr>
        <a:ln>
          <a:solidFill>
            <a:schemeClr val="tx1"/>
          </a:solidFill>
        </a:ln>
      </c:spPr>
    </c:plotArea>
    <c:legend>
      <c:legendPos val="b"/>
      <c:layout>
        <c:manualLayout>
          <c:xMode val="edge"/>
          <c:yMode val="edge"/>
          <c:x val="5.1257598784194246E-2"/>
          <c:y val="0.9105279747832935"/>
          <c:w val="0.92611385511651467"/>
          <c:h val="7.215158167285828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20299E-2"/>
          <c:w val="0.92237743255066085"/>
          <c:h val="0.73318107621299833"/>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2'!$A$14:$B$34</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'Ceny 2'!$C$14:$C$34</c:f>
              <c:numCache>
                <c:formatCode>0.0</c:formatCode>
                <c:ptCount val="21"/>
                <c:pt idx="0">
                  <c:v>0.20000000000000284</c:v>
                </c:pt>
                <c:pt idx="1">
                  <c:v>0.20000000000000284</c:v>
                </c:pt>
                <c:pt idx="2">
                  <c:v>0.59999999999999432</c:v>
                </c:pt>
                <c:pt idx="3">
                  <c:v>0.5</c:v>
                </c:pt>
                <c:pt idx="4">
                  <c:v>9.9999999999994316E-2</c:v>
                </c:pt>
                <c:pt idx="5">
                  <c:v>0.70000000000000284</c:v>
                </c:pt>
                <c:pt idx="6">
                  <c:v>0.40000000000000568</c:v>
                </c:pt>
                <c:pt idx="7">
                  <c:v>9.9999999999994316E-2</c:v>
                </c:pt>
                <c:pt idx="8">
                  <c:v>0.5</c:v>
                </c:pt>
                <c:pt idx="9">
                  <c:v>0.20000000000000284</c:v>
                </c:pt>
                <c:pt idx="10">
                  <c:v>0.5</c:v>
                </c:pt>
                <c:pt idx="11">
                  <c:v>1.4000000000000057</c:v>
                </c:pt>
                <c:pt idx="12" formatCode="General">
                  <c:v>2.4000000000000057</c:v>
                </c:pt>
                <c:pt idx="13" formatCode="General">
                  <c:v>2.2000000000000028</c:v>
                </c:pt>
                <c:pt idx="14">
                  <c:v>2.5</c:v>
                </c:pt>
                <c:pt idx="15">
                  <c:v>2.6</c:v>
                </c:pt>
                <c:pt idx="16">
                  <c:v>1.9</c:v>
                </c:pt>
                <c:pt idx="17">
                  <c:v>2.2999999999999998</c:v>
                </c:pt>
                <c:pt idx="18">
                  <c:v>2.4</c:v>
                </c:pt>
                <c:pt idx="19">
                  <c:v>2.1</c:v>
                </c:pt>
                <c:pt idx="20">
                  <c:v>2.7</c:v>
                </c:pt>
              </c:numCache>
            </c:numRef>
          </c:val>
          <c:extLst>
            <c:ext xmlns:c16="http://schemas.microsoft.com/office/drawing/2014/chart" uri="{C3380CC4-5D6E-409C-BE32-E72D297353CC}">
              <c16:uniqueId val="{00000000-DB45-477C-8023-77210E7C83AE}"/>
            </c:ext>
          </c:extLst>
        </c:ser>
        <c:dLbls>
          <c:showLegendKey val="0"/>
          <c:showVal val="0"/>
          <c:showCatName val="0"/>
          <c:showSerName val="0"/>
          <c:showPercent val="0"/>
          <c:showBubbleSize val="0"/>
        </c:dLbls>
        <c:gapWidth val="95"/>
        <c:axId val="270120064"/>
        <c:axId val="270121600"/>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2'!$A$14:$B$34</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'Ceny 2'!$D$14:$D$34</c:f>
              <c:numCache>
                <c:formatCode>0.0</c:formatCode>
                <c:ptCount val="21"/>
                <c:pt idx="0">
                  <c:v>3.9000000000000057</c:v>
                </c:pt>
                <c:pt idx="1">
                  <c:v>1.5</c:v>
                </c:pt>
                <c:pt idx="2">
                  <c:v>1.4000000000000057</c:v>
                </c:pt>
                <c:pt idx="3">
                  <c:v>1.2000000000000028</c:v>
                </c:pt>
                <c:pt idx="4">
                  <c:v>-1.5999999999999943</c:v>
                </c:pt>
                <c:pt idx="5">
                  <c:v>-9.9999999999994316E-2</c:v>
                </c:pt>
                <c:pt idx="6">
                  <c:v>-0.90000000000000568</c:v>
                </c:pt>
                <c:pt idx="7">
                  <c:v>-1.5999999999999943</c:v>
                </c:pt>
                <c:pt idx="8">
                  <c:v>-1.7000000000000028</c:v>
                </c:pt>
                <c:pt idx="9">
                  <c:v>-2.4000000000000057</c:v>
                </c:pt>
                <c:pt idx="10">
                  <c:v>-0.79999999999999716</c:v>
                </c:pt>
                <c:pt idx="11">
                  <c:v>1.2000000000000028</c:v>
                </c:pt>
                <c:pt idx="12" formatCode="General">
                  <c:v>4.2000000000000028</c:v>
                </c:pt>
                <c:pt idx="13" formatCode="General">
                  <c:v>4.5</c:v>
                </c:pt>
                <c:pt idx="14">
                  <c:v>5.7</c:v>
                </c:pt>
                <c:pt idx="15">
                  <c:v>6.3</c:v>
                </c:pt>
                <c:pt idx="16">
                  <c:v>2.9</c:v>
                </c:pt>
                <c:pt idx="17" formatCode="#\ ##0.0_ ;\-#\ ##0.0\ ">
                  <c:v>2.2999999999999998</c:v>
                </c:pt>
                <c:pt idx="18">
                  <c:v>0.6</c:v>
                </c:pt>
                <c:pt idx="19">
                  <c:v>-0.5</c:v>
                </c:pt>
                <c:pt idx="20">
                  <c:v>1</c:v>
                </c:pt>
              </c:numCache>
            </c:numRef>
          </c:val>
          <c:smooth val="0"/>
          <c:extLst>
            <c:ext xmlns:c16="http://schemas.microsoft.com/office/drawing/2014/chart" uri="{C3380CC4-5D6E-409C-BE32-E72D297353CC}">
              <c16:uniqueId val="{00000001-DB45-477C-8023-77210E7C83AE}"/>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2'!$A$14:$B$34</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'Ceny 2'!$F$14:$F$34</c:f>
              <c:numCache>
                <c:formatCode>0.0</c:formatCode>
                <c:ptCount val="21"/>
                <c:pt idx="0">
                  <c:v>-2.4000000000000057</c:v>
                </c:pt>
                <c:pt idx="1">
                  <c:v>-1.7000000000000028</c:v>
                </c:pt>
                <c:pt idx="2">
                  <c:v>-0.70000000000000284</c:v>
                </c:pt>
                <c:pt idx="3">
                  <c:v>-0.59999999999999432</c:v>
                </c:pt>
                <c:pt idx="4">
                  <c:v>1.0999999999999943</c:v>
                </c:pt>
                <c:pt idx="5">
                  <c:v>1.2000000000000028</c:v>
                </c:pt>
                <c:pt idx="6">
                  <c:v>0.79999999999999716</c:v>
                </c:pt>
                <c:pt idx="7">
                  <c:v>0.90000000000000568</c:v>
                </c:pt>
                <c:pt idx="8">
                  <c:v>0.90000000000000568</c:v>
                </c:pt>
                <c:pt idx="9">
                  <c:v>0.5</c:v>
                </c:pt>
                <c:pt idx="10">
                  <c:v>0.40000000000000568</c:v>
                </c:pt>
                <c:pt idx="11">
                  <c:v>0.59999999999999432</c:v>
                </c:pt>
                <c:pt idx="12" formatCode="General">
                  <c:v>0.79999999999999716</c:v>
                </c:pt>
                <c:pt idx="13" formatCode="General">
                  <c:v>1.5</c:v>
                </c:pt>
                <c:pt idx="14">
                  <c:v>2.1</c:v>
                </c:pt>
                <c:pt idx="15">
                  <c:v>2.2000000000000002</c:v>
                </c:pt>
                <c:pt idx="16">
                  <c:v>2.2999999999999998</c:v>
                </c:pt>
                <c:pt idx="17">
                  <c:v>2.6</c:v>
                </c:pt>
                <c:pt idx="18">
                  <c:v>3.2</c:v>
                </c:pt>
                <c:pt idx="19">
                  <c:v>3.8</c:v>
                </c:pt>
                <c:pt idx="20">
                  <c:v>5.4</c:v>
                </c:pt>
              </c:numCache>
            </c:numRef>
          </c:val>
          <c:smooth val="0"/>
          <c:extLst>
            <c:ext xmlns:c16="http://schemas.microsoft.com/office/drawing/2014/chart" uri="{C3380CC4-5D6E-409C-BE32-E72D297353CC}">
              <c16:uniqueId val="{00000002-DB45-477C-8023-77210E7C83AE}"/>
            </c:ext>
          </c:extLst>
        </c:ser>
        <c:ser>
          <c:idx val="4"/>
          <c:order val="3"/>
          <c:tx>
            <c:strRef>
              <c:f>'Ceny 2'!$G$5</c:f>
              <c:strCache>
                <c:ptCount val="1"/>
                <c:pt idx="0">
                  <c:v>Doprava</c:v>
                </c:pt>
              </c:strCache>
            </c:strRef>
          </c:tx>
          <c:spPr>
            <a:ln w="19050">
              <a:solidFill>
                <a:srgbClr val="FFC000"/>
              </a:solidFill>
            </a:ln>
          </c:spPr>
          <c:marker>
            <c:symbol val="none"/>
          </c:marker>
          <c:cat>
            <c:multiLvlStrRef>
              <c:f>'Ceny 2'!$A$14:$B$34</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'Ceny 2'!$G$14:$G$34</c:f>
              <c:numCache>
                <c:formatCode>General</c:formatCode>
                <c:ptCount val="21"/>
                <c:pt idx="0">
                  <c:v>9.9999999999994316E-2</c:v>
                </c:pt>
                <c:pt idx="1">
                  <c:v>0.29999999999999716</c:v>
                </c:pt>
                <c:pt idx="2">
                  <c:v>0.5</c:v>
                </c:pt>
                <c:pt idx="3">
                  <c:v>0</c:v>
                </c:pt>
                <c:pt idx="4">
                  <c:v>-4.9000000000000057</c:v>
                </c:pt>
                <c:pt idx="5">
                  <c:v>-3.2999999999999972</c:v>
                </c:pt>
                <c:pt idx="6">
                  <c:v>-3.7999999999999972</c:v>
                </c:pt>
                <c:pt idx="7">
                  <c:v>-4.7000000000000028</c:v>
                </c:pt>
                <c:pt idx="8">
                  <c:v>-2.7000000000000028</c:v>
                </c:pt>
                <c:pt idx="9">
                  <c:v>-2.9000000000000057</c:v>
                </c:pt>
                <c:pt idx="10">
                  <c:v>-2.2999999999999972</c:v>
                </c:pt>
                <c:pt idx="11">
                  <c:v>1.0999999999999943</c:v>
                </c:pt>
                <c:pt idx="12">
                  <c:v>6</c:v>
                </c:pt>
                <c:pt idx="13">
                  <c:v>3.9000000000000057</c:v>
                </c:pt>
                <c:pt idx="14" formatCode="0.0">
                  <c:v>2.5</c:v>
                </c:pt>
                <c:pt idx="15" formatCode="0.0">
                  <c:v>2.5</c:v>
                </c:pt>
                <c:pt idx="16" formatCode="0.0">
                  <c:v>1</c:v>
                </c:pt>
                <c:pt idx="17" formatCode="0.0">
                  <c:v>3</c:v>
                </c:pt>
                <c:pt idx="18" formatCode="0.0">
                  <c:v>4.5</c:v>
                </c:pt>
                <c:pt idx="19" formatCode="0.0">
                  <c:v>2.6</c:v>
                </c:pt>
                <c:pt idx="20" formatCode="0.0">
                  <c:v>0.6</c:v>
                </c:pt>
              </c:numCache>
            </c:numRef>
          </c:val>
          <c:smooth val="0"/>
          <c:extLst>
            <c:ext xmlns:c16="http://schemas.microsoft.com/office/drawing/2014/chart" uri="{C3380CC4-5D6E-409C-BE32-E72D297353CC}">
              <c16:uniqueId val="{00000003-DB45-477C-8023-77210E7C83AE}"/>
            </c:ext>
          </c:extLst>
        </c:ser>
        <c:ser>
          <c:idx val="2"/>
          <c:order val="4"/>
          <c:tx>
            <c:strRef>
              <c:f>'Ceny 2'!$H$5</c:f>
              <c:strCache>
                <c:ptCount val="1"/>
                <c:pt idx="0">
                  <c:v>Stravování a ubytování</c:v>
                </c:pt>
              </c:strCache>
            </c:strRef>
          </c:tx>
          <c:spPr>
            <a:ln w="19050">
              <a:solidFill>
                <a:schemeClr val="accent2"/>
              </a:solidFill>
            </a:ln>
          </c:spPr>
          <c:marker>
            <c:symbol val="none"/>
          </c:marker>
          <c:cat>
            <c:multiLvlStrRef>
              <c:f>'Ceny 2'!$A$14:$B$34</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'Ceny 2'!$H$14:$H$34</c:f>
              <c:numCache>
                <c:formatCode>###\ ###\ ##0.0</c:formatCode>
                <c:ptCount val="21"/>
                <c:pt idx="0">
                  <c:v>1.5999999999999943</c:v>
                </c:pt>
                <c:pt idx="1">
                  <c:v>1.7000000000000028</c:v>
                </c:pt>
                <c:pt idx="2">
                  <c:v>1.7000000000000028</c:v>
                </c:pt>
                <c:pt idx="3">
                  <c:v>1.7000000000000028</c:v>
                </c:pt>
                <c:pt idx="4">
                  <c:v>1.7000000000000028</c:v>
                </c:pt>
                <c:pt idx="5">
                  <c:v>1.5999999999999943</c:v>
                </c:pt>
                <c:pt idx="6">
                  <c:v>1.4000000000000057</c:v>
                </c:pt>
                <c:pt idx="7">
                  <c:v>1.2999999999999972</c:v>
                </c:pt>
                <c:pt idx="8">
                  <c:v>1.2000000000000028</c:v>
                </c:pt>
                <c:pt idx="9">
                  <c:v>1.0999999999999943</c:v>
                </c:pt>
                <c:pt idx="10">
                  <c:v>1.2000000000000028</c:v>
                </c:pt>
                <c:pt idx="11">
                  <c:v>2.7000000000000028</c:v>
                </c:pt>
                <c:pt idx="12">
                  <c:v>5.2000000000000028</c:v>
                </c:pt>
                <c:pt idx="13">
                  <c:v>5.7999999999999972</c:v>
                </c:pt>
                <c:pt idx="14">
                  <c:v>6.2999999999999972</c:v>
                </c:pt>
                <c:pt idx="15" formatCode="0.0">
                  <c:v>5.6</c:v>
                </c:pt>
                <c:pt idx="16" formatCode="0.0">
                  <c:v>3.5</c:v>
                </c:pt>
                <c:pt idx="17" formatCode="0.0">
                  <c:v>3.6</c:v>
                </c:pt>
                <c:pt idx="18" formatCode="0.0">
                  <c:v>3.5</c:v>
                </c:pt>
                <c:pt idx="19" formatCode="0.0">
                  <c:v>3.7</c:v>
                </c:pt>
                <c:pt idx="20" formatCode="0.0">
                  <c:v>3.8</c:v>
                </c:pt>
              </c:numCache>
            </c:numRef>
          </c:val>
          <c:smooth val="0"/>
          <c:extLst>
            <c:ext xmlns:c16="http://schemas.microsoft.com/office/drawing/2014/chart" uri="{C3380CC4-5D6E-409C-BE32-E72D297353CC}">
              <c16:uniqueId val="{00000004-DB45-477C-8023-77210E7C83AE}"/>
            </c:ext>
          </c:extLst>
        </c:ser>
        <c:dLbls>
          <c:showLegendKey val="0"/>
          <c:showVal val="0"/>
          <c:showCatName val="0"/>
          <c:showSerName val="0"/>
          <c:showPercent val="0"/>
          <c:showBubbleSize val="0"/>
        </c:dLbls>
        <c:marker val="1"/>
        <c:smooth val="0"/>
        <c:axId val="270120064"/>
        <c:axId val="270121600"/>
      </c:lineChart>
      <c:catAx>
        <c:axId val="270120064"/>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121600"/>
        <c:crosses val="autoZero"/>
        <c:auto val="1"/>
        <c:lblAlgn val="ctr"/>
        <c:lblOffset val="100"/>
        <c:noMultiLvlLbl val="0"/>
      </c:catAx>
      <c:valAx>
        <c:axId val="270121600"/>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120064"/>
        <c:crosses val="autoZero"/>
        <c:crossBetween val="between"/>
        <c:majorUnit val="1"/>
      </c:valAx>
      <c:spPr>
        <a:ln>
          <a:solidFill>
            <a:schemeClr val="tx1"/>
          </a:solidFill>
        </a:ln>
      </c:spPr>
    </c:plotArea>
    <c:legend>
      <c:legendPos val="b"/>
      <c:layout>
        <c:manualLayout>
          <c:xMode val="edge"/>
          <c:yMode val="edge"/>
          <c:x val="5.6562767491901512E-2"/>
          <c:y val="0.87255825734550319"/>
          <c:w val="0.92362905268491657"/>
          <c:h val="0.1007621299110670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707738197712412E-2"/>
          <c:y val="2.181131592422042E-2"/>
          <c:w val="0.91614446133063154"/>
          <c:h val="0.71663233141956562"/>
        </c:manualLayout>
      </c:layout>
      <c:barChart>
        <c:barDir val="col"/>
        <c:grouping val="clustered"/>
        <c:varyColors val="0"/>
        <c:ser>
          <c:idx val="0"/>
          <c:order val="0"/>
          <c:tx>
            <c:strRef>
              <c:f>'Ceny 4'!$C$5</c:f>
              <c:strCache>
                <c:ptCount val="1"/>
                <c:pt idx="0">
                  <c:v>Celkem</c:v>
                </c:pt>
              </c:strCache>
            </c:strRef>
          </c:tx>
          <c:spPr>
            <a:solidFill>
              <a:schemeClr val="bg1">
                <a:lumMod val="65000"/>
              </a:schemeClr>
            </a:solidFill>
            <a:ln w="19050">
              <a:noFill/>
            </a:ln>
          </c:spPr>
          <c:invertIfNegative val="0"/>
          <c:cat>
            <c:multiLvlStrRef>
              <c:f>'Ceny 4'!$A$18:$B$80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2014</c:v>
                  </c:pt>
                  <c:pt idx="12">
                    <c:v>2015</c:v>
                  </c:pt>
                  <c:pt idx="24">
                    <c:v>2016</c:v>
                  </c:pt>
                  <c:pt idx="36">
                    <c:v>2017</c:v>
                  </c:pt>
                  <c:pt idx="48">
                    <c:v>2018</c:v>
                  </c:pt>
                  <c:pt idx="60">
                    <c:v>2019</c:v>
                  </c:pt>
                </c:lvl>
              </c:multiLvlStrCache>
            </c:multiLvlStrRef>
          </c:cat>
          <c:val>
            <c:numRef>
              <c:f>'Ceny 4'!$C$18:$C$80</c:f>
              <c:numCache>
                <c:formatCode>0.0</c:formatCode>
                <c:ptCount val="63"/>
                <c:pt idx="0">
                  <c:v>-0.70000000000000284</c:v>
                </c:pt>
                <c:pt idx="1">
                  <c:v>-0.70000000000000284</c:v>
                </c:pt>
                <c:pt idx="2">
                  <c:v>-0.79999999999999716</c:v>
                </c:pt>
                <c:pt idx="3">
                  <c:v>-0.29999999999999716</c:v>
                </c:pt>
                <c:pt idx="4">
                  <c:v>-9.9999999999994316E-2</c:v>
                </c:pt>
                <c:pt idx="5">
                  <c:v>-0.20000000000000284</c:v>
                </c:pt>
                <c:pt idx="6">
                  <c:v>-9.9999999999994316E-2</c:v>
                </c:pt>
                <c:pt idx="7">
                  <c:v>0</c:v>
                </c:pt>
                <c:pt idx="8">
                  <c:v>-0.29999999999999716</c:v>
                </c:pt>
                <c:pt idx="9">
                  <c:v>-0.29999999999999716</c:v>
                </c:pt>
                <c:pt idx="10">
                  <c:v>-1.7000000000000028</c:v>
                </c:pt>
                <c:pt idx="11">
                  <c:v>-3.7000000000000028</c:v>
                </c:pt>
                <c:pt idx="12">
                  <c:v>-3.5</c:v>
                </c:pt>
                <c:pt idx="13">
                  <c:v>-3.5999999999999943</c:v>
                </c:pt>
                <c:pt idx="14">
                  <c:v>-2.9000000000000057</c:v>
                </c:pt>
                <c:pt idx="15">
                  <c:v>-2.5999999999999943</c:v>
                </c:pt>
                <c:pt idx="16">
                  <c:v>-2.0999999999999943</c:v>
                </c:pt>
                <c:pt idx="17">
                  <c:v>-2.2999999999999972</c:v>
                </c:pt>
                <c:pt idx="18">
                  <c:v>-3</c:v>
                </c:pt>
                <c:pt idx="19">
                  <c:v>-3.7000000000000028</c:v>
                </c:pt>
                <c:pt idx="20">
                  <c:v>-4.2000000000000028</c:v>
                </c:pt>
                <c:pt idx="21">
                  <c:v>-3.9000000000000057</c:v>
                </c:pt>
                <c:pt idx="22">
                  <c:v>-3.7000000000000028</c:v>
                </c:pt>
                <c:pt idx="23">
                  <c:v>-2.9000000000000057</c:v>
                </c:pt>
                <c:pt idx="24">
                  <c:v>-3.4000000000000057</c:v>
                </c:pt>
                <c:pt idx="25">
                  <c:v>-4</c:v>
                </c:pt>
                <c:pt idx="26">
                  <c:v>-4.5</c:v>
                </c:pt>
                <c:pt idx="27">
                  <c:v>-4.7000000000000028</c:v>
                </c:pt>
                <c:pt idx="28">
                  <c:v>-4.7999999999999972</c:v>
                </c:pt>
                <c:pt idx="29">
                  <c:v>-4.4000000000000057</c:v>
                </c:pt>
                <c:pt idx="30">
                  <c:v>-4</c:v>
                </c:pt>
                <c:pt idx="31">
                  <c:v>-3.4000000000000057</c:v>
                </c:pt>
                <c:pt idx="32">
                  <c:v>-2.4000000000000057</c:v>
                </c:pt>
                <c:pt idx="33">
                  <c:v>-1.7000000000000028</c:v>
                </c:pt>
                <c:pt idx="34">
                  <c:v>-1.2999999999999972</c:v>
                </c:pt>
                <c:pt idx="35">
                  <c:v>-0.40000000000000568</c:v>
                </c:pt>
                <c:pt idx="36" formatCode="General">
                  <c:v>2.0999999999999943</c:v>
                </c:pt>
                <c:pt idx="37" formatCode="General">
                  <c:v>3.0999999999999943</c:v>
                </c:pt>
                <c:pt idx="38">
                  <c:v>3</c:v>
                </c:pt>
                <c:pt idx="39">
                  <c:v>3.2000000000000028</c:v>
                </c:pt>
                <c:pt idx="40" formatCode="General">
                  <c:v>2.2999999999999972</c:v>
                </c:pt>
                <c:pt idx="41" formatCode="General">
                  <c:v>1.2999999999999972</c:v>
                </c:pt>
                <c:pt idx="42" formatCode="General">
                  <c:v>1.1000000000000001</c:v>
                </c:pt>
                <c:pt idx="43" formatCode="General">
                  <c:v>1.4</c:v>
                </c:pt>
                <c:pt idx="44" formatCode="General">
                  <c:v>1.7</c:v>
                </c:pt>
                <c:pt idx="45" formatCode="General">
                  <c:v>1.1000000000000001</c:v>
                </c:pt>
                <c:pt idx="46" formatCode="General">
                  <c:v>0.9</c:v>
                </c:pt>
                <c:pt idx="47" formatCode="General">
                  <c:v>0.7</c:v>
                </c:pt>
                <c:pt idx="48" formatCode="General">
                  <c:v>0.5</c:v>
                </c:pt>
                <c:pt idx="49" formatCode="General">
                  <c:v>-0.3</c:v>
                </c:pt>
                <c:pt idx="50" formatCode="General">
                  <c:v>0.1</c:v>
                </c:pt>
                <c:pt idx="51" formatCode="General">
                  <c:v>0</c:v>
                </c:pt>
                <c:pt idx="52" formatCode="General">
                  <c:v>1.5</c:v>
                </c:pt>
                <c:pt idx="53" formatCode="General">
                  <c:v>2.9</c:v>
                </c:pt>
                <c:pt idx="54" formatCode="General">
                  <c:v>3.4</c:v>
                </c:pt>
                <c:pt idx="55" formatCode="General">
                  <c:v>3.3</c:v>
                </c:pt>
                <c:pt idx="56" formatCode="General">
                  <c:v>3.2</c:v>
                </c:pt>
                <c:pt idx="57" formatCode="General">
                  <c:v>3.9</c:v>
                </c:pt>
                <c:pt idx="58" formatCode="General">
                  <c:v>3.9</c:v>
                </c:pt>
                <c:pt idx="59" formatCode="General">
                  <c:v>2.4</c:v>
                </c:pt>
                <c:pt idx="60" formatCode="General">
                  <c:v>2.9</c:v>
                </c:pt>
                <c:pt idx="61" formatCode="General">
                  <c:v>3.6</c:v>
                </c:pt>
                <c:pt idx="62" formatCode="General">
                  <c:v>3.8</c:v>
                </c:pt>
              </c:numCache>
            </c:numRef>
          </c:val>
          <c:extLst>
            <c:ext xmlns:c16="http://schemas.microsoft.com/office/drawing/2014/chart" uri="{C3380CC4-5D6E-409C-BE32-E72D297353CC}">
              <c16:uniqueId val="{00000000-DD47-42B9-858B-17AD7E6212BA}"/>
            </c:ext>
          </c:extLst>
        </c:ser>
        <c:dLbls>
          <c:showLegendKey val="0"/>
          <c:showVal val="0"/>
          <c:showCatName val="0"/>
          <c:showSerName val="0"/>
          <c:showPercent val="0"/>
          <c:showBubbleSize val="0"/>
        </c:dLbls>
        <c:gapWidth val="91"/>
        <c:axId val="271374208"/>
        <c:axId val="271375744"/>
      </c:barChart>
      <c:lineChart>
        <c:grouping val="standard"/>
        <c:varyColors val="0"/>
        <c:ser>
          <c:idx val="1"/>
          <c:order val="1"/>
          <c:tx>
            <c:strRef>
              <c:f>'Ceny 4'!$D$5</c:f>
              <c:strCache>
                <c:ptCount val="1"/>
                <c:pt idx="0">
                  <c:v>Těžba a dobývání</c:v>
                </c:pt>
              </c:strCache>
            </c:strRef>
          </c:tx>
          <c:spPr>
            <a:ln w="19050">
              <a:solidFill>
                <a:srgbClr val="7DBB2D"/>
              </a:solidFill>
            </a:ln>
          </c:spPr>
          <c:marker>
            <c:symbol val="none"/>
          </c:marker>
          <c:cat>
            <c:multiLvlStrRef>
              <c:f>'Ceny 4'!$A$18:$B$80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2014</c:v>
                  </c:pt>
                  <c:pt idx="12">
                    <c:v>2015</c:v>
                  </c:pt>
                  <c:pt idx="24">
                    <c:v>2016</c:v>
                  </c:pt>
                  <c:pt idx="36">
                    <c:v>2017</c:v>
                  </c:pt>
                  <c:pt idx="48">
                    <c:v>2018</c:v>
                  </c:pt>
                  <c:pt idx="60">
                    <c:v>2019</c:v>
                  </c:pt>
                </c:lvl>
              </c:multiLvlStrCache>
            </c:multiLvlStrRef>
          </c:cat>
          <c:val>
            <c:numRef>
              <c:f>'Ceny 4'!$D$18:$D$80</c:f>
              <c:numCache>
                <c:formatCode>0.0</c:formatCode>
                <c:ptCount val="63"/>
                <c:pt idx="0">
                  <c:v>-3</c:v>
                </c:pt>
                <c:pt idx="1">
                  <c:v>-3.0999999999999943</c:v>
                </c:pt>
                <c:pt idx="2">
                  <c:v>-4</c:v>
                </c:pt>
                <c:pt idx="3">
                  <c:v>-4.0999999999999943</c:v>
                </c:pt>
                <c:pt idx="4">
                  <c:v>-4.5999999999999943</c:v>
                </c:pt>
                <c:pt idx="5">
                  <c:v>-4.7999999999999972</c:v>
                </c:pt>
                <c:pt idx="6">
                  <c:v>-3</c:v>
                </c:pt>
                <c:pt idx="7">
                  <c:v>-3.5999999999999943</c:v>
                </c:pt>
                <c:pt idx="8">
                  <c:v>-1.9000000000000057</c:v>
                </c:pt>
                <c:pt idx="9">
                  <c:v>-2.0999999999999943</c:v>
                </c:pt>
                <c:pt idx="10">
                  <c:v>-2.2999999999999972</c:v>
                </c:pt>
                <c:pt idx="11">
                  <c:v>-2.7999999999999972</c:v>
                </c:pt>
                <c:pt idx="12">
                  <c:v>-0.90000000000000568</c:v>
                </c:pt>
                <c:pt idx="13">
                  <c:v>-1.5</c:v>
                </c:pt>
                <c:pt idx="14">
                  <c:v>-0.90000000000000568</c:v>
                </c:pt>
                <c:pt idx="15">
                  <c:v>-0.90000000000000568</c:v>
                </c:pt>
                <c:pt idx="16">
                  <c:v>0.29999999999999716</c:v>
                </c:pt>
                <c:pt idx="17">
                  <c:v>0.59999999999999432</c:v>
                </c:pt>
                <c:pt idx="18">
                  <c:v>0.40000000000000568</c:v>
                </c:pt>
                <c:pt idx="19">
                  <c:v>-0.29999999999999716</c:v>
                </c:pt>
                <c:pt idx="20">
                  <c:v>-1.7000000000000028</c:v>
                </c:pt>
                <c:pt idx="21">
                  <c:v>-1.4000000000000057</c:v>
                </c:pt>
                <c:pt idx="22">
                  <c:v>-0.59999999999999432</c:v>
                </c:pt>
                <c:pt idx="23">
                  <c:v>-0.5</c:v>
                </c:pt>
                <c:pt idx="24">
                  <c:v>-6.5999999999999943</c:v>
                </c:pt>
                <c:pt idx="25">
                  <c:v>-6.0999999999999943</c:v>
                </c:pt>
                <c:pt idx="26">
                  <c:v>-6.5</c:v>
                </c:pt>
                <c:pt idx="27">
                  <c:v>-7</c:v>
                </c:pt>
                <c:pt idx="28">
                  <c:v>-7.0999999999999943</c:v>
                </c:pt>
                <c:pt idx="29">
                  <c:v>-7.2999999999999972</c:v>
                </c:pt>
                <c:pt idx="30">
                  <c:v>-6.5999999999999943</c:v>
                </c:pt>
                <c:pt idx="31">
                  <c:v>-6</c:v>
                </c:pt>
                <c:pt idx="32">
                  <c:v>-4.9000000000000057</c:v>
                </c:pt>
                <c:pt idx="33">
                  <c:v>-5.2000000000000028</c:v>
                </c:pt>
                <c:pt idx="34">
                  <c:v>-5.2999999999999972</c:v>
                </c:pt>
                <c:pt idx="35">
                  <c:v>-5.0999999999999943</c:v>
                </c:pt>
                <c:pt idx="36" formatCode="General">
                  <c:v>2.2999999999999972</c:v>
                </c:pt>
                <c:pt idx="37" formatCode="General">
                  <c:v>5.7999999999999972</c:v>
                </c:pt>
                <c:pt idx="38">
                  <c:v>6.2000000000000028</c:v>
                </c:pt>
                <c:pt idx="39">
                  <c:v>6.4000000000000057</c:v>
                </c:pt>
                <c:pt idx="40" formatCode="General">
                  <c:v>4.2999999999999972</c:v>
                </c:pt>
                <c:pt idx="41" formatCode="General">
                  <c:v>4.0999999999999943</c:v>
                </c:pt>
                <c:pt idx="42" formatCode="General">
                  <c:v>2.9</c:v>
                </c:pt>
                <c:pt idx="43" formatCode="General">
                  <c:v>1.7</c:v>
                </c:pt>
                <c:pt idx="44" formatCode="General">
                  <c:v>1.9</c:v>
                </c:pt>
                <c:pt idx="45" formatCode="General">
                  <c:v>3.4</c:v>
                </c:pt>
                <c:pt idx="46" formatCode="General">
                  <c:v>3.3</c:v>
                </c:pt>
                <c:pt idx="47" formatCode="General">
                  <c:v>3.6</c:v>
                </c:pt>
                <c:pt idx="48" formatCode="General">
                  <c:v>6.7</c:v>
                </c:pt>
                <c:pt idx="49" formatCode="General">
                  <c:v>5</c:v>
                </c:pt>
                <c:pt idx="50" formatCode="General">
                  <c:v>4.3</c:v>
                </c:pt>
                <c:pt idx="51" formatCode="General">
                  <c:v>4.5999999999999996</c:v>
                </c:pt>
                <c:pt idx="52" formatCode="General">
                  <c:v>7.4</c:v>
                </c:pt>
                <c:pt idx="53" formatCode="General">
                  <c:v>8</c:v>
                </c:pt>
                <c:pt idx="54" formatCode="General">
                  <c:v>8.4</c:v>
                </c:pt>
                <c:pt idx="55" formatCode="General">
                  <c:v>10.1</c:v>
                </c:pt>
                <c:pt idx="56" formatCode="General">
                  <c:v>9.9</c:v>
                </c:pt>
                <c:pt idx="57" formatCode="General">
                  <c:v>9</c:v>
                </c:pt>
                <c:pt idx="58" formatCode="General">
                  <c:v>9.1999999999999993</c:v>
                </c:pt>
                <c:pt idx="59" formatCode="General">
                  <c:v>8.3000000000000007</c:v>
                </c:pt>
                <c:pt idx="60" formatCode="General">
                  <c:v>7.9</c:v>
                </c:pt>
                <c:pt idx="61" formatCode="General">
                  <c:v>7.4</c:v>
                </c:pt>
                <c:pt idx="62" formatCode="General">
                  <c:v>8</c:v>
                </c:pt>
              </c:numCache>
            </c:numRef>
          </c:val>
          <c:smooth val="0"/>
          <c:extLst>
            <c:ext xmlns:c16="http://schemas.microsoft.com/office/drawing/2014/chart" uri="{C3380CC4-5D6E-409C-BE32-E72D297353CC}">
              <c16:uniqueId val="{00000001-DD47-42B9-858B-17AD7E6212BA}"/>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2014</c:v>
                  </c:pt>
                  <c:pt idx="12">
                    <c:v>2015</c:v>
                  </c:pt>
                  <c:pt idx="24">
                    <c:v>2016</c:v>
                  </c:pt>
                  <c:pt idx="36">
                    <c:v>2017</c:v>
                  </c:pt>
                  <c:pt idx="48">
                    <c:v>2018</c:v>
                  </c:pt>
                  <c:pt idx="60">
                    <c:v>2019</c:v>
                  </c:pt>
                </c:lvl>
              </c:multiLvlStrCache>
            </c:multiLvlStrRef>
          </c:cat>
          <c:val>
            <c:numRef>
              <c:f>'Ceny 4'!$E$18:$E$80</c:f>
              <c:numCache>
                <c:formatCode>0.0</c:formatCode>
                <c:ptCount val="63"/>
                <c:pt idx="0">
                  <c:v>1.0999999999999943</c:v>
                </c:pt>
                <c:pt idx="1">
                  <c:v>1.2000000000000028</c:v>
                </c:pt>
                <c:pt idx="2">
                  <c:v>1</c:v>
                </c:pt>
                <c:pt idx="3">
                  <c:v>1.5999999999999943</c:v>
                </c:pt>
                <c:pt idx="4">
                  <c:v>1.9000000000000057</c:v>
                </c:pt>
                <c:pt idx="5">
                  <c:v>1.9000000000000057</c:v>
                </c:pt>
                <c:pt idx="6">
                  <c:v>1.7999999999999972</c:v>
                </c:pt>
                <c:pt idx="7">
                  <c:v>2.0999999999999943</c:v>
                </c:pt>
                <c:pt idx="8">
                  <c:v>1.5</c:v>
                </c:pt>
                <c:pt idx="9">
                  <c:v>1.5</c:v>
                </c:pt>
                <c:pt idx="10">
                  <c:v>-9.9999999999994316E-2</c:v>
                </c:pt>
                <c:pt idx="11">
                  <c:v>-2.7999999999999972</c:v>
                </c:pt>
                <c:pt idx="12">
                  <c:v>-4.2999999999999972</c:v>
                </c:pt>
                <c:pt idx="13">
                  <c:v>-4.4000000000000057</c:v>
                </c:pt>
                <c:pt idx="14">
                  <c:v>-3.5</c:v>
                </c:pt>
                <c:pt idx="15">
                  <c:v>-3.0999999999999943</c:v>
                </c:pt>
                <c:pt idx="16">
                  <c:v>-2.7000000000000028</c:v>
                </c:pt>
                <c:pt idx="17">
                  <c:v>-2.7999999999999972</c:v>
                </c:pt>
                <c:pt idx="18">
                  <c:v>-3.5999999999999943</c:v>
                </c:pt>
                <c:pt idx="19">
                  <c:v>-4.7000000000000028</c:v>
                </c:pt>
                <c:pt idx="20">
                  <c:v>-5.2000000000000028</c:v>
                </c:pt>
                <c:pt idx="21">
                  <c:v>-4.9000000000000057</c:v>
                </c:pt>
                <c:pt idx="22">
                  <c:v>-4.5999999999999943</c:v>
                </c:pt>
                <c:pt idx="23">
                  <c:v>-3.5</c:v>
                </c:pt>
                <c:pt idx="24">
                  <c:v>-3.2999999999999972</c:v>
                </c:pt>
                <c:pt idx="25">
                  <c:v>-4.0999999999999943</c:v>
                </c:pt>
                <c:pt idx="26">
                  <c:v>-4.5999999999999943</c:v>
                </c:pt>
                <c:pt idx="27">
                  <c:v>-4.9000000000000057</c:v>
                </c:pt>
                <c:pt idx="28">
                  <c:v>-5</c:v>
                </c:pt>
                <c:pt idx="29">
                  <c:v>-4.5</c:v>
                </c:pt>
                <c:pt idx="30">
                  <c:v>-4</c:v>
                </c:pt>
                <c:pt idx="31">
                  <c:v>-3.2000000000000028</c:v>
                </c:pt>
                <c:pt idx="32">
                  <c:v>-2</c:v>
                </c:pt>
                <c:pt idx="33">
                  <c:v>-1.0999999999999943</c:v>
                </c:pt>
                <c:pt idx="34">
                  <c:v>-0.59999999999999432</c:v>
                </c:pt>
                <c:pt idx="35">
                  <c:v>0.59999999999999432</c:v>
                </c:pt>
                <c:pt idx="36" formatCode="General">
                  <c:v>2.5999999999999943</c:v>
                </c:pt>
                <c:pt idx="37" formatCode="General">
                  <c:v>4</c:v>
                </c:pt>
                <c:pt idx="38">
                  <c:v>3.7999999999999972</c:v>
                </c:pt>
                <c:pt idx="39">
                  <c:v>4</c:v>
                </c:pt>
                <c:pt idx="40" formatCode="General">
                  <c:v>2.7999999999999972</c:v>
                </c:pt>
                <c:pt idx="41" formatCode="General">
                  <c:v>1.5</c:v>
                </c:pt>
                <c:pt idx="42" formatCode="General">
                  <c:v>1.4</c:v>
                </c:pt>
                <c:pt idx="43" formatCode="General">
                  <c:v>2</c:v>
                </c:pt>
                <c:pt idx="44" formatCode="General">
                  <c:v>2.1</c:v>
                </c:pt>
                <c:pt idx="45" formatCode="General">
                  <c:v>1.4</c:v>
                </c:pt>
                <c:pt idx="46" formatCode="General">
                  <c:v>1.1000000000000001</c:v>
                </c:pt>
                <c:pt idx="47" formatCode="General">
                  <c:v>0.9</c:v>
                </c:pt>
                <c:pt idx="48" formatCode="General">
                  <c:v>0.2</c:v>
                </c:pt>
                <c:pt idx="49" formatCode="General">
                  <c:v>-0.9</c:v>
                </c:pt>
                <c:pt idx="50" formatCode="General">
                  <c:v>-0.5</c:v>
                </c:pt>
                <c:pt idx="51" formatCode="General">
                  <c:v>-0.5</c:v>
                </c:pt>
                <c:pt idx="52" formatCode="General">
                  <c:v>1.3</c:v>
                </c:pt>
                <c:pt idx="53" formatCode="General">
                  <c:v>2.8</c:v>
                </c:pt>
                <c:pt idx="54" formatCode="General">
                  <c:v>3.4</c:v>
                </c:pt>
                <c:pt idx="55" formatCode="General">
                  <c:v>3.2</c:v>
                </c:pt>
                <c:pt idx="56" formatCode="General">
                  <c:v>3</c:v>
                </c:pt>
                <c:pt idx="57" formatCode="General">
                  <c:v>3.8</c:v>
                </c:pt>
                <c:pt idx="58" formatCode="General">
                  <c:v>3.9</c:v>
                </c:pt>
                <c:pt idx="59" formatCode="General">
                  <c:v>2.2000000000000002</c:v>
                </c:pt>
                <c:pt idx="60" formatCode="General">
                  <c:v>1.9</c:v>
                </c:pt>
                <c:pt idx="61" formatCode="General">
                  <c:v>2.9</c:v>
                </c:pt>
                <c:pt idx="62" formatCode="General">
                  <c:v>3</c:v>
                </c:pt>
              </c:numCache>
            </c:numRef>
          </c:val>
          <c:smooth val="0"/>
          <c:extLst>
            <c:ext xmlns:c16="http://schemas.microsoft.com/office/drawing/2014/chart" uri="{C3380CC4-5D6E-409C-BE32-E72D297353CC}">
              <c16:uniqueId val="{00000002-DD47-42B9-858B-17AD7E6212BA}"/>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2014</c:v>
                  </c:pt>
                  <c:pt idx="12">
                    <c:v>2015</c:v>
                  </c:pt>
                  <c:pt idx="24">
                    <c:v>2016</c:v>
                  </c:pt>
                  <c:pt idx="36">
                    <c:v>2017</c:v>
                  </c:pt>
                  <c:pt idx="48">
                    <c:v>2018</c:v>
                  </c:pt>
                  <c:pt idx="60">
                    <c:v>2019</c:v>
                  </c:pt>
                </c:lvl>
              </c:multiLvlStrCache>
            </c:multiLvlStrRef>
          </c:cat>
          <c:val>
            <c:numRef>
              <c:f>'Ceny 4'!$F$18:$F$80</c:f>
              <c:numCache>
                <c:formatCode>0.0</c:formatCode>
                <c:ptCount val="63"/>
                <c:pt idx="0">
                  <c:v>-8.7999999999999972</c:v>
                </c:pt>
                <c:pt idx="1">
                  <c:v>-8.7999999999999972</c:v>
                </c:pt>
                <c:pt idx="2">
                  <c:v>-8.7999999999999972</c:v>
                </c:pt>
                <c:pt idx="3">
                  <c:v>-8.5999999999999943</c:v>
                </c:pt>
                <c:pt idx="4">
                  <c:v>-8.5999999999999943</c:v>
                </c:pt>
                <c:pt idx="5">
                  <c:v>-8.7000000000000028</c:v>
                </c:pt>
                <c:pt idx="6">
                  <c:v>-8.7000000000000028</c:v>
                </c:pt>
                <c:pt idx="7">
                  <c:v>-8.5999999999999943</c:v>
                </c:pt>
                <c:pt idx="8">
                  <c:v>-8.5999999999999943</c:v>
                </c:pt>
                <c:pt idx="9">
                  <c:v>-8.9000000000000057</c:v>
                </c:pt>
                <c:pt idx="10">
                  <c:v>-8.9000000000000057</c:v>
                </c:pt>
                <c:pt idx="11">
                  <c:v>-8.5999999999999943</c:v>
                </c:pt>
                <c:pt idx="12">
                  <c:v>-0.79999999999999716</c:v>
                </c:pt>
                <c:pt idx="13">
                  <c:v>-0.79999999999999716</c:v>
                </c:pt>
                <c:pt idx="14">
                  <c:v>-0.79999999999999716</c:v>
                </c:pt>
                <c:pt idx="15">
                  <c:v>-0.70000000000000284</c:v>
                </c:pt>
                <c:pt idx="16">
                  <c:v>-0.70000000000000284</c:v>
                </c:pt>
                <c:pt idx="17">
                  <c:v>-0.70000000000000284</c:v>
                </c:pt>
                <c:pt idx="18">
                  <c:v>-0.70000000000000284</c:v>
                </c:pt>
                <c:pt idx="19">
                  <c:v>-0.79999999999999716</c:v>
                </c:pt>
                <c:pt idx="20">
                  <c:v>-0.79999999999999716</c:v>
                </c:pt>
                <c:pt idx="21">
                  <c:v>-0.90000000000000568</c:v>
                </c:pt>
                <c:pt idx="22">
                  <c:v>-0.90000000000000568</c:v>
                </c:pt>
                <c:pt idx="23">
                  <c:v>-0.90000000000000568</c:v>
                </c:pt>
                <c:pt idx="24">
                  <c:v>-4</c:v>
                </c:pt>
                <c:pt idx="25">
                  <c:v>-4.0999999999999943</c:v>
                </c:pt>
                <c:pt idx="26">
                  <c:v>-4.0999999999999943</c:v>
                </c:pt>
                <c:pt idx="27">
                  <c:v>-4</c:v>
                </c:pt>
                <c:pt idx="28">
                  <c:v>-4</c:v>
                </c:pt>
                <c:pt idx="29">
                  <c:v>-4.0999999999999943</c:v>
                </c:pt>
                <c:pt idx="30">
                  <c:v>-4</c:v>
                </c:pt>
                <c:pt idx="31">
                  <c:v>-4</c:v>
                </c:pt>
                <c:pt idx="32">
                  <c:v>-4.0999999999999943</c:v>
                </c:pt>
                <c:pt idx="33">
                  <c:v>-4.0999999999999943</c:v>
                </c:pt>
                <c:pt idx="34">
                  <c:v>-4.0999999999999943</c:v>
                </c:pt>
                <c:pt idx="35">
                  <c:v>-4.0999999999999943</c:v>
                </c:pt>
                <c:pt idx="36" formatCode="General">
                  <c:v>-1.0999999999999943</c:v>
                </c:pt>
                <c:pt idx="37" formatCode="General">
                  <c:v>-1.2000000000000028</c:v>
                </c:pt>
                <c:pt idx="38">
                  <c:v>-1.2000000000000028</c:v>
                </c:pt>
                <c:pt idx="39">
                  <c:v>-1.4000000000000057</c:v>
                </c:pt>
                <c:pt idx="40" formatCode="General">
                  <c:v>-1.2999999999999972</c:v>
                </c:pt>
                <c:pt idx="41" formatCode="General">
                  <c:v>-1.0999999999999943</c:v>
                </c:pt>
                <c:pt idx="42" formatCode="General">
                  <c:v>-1.1000000000000001</c:v>
                </c:pt>
                <c:pt idx="43" formatCode="General">
                  <c:v>-1.3</c:v>
                </c:pt>
                <c:pt idx="44" formatCode="General">
                  <c:v>-1.1000000000000001</c:v>
                </c:pt>
                <c:pt idx="45" formatCode="General">
                  <c:v>-1.1000000000000001</c:v>
                </c:pt>
                <c:pt idx="46" formatCode="General">
                  <c:v>-1.1000000000000001</c:v>
                </c:pt>
                <c:pt idx="47" formatCode="General">
                  <c:v>-1.1000000000000001</c:v>
                </c:pt>
                <c:pt idx="48" formatCode="General">
                  <c:v>1.5</c:v>
                </c:pt>
                <c:pt idx="49" formatCode="General">
                  <c:v>1.6</c:v>
                </c:pt>
                <c:pt idx="50" formatCode="General">
                  <c:v>1.6</c:v>
                </c:pt>
                <c:pt idx="51" formatCode="General">
                  <c:v>1.7</c:v>
                </c:pt>
                <c:pt idx="52" formatCode="General">
                  <c:v>1.7</c:v>
                </c:pt>
                <c:pt idx="53" formatCode="General">
                  <c:v>2.2999999999999998</c:v>
                </c:pt>
                <c:pt idx="54" formatCode="General">
                  <c:v>2.2999999999999998</c:v>
                </c:pt>
                <c:pt idx="55" formatCode="General">
                  <c:v>2.6</c:v>
                </c:pt>
                <c:pt idx="56" formatCode="General">
                  <c:v>2.7</c:v>
                </c:pt>
                <c:pt idx="57" formatCode="General">
                  <c:v>2.8</c:v>
                </c:pt>
                <c:pt idx="58" formatCode="General">
                  <c:v>2.8</c:v>
                </c:pt>
                <c:pt idx="59" formatCode="General">
                  <c:v>2.8</c:v>
                </c:pt>
                <c:pt idx="60" formatCode="General">
                  <c:v>7.2</c:v>
                </c:pt>
                <c:pt idx="61" formatCode="General">
                  <c:v>7.5</c:v>
                </c:pt>
                <c:pt idx="62" formatCode="General">
                  <c:v>8.4</c:v>
                </c:pt>
              </c:numCache>
            </c:numRef>
          </c:val>
          <c:smooth val="0"/>
          <c:extLst>
            <c:ext xmlns:c16="http://schemas.microsoft.com/office/drawing/2014/chart" uri="{C3380CC4-5D6E-409C-BE32-E72D297353CC}">
              <c16:uniqueId val="{00000003-DD47-42B9-858B-17AD7E6212BA}"/>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2014</c:v>
                  </c:pt>
                  <c:pt idx="12">
                    <c:v>2015</c:v>
                  </c:pt>
                  <c:pt idx="24">
                    <c:v>2016</c:v>
                  </c:pt>
                  <c:pt idx="36">
                    <c:v>2017</c:v>
                  </c:pt>
                  <c:pt idx="48">
                    <c:v>2018</c:v>
                  </c:pt>
                  <c:pt idx="60">
                    <c:v>2019</c:v>
                  </c:pt>
                </c:lvl>
              </c:multiLvlStrCache>
            </c:multiLvlStrRef>
          </c:cat>
          <c:val>
            <c:numRef>
              <c:f>'Ceny 4'!$G$18:$G$80</c:f>
              <c:numCache>
                <c:formatCode>General</c:formatCode>
                <c:ptCount val="63"/>
                <c:pt idx="0">
                  <c:v>3.4000000000000057</c:v>
                </c:pt>
                <c:pt idx="1">
                  <c:v>3.4000000000000057</c:v>
                </c:pt>
                <c:pt idx="2">
                  <c:v>3.4000000000000057</c:v>
                </c:pt>
                <c:pt idx="3">
                  <c:v>3.4000000000000057</c:v>
                </c:pt>
                <c:pt idx="4">
                  <c:v>3.4000000000000057</c:v>
                </c:pt>
                <c:pt idx="5">
                  <c:v>3.4000000000000057</c:v>
                </c:pt>
                <c:pt idx="6">
                  <c:v>3.4000000000000057</c:v>
                </c:pt>
                <c:pt idx="7">
                  <c:v>3.4000000000000057</c:v>
                </c:pt>
                <c:pt idx="8">
                  <c:v>3.4000000000000057</c:v>
                </c:pt>
                <c:pt idx="9">
                  <c:v>3.4000000000000057</c:v>
                </c:pt>
                <c:pt idx="10">
                  <c:v>3.4000000000000057</c:v>
                </c:pt>
                <c:pt idx="11">
                  <c:v>3.4000000000000057</c:v>
                </c:pt>
                <c:pt idx="12">
                  <c:v>3.4000000000000057</c:v>
                </c:pt>
                <c:pt idx="13">
                  <c:v>3.4000000000000057</c:v>
                </c:pt>
                <c:pt idx="14">
                  <c:v>3.4000000000000057</c:v>
                </c:pt>
                <c:pt idx="15">
                  <c:v>3.4000000000000057</c:v>
                </c:pt>
                <c:pt idx="16">
                  <c:v>3.4000000000000057</c:v>
                </c:pt>
                <c:pt idx="17">
                  <c:v>3.4000000000000057</c:v>
                </c:pt>
                <c:pt idx="18">
                  <c:v>3.4000000000000057</c:v>
                </c:pt>
                <c:pt idx="19">
                  <c:v>3.4000000000000057</c:v>
                </c:pt>
                <c:pt idx="20">
                  <c:v>3.4000000000000057</c:v>
                </c:pt>
                <c:pt idx="21">
                  <c:v>3.4000000000000057</c:v>
                </c:pt>
                <c:pt idx="22">
                  <c:v>3.4000000000000057</c:v>
                </c:pt>
                <c:pt idx="23">
                  <c:v>3.4000000000000057</c:v>
                </c:pt>
                <c:pt idx="24">
                  <c:v>0.5</c:v>
                </c:pt>
                <c:pt idx="25">
                  <c:v>0.5</c:v>
                </c:pt>
                <c:pt idx="26">
                  <c:v>0.5</c:v>
                </c:pt>
                <c:pt idx="27">
                  <c:v>1.5999999999999943</c:v>
                </c:pt>
                <c:pt idx="28">
                  <c:v>1.5999999999999943</c:v>
                </c:pt>
                <c:pt idx="29">
                  <c:v>1.5999999999999943</c:v>
                </c:pt>
                <c:pt idx="30">
                  <c:v>1.5999999999999943</c:v>
                </c:pt>
                <c:pt idx="31">
                  <c:v>1.5999999999999943</c:v>
                </c:pt>
                <c:pt idx="32">
                  <c:v>1.5999999999999943</c:v>
                </c:pt>
                <c:pt idx="33">
                  <c:v>1.5999999999999943</c:v>
                </c:pt>
                <c:pt idx="34">
                  <c:v>1.5999999999999943</c:v>
                </c:pt>
                <c:pt idx="35">
                  <c:v>1.5999999999999943</c:v>
                </c:pt>
                <c:pt idx="36">
                  <c:v>2.0999999999999943</c:v>
                </c:pt>
                <c:pt idx="37">
                  <c:v>2.0999999999999943</c:v>
                </c:pt>
                <c:pt idx="38" formatCode="0.0">
                  <c:v>2.0999999999999943</c:v>
                </c:pt>
                <c:pt idx="39" formatCode="0.0">
                  <c:v>1</c:v>
                </c:pt>
                <c:pt idx="40">
                  <c:v>1</c:v>
                </c:pt>
                <c:pt idx="41">
                  <c:v>1</c:v>
                </c:pt>
                <c:pt idx="42">
                  <c:v>1</c:v>
                </c:pt>
                <c:pt idx="43">
                  <c:v>1</c:v>
                </c:pt>
                <c:pt idx="44">
                  <c:v>1</c:v>
                </c:pt>
                <c:pt idx="45">
                  <c:v>1</c:v>
                </c:pt>
                <c:pt idx="46">
                  <c:v>1</c:v>
                </c:pt>
                <c:pt idx="47">
                  <c:v>1</c:v>
                </c:pt>
                <c:pt idx="48">
                  <c:v>1.9</c:v>
                </c:pt>
                <c:pt idx="49">
                  <c:v>1.9</c:v>
                </c:pt>
                <c:pt idx="50">
                  <c:v>1.9</c:v>
                </c:pt>
                <c:pt idx="51">
                  <c:v>1.9</c:v>
                </c:pt>
                <c:pt idx="52">
                  <c:v>1.9</c:v>
                </c:pt>
                <c:pt idx="53">
                  <c:v>1.9</c:v>
                </c:pt>
                <c:pt idx="54">
                  <c:v>1.9</c:v>
                </c:pt>
                <c:pt idx="55">
                  <c:v>1.9</c:v>
                </c:pt>
                <c:pt idx="56">
                  <c:v>1.9</c:v>
                </c:pt>
                <c:pt idx="57">
                  <c:v>1.9</c:v>
                </c:pt>
                <c:pt idx="58">
                  <c:v>1.9</c:v>
                </c:pt>
                <c:pt idx="59">
                  <c:v>1.9</c:v>
                </c:pt>
                <c:pt idx="60">
                  <c:v>2.9</c:v>
                </c:pt>
                <c:pt idx="61">
                  <c:v>2.9</c:v>
                </c:pt>
                <c:pt idx="62">
                  <c:v>2.9</c:v>
                </c:pt>
              </c:numCache>
            </c:numRef>
          </c:val>
          <c:smooth val="0"/>
          <c:extLst>
            <c:ext xmlns:c16="http://schemas.microsoft.com/office/drawing/2014/chart" uri="{C3380CC4-5D6E-409C-BE32-E72D297353CC}">
              <c16:uniqueId val="{00000004-DD47-42B9-858B-17AD7E6212BA}"/>
            </c:ext>
          </c:extLst>
        </c:ser>
        <c:dLbls>
          <c:showLegendKey val="0"/>
          <c:showVal val="0"/>
          <c:showCatName val="0"/>
          <c:showSerName val="0"/>
          <c:showPercent val="0"/>
          <c:showBubbleSize val="0"/>
        </c:dLbls>
        <c:marker val="1"/>
        <c:smooth val="0"/>
        <c:axId val="271374208"/>
        <c:axId val="271375744"/>
      </c:lineChart>
      <c:catAx>
        <c:axId val="271374208"/>
        <c:scaling>
          <c:orientation val="minMax"/>
        </c:scaling>
        <c:delete val="0"/>
        <c:axPos val="b"/>
        <c:numFmt formatCode="General" sourceLinked="0"/>
        <c:majorTickMark val="out"/>
        <c:minorTickMark val="none"/>
        <c:tickLblPos val="low"/>
        <c:spPr>
          <a:ln>
            <a:solidFill>
              <a:schemeClr val="tx1"/>
            </a:solidFill>
          </a:ln>
        </c:spPr>
        <c:crossAx val="271375744"/>
        <c:crosses val="autoZero"/>
        <c:auto val="1"/>
        <c:lblAlgn val="ctr"/>
        <c:lblOffset val="100"/>
        <c:noMultiLvlLbl val="0"/>
      </c:catAx>
      <c:valAx>
        <c:axId val="271375744"/>
        <c:scaling>
          <c:orientation val="minMax"/>
          <c:max val="12"/>
          <c:min val="-1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374208"/>
        <c:crosses val="autoZero"/>
        <c:crossBetween val="between"/>
        <c:majorUnit val="2"/>
      </c:valAx>
      <c:spPr>
        <a:ln>
          <a:solidFill>
            <a:schemeClr val="tx1"/>
          </a:solidFill>
        </a:ln>
      </c:spPr>
    </c:plotArea>
    <c:legend>
      <c:legendPos val="b"/>
      <c:layout>
        <c:manualLayout>
          <c:xMode val="edge"/>
          <c:yMode val="edge"/>
          <c:x val="5.0596282132642674E-2"/>
          <c:y val="0.86223931272106069"/>
          <c:w val="0.9197331982438367"/>
          <c:h val="0.12109402425765226"/>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306663279993532E-2"/>
          <c:y val="1.6549886621315377E-2"/>
          <c:w val="0.92612532736853703"/>
          <c:h val="0.71362200523083164"/>
        </c:manualLayout>
      </c:layout>
      <c:barChart>
        <c:barDir val="col"/>
        <c:grouping val="stacked"/>
        <c:varyColors val="0"/>
        <c:ser>
          <c:idx val="0"/>
          <c:order val="0"/>
          <c:tx>
            <c:strRef>
              <c:f>'Trh práce 1'!$AC$7</c:f>
              <c:strCache>
                <c:ptCount val="1"/>
                <c:pt idx="0">
                  <c:v>Zemědělství, lesnictví a rybářství</c:v>
                </c:pt>
              </c:strCache>
            </c:strRef>
          </c:tx>
          <c:spPr>
            <a:solidFill>
              <a:srgbClr val="7DBB2D"/>
            </a:solidFill>
            <a:ln>
              <a:noFill/>
            </a:ln>
          </c:spPr>
          <c:invertIfNegative val="0"/>
          <c:cat>
            <c:multiLvlStrRef>
              <c:f>'Trh práce 1'!$AA$8:$AB$45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1'!$AC$8:$AC$45</c:f>
              <c:numCache>
                <c:formatCode>#,##0.00</c:formatCode>
                <c:ptCount val="38"/>
                <c:pt idx="0">
                  <c:v>-0.23356174217311171</c:v>
                </c:pt>
                <c:pt idx="1">
                  <c:v>-0.1747122966562005</c:v>
                </c:pt>
                <c:pt idx="2">
                  <c:v>-0.13915962469226037</c:v>
                </c:pt>
                <c:pt idx="3">
                  <c:v>-0.14143959200405862</c:v>
                </c:pt>
                <c:pt idx="4">
                  <c:v>0.12025721096249922</c:v>
                </c:pt>
                <c:pt idx="5">
                  <c:v>9.358106375492109E-2</c:v>
                </c:pt>
                <c:pt idx="6">
                  <c:v>5.2909479039819948E-2</c:v>
                </c:pt>
                <c:pt idx="7">
                  <c:v>3.2200235806622762E-2</c:v>
                </c:pt>
                <c:pt idx="8">
                  <c:v>3.6416042268804891E-2</c:v>
                </c:pt>
                <c:pt idx="9">
                  <c:v>3.2594485393274086E-2</c:v>
                </c:pt>
                <c:pt idx="10">
                  <c:v>6.1848773312858325E-2</c:v>
                </c:pt>
                <c:pt idx="11">
                  <c:v>7.0937478899476325E-2</c:v>
                </c:pt>
                <c:pt idx="12">
                  <c:v>3.254323494845611E-2</c:v>
                </c:pt>
                <c:pt idx="13">
                  <c:v>7.6321874707195578E-2</c:v>
                </c:pt>
                <c:pt idx="14">
                  <c:v>2.3410924481669548E-2</c:v>
                </c:pt>
                <c:pt idx="15">
                  <c:v>-7.4800499194880665E-4</c:v>
                </c:pt>
                <c:pt idx="16">
                  <c:v>-6.3249219119214373E-4</c:v>
                </c:pt>
                <c:pt idx="17">
                  <c:v>-6.4752296459134953E-2</c:v>
                </c:pt>
                <c:pt idx="18">
                  <c:v>-3.5218637577225362E-2</c:v>
                </c:pt>
                <c:pt idx="19">
                  <c:v>-2.0958984742843256E-2</c:v>
                </c:pt>
                <c:pt idx="20">
                  <c:v>-2.3426406788155177E-2</c:v>
                </c:pt>
                <c:pt idx="21">
                  <c:v>-2.7474299959347057E-2</c:v>
                </c:pt>
                <c:pt idx="22">
                  <c:v>-4.4382342156993569E-2</c:v>
                </c:pt>
                <c:pt idx="23">
                  <c:v>-8.1709652130563096E-2</c:v>
                </c:pt>
                <c:pt idx="24">
                  <c:v>-0.1349012302557534</c:v>
                </c:pt>
                <c:pt idx="25">
                  <c:v>-5.8568195523339348E-2</c:v>
                </c:pt>
                <c:pt idx="26">
                  <c:v>-5.6239326192333558E-2</c:v>
                </c:pt>
                <c:pt idx="27">
                  <c:v>6.6170821514596537E-2</c:v>
                </c:pt>
                <c:pt idx="28">
                  <c:v>0.11723741570217129</c:v>
                </c:pt>
                <c:pt idx="29">
                  <c:v>4.0126527757696755E-2</c:v>
                </c:pt>
                <c:pt idx="30">
                  <c:v>3.1187617642086975E-2</c:v>
                </c:pt>
                <c:pt idx="31">
                  <c:v>-7.4823625304738392E-2</c:v>
                </c:pt>
                <c:pt idx="32">
                  <c:v>-5.6457958029779425E-2</c:v>
                </c:pt>
                <c:pt idx="33">
                  <c:v>-6.2853327364797804E-2</c:v>
                </c:pt>
                <c:pt idx="34">
                  <c:v>-7.0464313820449265E-2</c:v>
                </c:pt>
                <c:pt idx="35">
                  <c:v>-1.2232566219237755E-2</c:v>
                </c:pt>
                <c:pt idx="36" formatCode="0.00">
                  <c:v>2.0196567583157587E-2</c:v>
                </c:pt>
              </c:numCache>
            </c:numRef>
          </c:val>
          <c:extLst>
            <c:ext xmlns:c16="http://schemas.microsoft.com/office/drawing/2014/chart" uri="{C3380CC4-5D6E-409C-BE32-E72D297353CC}">
              <c16:uniqueId val="{00000000-80BC-43F9-A071-142AE78C11EF}"/>
            </c:ext>
          </c:extLst>
        </c:ser>
        <c:ser>
          <c:idx val="1"/>
          <c:order val="1"/>
          <c:tx>
            <c:strRef>
              <c:f>'Trh práce 1'!$AD$7</c:f>
              <c:strCache>
                <c:ptCount val="1"/>
                <c:pt idx="0">
                  <c:v>Zpracovatelský průmysl</c:v>
                </c:pt>
              </c:strCache>
            </c:strRef>
          </c:tx>
          <c:spPr>
            <a:solidFill>
              <a:srgbClr val="A6CDE8"/>
            </a:solidFill>
            <a:ln>
              <a:noFill/>
            </a:ln>
          </c:spPr>
          <c:invertIfNegative val="0"/>
          <c:cat>
            <c:multiLvlStrRef>
              <c:f>'Trh práce 1'!$AA$8:$AB$45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1'!$AD$8:$AD$45</c:f>
              <c:numCache>
                <c:formatCode>#,##0.00</c:formatCode>
                <c:ptCount val="38"/>
                <c:pt idx="0">
                  <c:v>-1.8468131005586972</c:v>
                </c:pt>
                <c:pt idx="1">
                  <c:v>-0.84788747706839906</c:v>
                </c:pt>
                <c:pt idx="2">
                  <c:v>-0.30139112378533134</c:v>
                </c:pt>
                <c:pt idx="3">
                  <c:v>-0.1425635369007866</c:v>
                </c:pt>
                <c:pt idx="4">
                  <c:v>0.97844827072395646</c:v>
                </c:pt>
                <c:pt idx="5">
                  <c:v>1.063786603492519</c:v>
                </c:pt>
                <c:pt idx="6">
                  <c:v>0.95643299792444314</c:v>
                </c:pt>
                <c:pt idx="7">
                  <c:v>0.57769272501294466</c:v>
                </c:pt>
                <c:pt idx="8">
                  <c:v>0.15443577162715652</c:v>
                </c:pt>
                <c:pt idx="9">
                  <c:v>0.13176409830306832</c:v>
                </c:pt>
                <c:pt idx="10">
                  <c:v>0.310669774882741</c:v>
                </c:pt>
                <c:pt idx="11">
                  <c:v>0.42067990356315849</c:v>
                </c:pt>
                <c:pt idx="12">
                  <c:v>-4.6819370352935923E-2</c:v>
                </c:pt>
                <c:pt idx="13">
                  <c:v>4.2064995953618928E-2</c:v>
                </c:pt>
                <c:pt idx="14">
                  <c:v>-0.1041687774205378</c:v>
                </c:pt>
                <c:pt idx="15">
                  <c:v>-5.5135841643404702E-2</c:v>
                </c:pt>
                <c:pt idx="16">
                  <c:v>0.20301022799169485</c:v>
                </c:pt>
                <c:pt idx="17">
                  <c:v>0.19724032346706391</c:v>
                </c:pt>
                <c:pt idx="18">
                  <c:v>0.39740852145595407</c:v>
                </c:pt>
                <c:pt idx="19">
                  <c:v>0.53497562558633682</c:v>
                </c:pt>
                <c:pt idx="20">
                  <c:v>0.89708201699004209</c:v>
                </c:pt>
                <c:pt idx="21">
                  <c:v>0.95891386110790222</c:v>
                </c:pt>
                <c:pt idx="22">
                  <c:v>0.81128655463120936</c:v>
                </c:pt>
                <c:pt idx="23">
                  <c:v>0.98230949962927161</c:v>
                </c:pt>
                <c:pt idx="24">
                  <c:v>0.87235611440990379</c:v>
                </c:pt>
                <c:pt idx="25">
                  <c:v>0.65986062735229012</c:v>
                </c:pt>
                <c:pt idx="26">
                  <c:v>0.73012796808490243</c:v>
                </c:pt>
                <c:pt idx="27">
                  <c:v>0.59894211322673929</c:v>
                </c:pt>
                <c:pt idx="28">
                  <c:v>0.19150433793723556</c:v>
                </c:pt>
                <c:pt idx="29">
                  <c:v>0.31407747649739137</c:v>
                </c:pt>
                <c:pt idx="30">
                  <c:v>0.44293254775485197</c:v>
                </c:pt>
                <c:pt idx="31">
                  <c:v>0.42858338027908338</c:v>
                </c:pt>
                <c:pt idx="32">
                  <c:v>0.6416396084024838</c:v>
                </c:pt>
                <c:pt idx="33">
                  <c:v>0.55147093281985682</c:v>
                </c:pt>
                <c:pt idx="34">
                  <c:v>0.39112071414268845</c:v>
                </c:pt>
                <c:pt idx="35">
                  <c:v>0.34532329629863218</c:v>
                </c:pt>
                <c:pt idx="36" formatCode="0.00">
                  <c:v>0.26431401645492575</c:v>
                </c:pt>
              </c:numCache>
            </c:numRef>
          </c:val>
          <c:extLst>
            <c:ext xmlns:c16="http://schemas.microsoft.com/office/drawing/2014/chart" uri="{C3380CC4-5D6E-409C-BE32-E72D297353CC}">
              <c16:uniqueId val="{00000001-80BC-43F9-A071-142AE78C11EF}"/>
            </c:ext>
          </c:extLst>
        </c:ser>
        <c:ser>
          <c:idx val="2"/>
          <c:order val="2"/>
          <c:tx>
            <c:strRef>
              <c:f>'Trh práce 1'!$AE$7</c:f>
              <c:strCache>
                <c:ptCount val="1"/>
                <c:pt idx="0">
                  <c:v>Stavebnictví</c:v>
                </c:pt>
              </c:strCache>
            </c:strRef>
          </c:tx>
          <c:spPr>
            <a:solidFill>
              <a:srgbClr val="48AEE7"/>
            </a:solidFill>
            <a:ln w="19050">
              <a:noFill/>
            </a:ln>
          </c:spPr>
          <c:invertIfNegative val="0"/>
          <c:cat>
            <c:multiLvlStrRef>
              <c:f>'Trh práce 1'!$AA$8:$AB$45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1'!$AE$8:$AE$45</c:f>
              <c:numCache>
                <c:formatCode>#,##0.00</c:formatCode>
                <c:ptCount val="38"/>
                <c:pt idx="0">
                  <c:v>9.1805397291672322E-2</c:v>
                </c:pt>
                <c:pt idx="1">
                  <c:v>0.14233137183665134</c:v>
                </c:pt>
                <c:pt idx="2">
                  <c:v>0.18536243119285936</c:v>
                </c:pt>
                <c:pt idx="3">
                  <c:v>0.18846781268294879</c:v>
                </c:pt>
                <c:pt idx="4">
                  <c:v>-0.46608857908148404</c:v>
                </c:pt>
                <c:pt idx="5">
                  <c:v>-0.46105406019246514</c:v>
                </c:pt>
                <c:pt idx="6">
                  <c:v>-0.50213718404433083</c:v>
                </c:pt>
                <c:pt idx="7">
                  <c:v>-0.48550624820548732</c:v>
                </c:pt>
                <c:pt idx="8">
                  <c:v>-8.7100822625494942E-2</c:v>
                </c:pt>
                <c:pt idx="9">
                  <c:v>-5.7664119966716589E-2</c:v>
                </c:pt>
                <c:pt idx="10">
                  <c:v>-0.14694777392936498</c:v>
                </c:pt>
                <c:pt idx="11">
                  <c:v>-0.16362090947726265</c:v>
                </c:pt>
                <c:pt idx="12">
                  <c:v>-0.21164023265136817</c:v>
                </c:pt>
                <c:pt idx="13">
                  <c:v>-0.32390837579697213</c:v>
                </c:pt>
                <c:pt idx="14">
                  <c:v>-0.19120233196415506</c:v>
                </c:pt>
                <c:pt idx="15">
                  <c:v>-9.5508426866765084E-2</c:v>
                </c:pt>
                <c:pt idx="16">
                  <c:v>-0.43207122810811094</c:v>
                </c:pt>
                <c:pt idx="17">
                  <c:v>-0.30623380701892161</c:v>
                </c:pt>
                <c:pt idx="18">
                  <c:v>-0.361619939409007</c:v>
                </c:pt>
                <c:pt idx="19">
                  <c:v>-0.44866003208200655</c:v>
                </c:pt>
                <c:pt idx="20">
                  <c:v>-1.1988345755684198E-2</c:v>
                </c:pt>
                <c:pt idx="21">
                  <c:v>-4.8830126266074855E-3</c:v>
                </c:pt>
                <c:pt idx="22">
                  <c:v>-5.0789652116277763E-2</c:v>
                </c:pt>
                <c:pt idx="23">
                  <c:v>-8.1280730072134724E-2</c:v>
                </c:pt>
                <c:pt idx="24">
                  <c:v>-0.17435091395971647</c:v>
                </c:pt>
                <c:pt idx="25">
                  <c:v>-0.20154859782266646</c:v>
                </c:pt>
                <c:pt idx="26">
                  <c:v>-8.8031800957899836E-2</c:v>
                </c:pt>
                <c:pt idx="27">
                  <c:v>-6.5305214837806186E-2</c:v>
                </c:pt>
                <c:pt idx="28">
                  <c:v>-2.2163527088411759E-3</c:v>
                </c:pt>
                <c:pt idx="29">
                  <c:v>-6.9727441700161638E-3</c:v>
                </c:pt>
                <c:pt idx="30">
                  <c:v>6.3305925457414092E-2</c:v>
                </c:pt>
                <c:pt idx="31">
                  <c:v>-8.1773421900432991E-2</c:v>
                </c:pt>
                <c:pt idx="32">
                  <c:v>-3.220250441325003E-3</c:v>
                </c:pt>
                <c:pt idx="33">
                  <c:v>-5.6517382047379244E-2</c:v>
                </c:pt>
                <c:pt idx="34">
                  <c:v>-5.76119806097403E-2</c:v>
                </c:pt>
                <c:pt idx="35">
                  <c:v>-5.4366960974389271E-3</c:v>
                </c:pt>
                <c:pt idx="36" formatCode="0.00">
                  <c:v>9.6262283622749259E-2</c:v>
                </c:pt>
              </c:numCache>
            </c:numRef>
          </c:val>
          <c:extLst>
            <c:ext xmlns:c16="http://schemas.microsoft.com/office/drawing/2014/chart" uri="{C3380CC4-5D6E-409C-BE32-E72D297353CC}">
              <c16:uniqueId val="{00000002-80BC-43F9-A071-142AE78C11EF}"/>
            </c:ext>
          </c:extLst>
        </c:ser>
        <c:ser>
          <c:idx val="3"/>
          <c:order val="3"/>
          <c:tx>
            <c:strRef>
              <c:f>'Trh práce 1'!$AF$7</c:f>
              <c:strCache>
                <c:ptCount val="1"/>
                <c:pt idx="0">
                  <c:v>Obchod, doprava, ubytování a pohost.</c:v>
                </c:pt>
              </c:strCache>
            </c:strRef>
          </c:tx>
          <c:spPr>
            <a:solidFill>
              <a:srgbClr val="FDDEB3"/>
            </a:solidFill>
            <a:ln w="19050">
              <a:noFill/>
            </a:ln>
          </c:spPr>
          <c:invertIfNegative val="0"/>
          <c:cat>
            <c:multiLvlStrRef>
              <c:f>'Trh práce 1'!$AA$8:$AB$45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1'!$AF$8:$AF$45</c:f>
              <c:numCache>
                <c:formatCode>#,##0.00</c:formatCode>
                <c:ptCount val="38"/>
                <c:pt idx="0">
                  <c:v>-0.32992745808419799</c:v>
                </c:pt>
                <c:pt idx="1">
                  <c:v>-0.13169415981863533</c:v>
                </c:pt>
                <c:pt idx="2">
                  <c:v>0.1363839128402832</c:v>
                </c:pt>
                <c:pt idx="3">
                  <c:v>0.26629606719849908</c:v>
                </c:pt>
                <c:pt idx="4">
                  <c:v>-4.4602253198547499E-2</c:v>
                </c:pt>
                <c:pt idx="5">
                  <c:v>-8.3343778532470478E-2</c:v>
                </c:pt>
                <c:pt idx="6">
                  <c:v>-8.9490576176930112E-2</c:v>
                </c:pt>
                <c:pt idx="7">
                  <c:v>-0.17073613404442001</c:v>
                </c:pt>
                <c:pt idx="8">
                  <c:v>-0.13093899013055701</c:v>
                </c:pt>
                <c:pt idx="9">
                  <c:v>-9.8654754695802052E-2</c:v>
                </c:pt>
                <c:pt idx="10">
                  <c:v>-8.3732505144657896E-2</c:v>
                </c:pt>
                <c:pt idx="11">
                  <c:v>-0.19994359954085053</c:v>
                </c:pt>
                <c:pt idx="12">
                  <c:v>0.20870161228994447</c:v>
                </c:pt>
                <c:pt idx="13">
                  <c:v>0.15908791702758593</c:v>
                </c:pt>
                <c:pt idx="14">
                  <c:v>1.2571076255283883E-2</c:v>
                </c:pt>
                <c:pt idx="15">
                  <c:v>1.6731690609384169E-2</c:v>
                </c:pt>
                <c:pt idx="16">
                  <c:v>-4.7436914339410621E-2</c:v>
                </c:pt>
                <c:pt idx="17">
                  <c:v>-0.23822328648818419</c:v>
                </c:pt>
                <c:pt idx="18">
                  <c:v>-0.10860390136816096</c:v>
                </c:pt>
                <c:pt idx="19">
                  <c:v>0.12986698621410456</c:v>
                </c:pt>
                <c:pt idx="20">
                  <c:v>0.13077123386609546</c:v>
                </c:pt>
                <c:pt idx="21">
                  <c:v>0.38187511999169982</c:v>
                </c:pt>
                <c:pt idx="22">
                  <c:v>0.21771179724458325</c:v>
                </c:pt>
                <c:pt idx="23">
                  <c:v>8.2353035218203058E-2</c:v>
                </c:pt>
                <c:pt idx="24">
                  <c:v>8.3575891644353945E-2</c:v>
                </c:pt>
                <c:pt idx="25">
                  <c:v>0.22999435517457698</c:v>
                </c:pt>
                <c:pt idx="26">
                  <c:v>-6.0153136002780421E-3</c:v>
                </c:pt>
                <c:pt idx="27">
                  <c:v>0.12124264186235174</c:v>
                </c:pt>
                <c:pt idx="28">
                  <c:v>0.30899013799470437</c:v>
                </c:pt>
                <c:pt idx="29">
                  <c:v>0.15780821001677431</c:v>
                </c:pt>
                <c:pt idx="30">
                  <c:v>0.50460501698984073</c:v>
                </c:pt>
                <c:pt idx="31">
                  <c:v>0.37073765481002691</c:v>
                </c:pt>
                <c:pt idx="32">
                  <c:v>0.25564268854377808</c:v>
                </c:pt>
                <c:pt idx="33">
                  <c:v>0.52295917889148047</c:v>
                </c:pt>
                <c:pt idx="34">
                  <c:v>0.34963934304087885</c:v>
                </c:pt>
                <c:pt idx="35">
                  <c:v>0.37874408224008366</c:v>
                </c:pt>
                <c:pt idx="36" formatCode="0.00">
                  <c:v>0.43827107014780553</c:v>
                </c:pt>
              </c:numCache>
            </c:numRef>
          </c:val>
          <c:extLst>
            <c:ext xmlns:c16="http://schemas.microsoft.com/office/drawing/2014/chart" uri="{C3380CC4-5D6E-409C-BE32-E72D297353CC}">
              <c16:uniqueId val="{00000003-80BC-43F9-A071-142AE78C11EF}"/>
            </c:ext>
          </c:extLst>
        </c:ser>
        <c:ser>
          <c:idx val="4"/>
          <c:order val="4"/>
          <c:tx>
            <c:strRef>
              <c:f>'Trh práce 1'!$AG$7</c:f>
              <c:strCache>
                <c:ptCount val="1"/>
                <c:pt idx="0">
                  <c:v>Informační a komunikač. čin.</c:v>
                </c:pt>
              </c:strCache>
            </c:strRef>
          </c:tx>
          <c:spPr>
            <a:solidFill>
              <a:srgbClr val="F8A124"/>
            </a:solidFill>
            <a:ln w="19050">
              <a:noFill/>
            </a:ln>
          </c:spPr>
          <c:invertIfNegative val="0"/>
          <c:cat>
            <c:multiLvlStrRef>
              <c:f>'Trh práce 1'!$AA$8:$AB$45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1'!$AG$8:$AG$45</c:f>
              <c:numCache>
                <c:formatCode>#,##0.00</c:formatCode>
                <c:ptCount val="38"/>
                <c:pt idx="0">
                  <c:v>-6.5544918462082921E-2</c:v>
                </c:pt>
                <c:pt idx="1">
                  <c:v>-7.6376746585239866E-2</c:v>
                </c:pt>
                <c:pt idx="2">
                  <c:v>-6.7365148634448022E-2</c:v>
                </c:pt>
                <c:pt idx="3">
                  <c:v>-8.1298680863339648E-2</c:v>
                </c:pt>
                <c:pt idx="4">
                  <c:v>-4.2754587475846345E-2</c:v>
                </c:pt>
                <c:pt idx="5">
                  <c:v>-8.4571460706150903E-2</c:v>
                </c:pt>
                <c:pt idx="6">
                  <c:v>-0.13311180898948402</c:v>
                </c:pt>
                <c:pt idx="7">
                  <c:v>-0.16297181769937</c:v>
                </c:pt>
                <c:pt idx="8">
                  <c:v>2.048030279095709E-2</c:v>
                </c:pt>
                <c:pt idx="9">
                  <c:v>3.5782645872203221E-2</c:v>
                </c:pt>
                <c:pt idx="10">
                  <c:v>5.3511170506353962E-2</c:v>
                </c:pt>
                <c:pt idx="11">
                  <c:v>7.1751710880125247E-2</c:v>
                </c:pt>
                <c:pt idx="12">
                  <c:v>4.0922274087106726E-2</c:v>
                </c:pt>
                <c:pt idx="13">
                  <c:v>7.4542810028706205E-2</c:v>
                </c:pt>
                <c:pt idx="14">
                  <c:v>3.1221123657486902E-2</c:v>
                </c:pt>
                <c:pt idx="15">
                  <c:v>3.1416209661862315E-2</c:v>
                </c:pt>
                <c:pt idx="16">
                  <c:v>0.10163358897218235</c:v>
                </c:pt>
                <c:pt idx="17">
                  <c:v>6.6224385648111464E-2</c:v>
                </c:pt>
                <c:pt idx="18">
                  <c:v>8.507895204899954E-2</c:v>
                </c:pt>
                <c:pt idx="19">
                  <c:v>8.2438673321849676E-2</c:v>
                </c:pt>
                <c:pt idx="20">
                  <c:v>8.1363526932014367E-3</c:v>
                </c:pt>
                <c:pt idx="21">
                  <c:v>5.196780506229165E-2</c:v>
                </c:pt>
                <c:pt idx="22">
                  <c:v>7.5696116134837246E-2</c:v>
                </c:pt>
                <c:pt idx="23">
                  <c:v>9.8730059267280498E-2</c:v>
                </c:pt>
                <c:pt idx="24">
                  <c:v>0.13556098886172266</c:v>
                </c:pt>
                <c:pt idx="25">
                  <c:v>0.11844690019297284</c:v>
                </c:pt>
                <c:pt idx="26">
                  <c:v>0.14205394425269552</c:v>
                </c:pt>
                <c:pt idx="27">
                  <c:v>0.1723519072008087</c:v>
                </c:pt>
                <c:pt idx="28">
                  <c:v>9.117616488441338E-2</c:v>
                </c:pt>
                <c:pt idx="29">
                  <c:v>7.4933250699032117E-2</c:v>
                </c:pt>
                <c:pt idx="30">
                  <c:v>9.0599839313492886E-2</c:v>
                </c:pt>
                <c:pt idx="31">
                  <c:v>6.5909755758085858E-2</c:v>
                </c:pt>
                <c:pt idx="32">
                  <c:v>0.11351853602518676</c:v>
                </c:pt>
                <c:pt idx="33">
                  <c:v>0.12467565771048955</c:v>
                </c:pt>
                <c:pt idx="34">
                  <c:v>0.1292683949019077</c:v>
                </c:pt>
                <c:pt idx="35">
                  <c:v>0.14219194553473155</c:v>
                </c:pt>
                <c:pt idx="36" formatCode="0.00">
                  <c:v>0.15442691730403352</c:v>
                </c:pt>
              </c:numCache>
            </c:numRef>
          </c:val>
          <c:extLst>
            <c:ext xmlns:c16="http://schemas.microsoft.com/office/drawing/2014/chart" uri="{C3380CC4-5D6E-409C-BE32-E72D297353CC}">
              <c16:uniqueId val="{00000004-80BC-43F9-A071-142AE78C11EF}"/>
            </c:ext>
          </c:extLst>
        </c:ser>
        <c:ser>
          <c:idx val="5"/>
          <c:order val="5"/>
          <c:tx>
            <c:strRef>
              <c:f>'Trh práce 1'!$AH$7</c:f>
              <c:strCache>
                <c:ptCount val="1"/>
                <c:pt idx="0">
                  <c:v>Profesní, vědec., techn. a admin. čin.</c:v>
                </c:pt>
              </c:strCache>
            </c:strRef>
          </c:tx>
          <c:spPr>
            <a:solidFill>
              <a:srgbClr val="E8C0BE"/>
            </a:solidFill>
            <a:ln w="19050">
              <a:noFill/>
            </a:ln>
          </c:spPr>
          <c:invertIfNegative val="0"/>
          <c:cat>
            <c:multiLvlStrRef>
              <c:f>'Trh práce 1'!$AA$8:$AB$45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1'!$AH$8:$AH$45</c:f>
              <c:numCache>
                <c:formatCode>#,##0.00</c:formatCode>
                <c:ptCount val="38"/>
                <c:pt idx="0">
                  <c:v>-0.14301236484017521</c:v>
                </c:pt>
                <c:pt idx="1">
                  <c:v>-6.1261737596404291E-2</c:v>
                </c:pt>
                <c:pt idx="2">
                  <c:v>-5.7089109012243349E-3</c:v>
                </c:pt>
                <c:pt idx="3">
                  <c:v>-5.3554988412522542E-2</c:v>
                </c:pt>
                <c:pt idx="4">
                  <c:v>-0.2067200198355853</c:v>
                </c:pt>
                <c:pt idx="5">
                  <c:v>-0.23613080517931392</c:v>
                </c:pt>
                <c:pt idx="6">
                  <c:v>-0.38896256600127194</c:v>
                </c:pt>
                <c:pt idx="7">
                  <c:v>-0.29327044631221588</c:v>
                </c:pt>
                <c:pt idx="8">
                  <c:v>0.12079806500829224</c:v>
                </c:pt>
                <c:pt idx="9">
                  <c:v>0.13786318791493057</c:v>
                </c:pt>
                <c:pt idx="10">
                  <c:v>0.20517236359949115</c:v>
                </c:pt>
                <c:pt idx="11">
                  <c:v>0.246156229271838</c:v>
                </c:pt>
                <c:pt idx="12">
                  <c:v>4.8586513678384492E-2</c:v>
                </c:pt>
                <c:pt idx="13">
                  <c:v>0.15669606340428388</c:v>
                </c:pt>
                <c:pt idx="14">
                  <c:v>0.21355091197354684</c:v>
                </c:pt>
                <c:pt idx="15">
                  <c:v>0.20194166348436518</c:v>
                </c:pt>
                <c:pt idx="16">
                  <c:v>0.32444872870057895</c:v>
                </c:pt>
                <c:pt idx="17">
                  <c:v>0.23009735416503094</c:v>
                </c:pt>
                <c:pt idx="18">
                  <c:v>0.12021897659591836</c:v>
                </c:pt>
                <c:pt idx="19">
                  <c:v>8.6689509664060513E-2</c:v>
                </c:pt>
                <c:pt idx="20">
                  <c:v>0.11212051235438299</c:v>
                </c:pt>
                <c:pt idx="21">
                  <c:v>0.10889706472109727</c:v>
                </c:pt>
                <c:pt idx="22">
                  <c:v>0.21462534915444087</c:v>
                </c:pt>
                <c:pt idx="23">
                  <c:v>0.35403616631803658</c:v>
                </c:pt>
                <c:pt idx="24">
                  <c:v>0.28965343268521748</c:v>
                </c:pt>
                <c:pt idx="25">
                  <c:v>0.25529874501404182</c:v>
                </c:pt>
                <c:pt idx="26">
                  <c:v>0.24628082028826492</c:v>
                </c:pt>
                <c:pt idx="27">
                  <c:v>0.25598874788263026</c:v>
                </c:pt>
                <c:pt idx="28">
                  <c:v>0.23116940882994805</c:v>
                </c:pt>
                <c:pt idx="29">
                  <c:v>0.15482531945902892</c:v>
                </c:pt>
                <c:pt idx="30">
                  <c:v>9.278411216905956E-2</c:v>
                </c:pt>
                <c:pt idx="31">
                  <c:v>-4.4059444178685847E-2</c:v>
                </c:pt>
                <c:pt idx="32">
                  <c:v>0.11901744321154208</c:v>
                </c:pt>
                <c:pt idx="33">
                  <c:v>9.2171133508114345E-2</c:v>
                </c:pt>
                <c:pt idx="34">
                  <c:v>1.9539271794250693E-2</c:v>
                </c:pt>
                <c:pt idx="35">
                  <c:v>0.17991367941627653</c:v>
                </c:pt>
                <c:pt idx="36" formatCode="0.00">
                  <c:v>5.1981633156284603E-2</c:v>
                </c:pt>
              </c:numCache>
            </c:numRef>
          </c:val>
          <c:extLst>
            <c:ext xmlns:c16="http://schemas.microsoft.com/office/drawing/2014/chart" uri="{C3380CC4-5D6E-409C-BE32-E72D297353CC}">
              <c16:uniqueId val="{00000005-80BC-43F9-A071-142AE78C11EF}"/>
            </c:ext>
          </c:extLst>
        </c:ser>
        <c:ser>
          <c:idx val="6"/>
          <c:order val="6"/>
          <c:tx>
            <c:strRef>
              <c:f>'Trh práce 1'!$AI$7</c:f>
              <c:strCache>
                <c:ptCount val="1"/>
                <c:pt idx="0">
                  <c:v>Veř.spr.,obrana, vzděl.,zdrav.a soc.péče</c:v>
                </c:pt>
              </c:strCache>
            </c:strRef>
          </c:tx>
          <c:spPr>
            <a:solidFill>
              <a:srgbClr val="D58D8B"/>
            </a:solidFill>
            <a:ln>
              <a:noFill/>
            </a:ln>
          </c:spPr>
          <c:invertIfNegative val="0"/>
          <c:cat>
            <c:multiLvlStrRef>
              <c:f>'Trh práce 1'!$AA$8:$AB$45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1'!$AI$8:$AI$45</c:f>
              <c:numCache>
                <c:formatCode>#,##0.00</c:formatCode>
                <c:ptCount val="38"/>
                <c:pt idx="0">
                  <c:v>-2.0907901466973439E-2</c:v>
                </c:pt>
                <c:pt idx="1">
                  <c:v>-6.2962909371343301E-2</c:v>
                </c:pt>
                <c:pt idx="2">
                  <c:v>-2.8209894211911567E-2</c:v>
                </c:pt>
                <c:pt idx="3">
                  <c:v>-2.2340869613912382E-2</c:v>
                </c:pt>
                <c:pt idx="4">
                  <c:v>-9.5105116285723379E-2</c:v>
                </c:pt>
                <c:pt idx="5">
                  <c:v>-0.14678722505612299</c:v>
                </c:pt>
                <c:pt idx="6">
                  <c:v>-0.16744479557477174</c:v>
                </c:pt>
                <c:pt idx="7">
                  <c:v>-0.1288994751598026</c:v>
                </c:pt>
                <c:pt idx="8">
                  <c:v>-0.43673451891530518</c:v>
                </c:pt>
                <c:pt idx="9">
                  <c:v>-0.32576663378174864</c:v>
                </c:pt>
                <c:pt idx="10">
                  <c:v>-5.8957348111554328E-2</c:v>
                </c:pt>
                <c:pt idx="11">
                  <c:v>3.9857648418602898E-2</c:v>
                </c:pt>
                <c:pt idx="12">
                  <c:v>0.15165663730097972</c:v>
                </c:pt>
                <c:pt idx="13">
                  <c:v>0.37473032344581875</c:v>
                </c:pt>
                <c:pt idx="14">
                  <c:v>0.18752347240275047</c:v>
                </c:pt>
                <c:pt idx="15">
                  <c:v>0.15316386427252701</c:v>
                </c:pt>
                <c:pt idx="16">
                  <c:v>0.26533047420509104</c:v>
                </c:pt>
                <c:pt idx="17">
                  <c:v>0.16561984768783769</c:v>
                </c:pt>
                <c:pt idx="18">
                  <c:v>0.34577941380228444</c:v>
                </c:pt>
                <c:pt idx="19">
                  <c:v>0.35604690325588367</c:v>
                </c:pt>
                <c:pt idx="20">
                  <c:v>0.26073669367319835</c:v>
                </c:pt>
                <c:pt idx="21">
                  <c:v>0.23875774589939752</c:v>
                </c:pt>
                <c:pt idx="22">
                  <c:v>9.980166640848423E-2</c:v>
                </c:pt>
                <c:pt idx="23">
                  <c:v>9.8593584066869605E-2</c:v>
                </c:pt>
                <c:pt idx="24">
                  <c:v>0.37561609810998425</c:v>
                </c:pt>
                <c:pt idx="25">
                  <c:v>0.36534296891607143</c:v>
                </c:pt>
                <c:pt idx="26">
                  <c:v>0.44871925875912344</c:v>
                </c:pt>
                <c:pt idx="27">
                  <c:v>0.54529373496970024</c:v>
                </c:pt>
                <c:pt idx="28">
                  <c:v>0.50744923788037166</c:v>
                </c:pt>
                <c:pt idx="29">
                  <c:v>0.561448400458187</c:v>
                </c:pt>
                <c:pt idx="30">
                  <c:v>0.64859608236418231</c:v>
                </c:pt>
                <c:pt idx="31">
                  <c:v>0.65218553161883674</c:v>
                </c:pt>
                <c:pt idx="32">
                  <c:v>0.43955476930389625</c:v>
                </c:pt>
                <c:pt idx="33">
                  <c:v>0.4662168520399318</c:v>
                </c:pt>
                <c:pt idx="34">
                  <c:v>0.40427107247132682</c:v>
                </c:pt>
                <c:pt idx="35">
                  <c:v>0.4249559990683125</c:v>
                </c:pt>
                <c:pt idx="36" formatCode="0.00">
                  <c:v>0.45187737369832875</c:v>
                </c:pt>
              </c:numCache>
            </c:numRef>
          </c:val>
          <c:extLst>
            <c:ext xmlns:c16="http://schemas.microsoft.com/office/drawing/2014/chart" uri="{C3380CC4-5D6E-409C-BE32-E72D297353CC}">
              <c16:uniqueId val="{00000006-80BC-43F9-A071-142AE78C11EF}"/>
            </c:ext>
          </c:extLst>
        </c:ser>
        <c:ser>
          <c:idx val="7"/>
          <c:order val="7"/>
          <c:tx>
            <c:strRef>
              <c:f>'Trh práce 1'!$AJ$7</c:f>
              <c:strCache>
                <c:ptCount val="1"/>
                <c:pt idx="0">
                  <c:v>Ostatní odvětví*</c:v>
                </c:pt>
              </c:strCache>
            </c:strRef>
          </c:tx>
          <c:spPr>
            <a:solidFill>
              <a:schemeClr val="bg1">
                <a:lumMod val="85000"/>
              </a:schemeClr>
            </a:solidFill>
            <a:ln>
              <a:noFill/>
            </a:ln>
          </c:spPr>
          <c:invertIfNegative val="0"/>
          <c:cat>
            <c:multiLvlStrRef>
              <c:f>'Trh práce 1'!$AA$8:$AB$45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1'!$AJ$8:$AJ$45</c:f>
              <c:numCache>
                <c:formatCode>#,##0.00</c:formatCode>
                <c:ptCount val="38"/>
                <c:pt idx="0">
                  <c:v>-0.1901420983687783</c:v>
                </c:pt>
                <c:pt idx="1">
                  <c:v>-3.799283630699439E-2</c:v>
                </c:pt>
                <c:pt idx="2">
                  <c:v>4.5809088507411368E-2</c:v>
                </c:pt>
                <c:pt idx="3">
                  <c:v>4.7047939010411724E-2</c:v>
                </c:pt>
                <c:pt idx="4">
                  <c:v>-0.13197896124630437</c:v>
                </c:pt>
                <c:pt idx="5">
                  <c:v>-0.15009404639490076</c:v>
                </c:pt>
                <c:pt idx="6">
                  <c:v>-0.15241795135995928</c:v>
                </c:pt>
                <c:pt idx="7">
                  <c:v>-0.13857531101112103</c:v>
                </c:pt>
                <c:pt idx="8">
                  <c:v>0.27082819010483822</c:v>
                </c:pt>
                <c:pt idx="9">
                  <c:v>0.3204002270128683</c:v>
                </c:pt>
                <c:pt idx="10">
                  <c:v>0.32552298653328626</c:v>
                </c:pt>
                <c:pt idx="11">
                  <c:v>0.40308454905449781</c:v>
                </c:pt>
                <c:pt idx="12">
                  <c:v>0.2322105751813254</c:v>
                </c:pt>
                <c:pt idx="13">
                  <c:v>0.15133910198349895</c:v>
                </c:pt>
                <c:pt idx="14">
                  <c:v>-7.2219751069082586E-2</c:v>
                </c:pt>
                <c:pt idx="15">
                  <c:v>-0.22877142148506568</c:v>
                </c:pt>
                <c:pt idx="16">
                  <c:v>0.15741149408293634</c:v>
                </c:pt>
                <c:pt idx="17">
                  <c:v>3.8568736751197499E-2</c:v>
                </c:pt>
                <c:pt idx="18">
                  <c:v>0.16498909735535922</c:v>
                </c:pt>
                <c:pt idx="19">
                  <c:v>0.21998078070938992</c:v>
                </c:pt>
                <c:pt idx="20">
                  <c:v>-9.3528749920159276E-2</c:v>
                </c:pt>
                <c:pt idx="21">
                  <c:v>4.7320118345400244E-2</c:v>
                </c:pt>
                <c:pt idx="22">
                  <c:v>-3.2427239428080012E-3</c:v>
                </c:pt>
                <c:pt idx="23">
                  <c:v>-9.7462789549197376E-2</c:v>
                </c:pt>
                <c:pt idx="24">
                  <c:v>0.113090386929018</c:v>
                </c:pt>
                <c:pt idx="25">
                  <c:v>6.7491221034133714E-2</c:v>
                </c:pt>
                <c:pt idx="26">
                  <c:v>8.9786267424647681E-2</c:v>
                </c:pt>
                <c:pt idx="27">
                  <c:v>0.1606565992121825</c:v>
                </c:pt>
                <c:pt idx="28">
                  <c:v>1.2935092964532574E-2</c:v>
                </c:pt>
                <c:pt idx="29">
                  <c:v>5.8232863436240317E-2</c:v>
                </c:pt>
                <c:pt idx="30">
                  <c:v>9.6867752725118106E-2</c:v>
                </c:pt>
                <c:pt idx="31">
                  <c:v>0.11455833192795077</c:v>
                </c:pt>
                <c:pt idx="32">
                  <c:v>0.21835557817054407</c:v>
                </c:pt>
                <c:pt idx="33">
                  <c:v>0.22080207069190425</c:v>
                </c:pt>
                <c:pt idx="34">
                  <c:v>8.1956907430603219E-3</c:v>
                </c:pt>
                <c:pt idx="35">
                  <c:v>4.2990860578720841E-2</c:v>
                </c:pt>
                <c:pt idx="36" formatCode="0.00">
                  <c:v>-3.9930335725821185E-2</c:v>
                </c:pt>
              </c:numCache>
            </c:numRef>
          </c:val>
          <c:extLst>
            <c:ext xmlns:c16="http://schemas.microsoft.com/office/drawing/2014/chart" uri="{C3380CC4-5D6E-409C-BE32-E72D297353CC}">
              <c16:uniqueId val="{00000007-80BC-43F9-A071-142AE78C11EF}"/>
            </c:ext>
          </c:extLst>
        </c:ser>
        <c:dLbls>
          <c:showLegendKey val="0"/>
          <c:showVal val="0"/>
          <c:showCatName val="0"/>
          <c:showSerName val="0"/>
          <c:showPercent val="0"/>
          <c:showBubbleSize val="0"/>
        </c:dLbls>
        <c:gapWidth val="47"/>
        <c:overlap val="100"/>
        <c:axId val="87352448"/>
        <c:axId val="87353984"/>
      </c:barChart>
      <c:lineChart>
        <c:grouping val="standard"/>
        <c:varyColors val="0"/>
        <c:ser>
          <c:idx val="8"/>
          <c:order val="8"/>
          <c:tx>
            <c:strRef>
              <c:f>'Trh práce 1'!$AK$7</c:f>
              <c:strCache>
                <c:ptCount val="1"/>
                <c:pt idx="0">
                  <c:v>Zaměstnanost celkem</c:v>
                </c:pt>
              </c:strCache>
            </c:strRef>
          </c:tx>
          <c:spPr>
            <a:ln w="22225">
              <a:solidFill>
                <a:schemeClr val="tx1">
                  <a:lumMod val="95000"/>
                  <a:lumOff val="5000"/>
                </a:schemeClr>
              </a:solidFill>
            </a:ln>
          </c:spPr>
          <c:marker>
            <c:symbol val="none"/>
          </c:marker>
          <c:cat>
            <c:multiLvlStrRef>
              <c:f>'Trh práce 1'!$AA$8:$AB$45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1'!$AK$8:$AK$45</c:f>
              <c:numCache>
                <c:formatCode>#,##0.00</c:formatCode>
                <c:ptCount val="38"/>
                <c:pt idx="0">
                  <c:v>-2.7381041866623406</c:v>
                </c:pt>
                <c:pt idx="1">
                  <c:v>-1.2505567915665665</c:v>
                </c:pt>
                <c:pt idx="2">
                  <c:v>-0.17427926968461804</c:v>
                </c:pt>
                <c:pt idx="3">
                  <c:v>6.0614151097240665E-2</c:v>
                </c:pt>
                <c:pt idx="4">
                  <c:v>0.11145596456296403</c:v>
                </c:pt>
                <c:pt idx="5">
                  <c:v>-4.6137088139772686E-3</c:v>
                </c:pt>
                <c:pt idx="6">
                  <c:v>-0.42422240518249055</c:v>
                </c:pt>
                <c:pt idx="7">
                  <c:v>-0.77006647161285002</c:v>
                </c:pt>
                <c:pt idx="8">
                  <c:v>-5.1815959871305495E-2</c:v>
                </c:pt>
                <c:pt idx="9">
                  <c:v>0.17631913605207217</c:v>
                </c:pt>
                <c:pt idx="10">
                  <c:v>0.66708744164915856</c:v>
                </c:pt>
                <c:pt idx="11">
                  <c:v>0.88890301106958702</c:v>
                </c:pt>
                <c:pt idx="12">
                  <c:v>0.45616124448189055</c:v>
                </c:pt>
                <c:pt idx="13">
                  <c:v>0.71087471075372832</c:v>
                </c:pt>
                <c:pt idx="14">
                  <c:v>0.10068664831696594</c:v>
                </c:pt>
                <c:pt idx="15">
                  <c:v>2.3089733040947635E-2</c:v>
                </c:pt>
                <c:pt idx="16">
                  <c:v>0.57169387931377003</c:v>
                </c:pt>
                <c:pt idx="17">
                  <c:v>8.8541257752993374E-2</c:v>
                </c:pt>
                <c:pt idx="18">
                  <c:v>0.60803248290413592</c:v>
                </c:pt>
                <c:pt idx="19">
                  <c:v>0.94037946192678135</c:v>
                </c:pt>
                <c:pt idx="20">
                  <c:v>1.2799033071129173</c:v>
                </c:pt>
                <c:pt idx="21">
                  <c:v>1.7553744025418325</c:v>
                </c:pt>
                <c:pt idx="22">
                  <c:v>1.3207067653574711</c:v>
                </c:pt>
                <c:pt idx="23">
                  <c:v>1.3555691727477779</c:v>
                </c:pt>
                <c:pt idx="24">
                  <c:v>1.5606007684247203</c:v>
                </c:pt>
                <c:pt idx="25">
                  <c:v>1.4363180243380782</c:v>
                </c:pt>
                <c:pt idx="26">
                  <c:v>1.5066818180591355</c:v>
                </c:pt>
                <c:pt idx="27">
                  <c:v>1.8553413510311998</c:v>
                </c:pt>
                <c:pt idx="28">
                  <c:v>1.4582454434845431</c:v>
                </c:pt>
                <c:pt idx="29">
                  <c:v>1.3544793041543386</c:v>
                </c:pt>
                <c:pt idx="30">
                  <c:v>1.970878894416046</c:v>
                </c:pt>
                <c:pt idx="31">
                  <c:v>1.4313181630101184</c:v>
                </c:pt>
                <c:pt idx="32">
                  <c:v>1.7280504151863312</c:v>
                </c:pt>
                <c:pt idx="33">
                  <c:v>1.8589251162496083</c:v>
                </c:pt>
                <c:pt idx="34">
                  <c:v>1.1739581926639318</c:v>
                </c:pt>
                <c:pt idx="35">
                  <c:v>1.4964506008200829</c:v>
                </c:pt>
                <c:pt idx="36">
                  <c:v>1.4373995262414638</c:v>
                </c:pt>
              </c:numCache>
            </c:numRef>
          </c:val>
          <c:smooth val="0"/>
          <c:extLst>
            <c:ext xmlns:c16="http://schemas.microsoft.com/office/drawing/2014/chart" uri="{C3380CC4-5D6E-409C-BE32-E72D297353CC}">
              <c16:uniqueId val="{00000008-80BC-43F9-A071-142AE78C11EF}"/>
            </c:ext>
          </c:extLst>
        </c:ser>
        <c:dLbls>
          <c:showLegendKey val="0"/>
          <c:showVal val="0"/>
          <c:showCatName val="0"/>
          <c:showSerName val="0"/>
          <c:showPercent val="0"/>
          <c:showBubbleSize val="0"/>
        </c:dLbls>
        <c:marker val="1"/>
        <c:smooth val="0"/>
        <c:axId val="87352448"/>
        <c:axId val="87353984"/>
      </c:lineChart>
      <c:catAx>
        <c:axId val="87352448"/>
        <c:scaling>
          <c:orientation val="minMax"/>
        </c:scaling>
        <c:delete val="0"/>
        <c:axPos val="b"/>
        <c:numFmt formatCode="General" sourceLinked="1"/>
        <c:majorTickMark val="out"/>
        <c:minorTickMark val="none"/>
        <c:tickLblPos val="low"/>
        <c:spPr>
          <a:ln>
            <a:solidFill>
              <a:schemeClr val="tx1"/>
            </a:solidFill>
          </a:ln>
        </c:spPr>
        <c:crossAx val="87353984"/>
        <c:crosses val="autoZero"/>
        <c:auto val="1"/>
        <c:lblAlgn val="ctr"/>
        <c:lblOffset val="10"/>
        <c:noMultiLvlLbl val="0"/>
      </c:catAx>
      <c:valAx>
        <c:axId val="87353984"/>
        <c:scaling>
          <c:orientation val="minMax"/>
          <c:max val="2"/>
          <c:min val="-3"/>
        </c:scaling>
        <c:delete val="0"/>
        <c:axPos val="l"/>
        <c:majorGridlines>
          <c:spPr>
            <a:ln w="6350">
              <a:solidFill>
                <a:schemeClr val="bg1">
                  <a:lumMod val="75000"/>
                </a:schemeClr>
              </a:solidFill>
            </a:ln>
          </c:spPr>
        </c:majorGridlines>
        <c:numFmt formatCode="0.0" sourceLinked="0"/>
        <c:majorTickMark val="out"/>
        <c:minorTickMark val="none"/>
        <c:tickLblPos val="nextTo"/>
        <c:spPr>
          <a:ln>
            <a:solidFill>
              <a:schemeClr val="tx1"/>
            </a:solidFill>
          </a:ln>
        </c:spPr>
        <c:crossAx val="87352448"/>
        <c:crosses val="autoZero"/>
        <c:crossBetween val="between"/>
        <c:majorUnit val="0.5"/>
      </c:valAx>
      <c:spPr>
        <a:ln>
          <a:solidFill>
            <a:schemeClr val="tx1"/>
          </a:solidFill>
        </a:ln>
      </c:spPr>
    </c:plotArea>
    <c:legend>
      <c:legendPos val="b"/>
      <c:layout>
        <c:manualLayout>
          <c:xMode val="edge"/>
          <c:yMode val="edge"/>
          <c:x val="5.5582430822068776E-2"/>
          <c:y val="0.83458955395312773"/>
          <c:w val="0.9272008319203987"/>
          <c:h val="0.16181455650038734"/>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183922558922563E-2"/>
          <c:y val="1.643251153889452E-2"/>
          <c:w val="0.8957392676767677"/>
          <c:h val="0.75753478190891899"/>
        </c:manualLayout>
      </c:layout>
      <c:barChart>
        <c:barDir val="col"/>
        <c:grouping val="clustered"/>
        <c:varyColors val="0"/>
        <c:ser>
          <c:idx val="0"/>
          <c:order val="0"/>
          <c:tx>
            <c:strRef>
              <c:f>'Trh práce-2'!$A$32</c:f>
              <c:strCache>
                <c:ptCount val="1"/>
                <c:pt idx="0">
                  <c:v>Míra nezaměstnanosti mužů (levá osa)</c:v>
                </c:pt>
              </c:strCache>
            </c:strRef>
          </c:tx>
          <c:spPr>
            <a:solidFill>
              <a:srgbClr val="BCBCBC"/>
            </a:solidFill>
          </c:spPr>
          <c:invertIfNegative val="0"/>
          <c:cat>
            <c:multiLvlStrRef>
              <c:f>'Trh práce-2'!$B$30:$AM$31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práce-2'!$B$32:$AM$32</c:f>
              <c:numCache>
                <c:formatCode>0.0</c:formatCode>
                <c:ptCount val="38"/>
                <c:pt idx="0">
                  <c:v>7.0984261964423681</c:v>
                </c:pt>
                <c:pt idx="1">
                  <c:v>6.5135583821211851</c:v>
                </c:pt>
                <c:pt idx="2">
                  <c:v>6.1925174973206412</c:v>
                </c:pt>
                <c:pt idx="3">
                  <c:v>6.0751752494425988</c:v>
                </c:pt>
                <c:pt idx="4">
                  <c:v>6.0585504123063769</c:v>
                </c:pt>
                <c:pt idx="5">
                  <c:v>6.0037781675822162</c:v>
                </c:pt>
                <c:pt idx="6">
                  <c:v>5.7771123440108241</c:v>
                </c:pt>
                <c:pt idx="7">
                  <c:v>5.6914303332293281</c:v>
                </c:pt>
                <c:pt idx="8">
                  <c:v>5.999444560507885</c:v>
                </c:pt>
                <c:pt idx="9">
                  <c:v>5.9934774990686046</c:v>
                </c:pt>
                <c:pt idx="10">
                  <c:v>6.0666122060007597</c:v>
                </c:pt>
                <c:pt idx="11">
                  <c:v>6.252704068775639</c:v>
                </c:pt>
                <c:pt idx="12">
                  <c:v>6.2702270348516764</c:v>
                </c:pt>
                <c:pt idx="13">
                  <c:v>5.9057854548173836</c:v>
                </c:pt>
                <c:pt idx="14">
                  <c:v>5.9365078922261789</c:v>
                </c:pt>
                <c:pt idx="15">
                  <c:v>5.7576462287734786</c:v>
                </c:pt>
                <c:pt idx="16">
                  <c:v>5.5339334646450906</c:v>
                </c:pt>
                <c:pt idx="17">
                  <c:v>5.2282751984916649</c:v>
                </c:pt>
                <c:pt idx="18">
                  <c:v>4.9463964293731832</c:v>
                </c:pt>
                <c:pt idx="19">
                  <c:v>5.024899902558472</c:v>
                </c:pt>
                <c:pt idx="20">
                  <c:v>4.9895127892003819</c:v>
                </c:pt>
                <c:pt idx="21">
                  <c:v>4.3828206559983309</c:v>
                </c:pt>
                <c:pt idx="22">
                  <c:v>4.0788029838950886</c:v>
                </c:pt>
                <c:pt idx="23">
                  <c:v>3.7650503471565702</c:v>
                </c:pt>
                <c:pt idx="24">
                  <c:v>3.6073351390851784</c:v>
                </c:pt>
                <c:pt idx="25">
                  <c:v>3.5996652175846702</c:v>
                </c:pt>
                <c:pt idx="26">
                  <c:v>3.3951063649934792</c:v>
                </c:pt>
                <c:pt idx="27">
                  <c:v>3.1389186356449676</c:v>
                </c:pt>
                <c:pt idx="28">
                  <c:v>2.6923090399603491</c:v>
                </c:pt>
                <c:pt idx="29">
                  <c:v>2.4912805992535083</c:v>
                </c:pt>
                <c:pt idx="30">
                  <c:v>2.2651837865154993</c:v>
                </c:pt>
                <c:pt idx="31">
                  <c:v>2.0426608024474615</c:v>
                </c:pt>
                <c:pt idx="32">
                  <c:v>1.8829101011799743</c:v>
                </c:pt>
                <c:pt idx="33">
                  <c:v>1.8600347094393845</c:v>
                </c:pt>
                <c:pt idx="34">
                  <c:v>1.9133693217507461</c:v>
                </c:pt>
                <c:pt idx="35">
                  <c:v>1.6607096328522293</c:v>
                </c:pt>
                <c:pt idx="36">
                  <c:v>1.7829289662020356</c:v>
                </c:pt>
              </c:numCache>
            </c:numRef>
          </c:val>
          <c:extLst>
            <c:ext xmlns:c16="http://schemas.microsoft.com/office/drawing/2014/chart" uri="{C3380CC4-5D6E-409C-BE32-E72D297353CC}">
              <c16:uniqueId val="{00000000-0468-46AD-A148-25373D08CB54}"/>
            </c:ext>
          </c:extLst>
        </c:ser>
        <c:ser>
          <c:idx val="1"/>
          <c:order val="1"/>
          <c:tx>
            <c:strRef>
              <c:f>'Trh práce-2'!$A$33</c:f>
              <c:strCache>
                <c:ptCount val="1"/>
                <c:pt idx="0">
                  <c:v>Míra nezaměstnanosti žen (levá osa)</c:v>
                </c:pt>
              </c:strCache>
            </c:strRef>
          </c:tx>
          <c:spPr>
            <a:solidFill>
              <a:srgbClr val="DBDBDB"/>
            </a:solidFill>
          </c:spPr>
          <c:invertIfNegative val="0"/>
          <c:cat>
            <c:multiLvlStrRef>
              <c:f>'Trh práce-2'!$B$30:$AM$31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práce-2'!$B$33:$AM$33</c:f>
              <c:numCache>
                <c:formatCode>0.0</c:formatCode>
                <c:ptCount val="38"/>
                <c:pt idx="0">
                  <c:v>8.7633696101973779</c:v>
                </c:pt>
                <c:pt idx="1">
                  <c:v>8.6310295790753013</c:v>
                </c:pt>
                <c:pt idx="2">
                  <c:v>8.4858096938064556</c:v>
                </c:pt>
                <c:pt idx="3">
                  <c:v>8.3010704919620277</c:v>
                </c:pt>
                <c:pt idx="4">
                  <c:v>8.1745626452512052</c:v>
                </c:pt>
                <c:pt idx="5">
                  <c:v>8.1868732965665512</c:v>
                </c:pt>
                <c:pt idx="6">
                  <c:v>7.7763311994031126</c:v>
                </c:pt>
                <c:pt idx="7">
                  <c:v>7.728281834271491</c:v>
                </c:pt>
                <c:pt idx="8">
                  <c:v>8.0311636412730021</c:v>
                </c:pt>
                <c:pt idx="9">
                  <c:v>8.2407929954465864</c:v>
                </c:pt>
                <c:pt idx="10">
                  <c:v>8.3049407606014238</c:v>
                </c:pt>
                <c:pt idx="11">
                  <c:v>8.5479216720113502</c:v>
                </c:pt>
                <c:pt idx="12">
                  <c:v>8.4753243348388825</c:v>
                </c:pt>
                <c:pt idx="13">
                  <c:v>8.4592364247587515</c:v>
                </c:pt>
                <c:pt idx="14">
                  <c:v>8.3592289534544673</c:v>
                </c:pt>
                <c:pt idx="15">
                  <c:v>8.2500639941225327</c:v>
                </c:pt>
                <c:pt idx="16">
                  <c:v>8.0240692285867024</c:v>
                </c:pt>
                <c:pt idx="17">
                  <c:v>7.6998248722356237</c:v>
                </c:pt>
                <c:pt idx="18">
                  <c:v>7.2762005720021952</c:v>
                </c:pt>
                <c:pt idx="19">
                  <c:v>7.0072976233268598</c:v>
                </c:pt>
                <c:pt idx="20">
                  <c:v>6.9060385283823491</c:v>
                </c:pt>
                <c:pt idx="21">
                  <c:v>6.2608308369461865</c:v>
                </c:pt>
                <c:pt idx="22">
                  <c:v>5.933528937116729</c:v>
                </c:pt>
                <c:pt idx="23">
                  <c:v>5.6186615875899149</c:v>
                </c:pt>
                <c:pt idx="24">
                  <c:v>5.1175314592534695</c:v>
                </c:pt>
                <c:pt idx="25">
                  <c:v>4.8514367476859439</c:v>
                </c:pt>
                <c:pt idx="26">
                  <c:v>4.7843125946435121</c:v>
                </c:pt>
                <c:pt idx="27">
                  <c:v>4.3218514532585237</c:v>
                </c:pt>
                <c:pt idx="28">
                  <c:v>4.2671623131028236</c:v>
                </c:pt>
                <c:pt idx="29">
                  <c:v>3.9309933682204705</c:v>
                </c:pt>
                <c:pt idx="30">
                  <c:v>3.393179247652069</c:v>
                </c:pt>
                <c:pt idx="31">
                  <c:v>3.0589728986623048</c:v>
                </c:pt>
                <c:pt idx="32">
                  <c:v>2.9153483771733346</c:v>
                </c:pt>
                <c:pt idx="33">
                  <c:v>2.8848351509991201</c:v>
                </c:pt>
                <c:pt idx="34">
                  <c:v>2.8472750923763548</c:v>
                </c:pt>
                <c:pt idx="35">
                  <c:v>2.654274976774309</c:v>
                </c:pt>
                <c:pt idx="36">
                  <c:v>2.2381214201925697</c:v>
                </c:pt>
              </c:numCache>
            </c:numRef>
          </c:val>
          <c:extLst>
            <c:ext xmlns:c16="http://schemas.microsoft.com/office/drawing/2014/chart" uri="{C3380CC4-5D6E-409C-BE32-E72D297353CC}">
              <c16:uniqueId val="{00000001-0468-46AD-A148-25373D08CB54}"/>
            </c:ext>
          </c:extLst>
        </c:ser>
        <c:dLbls>
          <c:showLegendKey val="0"/>
          <c:showVal val="0"/>
          <c:showCatName val="0"/>
          <c:showSerName val="0"/>
          <c:showPercent val="0"/>
          <c:showBubbleSize val="0"/>
        </c:dLbls>
        <c:gapWidth val="68"/>
        <c:axId val="87505920"/>
        <c:axId val="87536384"/>
      </c:barChart>
      <c:lineChart>
        <c:grouping val="standard"/>
        <c:varyColors val="0"/>
        <c:ser>
          <c:idx val="2"/>
          <c:order val="2"/>
          <c:tx>
            <c:strRef>
              <c:f>'Trh práce-2'!$A$34</c:f>
              <c:strCache>
                <c:ptCount val="1"/>
                <c:pt idx="0">
                  <c:v>Podíl nezam. nad 1 rok (v %, pravá osa)</c:v>
                </c:pt>
              </c:strCache>
            </c:strRef>
          </c:tx>
          <c:spPr>
            <a:ln w="22225"/>
          </c:spPr>
          <c:marker>
            <c:symbol val="none"/>
          </c:marker>
          <c:cat>
            <c:multiLvlStrRef>
              <c:f>'Trh práce-2'!$B$30:$AM$31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práce-2'!$B$34:$AM$34</c:f>
              <c:numCache>
                <c:formatCode>0.0</c:formatCode>
                <c:ptCount val="38"/>
                <c:pt idx="0">
                  <c:v>35.78199052132701</c:v>
                </c:pt>
                <c:pt idx="1">
                  <c:v>41.6</c:v>
                </c:pt>
                <c:pt idx="2">
                  <c:v>43.048128342245988</c:v>
                </c:pt>
                <c:pt idx="3">
                  <c:v>44.0771349862259</c:v>
                </c:pt>
                <c:pt idx="4">
                  <c:v>39.946380697050934</c:v>
                </c:pt>
                <c:pt idx="5">
                  <c:v>39.03133903133903</c:v>
                </c:pt>
                <c:pt idx="6">
                  <c:v>40.233236151603499</c:v>
                </c:pt>
                <c:pt idx="7">
                  <c:v>42.985074626865668</c:v>
                </c:pt>
                <c:pt idx="8">
                  <c:v>43.089430894308947</c:v>
                </c:pt>
                <c:pt idx="9">
                  <c:v>44.444444444444443</c:v>
                </c:pt>
                <c:pt idx="10">
                  <c:v>43.20652173913043</c:v>
                </c:pt>
                <c:pt idx="11">
                  <c:v>42.744063324538253</c:v>
                </c:pt>
                <c:pt idx="12">
                  <c:v>43.256997455470739</c:v>
                </c:pt>
                <c:pt idx="13">
                  <c:v>43.922651933701658</c:v>
                </c:pt>
                <c:pt idx="14">
                  <c:v>43.78378378378379</c:v>
                </c:pt>
                <c:pt idx="15">
                  <c:v>42.25352112676056</c:v>
                </c:pt>
                <c:pt idx="16">
                  <c:v>41.061452513966479</c:v>
                </c:pt>
                <c:pt idx="17">
                  <c:v>43.260188087774296</c:v>
                </c:pt>
                <c:pt idx="18">
                  <c:v>43.769968051118212</c:v>
                </c:pt>
                <c:pt idx="19">
                  <c:v>46.229508196721312</c:v>
                </c:pt>
                <c:pt idx="20">
                  <c:v>45.741324921135643</c:v>
                </c:pt>
                <c:pt idx="21">
                  <c:v>46.564885496183209</c:v>
                </c:pt>
                <c:pt idx="22">
                  <c:v>48.638132295719842</c:v>
                </c:pt>
                <c:pt idx="23">
                  <c:v>48.52320675105485</c:v>
                </c:pt>
                <c:pt idx="24">
                  <c:v>45.887445887445885</c:v>
                </c:pt>
                <c:pt idx="25">
                  <c:v>43.333333333333336</c:v>
                </c:pt>
                <c:pt idx="26">
                  <c:v>39.436619718309856</c:v>
                </c:pt>
                <c:pt idx="27">
                  <c:v>39.0625</c:v>
                </c:pt>
                <c:pt idx="28">
                  <c:v>36.95652173913043</c:v>
                </c:pt>
                <c:pt idx="29">
                  <c:v>37.106918238993707</c:v>
                </c:pt>
                <c:pt idx="30">
                  <c:v>32.666666666666664</c:v>
                </c:pt>
                <c:pt idx="31">
                  <c:v>31.007751937984494</c:v>
                </c:pt>
                <c:pt idx="32">
                  <c:v>31.538461538461537</c:v>
                </c:pt>
                <c:pt idx="33">
                  <c:v>30.508474576271187</c:v>
                </c:pt>
                <c:pt idx="34">
                  <c:v>29.133858267716533</c:v>
                </c:pt>
                <c:pt idx="35">
                  <c:v>31.441441441441441</c:v>
                </c:pt>
                <c:pt idx="36">
                  <c:v>31.814038286235185</c:v>
                </c:pt>
              </c:numCache>
            </c:numRef>
          </c:val>
          <c:smooth val="0"/>
          <c:extLst>
            <c:ext xmlns:c16="http://schemas.microsoft.com/office/drawing/2014/chart" uri="{C3380CC4-5D6E-409C-BE32-E72D297353CC}">
              <c16:uniqueId val="{00000002-0468-46AD-A148-25373D08CB54}"/>
            </c:ext>
          </c:extLst>
        </c:ser>
        <c:ser>
          <c:idx val="3"/>
          <c:order val="3"/>
          <c:tx>
            <c:strRef>
              <c:f>'Trh práce-2'!$A$36</c:f>
              <c:strCache>
                <c:ptCount val="1"/>
                <c:pt idx="0">
                  <c:v>Podíl nezam. nad 49 let  (v %, pravá osa)</c:v>
                </c:pt>
              </c:strCache>
            </c:strRef>
          </c:tx>
          <c:spPr>
            <a:ln w="22225"/>
          </c:spPr>
          <c:marker>
            <c:symbol val="none"/>
          </c:marker>
          <c:cat>
            <c:multiLvlStrRef>
              <c:f>'Trh práce-2'!$B$30:$AM$31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práce-2'!$B$36:$AM$36</c:f>
              <c:numCache>
                <c:formatCode>0.0</c:formatCode>
                <c:ptCount val="38"/>
                <c:pt idx="0">
                  <c:v>22.485207100591715</c:v>
                </c:pt>
                <c:pt idx="1">
                  <c:v>23.791722296395193</c:v>
                </c:pt>
                <c:pt idx="2">
                  <c:v>23.656776263031272</c:v>
                </c:pt>
                <c:pt idx="3">
                  <c:v>24.221548635987876</c:v>
                </c:pt>
                <c:pt idx="4">
                  <c:v>24.577408103031928</c:v>
                </c:pt>
                <c:pt idx="5">
                  <c:v>23.107569721115539</c:v>
                </c:pt>
                <c:pt idx="6">
                  <c:v>22.935512109716953</c:v>
                </c:pt>
                <c:pt idx="7">
                  <c:v>22.875037280047721</c:v>
                </c:pt>
                <c:pt idx="8">
                  <c:v>22.914409534127845</c:v>
                </c:pt>
                <c:pt idx="9">
                  <c:v>22.969506982046166</c:v>
                </c:pt>
                <c:pt idx="10">
                  <c:v>20.76651263930416</c:v>
                </c:pt>
                <c:pt idx="11">
                  <c:v>23.912470340100185</c:v>
                </c:pt>
                <c:pt idx="12">
                  <c:v>22.969187675070028</c:v>
                </c:pt>
                <c:pt idx="13">
                  <c:v>22.793296089385471</c:v>
                </c:pt>
                <c:pt idx="14">
                  <c:v>21.13095238095238</c:v>
                </c:pt>
                <c:pt idx="15">
                  <c:v>22.059651097355097</c:v>
                </c:pt>
                <c:pt idx="16">
                  <c:v>23.141419787590831</c:v>
                </c:pt>
                <c:pt idx="17">
                  <c:v>21.720025109855616</c:v>
                </c:pt>
                <c:pt idx="18">
                  <c:v>22.161816437480013</c:v>
                </c:pt>
                <c:pt idx="19">
                  <c:v>20.962987225679658</c:v>
                </c:pt>
                <c:pt idx="20">
                  <c:v>23.213156230234031</c:v>
                </c:pt>
                <c:pt idx="21">
                  <c:v>24.140565317035907</c:v>
                </c:pt>
                <c:pt idx="22">
                  <c:v>22.451361867704282</c:v>
                </c:pt>
                <c:pt idx="23">
                  <c:v>23.954372623574148</c:v>
                </c:pt>
                <c:pt idx="24">
                  <c:v>28.157439446366784</c:v>
                </c:pt>
                <c:pt idx="25">
                  <c:v>26.180257510729614</c:v>
                </c:pt>
                <c:pt idx="26">
                  <c:v>22.86384976525822</c:v>
                </c:pt>
                <c:pt idx="27">
                  <c:v>24.947807933194156</c:v>
                </c:pt>
                <c:pt idx="28">
                  <c:v>26.138828633405641</c:v>
                </c:pt>
                <c:pt idx="29">
                  <c:v>24.763705103969755</c:v>
                </c:pt>
                <c:pt idx="30">
                  <c:v>23.380093520374086</c:v>
                </c:pt>
                <c:pt idx="31">
                  <c:v>23.931623931623935</c:v>
                </c:pt>
                <c:pt idx="32">
                  <c:v>25.808936825885976</c:v>
                </c:pt>
                <c:pt idx="33">
                  <c:v>24.957698815566832</c:v>
                </c:pt>
                <c:pt idx="34">
                  <c:v>24.311565696302122</c:v>
                </c:pt>
                <c:pt idx="35">
                  <c:v>23.285198555956679</c:v>
                </c:pt>
              </c:numCache>
            </c:numRef>
          </c:val>
          <c:smooth val="0"/>
          <c:extLst>
            <c:ext xmlns:c16="http://schemas.microsoft.com/office/drawing/2014/chart" uri="{C3380CC4-5D6E-409C-BE32-E72D297353CC}">
              <c16:uniqueId val="{00000003-0468-46AD-A148-25373D08CB54}"/>
            </c:ext>
          </c:extLst>
        </c:ser>
        <c:ser>
          <c:idx val="4"/>
          <c:order val="4"/>
          <c:tx>
            <c:strRef>
              <c:f>'Trh práce-2'!$A$37</c:f>
              <c:strCache>
                <c:ptCount val="1"/>
                <c:pt idx="0">
                  <c:v>Podíl nezam. mladších 25 let  (v %, pr. osa)</c:v>
                </c:pt>
              </c:strCache>
            </c:strRef>
          </c:tx>
          <c:spPr>
            <a:ln w="22225"/>
          </c:spPr>
          <c:marker>
            <c:symbol val="none"/>
          </c:marker>
          <c:cat>
            <c:multiLvlStrRef>
              <c:f>'Trh práce-2'!$B$30:$AM$31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práce-2'!$B$37:$AM$37</c:f>
              <c:numCache>
                <c:formatCode>0.0</c:formatCode>
                <c:ptCount val="38"/>
                <c:pt idx="0">
                  <c:v>18.48341232227488</c:v>
                </c:pt>
                <c:pt idx="1">
                  <c:v>18.399999999999999</c:v>
                </c:pt>
                <c:pt idx="2">
                  <c:v>20.588235294117645</c:v>
                </c:pt>
                <c:pt idx="3">
                  <c:v>19.28374655647383</c:v>
                </c:pt>
                <c:pt idx="4">
                  <c:v>16.890080428954423</c:v>
                </c:pt>
                <c:pt idx="5">
                  <c:v>18.518518518518519</c:v>
                </c:pt>
                <c:pt idx="6">
                  <c:v>20.699708454810494</c:v>
                </c:pt>
                <c:pt idx="7">
                  <c:v>20</c:v>
                </c:pt>
                <c:pt idx="8">
                  <c:v>19.241192411924118</c:v>
                </c:pt>
                <c:pt idx="9">
                  <c:v>19.943019943019944</c:v>
                </c:pt>
                <c:pt idx="10">
                  <c:v>20.380434782608695</c:v>
                </c:pt>
                <c:pt idx="11">
                  <c:v>19.788918205804748</c:v>
                </c:pt>
                <c:pt idx="12">
                  <c:v>17.557251908396946</c:v>
                </c:pt>
                <c:pt idx="13">
                  <c:v>17.127071823204421</c:v>
                </c:pt>
                <c:pt idx="14">
                  <c:v>19.72972972972973</c:v>
                </c:pt>
                <c:pt idx="15">
                  <c:v>19.718309859154928</c:v>
                </c:pt>
                <c:pt idx="16">
                  <c:v>15.921787709497206</c:v>
                </c:pt>
                <c:pt idx="17">
                  <c:v>16.927899686520377</c:v>
                </c:pt>
                <c:pt idx="18">
                  <c:v>19.169329073482427</c:v>
                </c:pt>
                <c:pt idx="19">
                  <c:v>18.032786885245901</c:v>
                </c:pt>
                <c:pt idx="20">
                  <c:v>15.772870662460567</c:v>
                </c:pt>
                <c:pt idx="21">
                  <c:v>15.648854961832063</c:v>
                </c:pt>
                <c:pt idx="22">
                  <c:v>17.509727626459142</c:v>
                </c:pt>
                <c:pt idx="23">
                  <c:v>16.455696202531644</c:v>
                </c:pt>
                <c:pt idx="24">
                  <c:v>13.852813852813853</c:v>
                </c:pt>
                <c:pt idx="25">
                  <c:v>15.238095238095239</c:v>
                </c:pt>
                <c:pt idx="26">
                  <c:v>18.30985915492958</c:v>
                </c:pt>
                <c:pt idx="27">
                  <c:v>18.75</c:v>
                </c:pt>
                <c:pt idx="28">
                  <c:v>14.673913043478262</c:v>
                </c:pt>
                <c:pt idx="29">
                  <c:v>16.352201257861633</c:v>
                </c:pt>
                <c:pt idx="30">
                  <c:v>18.666666666666668</c:v>
                </c:pt>
                <c:pt idx="31">
                  <c:v>14.728682170542637</c:v>
                </c:pt>
                <c:pt idx="32">
                  <c:v>14.615384615384617</c:v>
                </c:pt>
                <c:pt idx="33">
                  <c:v>16.949152542372879</c:v>
                </c:pt>
                <c:pt idx="34">
                  <c:v>18.110236220472441</c:v>
                </c:pt>
                <c:pt idx="35">
                  <c:v>16.216216216216218</c:v>
                </c:pt>
                <c:pt idx="36">
                  <c:v>14.545454545454545</c:v>
                </c:pt>
              </c:numCache>
            </c:numRef>
          </c:val>
          <c:smooth val="0"/>
          <c:extLst>
            <c:ext xmlns:c16="http://schemas.microsoft.com/office/drawing/2014/chart" uri="{C3380CC4-5D6E-409C-BE32-E72D297353CC}">
              <c16:uniqueId val="{00000004-0468-46AD-A148-25373D08CB54}"/>
            </c:ext>
          </c:extLst>
        </c:ser>
        <c:ser>
          <c:idx val="5"/>
          <c:order val="5"/>
          <c:tx>
            <c:strRef>
              <c:f>'Trh práce-2'!$A$38</c:f>
              <c:strCache>
                <c:ptCount val="1"/>
                <c:pt idx="0">
                  <c:v>Ekon.neaktiv.chtějící pracovat (pr. osa)*</c:v>
                </c:pt>
              </c:strCache>
            </c:strRef>
          </c:tx>
          <c:spPr>
            <a:ln w="22225"/>
          </c:spPr>
          <c:marker>
            <c:symbol val="none"/>
          </c:marker>
          <c:cat>
            <c:multiLvlStrRef>
              <c:f>'Trh práce-2'!$B$30:$AM$31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práce-2'!$B$38:$AM$38</c:f>
              <c:numCache>
                <c:formatCode>0.0</c:formatCode>
                <c:ptCount val="38"/>
                <c:pt idx="0">
                  <c:v>183.00000000000003</c:v>
                </c:pt>
                <c:pt idx="1">
                  <c:v>183.20000000000002</c:v>
                </c:pt>
                <c:pt idx="2">
                  <c:v>172.5</c:v>
                </c:pt>
                <c:pt idx="3">
                  <c:v>172.00000000000003</c:v>
                </c:pt>
                <c:pt idx="4">
                  <c:v>193.70000000000002</c:v>
                </c:pt>
                <c:pt idx="5">
                  <c:v>184.4</c:v>
                </c:pt>
                <c:pt idx="6">
                  <c:v>188.9</c:v>
                </c:pt>
                <c:pt idx="7">
                  <c:v>183.20000000000002</c:v>
                </c:pt>
                <c:pt idx="8">
                  <c:v>196.60000000000002</c:v>
                </c:pt>
                <c:pt idx="9">
                  <c:v>176.5</c:v>
                </c:pt>
                <c:pt idx="10">
                  <c:v>166.9</c:v>
                </c:pt>
                <c:pt idx="11">
                  <c:v>154.60000000000002</c:v>
                </c:pt>
                <c:pt idx="12">
                  <c:v>167.8</c:v>
                </c:pt>
                <c:pt idx="13">
                  <c:v>147.19999999999999</c:v>
                </c:pt>
                <c:pt idx="14">
                  <c:v>138.80000000000001</c:v>
                </c:pt>
                <c:pt idx="15">
                  <c:v>139.30000000000001</c:v>
                </c:pt>
                <c:pt idx="16">
                  <c:v>145.4</c:v>
                </c:pt>
                <c:pt idx="17">
                  <c:v>137.1</c:v>
                </c:pt>
                <c:pt idx="18">
                  <c:v>129</c:v>
                </c:pt>
                <c:pt idx="19">
                  <c:v>127.10000000000001</c:v>
                </c:pt>
                <c:pt idx="20" formatCode="General">
                  <c:v>138.5</c:v>
                </c:pt>
                <c:pt idx="21" formatCode="General">
                  <c:v>141.4</c:v>
                </c:pt>
                <c:pt idx="22" formatCode="General">
                  <c:v>137.1</c:v>
                </c:pt>
                <c:pt idx="23" formatCode="General">
                  <c:v>130.4</c:v>
                </c:pt>
                <c:pt idx="24" formatCode="General">
                  <c:v>141</c:v>
                </c:pt>
                <c:pt idx="25" formatCode="General">
                  <c:v>126.4</c:v>
                </c:pt>
                <c:pt idx="26" formatCode="General">
                  <c:v>129.69999999999999</c:v>
                </c:pt>
                <c:pt idx="27" formatCode="General">
                  <c:v>127.1</c:v>
                </c:pt>
                <c:pt idx="28">
                  <c:v>133.1</c:v>
                </c:pt>
                <c:pt idx="29">
                  <c:v>120.1</c:v>
                </c:pt>
                <c:pt idx="30">
                  <c:v>121.3</c:v>
                </c:pt>
                <c:pt idx="31">
                  <c:v>119.1</c:v>
                </c:pt>
                <c:pt idx="32">
                  <c:v>113.5</c:v>
                </c:pt>
                <c:pt idx="33">
                  <c:v>108.4</c:v>
                </c:pt>
                <c:pt idx="34">
                  <c:v>110.3</c:v>
                </c:pt>
                <c:pt idx="35">
                  <c:v>101.7</c:v>
                </c:pt>
                <c:pt idx="36">
                  <c:v>104.6</c:v>
                </c:pt>
              </c:numCache>
            </c:numRef>
          </c:val>
          <c:smooth val="0"/>
          <c:extLst>
            <c:ext xmlns:c16="http://schemas.microsoft.com/office/drawing/2014/chart" uri="{C3380CC4-5D6E-409C-BE32-E72D297353CC}">
              <c16:uniqueId val="{00000005-0468-46AD-A148-25373D08CB54}"/>
            </c:ext>
          </c:extLst>
        </c:ser>
        <c:dLbls>
          <c:showLegendKey val="0"/>
          <c:showVal val="0"/>
          <c:showCatName val="0"/>
          <c:showSerName val="0"/>
          <c:showPercent val="0"/>
          <c:showBubbleSize val="0"/>
        </c:dLbls>
        <c:marker val="1"/>
        <c:smooth val="0"/>
        <c:axId val="87552000"/>
        <c:axId val="87537920"/>
      </c:lineChart>
      <c:catAx>
        <c:axId val="87505920"/>
        <c:scaling>
          <c:orientation val="minMax"/>
        </c:scaling>
        <c:delete val="0"/>
        <c:axPos val="b"/>
        <c:numFmt formatCode="General" sourceLinked="0"/>
        <c:majorTickMark val="out"/>
        <c:minorTickMark val="none"/>
        <c:tickLblPos val="low"/>
        <c:spPr>
          <a:ln>
            <a:solidFill>
              <a:schemeClr val="tx1"/>
            </a:solidFill>
          </a:ln>
        </c:spPr>
        <c:crossAx val="87536384"/>
        <c:crossesAt val="-50"/>
        <c:auto val="1"/>
        <c:lblAlgn val="ctr"/>
        <c:lblOffset val="0"/>
        <c:noMultiLvlLbl val="0"/>
      </c:catAx>
      <c:valAx>
        <c:axId val="87536384"/>
        <c:scaling>
          <c:orientation val="minMax"/>
          <c:max val="10"/>
          <c:min val="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87505920"/>
        <c:crosses val="autoZero"/>
        <c:crossBetween val="between"/>
        <c:majorUnit val="1"/>
      </c:valAx>
      <c:valAx>
        <c:axId val="87537920"/>
        <c:scaling>
          <c:orientation val="minMax"/>
          <c:max val="200"/>
        </c:scaling>
        <c:delete val="0"/>
        <c:axPos val="r"/>
        <c:numFmt formatCode="#,##0" sourceLinked="0"/>
        <c:majorTickMark val="out"/>
        <c:minorTickMark val="none"/>
        <c:tickLblPos val="nextTo"/>
        <c:crossAx val="87552000"/>
        <c:crosses val="max"/>
        <c:crossBetween val="between"/>
        <c:majorUnit val="20"/>
      </c:valAx>
      <c:catAx>
        <c:axId val="87552000"/>
        <c:scaling>
          <c:orientation val="minMax"/>
        </c:scaling>
        <c:delete val="1"/>
        <c:axPos val="b"/>
        <c:numFmt formatCode="General" sourceLinked="1"/>
        <c:majorTickMark val="out"/>
        <c:minorTickMark val="none"/>
        <c:tickLblPos val="none"/>
        <c:crossAx val="87537920"/>
        <c:crosses val="autoZero"/>
        <c:auto val="1"/>
        <c:lblAlgn val="ctr"/>
        <c:lblOffset val="100"/>
        <c:noMultiLvlLbl val="0"/>
      </c:catAx>
      <c:spPr>
        <a:ln>
          <a:solidFill>
            <a:schemeClr val="tx1"/>
          </a:solidFill>
        </a:ln>
      </c:spPr>
    </c:plotArea>
    <c:legend>
      <c:legendPos val="b"/>
      <c:layout>
        <c:manualLayout>
          <c:xMode val="edge"/>
          <c:yMode val="edge"/>
          <c:x val="9.8992134398909453E-3"/>
          <c:y val="0.86269615937971755"/>
          <c:w val="0.9750698306835992"/>
          <c:h val="0.11915056870890346"/>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7E-2"/>
          <c:w val="0.94100987714831719"/>
          <c:h val="0.77115164399092972"/>
        </c:manualLayout>
      </c:layout>
      <c:barChart>
        <c:barDir val="col"/>
        <c:grouping val="clustered"/>
        <c:varyColors val="0"/>
        <c:ser>
          <c:idx val="5"/>
          <c:order val="2"/>
          <c:tx>
            <c:strRef>
              <c:f>'Trh práce 3'!$E$8</c:f>
              <c:strCache>
                <c:ptCount val="1"/>
                <c:pt idx="0">
                  <c:v>Průměrná mzda (reálně)</c:v>
                </c:pt>
              </c:strCache>
            </c:strRef>
          </c:tx>
          <c:spPr>
            <a:solidFill>
              <a:srgbClr val="A6A6A6"/>
            </a:solidFill>
            <a:ln>
              <a:noFill/>
            </a:ln>
          </c:spPr>
          <c:invertIfNegative val="0"/>
          <c:cat>
            <c:multiLvlStrRef>
              <c:f>'Trh práce 3'!$A$9:$B$46</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3'!$E$9:$E$46</c:f>
              <c:numCache>
                <c:formatCode>#\ ##0.0</c:formatCode>
                <c:ptCount val="38"/>
                <c:pt idx="0">
                  <c:v>2.0999999999999943</c:v>
                </c:pt>
                <c:pt idx="1">
                  <c:v>1.9000000000000057</c:v>
                </c:pt>
                <c:pt idx="2">
                  <c:v>0.29999999999999716</c:v>
                </c:pt>
                <c:pt idx="3">
                  <c:v>-1.4000000000000057</c:v>
                </c:pt>
                <c:pt idx="4">
                  <c:v>1.0999999999999943</c:v>
                </c:pt>
                <c:pt idx="5">
                  <c:v>0.79999999999999716</c:v>
                </c:pt>
                <c:pt idx="6">
                  <c:v>0.29999999999999716</c:v>
                </c:pt>
                <c:pt idx="7">
                  <c:v>0</c:v>
                </c:pt>
                <c:pt idx="8">
                  <c:v>-0.5</c:v>
                </c:pt>
                <c:pt idx="9">
                  <c:v>-1.2999999999999972</c:v>
                </c:pt>
                <c:pt idx="10">
                  <c:v>-1.7999999999999972</c:v>
                </c:pt>
                <c:pt idx="11">
                  <c:v>0.40000000000000568</c:v>
                </c:pt>
                <c:pt idx="12">
                  <c:v>-2.4000000000000057</c:v>
                </c:pt>
                <c:pt idx="13">
                  <c:v>-0.5</c:v>
                </c:pt>
                <c:pt idx="14">
                  <c:v>0</c:v>
                </c:pt>
                <c:pt idx="15">
                  <c:v>-3.0999999999999943</c:v>
                </c:pt>
                <c:pt idx="16">
                  <c:v>3.7000000000000028</c:v>
                </c:pt>
                <c:pt idx="17">
                  <c:v>2.5999999999999943</c:v>
                </c:pt>
                <c:pt idx="18">
                  <c:v>1.5999999999999943</c:v>
                </c:pt>
                <c:pt idx="19">
                  <c:v>2.2999999999999972</c:v>
                </c:pt>
                <c:pt idx="20">
                  <c:v>2.2000000000000028</c:v>
                </c:pt>
                <c:pt idx="21">
                  <c:v>2.5999999999999943</c:v>
                </c:pt>
                <c:pt idx="22">
                  <c:v>3.0999999999999943</c:v>
                </c:pt>
                <c:pt idx="23">
                  <c:v>3.5999999999999943</c:v>
                </c:pt>
                <c:pt idx="24">
                  <c:v>4.2000000000000028</c:v>
                </c:pt>
                <c:pt idx="25">
                  <c:v>3.7999999999999972</c:v>
                </c:pt>
                <c:pt idx="26">
                  <c:v>4.2000000000000028</c:v>
                </c:pt>
                <c:pt idx="27">
                  <c:v>3</c:v>
                </c:pt>
                <c:pt idx="28">
                  <c:v>2.5999999999999943</c:v>
                </c:pt>
                <c:pt idx="29">
                  <c:v>4.9000000000000057</c:v>
                </c:pt>
                <c:pt idx="30">
                  <c:v>4.0999999999999943</c:v>
                </c:pt>
                <c:pt idx="31">
                  <c:v>5.0999999999999943</c:v>
                </c:pt>
                <c:pt idx="32">
                  <c:v>5.7999999999999972</c:v>
                </c:pt>
                <c:pt idx="33">
                  <c:v>5.7000000000000028</c:v>
                </c:pt>
                <c:pt idx="34">
                  <c:v>5.4000000000000057</c:v>
                </c:pt>
                <c:pt idx="35">
                  <c:v>4.2999999999999972</c:v>
                </c:pt>
                <c:pt idx="36">
                  <c:v>4.5999999999999943</c:v>
                </c:pt>
              </c:numCache>
            </c:numRef>
          </c:val>
          <c:extLst>
            <c:ext xmlns:c16="http://schemas.microsoft.com/office/drawing/2014/chart" uri="{C3380CC4-5D6E-409C-BE32-E72D297353CC}">
              <c16:uniqueId val="{00000000-68BF-4F2C-917C-643FB43AB90E}"/>
            </c:ext>
          </c:extLst>
        </c:ser>
        <c:dLbls>
          <c:showLegendKey val="0"/>
          <c:showVal val="0"/>
          <c:showCatName val="0"/>
          <c:showSerName val="0"/>
          <c:showPercent val="0"/>
          <c:showBubbleSize val="0"/>
        </c:dLbls>
        <c:gapWidth val="39"/>
        <c:axId val="87652224"/>
        <c:axId val="87653760"/>
      </c:barChart>
      <c:lineChart>
        <c:grouping val="standard"/>
        <c:varyColors val="0"/>
        <c:ser>
          <c:idx val="0"/>
          <c:order val="0"/>
          <c:tx>
            <c:strRef>
              <c:f>'Trh práce 3'!$C$8</c:f>
              <c:strCache>
                <c:ptCount val="1"/>
                <c:pt idx="0">
                  <c:v>Průměrná mzda (nominálně)</c:v>
                </c:pt>
              </c:strCache>
            </c:strRef>
          </c:tx>
          <c:spPr>
            <a:ln w="19050">
              <a:solidFill>
                <a:srgbClr val="0071BC"/>
              </a:solidFill>
            </a:ln>
          </c:spPr>
          <c:marker>
            <c:symbol val="none"/>
          </c:marker>
          <c:cat>
            <c:multiLvlStrRef>
              <c:f>'Trh práce 3'!$A$9:$B$46</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3'!$C$9:$C$46</c:f>
              <c:numCache>
                <c:formatCode>0.0</c:formatCode>
                <c:ptCount val="38"/>
                <c:pt idx="0">
                  <c:v>2.7999999999999972</c:v>
                </c:pt>
                <c:pt idx="1">
                  <c:v>3.0999999999999943</c:v>
                </c:pt>
                <c:pt idx="2">
                  <c:v>2.2000000000000028</c:v>
                </c:pt>
                <c:pt idx="3">
                  <c:v>0.70000000000000284</c:v>
                </c:pt>
                <c:pt idx="4">
                  <c:v>2.7999999999999972</c:v>
                </c:pt>
                <c:pt idx="5">
                  <c:v>2.5999999999999943</c:v>
                </c:pt>
                <c:pt idx="6">
                  <c:v>2.0999999999999943</c:v>
                </c:pt>
                <c:pt idx="7">
                  <c:v>2.4000000000000057</c:v>
                </c:pt>
                <c:pt idx="8">
                  <c:v>3.2000000000000028</c:v>
                </c:pt>
                <c:pt idx="9">
                  <c:v>2.0999999999999943</c:v>
                </c:pt>
                <c:pt idx="10">
                  <c:v>1.4000000000000057</c:v>
                </c:pt>
                <c:pt idx="11">
                  <c:v>3.2000000000000028</c:v>
                </c:pt>
                <c:pt idx="12">
                  <c:v>-0.59999999999999432</c:v>
                </c:pt>
                <c:pt idx="13">
                  <c:v>1</c:v>
                </c:pt>
                <c:pt idx="14">
                  <c:v>1.2000000000000028</c:v>
                </c:pt>
                <c:pt idx="15">
                  <c:v>-2</c:v>
                </c:pt>
                <c:pt idx="16">
                  <c:v>3.9000000000000057</c:v>
                </c:pt>
                <c:pt idx="17">
                  <c:v>2.7999999999999972</c:v>
                </c:pt>
                <c:pt idx="18">
                  <c:v>2.2000000000000028</c:v>
                </c:pt>
                <c:pt idx="19">
                  <c:v>2.7999999999999972</c:v>
                </c:pt>
                <c:pt idx="20">
                  <c:v>2.2999999999999972</c:v>
                </c:pt>
                <c:pt idx="21">
                  <c:v>3.2999999999999972</c:v>
                </c:pt>
                <c:pt idx="22">
                  <c:v>3.5</c:v>
                </c:pt>
                <c:pt idx="23">
                  <c:v>3.7000000000000028</c:v>
                </c:pt>
                <c:pt idx="24">
                  <c:v>4.7000000000000028</c:v>
                </c:pt>
                <c:pt idx="25">
                  <c:v>4</c:v>
                </c:pt>
                <c:pt idx="26">
                  <c:v>4.7000000000000028</c:v>
                </c:pt>
                <c:pt idx="27">
                  <c:v>4.4000000000000057</c:v>
                </c:pt>
                <c:pt idx="28">
                  <c:v>5.0999999999999943</c:v>
                </c:pt>
                <c:pt idx="29">
                  <c:v>7.2000000000000028</c:v>
                </c:pt>
                <c:pt idx="30">
                  <c:v>6.7000000000000028</c:v>
                </c:pt>
                <c:pt idx="31">
                  <c:v>7.7999999999999972</c:v>
                </c:pt>
                <c:pt idx="32">
                  <c:v>7.7999999999999972</c:v>
                </c:pt>
                <c:pt idx="33">
                  <c:v>8.0999999999999943</c:v>
                </c:pt>
                <c:pt idx="34">
                  <c:v>7.9000000000000057</c:v>
                </c:pt>
                <c:pt idx="35">
                  <c:v>6.5</c:v>
                </c:pt>
                <c:pt idx="36">
                  <c:v>7.4000000000000057</c:v>
                </c:pt>
              </c:numCache>
            </c:numRef>
          </c:val>
          <c:smooth val="0"/>
          <c:extLst>
            <c:ext xmlns:c16="http://schemas.microsoft.com/office/drawing/2014/chart" uri="{C3380CC4-5D6E-409C-BE32-E72D297353CC}">
              <c16:uniqueId val="{00000001-68BF-4F2C-917C-643FB43AB90E}"/>
            </c:ext>
          </c:extLst>
        </c:ser>
        <c:ser>
          <c:idx val="4"/>
          <c:order val="1"/>
          <c:tx>
            <c:strRef>
              <c:f>'Trh práce 3'!$D$8</c:f>
              <c:strCache>
                <c:ptCount val="1"/>
                <c:pt idx="0">
                  <c:v>Mediánová mzda (nominálně)</c:v>
                </c:pt>
              </c:strCache>
            </c:strRef>
          </c:tx>
          <c:spPr>
            <a:ln w="19050">
              <a:solidFill>
                <a:srgbClr val="BD1B21"/>
              </a:solidFill>
            </a:ln>
          </c:spPr>
          <c:marker>
            <c:symbol val="none"/>
          </c:marker>
          <c:cat>
            <c:multiLvlStrRef>
              <c:f>'Trh práce 3'!$A$9:$B$46</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3'!$D$9:$D$46</c:f>
              <c:numCache>
                <c:formatCode>0.0</c:formatCode>
                <c:ptCount val="38"/>
                <c:pt idx="0">
                  <c:v>3.2000000000000028</c:v>
                </c:pt>
                <c:pt idx="1">
                  <c:v>2.5999999999999943</c:v>
                </c:pt>
                <c:pt idx="2">
                  <c:v>2.7999999999999972</c:v>
                </c:pt>
                <c:pt idx="3">
                  <c:v>1.7999999999999972</c:v>
                </c:pt>
                <c:pt idx="4">
                  <c:v>2.7999999999999972</c:v>
                </c:pt>
                <c:pt idx="5">
                  <c:v>2.2000000000000028</c:v>
                </c:pt>
                <c:pt idx="6">
                  <c:v>1.7000000000000028</c:v>
                </c:pt>
                <c:pt idx="7">
                  <c:v>2.2000000000000028</c:v>
                </c:pt>
                <c:pt idx="8">
                  <c:v>1.4000000000000057</c:v>
                </c:pt>
                <c:pt idx="9">
                  <c:v>1.2999999999999972</c:v>
                </c:pt>
                <c:pt idx="10">
                  <c:v>-0.40000000000000568</c:v>
                </c:pt>
                <c:pt idx="11">
                  <c:v>-0.59999999999999432</c:v>
                </c:pt>
                <c:pt idx="12">
                  <c:v>0.59999999999999432</c:v>
                </c:pt>
                <c:pt idx="13">
                  <c:v>1.4000000000000057</c:v>
                </c:pt>
                <c:pt idx="14">
                  <c:v>2.2999999999999972</c:v>
                </c:pt>
                <c:pt idx="15">
                  <c:v>1.2000000000000028</c:v>
                </c:pt>
                <c:pt idx="16">
                  <c:v>4.7000000000000028</c:v>
                </c:pt>
                <c:pt idx="17">
                  <c:v>3.2999999999999972</c:v>
                </c:pt>
                <c:pt idx="18">
                  <c:v>2.5999999999999943</c:v>
                </c:pt>
                <c:pt idx="19">
                  <c:v>2.2999999999999972</c:v>
                </c:pt>
                <c:pt idx="20">
                  <c:v>0.70000000000000284</c:v>
                </c:pt>
                <c:pt idx="21">
                  <c:v>2.2999999999999972</c:v>
                </c:pt>
                <c:pt idx="22">
                  <c:v>3.7999999999999972</c:v>
                </c:pt>
                <c:pt idx="23">
                  <c:v>4.7000000000000028</c:v>
                </c:pt>
                <c:pt idx="24">
                  <c:v>6.7000000000000028</c:v>
                </c:pt>
                <c:pt idx="25">
                  <c:v>4.5999999999999943</c:v>
                </c:pt>
                <c:pt idx="26">
                  <c:v>5.2999999999999972</c:v>
                </c:pt>
                <c:pt idx="27">
                  <c:v>6.2000000000000028</c:v>
                </c:pt>
                <c:pt idx="28">
                  <c:v>4.9000000000000057</c:v>
                </c:pt>
                <c:pt idx="29">
                  <c:v>7.7000000000000028</c:v>
                </c:pt>
                <c:pt idx="30">
                  <c:v>7</c:v>
                </c:pt>
                <c:pt idx="31">
                  <c:v>8.9000000000000057</c:v>
                </c:pt>
                <c:pt idx="32">
                  <c:v>7.7999999999999972</c:v>
                </c:pt>
                <c:pt idx="33">
                  <c:v>9</c:v>
                </c:pt>
                <c:pt idx="34">
                  <c:v>9.4000000000000057</c:v>
                </c:pt>
                <c:pt idx="35">
                  <c:v>6.5999999999999943</c:v>
                </c:pt>
                <c:pt idx="36">
                  <c:v>7.4000000000000057</c:v>
                </c:pt>
              </c:numCache>
            </c:numRef>
          </c:val>
          <c:smooth val="0"/>
          <c:extLst>
            <c:ext xmlns:c16="http://schemas.microsoft.com/office/drawing/2014/chart" uri="{C3380CC4-5D6E-409C-BE32-E72D297353CC}">
              <c16:uniqueId val="{00000002-68BF-4F2C-917C-643FB43AB90E}"/>
            </c:ext>
          </c:extLst>
        </c:ser>
        <c:ser>
          <c:idx val="1"/>
          <c:order val="3"/>
          <c:tx>
            <c:strRef>
              <c:f>'Trh práce 3'!$F$8</c:f>
              <c:strCache>
                <c:ptCount val="1"/>
                <c:pt idx="0">
                  <c:v>Produktivita práce v NH (reálně)*</c:v>
                </c:pt>
              </c:strCache>
            </c:strRef>
          </c:tx>
          <c:spPr>
            <a:ln w="19050">
              <a:noFill/>
              <a:prstDash val="solid"/>
            </a:ln>
          </c:spPr>
          <c:marker>
            <c:symbol val="diamond"/>
            <c:size val="5"/>
            <c:spPr>
              <a:solidFill>
                <a:srgbClr val="FFFF00"/>
              </a:solidFill>
              <a:ln>
                <a:solidFill>
                  <a:schemeClr val="tx1">
                    <a:lumMod val="95000"/>
                    <a:lumOff val="5000"/>
                  </a:schemeClr>
                </a:solidFill>
              </a:ln>
            </c:spPr>
          </c:marker>
          <c:cat>
            <c:multiLvlStrRef>
              <c:f>'Trh práce 3'!$A$9:$B$46</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c:v>
                  </c:pt>
                </c:lvl>
                <c:lvl>
                  <c:pt idx="0">
                    <c:v>2010</c:v>
                  </c:pt>
                  <c:pt idx="4">
                    <c:v>2011</c:v>
                  </c:pt>
                  <c:pt idx="8">
                    <c:v>2012</c:v>
                  </c:pt>
                  <c:pt idx="12">
                    <c:v>2013</c:v>
                  </c:pt>
                  <c:pt idx="16">
                    <c:v>2014</c:v>
                  </c:pt>
                  <c:pt idx="20">
                    <c:v>2015</c:v>
                  </c:pt>
                  <c:pt idx="24">
                    <c:v>2016</c:v>
                  </c:pt>
                  <c:pt idx="28">
                    <c:v>2017</c:v>
                  </c:pt>
                  <c:pt idx="32">
                    <c:v>2018</c:v>
                  </c:pt>
                  <c:pt idx="36">
                    <c:v>2019</c:v>
                  </c:pt>
                </c:lvl>
              </c:multiLvlStrCache>
            </c:multiLvlStrRef>
          </c:cat>
          <c:val>
            <c:numRef>
              <c:f>'Trh práce 3'!$F$9:$F$46</c:f>
              <c:numCache>
                <c:formatCode>0.0</c:formatCode>
                <c:ptCount val="38"/>
                <c:pt idx="0">
                  <c:v>3.5332846838865208</c:v>
                </c:pt>
                <c:pt idx="1">
                  <c:v>4.425122650740704</c:v>
                </c:pt>
                <c:pt idx="2">
                  <c:v>2.3152819998793319</c:v>
                </c:pt>
                <c:pt idx="3">
                  <c:v>2.9717863026053948</c:v>
                </c:pt>
                <c:pt idx="4">
                  <c:v>2.9527260280244576</c:v>
                </c:pt>
                <c:pt idx="5">
                  <c:v>2.0923191727528945</c:v>
                </c:pt>
                <c:pt idx="6">
                  <c:v>1.8080251400873806</c:v>
                </c:pt>
                <c:pt idx="7">
                  <c:v>1.5019620723850409</c:v>
                </c:pt>
                <c:pt idx="8">
                  <c:v>0.41537995919813397</c:v>
                </c:pt>
                <c:pt idx="9">
                  <c:v>-1.2819231607881107</c:v>
                </c:pt>
                <c:pt idx="10">
                  <c:v>-1.8249350322319771</c:v>
                </c:pt>
                <c:pt idx="11">
                  <c:v>-2.0588258996494346</c:v>
                </c:pt>
                <c:pt idx="12">
                  <c:v>-2.8802810421720295</c:v>
                </c:pt>
                <c:pt idx="13">
                  <c:v>-1.8279480046633836</c:v>
                </c:pt>
                <c:pt idx="14">
                  <c:v>0.4046193699375209</c:v>
                </c:pt>
                <c:pt idx="15">
                  <c:v>0.95515229453815209</c:v>
                </c:pt>
                <c:pt idx="16">
                  <c:v>1.7448585072078089</c:v>
                </c:pt>
                <c:pt idx="17">
                  <c:v>2.7515963261383547</c:v>
                </c:pt>
                <c:pt idx="18">
                  <c:v>3.0294730201186439</c:v>
                </c:pt>
                <c:pt idx="19">
                  <c:v>1.0840279704352724</c:v>
                </c:pt>
                <c:pt idx="20">
                  <c:v>3.7518410336967918</c:v>
                </c:pt>
                <c:pt idx="21">
                  <c:v>4.1202609165826658</c:v>
                </c:pt>
                <c:pt idx="22">
                  <c:v>3.76028698995718</c:v>
                </c:pt>
                <c:pt idx="23">
                  <c:v>3.6745015563024737</c:v>
                </c:pt>
                <c:pt idx="24">
                  <c:v>1.4752745888902723</c:v>
                </c:pt>
                <c:pt idx="25">
                  <c:v>2.0687313721092977</c:v>
                </c:pt>
                <c:pt idx="26">
                  <c:v>6.7689948363209851E-2</c:v>
                </c:pt>
                <c:pt idx="27">
                  <c:v>-0.12588932224844029</c:v>
                </c:pt>
                <c:pt idx="28">
                  <c:v>2.1515124153600311</c:v>
                </c:pt>
                <c:pt idx="29">
                  <c:v>2.3231135835342371</c:v>
                </c:pt>
                <c:pt idx="30">
                  <c:v>2.9467476194007958</c:v>
                </c:pt>
                <c:pt idx="31">
                  <c:v>3.5413178743205265</c:v>
                </c:pt>
                <c:pt idx="32">
                  <c:v>1.6638016286019308</c:v>
                </c:pt>
                <c:pt idx="33">
                  <c:v>0.74584580797700539</c:v>
                </c:pt>
                <c:pt idx="34">
                  <c:v>1.4078834932011119</c:v>
                </c:pt>
                <c:pt idx="35">
                  <c:v>1.4583630007449955</c:v>
                </c:pt>
                <c:pt idx="36">
                  <c:v>1.148570729077278</c:v>
                </c:pt>
              </c:numCache>
            </c:numRef>
          </c:val>
          <c:smooth val="0"/>
          <c:extLst>
            <c:ext xmlns:c16="http://schemas.microsoft.com/office/drawing/2014/chart" uri="{C3380CC4-5D6E-409C-BE32-E72D297353CC}">
              <c16:uniqueId val="{00000003-68BF-4F2C-917C-643FB43AB90E}"/>
            </c:ext>
          </c:extLst>
        </c:ser>
        <c:dLbls>
          <c:showLegendKey val="0"/>
          <c:showVal val="0"/>
          <c:showCatName val="0"/>
          <c:showSerName val="0"/>
          <c:showPercent val="0"/>
          <c:showBubbleSize val="0"/>
        </c:dLbls>
        <c:marker val="1"/>
        <c:smooth val="0"/>
        <c:axId val="87652224"/>
        <c:axId val="87653760"/>
      </c:lineChart>
      <c:catAx>
        <c:axId val="87652224"/>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87653760"/>
        <c:crosses val="autoZero"/>
        <c:auto val="1"/>
        <c:lblAlgn val="ctr"/>
        <c:lblOffset val="0"/>
        <c:tickMarkSkip val="4"/>
        <c:noMultiLvlLbl val="0"/>
      </c:catAx>
      <c:valAx>
        <c:axId val="87653760"/>
        <c:scaling>
          <c:orientation val="minMax"/>
          <c:max val="10"/>
          <c:min val="-4"/>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87652224"/>
        <c:crosses val="autoZero"/>
        <c:crossBetween val="between"/>
        <c:majorUnit val="1"/>
      </c:valAx>
      <c:spPr>
        <a:ln>
          <a:solidFill>
            <a:schemeClr val="tx1"/>
          </a:solidFill>
        </a:ln>
      </c:spPr>
    </c:plotArea>
    <c:legend>
      <c:legendPos val="b"/>
      <c:layout>
        <c:manualLayout>
          <c:xMode val="edge"/>
          <c:yMode val="edge"/>
          <c:x val="4.4672385016341916E-2"/>
          <c:y val="0.88298129251700685"/>
          <c:w val="0.94307265361592563"/>
          <c:h val="0.10621938775510203"/>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557159743329959E-2"/>
          <c:y val="2.1711264016309892E-2"/>
          <c:w val="0.93757303275920301"/>
          <c:h val="0.73130361364405005"/>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1'!$A$30:$B$93</c:f>
              <c:multiLvlStrCache>
                <c:ptCount val="64"/>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lvl>
                <c:lvl>
                  <c:pt idx="0">
                    <c:v>2014</c:v>
                  </c:pt>
                  <c:pt idx="12">
                    <c:v>2015</c:v>
                  </c:pt>
                  <c:pt idx="24">
                    <c:v>2016</c:v>
                  </c:pt>
                  <c:pt idx="36">
                    <c:v>2017</c:v>
                  </c:pt>
                  <c:pt idx="48">
                    <c:v>2018</c:v>
                  </c:pt>
                  <c:pt idx="60">
                    <c:v>2019</c:v>
                  </c:pt>
                </c:lvl>
              </c:multiLvlStrCache>
            </c:multiLvlStrRef>
          </c:cat>
          <c:val>
            <c:numRef>
              <c:f>'Měnové podmínky 1'!$C$30:$C$93</c:f>
              <c:numCache>
                <c:formatCode>0.00</c:formatCode>
                <c:ptCount val="64"/>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formatCode="General">
                  <c:v>0.05</c:v>
                </c:pt>
                <c:pt idx="25" formatCode="General">
                  <c:v>0.05</c:v>
                </c:pt>
                <c:pt idx="26" formatCode="General">
                  <c:v>0.05</c:v>
                </c:pt>
                <c:pt idx="27" formatCode="General">
                  <c:v>0.05</c:v>
                </c:pt>
                <c:pt idx="28" formatCode="General">
                  <c:v>0.05</c:v>
                </c:pt>
                <c:pt idx="29" formatCode="General">
                  <c:v>0.05</c:v>
                </c:pt>
                <c:pt idx="30" formatCode="General">
                  <c:v>0.05</c:v>
                </c:pt>
                <c:pt idx="31" formatCode="General">
                  <c:v>0.05</c:v>
                </c:pt>
                <c:pt idx="32" formatCode="General">
                  <c:v>0.05</c:v>
                </c:pt>
                <c:pt idx="33" formatCode="General">
                  <c:v>0.05</c:v>
                </c:pt>
                <c:pt idx="34" formatCode="General">
                  <c:v>0.05</c:v>
                </c:pt>
                <c:pt idx="35" formatCode="General">
                  <c:v>0.05</c:v>
                </c:pt>
                <c:pt idx="36" formatCode="General">
                  <c:v>0.05</c:v>
                </c:pt>
                <c:pt idx="37" formatCode="General">
                  <c:v>0.05</c:v>
                </c:pt>
                <c:pt idx="38" formatCode="General">
                  <c:v>0.05</c:v>
                </c:pt>
                <c:pt idx="39" formatCode="General">
                  <c:v>0.05</c:v>
                </c:pt>
                <c:pt idx="40" formatCode="General">
                  <c:v>0.05</c:v>
                </c:pt>
                <c:pt idx="41" formatCode="General">
                  <c:v>0.05</c:v>
                </c:pt>
                <c:pt idx="42" formatCode="General">
                  <c:v>0.05</c:v>
                </c:pt>
                <c:pt idx="43" formatCode="General">
                  <c:v>0.25</c:v>
                </c:pt>
                <c:pt idx="44" formatCode="General">
                  <c:v>0.25</c:v>
                </c:pt>
                <c:pt idx="45" formatCode="General">
                  <c:v>0.25</c:v>
                </c:pt>
                <c:pt idx="46" formatCode="General">
                  <c:v>0.5</c:v>
                </c:pt>
                <c:pt idx="47" formatCode="General">
                  <c:v>0.5</c:v>
                </c:pt>
                <c:pt idx="48" formatCode="General">
                  <c:v>0.5</c:v>
                </c:pt>
                <c:pt idx="49" formatCode="General">
                  <c:v>0.75</c:v>
                </c:pt>
                <c:pt idx="50" formatCode="General">
                  <c:v>0.75</c:v>
                </c:pt>
                <c:pt idx="51" formatCode="General">
                  <c:v>0.75</c:v>
                </c:pt>
                <c:pt idx="52" formatCode="General">
                  <c:v>0.75</c:v>
                </c:pt>
                <c:pt idx="53" formatCode="General">
                  <c:v>1</c:v>
                </c:pt>
                <c:pt idx="54" formatCode="General">
                  <c:v>1</c:v>
                </c:pt>
                <c:pt idx="55" formatCode="General">
                  <c:v>1.25</c:v>
                </c:pt>
                <c:pt idx="56" formatCode="General">
                  <c:v>1.5</c:v>
                </c:pt>
                <c:pt idx="57" formatCode="General">
                  <c:v>1.5</c:v>
                </c:pt>
                <c:pt idx="58" formatCode="General">
                  <c:v>1.75</c:v>
                </c:pt>
                <c:pt idx="59" formatCode="General">
                  <c:v>1.75</c:v>
                </c:pt>
                <c:pt idx="60" formatCode="General">
                  <c:v>1.75</c:v>
                </c:pt>
                <c:pt idx="61" formatCode="General">
                  <c:v>1.75</c:v>
                </c:pt>
                <c:pt idx="62" formatCode="General">
                  <c:v>1.75</c:v>
                </c:pt>
                <c:pt idx="63" formatCode="General">
                  <c:v>1.75</c:v>
                </c:pt>
              </c:numCache>
            </c:numRef>
          </c:val>
          <c:extLst>
            <c:ext xmlns:c16="http://schemas.microsoft.com/office/drawing/2014/chart" uri="{C3380CC4-5D6E-409C-BE32-E72D297353CC}">
              <c16:uniqueId val="{00000000-1D07-4BCB-A28C-A23478592E2B}"/>
            </c:ext>
          </c:extLst>
        </c:ser>
        <c:dLbls>
          <c:showLegendKey val="0"/>
          <c:showVal val="0"/>
          <c:showCatName val="0"/>
          <c:showSerName val="0"/>
          <c:showPercent val="0"/>
          <c:showBubbleSize val="0"/>
        </c:dLbls>
        <c:gapWidth val="31"/>
        <c:axId val="271742464"/>
        <c:axId val="271744000"/>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1'!$A$30:$B$93</c:f>
              <c:multiLvlStrCache>
                <c:ptCount val="64"/>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lvl>
                <c:lvl>
                  <c:pt idx="0">
                    <c:v>2014</c:v>
                  </c:pt>
                  <c:pt idx="12">
                    <c:v>2015</c:v>
                  </c:pt>
                  <c:pt idx="24">
                    <c:v>2016</c:v>
                  </c:pt>
                  <c:pt idx="36">
                    <c:v>2017</c:v>
                  </c:pt>
                  <c:pt idx="48">
                    <c:v>2018</c:v>
                  </c:pt>
                  <c:pt idx="60">
                    <c:v>2019</c:v>
                  </c:pt>
                </c:lvl>
              </c:multiLvlStrCache>
            </c:multiLvlStrRef>
          </c:cat>
          <c:val>
            <c:numRef>
              <c:f>'Měnové podmínky 1'!$F$30:$F$93</c:f>
              <c:numCache>
                <c:formatCode>General</c:formatCode>
                <c:ptCount val="64"/>
                <c:pt idx="0">
                  <c:v>0.23</c:v>
                </c:pt>
                <c:pt idx="1">
                  <c:v>0.28000000000000003</c:v>
                </c:pt>
                <c:pt idx="2">
                  <c:v>0.26</c:v>
                </c:pt>
                <c:pt idx="3">
                  <c:v>0.23</c:v>
                </c:pt>
                <c:pt idx="4">
                  <c:v>0.21</c:v>
                </c:pt>
                <c:pt idx="5">
                  <c:v>0.24</c:v>
                </c:pt>
                <c:pt idx="6">
                  <c:v>0.23</c:v>
                </c:pt>
                <c:pt idx="7">
                  <c:v>0.18</c:v>
                </c:pt>
                <c:pt idx="8">
                  <c:v>0.14000000000000001</c:v>
                </c:pt>
                <c:pt idx="9">
                  <c:v>0.1</c:v>
                </c:pt>
                <c:pt idx="10">
                  <c:v>0.12</c:v>
                </c:pt>
                <c:pt idx="11">
                  <c:v>0.13</c:v>
                </c:pt>
                <c:pt idx="12">
                  <c:v>0.09</c:v>
                </c:pt>
                <c:pt idx="13">
                  <c:v>0.06</c:v>
                </c:pt>
                <c:pt idx="14">
                  <c:v>0.04</c:v>
                </c:pt>
                <c:pt idx="15">
                  <c:v>-0.03</c:v>
                </c:pt>
                <c:pt idx="16">
                  <c:v>0.04</c:v>
                </c:pt>
                <c:pt idx="17">
                  <c:v>0.11</c:v>
                </c:pt>
                <c:pt idx="18">
                  <c:v>0.02</c:v>
                </c:pt>
                <c:pt idx="19">
                  <c:v>-7.0000000000000007E-2</c:v>
                </c:pt>
                <c:pt idx="20">
                  <c:v>-0.3</c:v>
                </c:pt>
                <c:pt idx="21">
                  <c:v>-0.28000000000000003</c:v>
                </c:pt>
                <c:pt idx="22">
                  <c:v>-0.33</c:v>
                </c:pt>
                <c:pt idx="23">
                  <c:v>-0.38</c:v>
                </c:pt>
                <c:pt idx="24">
                  <c:v>-0.21</c:v>
                </c:pt>
                <c:pt idx="25">
                  <c:v>-0.18</c:v>
                </c:pt>
                <c:pt idx="26">
                  <c:v>-0.17</c:v>
                </c:pt>
                <c:pt idx="27">
                  <c:v>-0.08</c:v>
                </c:pt>
                <c:pt idx="28">
                  <c:v>-0.04</c:v>
                </c:pt>
                <c:pt idx="29">
                  <c:v>-0.05</c:v>
                </c:pt>
                <c:pt idx="30">
                  <c:v>-0.13</c:v>
                </c:pt>
                <c:pt idx="31">
                  <c:v>-0.22</c:v>
                </c:pt>
                <c:pt idx="32">
                  <c:v>-0.5</c:v>
                </c:pt>
                <c:pt idx="33">
                  <c:v>-0.74</c:v>
                </c:pt>
                <c:pt idx="34">
                  <c:v>-0.73</c:v>
                </c:pt>
                <c:pt idx="35">
                  <c:v>-0.81</c:v>
                </c:pt>
                <c:pt idx="36">
                  <c:v>-0.88</c:v>
                </c:pt>
                <c:pt idx="37">
                  <c:v>-0.53</c:v>
                </c:pt>
                <c:pt idx="38">
                  <c:v>-0.44</c:v>
                </c:pt>
                <c:pt idx="39">
                  <c:v>-0.23</c:v>
                </c:pt>
                <c:pt idx="40">
                  <c:v>-0.24</c:v>
                </c:pt>
                <c:pt idx="41">
                  <c:v>-0.25</c:v>
                </c:pt>
                <c:pt idx="42">
                  <c:v>-0.28999999999999998</c:v>
                </c:pt>
                <c:pt idx="43">
                  <c:v>-0.33</c:v>
                </c:pt>
                <c:pt idx="44">
                  <c:v>-0.28999999999999998</c:v>
                </c:pt>
                <c:pt idx="45">
                  <c:v>0.12</c:v>
                </c:pt>
                <c:pt idx="46">
                  <c:v>0.31</c:v>
                </c:pt>
                <c:pt idx="47">
                  <c:v>0.19</c:v>
                </c:pt>
                <c:pt idx="48">
                  <c:v>0.46</c:v>
                </c:pt>
                <c:pt idx="49">
                  <c:v>0.55000000000000004</c:v>
                </c:pt>
                <c:pt idx="50">
                  <c:v>0.62</c:v>
                </c:pt>
                <c:pt idx="51">
                  <c:v>0.6</c:v>
                </c:pt>
                <c:pt idx="52">
                  <c:v>0.7</c:v>
                </c:pt>
                <c:pt idx="53">
                  <c:v>0.89</c:v>
                </c:pt>
                <c:pt idx="54">
                  <c:v>1.0900000000000001</c:v>
                </c:pt>
                <c:pt idx="55">
                  <c:v>1.26</c:v>
                </c:pt>
                <c:pt idx="56">
                  <c:v>1.34</c:v>
                </c:pt>
                <c:pt idx="57">
                  <c:v>1.44</c:v>
                </c:pt>
                <c:pt idx="58">
                  <c:v>1.49</c:v>
                </c:pt>
                <c:pt idx="59">
                  <c:v>1.52</c:v>
                </c:pt>
                <c:pt idx="60">
                  <c:v>1.66</c:v>
                </c:pt>
                <c:pt idx="61">
                  <c:v>1.74</c:v>
                </c:pt>
                <c:pt idx="62">
                  <c:v>1.71</c:v>
                </c:pt>
                <c:pt idx="63">
                  <c:v>1.63</c:v>
                </c:pt>
              </c:numCache>
            </c:numRef>
          </c:val>
          <c:smooth val="0"/>
          <c:extLst>
            <c:ext xmlns:c16="http://schemas.microsoft.com/office/drawing/2014/chart" uri="{C3380CC4-5D6E-409C-BE32-E72D297353CC}">
              <c16:uniqueId val="{00000001-1D07-4BCB-A28C-A23478592E2B}"/>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1'!$A$30:$B$93</c:f>
              <c:multiLvlStrCache>
                <c:ptCount val="64"/>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lvl>
                <c:lvl>
                  <c:pt idx="0">
                    <c:v>2014</c:v>
                  </c:pt>
                  <c:pt idx="12">
                    <c:v>2015</c:v>
                  </c:pt>
                  <c:pt idx="24">
                    <c:v>2016</c:v>
                  </c:pt>
                  <c:pt idx="36">
                    <c:v>2017</c:v>
                  </c:pt>
                  <c:pt idx="48">
                    <c:v>2018</c:v>
                  </c:pt>
                  <c:pt idx="60">
                    <c:v>2019</c:v>
                  </c:pt>
                </c:lvl>
              </c:multiLvlStrCache>
            </c:multiLvlStrRef>
          </c:cat>
          <c:val>
            <c:numRef>
              <c:f>'Měnové podmínky 1'!$D$30:$D$93</c:f>
              <c:numCache>
                <c:formatCode>General</c:formatCode>
                <c:ptCount val="64"/>
                <c:pt idx="0">
                  <c:v>0.37</c:v>
                </c:pt>
                <c:pt idx="1">
                  <c:v>0.37</c:v>
                </c:pt>
                <c:pt idx="2">
                  <c:v>0.37</c:v>
                </c:pt>
                <c:pt idx="3">
                  <c:v>0.37</c:v>
                </c:pt>
                <c:pt idx="4">
                  <c:v>0.37</c:v>
                </c:pt>
                <c:pt idx="5">
                  <c:v>0.35</c:v>
                </c:pt>
                <c:pt idx="6">
                  <c:v>0.35</c:v>
                </c:pt>
                <c:pt idx="7">
                  <c:v>0.35</c:v>
                </c:pt>
                <c:pt idx="8">
                  <c:v>0.35</c:v>
                </c:pt>
                <c:pt idx="9">
                  <c:v>0.35</c:v>
                </c:pt>
                <c:pt idx="10">
                  <c:v>0.34</c:v>
                </c:pt>
                <c:pt idx="11">
                  <c:v>0.34</c:v>
                </c:pt>
                <c:pt idx="12">
                  <c:v>0.33</c:v>
                </c:pt>
                <c:pt idx="13">
                  <c:v>0.33</c:v>
                </c:pt>
                <c:pt idx="14">
                  <c:v>0.32</c:v>
                </c:pt>
                <c:pt idx="15">
                  <c:v>0.31</c:v>
                </c:pt>
                <c:pt idx="16">
                  <c:v>0.31</c:v>
                </c:pt>
                <c:pt idx="17">
                  <c:v>0.31</c:v>
                </c:pt>
                <c:pt idx="18">
                  <c:v>0.31</c:v>
                </c:pt>
                <c:pt idx="19">
                  <c:v>0.31</c:v>
                </c:pt>
                <c:pt idx="20">
                  <c:v>0.3</c:v>
                </c:pt>
                <c:pt idx="21">
                  <c:v>0.28999999999999998</c:v>
                </c:pt>
                <c:pt idx="22">
                  <c:v>0.28999999999999998</c:v>
                </c:pt>
                <c:pt idx="23">
                  <c:v>0.28999999999999998</c:v>
                </c:pt>
                <c:pt idx="24">
                  <c:v>0.28999999999999998</c:v>
                </c:pt>
                <c:pt idx="25">
                  <c:v>0.28000000000000003</c:v>
                </c:pt>
                <c:pt idx="26">
                  <c:v>0.28999999999999998</c:v>
                </c:pt>
                <c:pt idx="27">
                  <c:v>0.28999999999999998</c:v>
                </c:pt>
                <c:pt idx="28">
                  <c:v>0.28999999999999998</c:v>
                </c:pt>
                <c:pt idx="29">
                  <c:v>0.28999999999999998</c:v>
                </c:pt>
                <c:pt idx="30">
                  <c:v>0.28999999999999998</c:v>
                </c:pt>
                <c:pt idx="31">
                  <c:v>0.28999999999999998</c:v>
                </c:pt>
                <c:pt idx="32">
                  <c:v>0.28999999999999998</c:v>
                </c:pt>
                <c:pt idx="33">
                  <c:v>0.28999999999999998</c:v>
                </c:pt>
                <c:pt idx="34">
                  <c:v>0.28999999999999998</c:v>
                </c:pt>
                <c:pt idx="35">
                  <c:v>0.28999999999999998</c:v>
                </c:pt>
                <c:pt idx="36">
                  <c:v>0.28000000000000003</c:v>
                </c:pt>
                <c:pt idx="37">
                  <c:v>0.28000000000000003</c:v>
                </c:pt>
                <c:pt idx="38">
                  <c:v>0.28000000000000003</c:v>
                </c:pt>
                <c:pt idx="39">
                  <c:v>0.28999999999999998</c:v>
                </c:pt>
                <c:pt idx="40">
                  <c:v>0.3</c:v>
                </c:pt>
                <c:pt idx="41">
                  <c:v>0.3</c:v>
                </c:pt>
                <c:pt idx="42">
                  <c:v>0.3</c:v>
                </c:pt>
                <c:pt idx="43">
                  <c:v>0.43</c:v>
                </c:pt>
                <c:pt idx="44">
                  <c:v>0.46</c:v>
                </c:pt>
                <c:pt idx="45">
                  <c:v>0.51</c:v>
                </c:pt>
                <c:pt idx="46">
                  <c:v>0.71</c:v>
                </c:pt>
                <c:pt idx="47">
                  <c:v>0.75</c:v>
                </c:pt>
                <c:pt idx="48">
                  <c:v>0.77</c:v>
                </c:pt>
                <c:pt idx="49">
                  <c:v>0.9</c:v>
                </c:pt>
                <c:pt idx="50">
                  <c:v>0.9</c:v>
                </c:pt>
                <c:pt idx="51">
                  <c:v>0.9</c:v>
                </c:pt>
                <c:pt idx="52">
                  <c:v>0.9</c:v>
                </c:pt>
                <c:pt idx="53">
                  <c:v>0.93</c:v>
                </c:pt>
                <c:pt idx="54">
                  <c:v>1.18</c:v>
                </c:pt>
                <c:pt idx="55">
                  <c:v>1.45</c:v>
                </c:pt>
                <c:pt idx="56">
                  <c:v>1.54</c:v>
                </c:pt>
                <c:pt idx="57">
                  <c:v>1.76</c:v>
                </c:pt>
                <c:pt idx="58">
                  <c:v>1.99</c:v>
                </c:pt>
                <c:pt idx="59">
                  <c:v>2.0099999999999998</c:v>
                </c:pt>
                <c:pt idx="60">
                  <c:v>2.0099999999999998</c:v>
                </c:pt>
                <c:pt idx="61">
                  <c:v>2.0099999999999998</c:v>
                </c:pt>
                <c:pt idx="62">
                  <c:v>2.0299999999999998</c:v>
                </c:pt>
                <c:pt idx="63">
                  <c:v>2.02</c:v>
                </c:pt>
              </c:numCache>
            </c:numRef>
          </c:val>
          <c:smooth val="0"/>
          <c:extLst>
            <c:ext xmlns:c16="http://schemas.microsoft.com/office/drawing/2014/chart" uri="{C3380CC4-5D6E-409C-BE32-E72D297353CC}">
              <c16:uniqueId val="{00000002-1D07-4BCB-A28C-A23478592E2B}"/>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1'!$A$30:$B$93</c:f>
              <c:multiLvlStrCache>
                <c:ptCount val="64"/>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lvl>
                <c:lvl>
                  <c:pt idx="0">
                    <c:v>2014</c:v>
                  </c:pt>
                  <c:pt idx="12">
                    <c:v>2015</c:v>
                  </c:pt>
                  <c:pt idx="24">
                    <c:v>2016</c:v>
                  </c:pt>
                  <c:pt idx="36">
                    <c:v>2017</c:v>
                  </c:pt>
                  <c:pt idx="48">
                    <c:v>2018</c:v>
                  </c:pt>
                  <c:pt idx="60">
                    <c:v>2019</c:v>
                  </c:pt>
                </c:lvl>
              </c:multiLvlStrCache>
            </c:multiLvlStrRef>
          </c:cat>
          <c:val>
            <c:numRef>
              <c:f>'Měnové podmínky 1'!$G$30:$G$93</c:f>
              <c:numCache>
                <c:formatCode>General</c:formatCode>
                <c:ptCount val="64"/>
                <c:pt idx="0">
                  <c:v>1.0900000000000001</c:v>
                </c:pt>
                <c:pt idx="1">
                  <c:v>1.2</c:v>
                </c:pt>
                <c:pt idx="2">
                  <c:v>1.1399999999999999</c:v>
                </c:pt>
                <c:pt idx="3">
                  <c:v>0.99</c:v>
                </c:pt>
                <c:pt idx="4">
                  <c:v>0.8</c:v>
                </c:pt>
                <c:pt idx="5">
                  <c:v>0.68</c:v>
                </c:pt>
                <c:pt idx="6">
                  <c:v>0.65</c:v>
                </c:pt>
                <c:pt idx="7">
                  <c:v>0.62</c:v>
                </c:pt>
                <c:pt idx="8">
                  <c:v>0.51</c:v>
                </c:pt>
                <c:pt idx="9">
                  <c:v>0.37</c:v>
                </c:pt>
                <c:pt idx="10">
                  <c:v>0.24</c:v>
                </c:pt>
                <c:pt idx="11">
                  <c:v>0.22</c:v>
                </c:pt>
                <c:pt idx="12">
                  <c:v>0.13</c:v>
                </c:pt>
                <c:pt idx="13">
                  <c:v>0.17</c:v>
                </c:pt>
                <c:pt idx="14">
                  <c:v>0.14000000000000001</c:v>
                </c:pt>
                <c:pt idx="15">
                  <c:v>0.05</c:v>
                </c:pt>
                <c:pt idx="16">
                  <c:v>0.22</c:v>
                </c:pt>
                <c:pt idx="17">
                  <c:v>0.43</c:v>
                </c:pt>
                <c:pt idx="18">
                  <c:v>0.35</c:v>
                </c:pt>
                <c:pt idx="19">
                  <c:v>0.2</c:v>
                </c:pt>
                <c:pt idx="20">
                  <c:v>0.06</c:v>
                </c:pt>
                <c:pt idx="21">
                  <c:v>-0.05</c:v>
                </c:pt>
                <c:pt idx="22">
                  <c:v>-0.05</c:v>
                </c:pt>
                <c:pt idx="23">
                  <c:v>-0.11</c:v>
                </c:pt>
                <c:pt idx="24">
                  <c:v>0.04</c:v>
                </c:pt>
                <c:pt idx="25">
                  <c:v>-0.08</c:v>
                </c:pt>
                <c:pt idx="26">
                  <c:v>-0.1</c:v>
                </c:pt>
                <c:pt idx="27">
                  <c:v>0.04</c:v>
                </c:pt>
                <c:pt idx="28">
                  <c:v>7.0000000000000007E-2</c:v>
                </c:pt>
                <c:pt idx="29">
                  <c:v>0.05</c:v>
                </c:pt>
                <c:pt idx="30">
                  <c:v>-0.02</c:v>
                </c:pt>
                <c:pt idx="31">
                  <c:v>-0.09</c:v>
                </c:pt>
                <c:pt idx="32">
                  <c:v>-0.19</c:v>
                </c:pt>
                <c:pt idx="33">
                  <c:v>-0.17</c:v>
                </c:pt>
                <c:pt idx="34">
                  <c:v>-0.17</c:v>
                </c:pt>
                <c:pt idx="35">
                  <c:v>-0.21</c:v>
                </c:pt>
                <c:pt idx="36">
                  <c:v>-0.22</c:v>
                </c:pt>
                <c:pt idx="37">
                  <c:v>0.09</c:v>
                </c:pt>
                <c:pt idx="38">
                  <c:v>0.1</c:v>
                </c:pt>
                <c:pt idx="39">
                  <c:v>0.16</c:v>
                </c:pt>
                <c:pt idx="40">
                  <c:v>0.04</c:v>
                </c:pt>
                <c:pt idx="41">
                  <c:v>-0.03</c:v>
                </c:pt>
                <c:pt idx="42">
                  <c:v>0.14000000000000001</c:v>
                </c:pt>
                <c:pt idx="43">
                  <c:v>0.09</c:v>
                </c:pt>
                <c:pt idx="44">
                  <c:v>0.1</c:v>
                </c:pt>
                <c:pt idx="45">
                  <c:v>0.63</c:v>
                </c:pt>
                <c:pt idx="46">
                  <c:v>0.87</c:v>
                </c:pt>
                <c:pt idx="47">
                  <c:v>0.68</c:v>
                </c:pt>
                <c:pt idx="48">
                  <c:v>0.99</c:v>
                </c:pt>
                <c:pt idx="49">
                  <c:v>1.07</c:v>
                </c:pt>
                <c:pt idx="50">
                  <c:v>1.0900000000000001</c:v>
                </c:pt>
                <c:pt idx="51">
                  <c:v>1.05</c:v>
                </c:pt>
                <c:pt idx="52">
                  <c:v>1.21</c:v>
                </c:pt>
                <c:pt idx="53">
                  <c:v>1.41</c:v>
                </c:pt>
                <c:pt idx="54">
                  <c:v>1.44</c:v>
                </c:pt>
                <c:pt idx="55">
                  <c:v>1.55</c:v>
                </c:pt>
                <c:pt idx="56">
                  <c:v>1.7</c:v>
                </c:pt>
                <c:pt idx="57">
                  <c:v>1.81</c:v>
                </c:pt>
                <c:pt idx="58">
                  <c:v>1.79</c:v>
                </c:pt>
                <c:pt idx="59">
                  <c:v>1.71</c:v>
                </c:pt>
                <c:pt idx="60">
                  <c:v>1.6</c:v>
                </c:pt>
                <c:pt idx="61">
                  <c:v>1.61</c:v>
                </c:pt>
                <c:pt idx="62">
                  <c:v>1.7</c:v>
                </c:pt>
                <c:pt idx="63">
                  <c:v>1.63</c:v>
                </c:pt>
              </c:numCache>
            </c:numRef>
          </c:val>
          <c:smooth val="0"/>
          <c:extLst>
            <c:ext xmlns:c16="http://schemas.microsoft.com/office/drawing/2014/chart" uri="{C3380CC4-5D6E-409C-BE32-E72D297353CC}">
              <c16:uniqueId val="{00000003-1D07-4BCB-A28C-A23478592E2B}"/>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1'!$A$30:$B$93</c:f>
              <c:multiLvlStrCache>
                <c:ptCount val="64"/>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lvl>
                <c:lvl>
                  <c:pt idx="0">
                    <c:v>2014</c:v>
                  </c:pt>
                  <c:pt idx="12">
                    <c:v>2015</c:v>
                  </c:pt>
                  <c:pt idx="24">
                    <c:v>2016</c:v>
                  </c:pt>
                  <c:pt idx="36">
                    <c:v>2017</c:v>
                  </c:pt>
                  <c:pt idx="48">
                    <c:v>2018</c:v>
                  </c:pt>
                  <c:pt idx="60">
                    <c:v>2019</c:v>
                  </c:pt>
                </c:lvl>
              </c:multiLvlStrCache>
            </c:multiLvlStrRef>
          </c:cat>
          <c:val>
            <c:numRef>
              <c:f>'Měnové podmínky 1'!$E$30:$E$93</c:f>
              <c:numCache>
                <c:formatCode>General</c:formatCode>
                <c:ptCount val="64"/>
                <c:pt idx="0">
                  <c:v>0.57999999999999996</c:v>
                </c:pt>
                <c:pt idx="1">
                  <c:v>0.55000000000000004</c:v>
                </c:pt>
                <c:pt idx="2">
                  <c:v>0.55000000000000004</c:v>
                </c:pt>
                <c:pt idx="3">
                  <c:v>0.55000000000000004</c:v>
                </c:pt>
                <c:pt idx="4">
                  <c:v>0.54</c:v>
                </c:pt>
                <c:pt idx="5">
                  <c:v>0.53</c:v>
                </c:pt>
                <c:pt idx="6">
                  <c:v>0.52</c:v>
                </c:pt>
                <c:pt idx="7">
                  <c:v>0.52</c:v>
                </c:pt>
                <c:pt idx="8">
                  <c:v>0.52</c:v>
                </c:pt>
                <c:pt idx="9">
                  <c:v>0.52</c:v>
                </c:pt>
                <c:pt idx="10">
                  <c:v>0.51</c:v>
                </c:pt>
                <c:pt idx="11">
                  <c:v>0.51</c:v>
                </c:pt>
                <c:pt idx="12">
                  <c:v>0.51</c:v>
                </c:pt>
                <c:pt idx="13">
                  <c:v>0.51</c:v>
                </c:pt>
                <c:pt idx="14">
                  <c:v>0.49</c:v>
                </c:pt>
                <c:pt idx="15">
                  <c:v>0.48</c:v>
                </c:pt>
                <c:pt idx="16">
                  <c:v>0.48</c:v>
                </c:pt>
                <c:pt idx="17">
                  <c:v>0.48</c:v>
                </c:pt>
                <c:pt idx="18">
                  <c:v>0.48</c:v>
                </c:pt>
                <c:pt idx="19">
                  <c:v>0.48</c:v>
                </c:pt>
                <c:pt idx="20">
                  <c:v>0.47</c:v>
                </c:pt>
                <c:pt idx="21">
                  <c:v>0.46</c:v>
                </c:pt>
                <c:pt idx="22">
                  <c:v>0.46</c:v>
                </c:pt>
                <c:pt idx="23">
                  <c:v>0.46</c:v>
                </c:pt>
                <c:pt idx="24">
                  <c:v>0.45</c:v>
                </c:pt>
                <c:pt idx="25">
                  <c:v>0.45</c:v>
                </c:pt>
                <c:pt idx="26">
                  <c:v>0.45</c:v>
                </c:pt>
                <c:pt idx="27">
                  <c:v>0.45</c:v>
                </c:pt>
                <c:pt idx="28">
                  <c:v>0.45</c:v>
                </c:pt>
                <c:pt idx="29">
                  <c:v>0.45</c:v>
                </c:pt>
                <c:pt idx="30">
                  <c:v>0.45</c:v>
                </c:pt>
                <c:pt idx="31">
                  <c:v>0.45</c:v>
                </c:pt>
                <c:pt idx="32">
                  <c:v>0.45</c:v>
                </c:pt>
                <c:pt idx="33">
                  <c:v>0.45</c:v>
                </c:pt>
                <c:pt idx="34">
                  <c:v>0.45</c:v>
                </c:pt>
                <c:pt idx="35">
                  <c:v>0.45</c:v>
                </c:pt>
                <c:pt idx="36">
                  <c:v>0.44</c:v>
                </c:pt>
                <c:pt idx="37">
                  <c:v>0.44</c:v>
                </c:pt>
                <c:pt idx="38">
                  <c:v>0.44</c:v>
                </c:pt>
                <c:pt idx="39">
                  <c:v>0.45</c:v>
                </c:pt>
                <c:pt idx="40">
                  <c:v>0.46</c:v>
                </c:pt>
                <c:pt idx="41">
                  <c:v>0.46</c:v>
                </c:pt>
                <c:pt idx="42">
                  <c:v>0.47</c:v>
                </c:pt>
                <c:pt idx="43">
                  <c:v>0.6</c:v>
                </c:pt>
                <c:pt idx="44">
                  <c:v>0.64</c:v>
                </c:pt>
                <c:pt idx="45">
                  <c:v>0.69</c:v>
                </c:pt>
                <c:pt idx="46">
                  <c:v>0.91</c:v>
                </c:pt>
                <c:pt idx="47">
                  <c:v>0.96</c:v>
                </c:pt>
                <c:pt idx="48">
                  <c:v>0.98</c:v>
                </c:pt>
                <c:pt idx="49">
                  <c:v>1.1100000000000001</c:v>
                </c:pt>
                <c:pt idx="50">
                  <c:v>1.1200000000000001</c:v>
                </c:pt>
                <c:pt idx="51">
                  <c:v>1.1200000000000001</c:v>
                </c:pt>
                <c:pt idx="52">
                  <c:v>1.1200000000000001</c:v>
                </c:pt>
                <c:pt idx="53">
                  <c:v>1.1499999999999999</c:v>
                </c:pt>
                <c:pt idx="54">
                  <c:v>1.39</c:v>
                </c:pt>
                <c:pt idx="55">
                  <c:v>1.67</c:v>
                </c:pt>
                <c:pt idx="56">
                  <c:v>1.79</c:v>
                </c:pt>
                <c:pt idx="57">
                  <c:v>1.95</c:v>
                </c:pt>
                <c:pt idx="58">
                  <c:v>2.1800000000000002</c:v>
                </c:pt>
                <c:pt idx="59">
                  <c:v>2.21</c:v>
                </c:pt>
                <c:pt idx="60">
                  <c:v>2.21</c:v>
                </c:pt>
                <c:pt idx="61">
                  <c:v>2.2000000000000002</c:v>
                </c:pt>
                <c:pt idx="62">
                  <c:v>2.2000000000000002</c:v>
                </c:pt>
                <c:pt idx="63">
                  <c:v>2.21</c:v>
                </c:pt>
              </c:numCache>
            </c:numRef>
          </c:val>
          <c:smooth val="0"/>
          <c:extLst>
            <c:ext xmlns:c16="http://schemas.microsoft.com/office/drawing/2014/chart" uri="{C3380CC4-5D6E-409C-BE32-E72D297353CC}">
              <c16:uniqueId val="{00000004-1D07-4BCB-A28C-A23478592E2B}"/>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1'!$A$30:$B$93</c:f>
              <c:multiLvlStrCache>
                <c:ptCount val="64"/>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pt idx="63">
                    <c:v>4</c:v>
                  </c:pt>
                </c:lvl>
                <c:lvl>
                  <c:pt idx="0">
                    <c:v>2014</c:v>
                  </c:pt>
                  <c:pt idx="12">
                    <c:v>2015</c:v>
                  </c:pt>
                  <c:pt idx="24">
                    <c:v>2016</c:v>
                  </c:pt>
                  <c:pt idx="36">
                    <c:v>2017</c:v>
                  </c:pt>
                  <c:pt idx="48">
                    <c:v>2018</c:v>
                  </c:pt>
                  <c:pt idx="60">
                    <c:v>2019</c:v>
                  </c:pt>
                </c:lvl>
              </c:multiLvlStrCache>
            </c:multiLvlStrRef>
          </c:cat>
          <c:val>
            <c:numRef>
              <c:f>'Měnové podmínky 1'!$H$30:$H$93</c:f>
              <c:numCache>
                <c:formatCode>General</c:formatCode>
                <c:ptCount val="64"/>
                <c:pt idx="0">
                  <c:v>2.4300000000000002</c:v>
                </c:pt>
                <c:pt idx="1">
                  <c:v>2.2799999999999998</c:v>
                </c:pt>
                <c:pt idx="2">
                  <c:v>2.2000000000000002</c:v>
                </c:pt>
                <c:pt idx="3">
                  <c:v>2</c:v>
                </c:pt>
                <c:pt idx="4">
                  <c:v>1.73</c:v>
                </c:pt>
                <c:pt idx="5">
                  <c:v>1.55</c:v>
                </c:pt>
                <c:pt idx="6">
                  <c:v>1.49</c:v>
                </c:pt>
                <c:pt idx="7">
                  <c:v>1.38</c:v>
                </c:pt>
                <c:pt idx="8">
                  <c:v>1.21</c:v>
                </c:pt>
                <c:pt idx="9">
                  <c:v>1.1000000000000001</c:v>
                </c:pt>
                <c:pt idx="10">
                  <c:v>0.87</c:v>
                </c:pt>
                <c:pt idx="11">
                  <c:v>0.67</c:v>
                </c:pt>
                <c:pt idx="12">
                  <c:v>0.35</c:v>
                </c:pt>
                <c:pt idx="13">
                  <c:v>0.4</c:v>
                </c:pt>
                <c:pt idx="14">
                  <c:v>0.35</c:v>
                </c:pt>
                <c:pt idx="15">
                  <c:v>0.26</c:v>
                </c:pt>
                <c:pt idx="16">
                  <c:v>0.6</c:v>
                </c:pt>
                <c:pt idx="17">
                  <c:v>1.01</c:v>
                </c:pt>
                <c:pt idx="18">
                  <c:v>0.97</c:v>
                </c:pt>
                <c:pt idx="19">
                  <c:v>0.74</c:v>
                </c:pt>
                <c:pt idx="20">
                  <c:v>0.68</c:v>
                </c:pt>
                <c:pt idx="21">
                  <c:v>0.56000000000000005</c:v>
                </c:pt>
                <c:pt idx="22">
                  <c:v>0.49</c:v>
                </c:pt>
                <c:pt idx="23">
                  <c:v>0.49</c:v>
                </c:pt>
                <c:pt idx="24">
                  <c:v>0.62</c:v>
                </c:pt>
                <c:pt idx="25">
                  <c:v>0.46</c:v>
                </c:pt>
                <c:pt idx="26">
                  <c:v>0.35</c:v>
                </c:pt>
                <c:pt idx="27">
                  <c:v>0.43</c:v>
                </c:pt>
                <c:pt idx="28">
                  <c:v>0.46</c:v>
                </c:pt>
                <c:pt idx="29">
                  <c:v>0.45</c:v>
                </c:pt>
                <c:pt idx="30">
                  <c:v>0.37</c:v>
                </c:pt>
                <c:pt idx="31">
                  <c:v>0.28999999999999998</c:v>
                </c:pt>
                <c:pt idx="32">
                  <c:v>0.25</c:v>
                </c:pt>
                <c:pt idx="33">
                  <c:v>0.37</c:v>
                </c:pt>
                <c:pt idx="34">
                  <c:v>0.55000000000000004</c:v>
                </c:pt>
                <c:pt idx="35">
                  <c:v>0.53</c:v>
                </c:pt>
                <c:pt idx="36">
                  <c:v>0.47</c:v>
                </c:pt>
                <c:pt idx="37">
                  <c:v>0.63</c:v>
                </c:pt>
                <c:pt idx="38">
                  <c:v>0.87</c:v>
                </c:pt>
                <c:pt idx="39">
                  <c:v>0.96</c:v>
                </c:pt>
                <c:pt idx="40">
                  <c:v>0.74</c:v>
                </c:pt>
                <c:pt idx="41">
                  <c:v>0.77</c:v>
                </c:pt>
                <c:pt idx="42">
                  <c:v>0.9</c:v>
                </c:pt>
                <c:pt idx="43">
                  <c:v>0.83</c:v>
                </c:pt>
                <c:pt idx="44">
                  <c:v>0.97</c:v>
                </c:pt>
                <c:pt idx="45">
                  <c:v>1.45</c:v>
                </c:pt>
                <c:pt idx="46">
                  <c:v>1.68</c:v>
                </c:pt>
                <c:pt idx="47">
                  <c:v>1.5</c:v>
                </c:pt>
                <c:pt idx="48">
                  <c:v>1.77</c:v>
                </c:pt>
                <c:pt idx="49">
                  <c:v>1.82</c:v>
                </c:pt>
                <c:pt idx="50">
                  <c:v>1.81</c:v>
                </c:pt>
                <c:pt idx="51">
                  <c:v>1.74</c:v>
                </c:pt>
                <c:pt idx="52">
                  <c:v>1.89</c:v>
                </c:pt>
                <c:pt idx="53">
                  <c:v>2.14</c:v>
                </c:pt>
                <c:pt idx="54">
                  <c:v>2.11</c:v>
                </c:pt>
                <c:pt idx="55">
                  <c:v>2.14</c:v>
                </c:pt>
                <c:pt idx="56">
                  <c:v>2.14</c:v>
                </c:pt>
                <c:pt idx="57">
                  <c:v>2.14</c:v>
                </c:pt>
                <c:pt idx="58">
                  <c:v>2.0699999999999998</c:v>
                </c:pt>
                <c:pt idx="59">
                  <c:v>2.0099999999999998</c:v>
                </c:pt>
                <c:pt idx="60">
                  <c:v>1.85</c:v>
                </c:pt>
                <c:pt idx="61">
                  <c:v>1.76</c:v>
                </c:pt>
                <c:pt idx="62">
                  <c:v>1.82</c:v>
                </c:pt>
                <c:pt idx="63">
                  <c:v>1.82</c:v>
                </c:pt>
              </c:numCache>
            </c:numRef>
          </c:val>
          <c:smooth val="0"/>
          <c:extLst>
            <c:ext xmlns:c16="http://schemas.microsoft.com/office/drawing/2014/chart" uri="{C3380CC4-5D6E-409C-BE32-E72D297353CC}">
              <c16:uniqueId val="{00000005-1D07-4BCB-A28C-A23478592E2B}"/>
            </c:ext>
          </c:extLst>
        </c:ser>
        <c:dLbls>
          <c:showLegendKey val="0"/>
          <c:showVal val="0"/>
          <c:showCatName val="0"/>
          <c:showSerName val="0"/>
          <c:showPercent val="0"/>
          <c:showBubbleSize val="0"/>
        </c:dLbls>
        <c:marker val="1"/>
        <c:smooth val="0"/>
        <c:axId val="271742464"/>
        <c:axId val="271744000"/>
      </c:lineChart>
      <c:catAx>
        <c:axId val="271742464"/>
        <c:scaling>
          <c:orientation val="minMax"/>
        </c:scaling>
        <c:delete val="0"/>
        <c:axPos val="b"/>
        <c:numFmt formatCode="General" sourceLinked="0"/>
        <c:majorTickMark val="out"/>
        <c:minorTickMark val="none"/>
        <c:tickLblPos val="low"/>
        <c:spPr>
          <a:ln>
            <a:solidFill>
              <a:schemeClr val="tx1"/>
            </a:solidFill>
          </a:ln>
        </c:spPr>
        <c:crossAx val="271744000"/>
        <c:crosses val="autoZero"/>
        <c:auto val="1"/>
        <c:lblAlgn val="ctr"/>
        <c:lblOffset val="100"/>
        <c:noMultiLvlLbl val="0"/>
      </c:catAx>
      <c:valAx>
        <c:axId val="271744000"/>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1742464"/>
        <c:crosses val="autoZero"/>
        <c:crossBetween val="between"/>
        <c:majorUnit val="1"/>
      </c:valAx>
      <c:spPr>
        <a:ln>
          <a:solidFill>
            <a:schemeClr val="tx1"/>
          </a:solidFill>
        </a:ln>
      </c:spPr>
    </c:plotArea>
    <c:legend>
      <c:legendPos val="b"/>
      <c:layout>
        <c:manualLayout>
          <c:xMode val="edge"/>
          <c:yMode val="edge"/>
          <c:x val="4.2139690982776534E-2"/>
          <c:y val="0.87558269120103249"/>
          <c:w val="0.93886651469098281"/>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577477727787412E-2"/>
          <c:y val="1.7107238390107405E-2"/>
          <c:w val="0.9019171237054221"/>
          <c:h val="0.81882420592062344"/>
        </c:manualLayout>
      </c:layout>
      <c:barChart>
        <c:barDir val="col"/>
        <c:grouping val="clustered"/>
        <c:varyColors val="0"/>
        <c:ser>
          <c:idx val="4"/>
          <c:order val="3"/>
          <c:tx>
            <c:strRef>
              <c:f>'Státní rozpočet-příjmy'!$A$39</c:f>
              <c:strCache>
                <c:ptCount val="1"/>
                <c:pt idx="0">
                  <c:v>Saldo státního rozpočtu (pravá osa)</c:v>
                </c:pt>
              </c:strCache>
            </c:strRef>
          </c:tx>
          <c:spPr>
            <a:solidFill>
              <a:schemeClr val="bg1">
                <a:lumMod val="85000"/>
              </a:schemeClr>
            </a:solidFill>
          </c:spPr>
          <c:invertIfNegative val="0"/>
          <c:cat>
            <c:numRef>
              <c:f>'Státní rozpočet-příjmy'!$B$35:$P$35</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rozpočet-příjmy'!$B$39:$P$39</c:f>
              <c:numCache>
                <c:formatCode>#\ ##0.0</c:formatCode>
                <c:ptCount val="15"/>
                <c:pt idx="0">
                  <c:v>8.25</c:v>
                </c:pt>
                <c:pt idx="1">
                  <c:v>15.75</c:v>
                </c:pt>
                <c:pt idx="2">
                  <c:v>11.263</c:v>
                </c:pt>
                <c:pt idx="3">
                  <c:v>-13.347</c:v>
                </c:pt>
                <c:pt idx="4">
                  <c:v>-2.3460000000000001</c:v>
                </c:pt>
                <c:pt idx="5">
                  <c:v>-45.942</c:v>
                </c:pt>
                <c:pt idx="6">
                  <c:v>-25.202000000000002</c:v>
                </c:pt>
                <c:pt idx="7">
                  <c:v>-22.69</c:v>
                </c:pt>
                <c:pt idx="8">
                  <c:v>13.97</c:v>
                </c:pt>
                <c:pt idx="9">
                  <c:v>43.59</c:v>
                </c:pt>
                <c:pt idx="10">
                  <c:v>19.91</c:v>
                </c:pt>
                <c:pt idx="11">
                  <c:v>43.6</c:v>
                </c:pt>
                <c:pt idx="12">
                  <c:v>4.68</c:v>
                </c:pt>
                <c:pt idx="13">
                  <c:v>16.260000000000002</c:v>
                </c:pt>
                <c:pt idx="14">
                  <c:v>-9.24</c:v>
                </c:pt>
              </c:numCache>
            </c:numRef>
          </c:val>
          <c:extLst>
            <c:ext xmlns:c16="http://schemas.microsoft.com/office/drawing/2014/chart" uri="{C3380CC4-5D6E-409C-BE32-E72D297353CC}">
              <c16:uniqueId val="{00000000-AE6D-487E-A6EB-1E8DAD56A3EC}"/>
            </c:ext>
          </c:extLst>
        </c:ser>
        <c:dLbls>
          <c:showLegendKey val="0"/>
          <c:showVal val="0"/>
          <c:showCatName val="0"/>
          <c:showSerName val="0"/>
          <c:showPercent val="0"/>
          <c:showBubbleSize val="0"/>
        </c:dLbls>
        <c:gapWidth val="50"/>
        <c:axId val="337259904"/>
        <c:axId val="337258656"/>
      </c:barChart>
      <c:lineChart>
        <c:grouping val="standard"/>
        <c:varyColors val="0"/>
        <c:ser>
          <c:idx val="0"/>
          <c:order val="0"/>
          <c:tx>
            <c:strRef>
              <c:f>'Státní rozpočet-příjmy'!$A$36</c:f>
              <c:strCache>
                <c:ptCount val="1"/>
                <c:pt idx="0">
                  <c:v>DPH a spotřební daně</c:v>
                </c:pt>
              </c:strCache>
            </c:strRef>
          </c:tx>
          <c:spPr>
            <a:ln w="19050">
              <a:noFill/>
            </a:ln>
          </c:spPr>
          <c:marker>
            <c:symbol val="diamond"/>
            <c:size val="7"/>
            <c:spPr>
              <a:solidFill>
                <a:srgbClr val="984807"/>
              </a:solidFill>
              <a:ln>
                <a:noFill/>
              </a:ln>
            </c:spPr>
          </c:marker>
          <c:cat>
            <c:numRef>
              <c:f>'Státní rozpočet-příjmy'!$B$35:$P$35</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rozpočet-příjmy'!$B$36:$P$36</c:f>
              <c:numCache>
                <c:formatCode>0.0</c:formatCode>
                <c:ptCount val="15"/>
                <c:pt idx="0">
                  <c:v>3.3982715687710368</c:v>
                </c:pt>
                <c:pt idx="1">
                  <c:v>18.543703074089791</c:v>
                </c:pt>
                <c:pt idx="2">
                  <c:v>4.2423518164435876</c:v>
                </c:pt>
                <c:pt idx="3">
                  <c:v>2.4303565287171978</c:v>
                </c:pt>
                <c:pt idx="4">
                  <c:v>-8.8416340235030617</c:v>
                </c:pt>
                <c:pt idx="5">
                  <c:v>17.274401473296507</c:v>
                </c:pt>
                <c:pt idx="6">
                  <c:v>-5.5171691792294837</c:v>
                </c:pt>
                <c:pt idx="7">
                  <c:v>5.5734072022160603</c:v>
                </c:pt>
                <c:pt idx="8">
                  <c:v>19.46893366918556</c:v>
                </c:pt>
                <c:pt idx="9">
                  <c:v>14.679785645260495</c:v>
                </c:pt>
                <c:pt idx="10">
                  <c:v>-19.143557530258931</c:v>
                </c:pt>
                <c:pt idx="11">
                  <c:v>5.4381809568924524</c:v>
                </c:pt>
                <c:pt idx="12">
                  <c:v>6.5953814358882283</c:v>
                </c:pt>
                <c:pt idx="13">
                  <c:v>10.123914692742147</c:v>
                </c:pt>
                <c:pt idx="14">
                  <c:v>-1.2323943661971697</c:v>
                </c:pt>
              </c:numCache>
            </c:numRef>
          </c:val>
          <c:smooth val="0"/>
          <c:extLst>
            <c:ext xmlns:c16="http://schemas.microsoft.com/office/drawing/2014/chart" uri="{C3380CC4-5D6E-409C-BE32-E72D297353CC}">
              <c16:uniqueId val="{00000001-AE6D-487E-A6EB-1E8DAD56A3EC}"/>
            </c:ext>
          </c:extLst>
        </c:ser>
        <c:ser>
          <c:idx val="1"/>
          <c:order val="1"/>
          <c:tx>
            <c:strRef>
              <c:f>'Státní rozpočet-příjmy'!$A$37</c:f>
              <c:strCache>
                <c:ptCount val="1"/>
                <c:pt idx="0">
                  <c:v>Daně z příjmů (DPFO) ze závislé činnosti</c:v>
                </c:pt>
              </c:strCache>
            </c:strRef>
          </c:tx>
          <c:spPr>
            <a:ln w="19050">
              <a:solidFill>
                <a:srgbClr val="BD1B25"/>
              </a:solidFill>
              <a:prstDash val="solid"/>
            </a:ln>
          </c:spPr>
          <c:marker>
            <c:symbol val="none"/>
          </c:marker>
          <c:cat>
            <c:numRef>
              <c:f>'Státní rozpočet-příjmy'!$B$35:$P$35</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rozpočet-příjmy'!$B$37:$P$37</c:f>
              <c:numCache>
                <c:formatCode>0.0</c:formatCode>
                <c:ptCount val="15"/>
                <c:pt idx="0">
                  <c:v>6.9237147595356419</c:v>
                </c:pt>
                <c:pt idx="1">
                  <c:v>4.032570763861969</c:v>
                </c:pt>
                <c:pt idx="2">
                  <c:v>9.1315691390234832</c:v>
                </c:pt>
                <c:pt idx="3">
                  <c:v>1.2636612021857729</c:v>
                </c:pt>
                <c:pt idx="4">
                  <c:v>-4.5531197301855002</c:v>
                </c:pt>
                <c:pt idx="5">
                  <c:v>-1.7314487632508815</c:v>
                </c:pt>
                <c:pt idx="6">
                  <c:v>3.8475368572455864</c:v>
                </c:pt>
                <c:pt idx="7">
                  <c:v>3.8781163434903192</c:v>
                </c:pt>
                <c:pt idx="8">
                  <c:v>4.5000000000000142</c:v>
                </c:pt>
                <c:pt idx="9">
                  <c:v>0.7655502392344431</c:v>
                </c:pt>
                <c:pt idx="10">
                  <c:v>1.772712883823985</c:v>
                </c:pt>
                <c:pt idx="11">
                  <c:v>8.2426127527216266</c:v>
                </c:pt>
                <c:pt idx="12">
                  <c:v>10.287356321839098</c:v>
                </c:pt>
                <c:pt idx="13">
                  <c:v>15.398645127670662</c:v>
                </c:pt>
                <c:pt idx="14">
                  <c:v>12.485888462406862</c:v>
                </c:pt>
              </c:numCache>
            </c:numRef>
          </c:val>
          <c:smooth val="0"/>
          <c:extLst>
            <c:ext xmlns:c16="http://schemas.microsoft.com/office/drawing/2014/chart" uri="{C3380CC4-5D6E-409C-BE32-E72D297353CC}">
              <c16:uniqueId val="{00000002-AE6D-487E-A6EB-1E8DAD56A3EC}"/>
            </c:ext>
          </c:extLst>
        </c:ser>
        <c:ser>
          <c:idx val="3"/>
          <c:order val="2"/>
          <c:tx>
            <c:strRef>
              <c:f>'Státní rozpočet-příjmy'!$A$38</c:f>
              <c:strCache>
                <c:ptCount val="1"/>
                <c:pt idx="0">
                  <c:v>Daně z příjmů právnických osob (DPPO)</c:v>
                </c:pt>
              </c:strCache>
            </c:strRef>
          </c:tx>
          <c:spPr>
            <a:ln w="19050">
              <a:solidFill>
                <a:srgbClr val="0071BC"/>
              </a:solidFill>
              <a:prstDash val="solid"/>
            </a:ln>
          </c:spPr>
          <c:marker>
            <c:symbol val="none"/>
          </c:marker>
          <c:cat>
            <c:numRef>
              <c:f>'Státní rozpočet-příjmy'!$B$35:$P$35</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rozpočet-příjmy'!$B$38:$P$38</c:f>
              <c:numCache>
                <c:formatCode>0.0</c:formatCode>
                <c:ptCount val="15"/>
                <c:pt idx="0">
                  <c:v>17.255621844882981</c:v>
                </c:pt>
                <c:pt idx="1">
                  <c:v>18.082191780821915</c:v>
                </c:pt>
                <c:pt idx="2">
                  <c:v>2.0550215445807112</c:v>
                </c:pt>
                <c:pt idx="3">
                  <c:v>18.38259175056838</c:v>
                </c:pt>
                <c:pt idx="4">
                  <c:v>-14.074074074074076</c:v>
                </c:pt>
                <c:pt idx="5">
                  <c:v>-3.1928480204342691E-2</c:v>
                </c:pt>
                <c:pt idx="6">
                  <c:v>-8.6234429894602442</c:v>
                </c:pt>
                <c:pt idx="7">
                  <c:v>-0.66410346032854761</c:v>
                </c:pt>
                <c:pt idx="8">
                  <c:v>-0.49261083743841994</c:v>
                </c:pt>
                <c:pt idx="9">
                  <c:v>2.5813295615275962</c:v>
                </c:pt>
                <c:pt idx="10">
                  <c:v>7.2388831437435215</c:v>
                </c:pt>
                <c:pt idx="11">
                  <c:v>12.600450016072017</c:v>
                </c:pt>
                <c:pt idx="12">
                  <c:v>10.248358549814427</c:v>
                </c:pt>
                <c:pt idx="13">
                  <c:v>1.1651993785603452</c:v>
                </c:pt>
                <c:pt idx="14">
                  <c:v>3.7880726900435064</c:v>
                </c:pt>
              </c:numCache>
            </c:numRef>
          </c:val>
          <c:smooth val="0"/>
          <c:extLst>
            <c:ext xmlns:c16="http://schemas.microsoft.com/office/drawing/2014/chart" uri="{C3380CC4-5D6E-409C-BE32-E72D297353CC}">
              <c16:uniqueId val="{00000003-AE6D-487E-A6EB-1E8DAD56A3EC}"/>
            </c:ext>
          </c:extLst>
        </c:ser>
        <c:dLbls>
          <c:showLegendKey val="0"/>
          <c:showVal val="0"/>
          <c:showCatName val="0"/>
          <c:showSerName val="0"/>
          <c:showPercent val="0"/>
          <c:showBubbleSize val="0"/>
        </c:dLbls>
        <c:marker val="1"/>
        <c:smooth val="0"/>
        <c:axId val="79288576"/>
        <c:axId val="66855296"/>
      </c:lineChart>
      <c:catAx>
        <c:axId val="79288576"/>
        <c:scaling>
          <c:orientation val="minMax"/>
        </c:scaling>
        <c:delete val="0"/>
        <c:axPos val="b"/>
        <c:numFmt formatCode="General" sourceLinked="1"/>
        <c:majorTickMark val="out"/>
        <c:minorTickMark val="none"/>
        <c:tickLblPos val="low"/>
        <c:spPr>
          <a:ln>
            <a:solidFill>
              <a:schemeClr val="tx1"/>
            </a:solidFill>
          </a:ln>
        </c:spPr>
        <c:crossAx val="66855296"/>
        <c:crosses val="autoZero"/>
        <c:auto val="1"/>
        <c:lblAlgn val="ctr"/>
        <c:lblOffset val="0"/>
        <c:noMultiLvlLbl val="0"/>
      </c:catAx>
      <c:valAx>
        <c:axId val="66855296"/>
        <c:scaling>
          <c:orientation val="minMax"/>
          <c:max val="25"/>
          <c:min val="-2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79288576"/>
        <c:crosses val="autoZero"/>
        <c:crossBetween val="between"/>
        <c:majorUnit val="5"/>
      </c:valAx>
      <c:valAx>
        <c:axId val="337258656"/>
        <c:scaling>
          <c:orientation val="minMax"/>
          <c:min val="-50"/>
        </c:scaling>
        <c:delete val="0"/>
        <c:axPos val="r"/>
        <c:numFmt formatCode="#,##0" sourceLinked="0"/>
        <c:majorTickMark val="out"/>
        <c:minorTickMark val="none"/>
        <c:tickLblPos val="nextTo"/>
        <c:crossAx val="337259904"/>
        <c:crosses val="max"/>
        <c:crossBetween val="between"/>
      </c:valAx>
      <c:catAx>
        <c:axId val="337259904"/>
        <c:scaling>
          <c:orientation val="minMax"/>
        </c:scaling>
        <c:delete val="1"/>
        <c:axPos val="b"/>
        <c:numFmt formatCode="General" sourceLinked="1"/>
        <c:majorTickMark val="out"/>
        <c:minorTickMark val="none"/>
        <c:tickLblPos val="nextTo"/>
        <c:crossAx val="337258656"/>
        <c:crosses val="autoZero"/>
        <c:auto val="1"/>
        <c:lblAlgn val="ctr"/>
        <c:lblOffset val="100"/>
        <c:noMultiLvlLbl val="0"/>
      </c:catAx>
      <c:spPr>
        <a:ln>
          <a:solidFill>
            <a:schemeClr val="tx1"/>
          </a:solidFill>
        </a:ln>
      </c:spPr>
    </c:plotArea>
    <c:legend>
      <c:legendPos val="b"/>
      <c:layout>
        <c:manualLayout>
          <c:xMode val="edge"/>
          <c:yMode val="edge"/>
          <c:x val="3.5809113379182592E-2"/>
          <c:y val="0.88349324889693148"/>
          <c:w val="0.92643262075287514"/>
          <c:h val="0.10151762653338464"/>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306186868686933E-2"/>
          <c:y val="1.544165056508486E-2"/>
          <c:w val="0.89338762626262558"/>
          <c:h val="0.79972056504783351"/>
        </c:manualLayout>
      </c:layout>
      <c:barChart>
        <c:barDir val="col"/>
        <c:grouping val="clustered"/>
        <c:varyColors val="0"/>
        <c:ser>
          <c:idx val="5"/>
          <c:order val="5"/>
          <c:tx>
            <c:strRef>
              <c:f>'Státní rozpočet-důchody'!$G$25</c:f>
              <c:strCache>
                <c:ptCount val="1"/>
                <c:pt idx="0">
                  <c:v>Saldo příjmů a výdajů na důchody (pr.osa)*</c:v>
                </c:pt>
              </c:strCache>
            </c:strRef>
          </c:tx>
          <c:spPr>
            <a:solidFill>
              <a:srgbClr val="A6A6A6"/>
            </a:solidFill>
          </c:spPr>
          <c:invertIfNegative val="0"/>
          <c:cat>
            <c:numRef>
              <c:f>'Státní rozpočet-důchody'!$A$26:$A$40</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rozpočet-důchody'!$G$26:$G$40</c:f>
              <c:numCache>
                <c:formatCode>0.0</c:formatCode>
                <c:ptCount val="15"/>
                <c:pt idx="0">
                  <c:v>-2.9710000000000036</c:v>
                </c:pt>
                <c:pt idx="1">
                  <c:v>-6.6470000000000056</c:v>
                </c:pt>
                <c:pt idx="2">
                  <c:v>-0.46999999999999886</c:v>
                </c:pt>
                <c:pt idx="3">
                  <c:v>3.039999999999992</c:v>
                </c:pt>
                <c:pt idx="4">
                  <c:v>-1.9699999999999989</c:v>
                </c:pt>
                <c:pt idx="5">
                  <c:v>-10.36</c:v>
                </c:pt>
                <c:pt idx="6">
                  <c:v>-13.049999999999997</c:v>
                </c:pt>
                <c:pt idx="7">
                  <c:v>-13.510000000000005</c:v>
                </c:pt>
                <c:pt idx="8">
                  <c:v>-7.9300000000000068</c:v>
                </c:pt>
                <c:pt idx="9">
                  <c:v>-5.0800000000000125</c:v>
                </c:pt>
                <c:pt idx="10">
                  <c:v>-3.6500000000000057</c:v>
                </c:pt>
                <c:pt idx="11">
                  <c:v>-5.3399999999999892</c:v>
                </c:pt>
                <c:pt idx="12">
                  <c:v>-4.2399999999999949</c:v>
                </c:pt>
                <c:pt idx="13">
                  <c:v>1.0999999999999943</c:v>
                </c:pt>
                <c:pt idx="14">
                  <c:v>-0.21999999999999886</c:v>
                </c:pt>
              </c:numCache>
            </c:numRef>
          </c:val>
          <c:extLst>
            <c:ext xmlns:c16="http://schemas.microsoft.com/office/drawing/2014/chart" uri="{C3380CC4-5D6E-409C-BE32-E72D297353CC}">
              <c16:uniqueId val="{00000000-7D64-4891-A10F-45E3899CBE63}"/>
            </c:ext>
          </c:extLst>
        </c:ser>
        <c:dLbls>
          <c:showLegendKey val="0"/>
          <c:showVal val="0"/>
          <c:showCatName val="0"/>
          <c:showSerName val="0"/>
          <c:showPercent val="0"/>
          <c:showBubbleSize val="0"/>
        </c:dLbls>
        <c:gapWidth val="43"/>
        <c:axId val="89593344"/>
        <c:axId val="89591808"/>
      </c:barChart>
      <c:lineChart>
        <c:grouping val="standard"/>
        <c:varyColors val="0"/>
        <c:ser>
          <c:idx val="1"/>
          <c:order val="0"/>
          <c:tx>
            <c:strRef>
              <c:f>'Státní rozpočet-důchody'!$B$25</c:f>
              <c:strCache>
                <c:ptCount val="1"/>
              </c:strCache>
            </c:strRef>
          </c:tx>
          <c:spPr>
            <a:ln w="19050">
              <a:noFill/>
            </a:ln>
          </c:spPr>
          <c:marker>
            <c:symbol val="none"/>
          </c:marker>
          <c:cat>
            <c:numRef>
              <c:f>'Státní rozpočet-důchody'!$A$26:$A$40</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rozpočet-důchody'!$B$26:$B$40</c:f>
              <c:numCache>
                <c:formatCode>General</c:formatCode>
                <c:ptCount val="15"/>
              </c:numCache>
            </c:numRef>
          </c:val>
          <c:smooth val="0"/>
          <c:extLst>
            <c:ext xmlns:c16="http://schemas.microsoft.com/office/drawing/2014/chart" uri="{C3380CC4-5D6E-409C-BE32-E72D297353CC}">
              <c16:uniqueId val="{00000001-7D64-4891-A10F-45E3899CBE63}"/>
            </c:ext>
          </c:extLst>
        </c:ser>
        <c:ser>
          <c:idx val="0"/>
          <c:order val="1"/>
          <c:tx>
            <c:strRef>
              <c:f>'Státní rozpočet-důchody'!$C$25</c:f>
              <c:strCache>
                <c:ptCount val="1"/>
                <c:pt idx="0">
                  <c:v>Počet příjemců důchodů celkem</c:v>
                </c:pt>
              </c:strCache>
            </c:strRef>
          </c:tx>
          <c:spPr>
            <a:ln w="19050">
              <a:solidFill>
                <a:srgbClr val="7DBB2D"/>
              </a:solidFill>
              <a:prstDash val="solid"/>
            </a:ln>
          </c:spPr>
          <c:marker>
            <c:symbol val="none"/>
          </c:marker>
          <c:cat>
            <c:numRef>
              <c:f>'Státní rozpočet-důchody'!$A$26:$A$40</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rozpočet-důchody'!$C$26:$C$40</c:f>
              <c:numCache>
                <c:formatCode>0.0</c:formatCode>
                <c:ptCount val="15"/>
                <c:pt idx="0">
                  <c:v>1.3618910094317158</c:v>
                </c:pt>
                <c:pt idx="1">
                  <c:v>0.8322690255855747</c:v>
                </c:pt>
                <c:pt idx="2">
                  <c:v>1.3029945698195888</c:v>
                </c:pt>
                <c:pt idx="3">
                  <c:v>1.4568773673978086</c:v>
                </c:pt>
                <c:pt idx="4">
                  <c:v>1.193990994558618</c:v>
                </c:pt>
                <c:pt idx="5">
                  <c:v>1.3818377616083382</c:v>
                </c:pt>
                <c:pt idx="6">
                  <c:v>0.91653177571062372</c:v>
                </c:pt>
                <c:pt idx="7">
                  <c:v>1.6953636567439219</c:v>
                </c:pt>
                <c:pt idx="8">
                  <c:v>-0.29319651061673824</c:v>
                </c:pt>
                <c:pt idx="9">
                  <c:v>-0.14718651612241729</c:v>
                </c:pt>
                <c:pt idx="10">
                  <c:v>9.7627692544463684E-2</c:v>
                </c:pt>
                <c:pt idx="11">
                  <c:v>0.71823179321019381</c:v>
                </c:pt>
                <c:pt idx="12">
                  <c:v>0.19315347773409997</c:v>
                </c:pt>
                <c:pt idx="13">
                  <c:v>0.29646113159431309</c:v>
                </c:pt>
                <c:pt idx="14">
                  <c:v>-0.1852368476659052</c:v>
                </c:pt>
              </c:numCache>
            </c:numRef>
          </c:val>
          <c:smooth val="0"/>
          <c:extLst>
            <c:ext xmlns:c16="http://schemas.microsoft.com/office/drawing/2014/chart" uri="{C3380CC4-5D6E-409C-BE32-E72D297353CC}">
              <c16:uniqueId val="{00000002-7D64-4891-A10F-45E3899CBE63}"/>
            </c:ext>
          </c:extLst>
        </c:ser>
        <c:ser>
          <c:idx val="2"/>
          <c:order val="2"/>
          <c:tx>
            <c:strRef>
              <c:f>'Státní rozpočet-důchody'!$D$25</c:f>
              <c:strCache>
                <c:ptCount val="1"/>
                <c:pt idx="0">
                  <c:v>z toho starobních trvale krácených**</c:v>
                </c:pt>
              </c:strCache>
            </c:strRef>
          </c:tx>
          <c:spPr>
            <a:ln w="22225">
              <a:noFill/>
            </a:ln>
          </c:spPr>
          <c:marker>
            <c:symbol val="diamond"/>
            <c:size val="6"/>
            <c:spPr>
              <a:solidFill>
                <a:srgbClr val="00B050"/>
              </a:solidFill>
              <a:ln>
                <a:noFill/>
              </a:ln>
            </c:spPr>
          </c:marker>
          <c:cat>
            <c:numRef>
              <c:f>'Státní rozpočet-důchody'!$A$26:$A$40</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rozpočet-důchody'!$D$26:$D$40</c:f>
              <c:numCache>
                <c:formatCode>0.0</c:formatCode>
                <c:ptCount val="15"/>
                <c:pt idx="0">
                  <c:v>4.9826926232793056</c:v>
                </c:pt>
                <c:pt idx="1">
                  <c:v>5.4332692314683158</c:v>
                </c:pt>
                <c:pt idx="2">
                  <c:v>9.2825200238597034</c:v>
                </c:pt>
                <c:pt idx="3">
                  <c:v>7.5172503005196205</c:v>
                </c:pt>
                <c:pt idx="4">
                  <c:v>7.4811386918718199</c:v>
                </c:pt>
                <c:pt idx="5">
                  <c:v>11.548006803705448</c:v>
                </c:pt>
                <c:pt idx="6">
                  <c:v>7.149360693935904</c:v>
                </c:pt>
                <c:pt idx="7">
                  <c:v>16.525499225634917</c:v>
                </c:pt>
                <c:pt idx="8">
                  <c:v>3.5838415440981919</c:v>
                </c:pt>
                <c:pt idx="9">
                  <c:v>3.8474276359988977</c:v>
                </c:pt>
                <c:pt idx="10">
                  <c:v>4.1152833334851806</c:v>
                </c:pt>
                <c:pt idx="11">
                  <c:v>3.5115356273312415</c:v>
                </c:pt>
                <c:pt idx="12">
                  <c:v>2.7339489565912913</c:v>
                </c:pt>
                <c:pt idx="13">
                  <c:v>2.4082087476359817</c:v>
                </c:pt>
                <c:pt idx="14">
                  <c:v>1.9436559955511115</c:v>
                </c:pt>
              </c:numCache>
            </c:numRef>
          </c:val>
          <c:smooth val="0"/>
          <c:extLst>
            <c:ext xmlns:c16="http://schemas.microsoft.com/office/drawing/2014/chart" uri="{C3380CC4-5D6E-409C-BE32-E72D297353CC}">
              <c16:uniqueId val="{00000003-7D64-4891-A10F-45E3899CBE63}"/>
            </c:ext>
          </c:extLst>
        </c:ser>
        <c:ser>
          <c:idx val="3"/>
          <c:order val="3"/>
          <c:tx>
            <c:strRef>
              <c:f>'Státní rozpočet-důchody'!$E$25</c:f>
              <c:strCache>
                <c:ptCount val="1"/>
                <c:pt idx="0">
                  <c:v>Příjmy na důchody</c:v>
                </c:pt>
              </c:strCache>
            </c:strRef>
          </c:tx>
          <c:spPr>
            <a:ln w="22225">
              <a:solidFill>
                <a:srgbClr val="0071BC"/>
              </a:solidFill>
            </a:ln>
          </c:spPr>
          <c:marker>
            <c:symbol val="none"/>
          </c:marker>
          <c:cat>
            <c:numRef>
              <c:f>'Státní rozpočet-důchody'!$A$26:$A$40</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rozpočet-důchody'!$E$26:$E$40</c:f>
              <c:numCache>
                <c:formatCode>0.0</c:formatCode>
                <c:ptCount val="15"/>
                <c:pt idx="0">
                  <c:v>13.205080313784094</c:v>
                </c:pt>
                <c:pt idx="1">
                  <c:v>7.3750206236594664</c:v>
                </c:pt>
                <c:pt idx="2">
                  <c:v>9.7111247695144556</c:v>
                </c:pt>
                <c:pt idx="3">
                  <c:v>9.4677871148459332</c:v>
                </c:pt>
                <c:pt idx="4">
                  <c:v>3.1090071647901851</c:v>
                </c:pt>
                <c:pt idx="5">
                  <c:v>-5.8443975679364826</c:v>
                </c:pt>
                <c:pt idx="6">
                  <c:v>3.8218239325250352</c:v>
                </c:pt>
                <c:pt idx="7">
                  <c:v>3.6938309215536833</c:v>
                </c:pt>
                <c:pt idx="8">
                  <c:v>-0.55086301872934484</c:v>
                </c:pt>
                <c:pt idx="9">
                  <c:v>1.1939931068439193</c:v>
                </c:pt>
                <c:pt idx="10">
                  <c:v>5.7535579613185774</c:v>
                </c:pt>
                <c:pt idx="11">
                  <c:v>5.5440533701403467</c:v>
                </c:pt>
                <c:pt idx="12">
                  <c:v>6.9638186573670424</c:v>
                </c:pt>
                <c:pt idx="13">
                  <c:v>10.646968925114606</c:v>
                </c:pt>
                <c:pt idx="14">
                  <c:v>7.1639042357274434</c:v>
                </c:pt>
              </c:numCache>
            </c:numRef>
          </c:val>
          <c:smooth val="0"/>
          <c:extLst>
            <c:ext xmlns:c16="http://schemas.microsoft.com/office/drawing/2014/chart" uri="{C3380CC4-5D6E-409C-BE32-E72D297353CC}">
              <c16:uniqueId val="{00000004-7D64-4891-A10F-45E3899CBE63}"/>
            </c:ext>
          </c:extLst>
        </c:ser>
        <c:ser>
          <c:idx val="4"/>
          <c:order val="4"/>
          <c:tx>
            <c:strRef>
              <c:f>'Státní rozpočet-důchody'!$F$25</c:f>
              <c:strCache>
                <c:ptCount val="1"/>
                <c:pt idx="0">
                  <c:v>Výdaje na důchody</c:v>
                </c:pt>
              </c:strCache>
            </c:strRef>
          </c:tx>
          <c:spPr>
            <a:ln w="22225">
              <a:solidFill>
                <a:srgbClr val="BD1B25"/>
              </a:solidFill>
            </a:ln>
          </c:spPr>
          <c:marker>
            <c:symbol val="none"/>
          </c:marker>
          <c:cat>
            <c:numRef>
              <c:f>'Státní rozpočet-důchody'!$A$26:$A$40</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rozpočet-důchody'!$F$26:$F$40</c:f>
              <c:numCache>
                <c:formatCode>0.0</c:formatCode>
                <c:ptCount val="15"/>
                <c:pt idx="0">
                  <c:v>11.655310480472039</c:v>
                </c:pt>
                <c:pt idx="1">
                  <c:v>12.812003585976939</c:v>
                </c:pt>
                <c:pt idx="2">
                  <c:v>0.19936704448812748</c:v>
                </c:pt>
                <c:pt idx="3">
                  <c:v>4.5220537080840444</c:v>
                </c:pt>
                <c:pt idx="4">
                  <c:v>9.9041533546325979</c:v>
                </c:pt>
                <c:pt idx="5">
                  <c:v>4.4573643410852526</c:v>
                </c:pt>
                <c:pt idx="6">
                  <c:v>6.4819109461966491</c:v>
                </c:pt>
                <c:pt idx="7">
                  <c:v>3.6698246760318085</c:v>
                </c:pt>
                <c:pt idx="8">
                  <c:v>-6.3340336134453707</c:v>
                </c:pt>
                <c:pt idx="9">
                  <c:v>-2.1083323987888321</c:v>
                </c:pt>
                <c:pt idx="10">
                  <c:v>3.7805017756902259</c:v>
                </c:pt>
                <c:pt idx="11">
                  <c:v>7.1862236449939303</c:v>
                </c:pt>
                <c:pt idx="12">
                  <c:v>5.4479917610710658</c:v>
                </c:pt>
                <c:pt idx="13">
                  <c:v>4.9907217501709198</c:v>
                </c:pt>
                <c:pt idx="14">
                  <c:v>8.4651162790697612</c:v>
                </c:pt>
              </c:numCache>
            </c:numRef>
          </c:val>
          <c:smooth val="0"/>
          <c:extLst>
            <c:ext xmlns:c16="http://schemas.microsoft.com/office/drawing/2014/chart" uri="{C3380CC4-5D6E-409C-BE32-E72D297353CC}">
              <c16:uniqueId val="{00000005-7D64-4891-A10F-45E3899CBE63}"/>
            </c:ext>
          </c:extLst>
        </c:ser>
        <c:dLbls>
          <c:showLegendKey val="0"/>
          <c:showVal val="0"/>
          <c:showCatName val="0"/>
          <c:showSerName val="0"/>
          <c:showPercent val="0"/>
          <c:showBubbleSize val="0"/>
        </c:dLbls>
        <c:marker val="1"/>
        <c:smooth val="0"/>
        <c:axId val="84210432"/>
        <c:axId val="84211968"/>
      </c:lineChart>
      <c:catAx>
        <c:axId val="84210432"/>
        <c:scaling>
          <c:orientation val="minMax"/>
        </c:scaling>
        <c:delete val="0"/>
        <c:axPos val="b"/>
        <c:numFmt formatCode="General" sourceLinked="1"/>
        <c:majorTickMark val="out"/>
        <c:minorTickMark val="none"/>
        <c:tickLblPos val="low"/>
        <c:spPr>
          <a:ln>
            <a:solidFill>
              <a:schemeClr val="bg1">
                <a:lumMod val="50000"/>
              </a:schemeClr>
            </a:solidFill>
          </a:ln>
        </c:spPr>
        <c:crossAx val="84211968"/>
        <c:crossesAt val="0"/>
        <c:auto val="1"/>
        <c:lblAlgn val="ctr"/>
        <c:lblOffset val="0"/>
        <c:noMultiLvlLbl val="0"/>
      </c:catAx>
      <c:valAx>
        <c:axId val="84211968"/>
        <c:scaling>
          <c:orientation val="minMax"/>
          <c:max val="14"/>
          <c:min val="-8"/>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84210432"/>
        <c:crosses val="autoZero"/>
        <c:crossBetween val="between"/>
        <c:majorUnit val="2"/>
      </c:valAx>
      <c:valAx>
        <c:axId val="89591808"/>
        <c:scaling>
          <c:orientation val="minMax"/>
          <c:max val="28"/>
          <c:min val="-16"/>
        </c:scaling>
        <c:delete val="0"/>
        <c:axPos val="r"/>
        <c:numFmt formatCode="0" sourceLinked="0"/>
        <c:majorTickMark val="out"/>
        <c:minorTickMark val="none"/>
        <c:tickLblPos val="nextTo"/>
        <c:crossAx val="89593344"/>
        <c:crosses val="max"/>
        <c:crossBetween val="between"/>
        <c:majorUnit val="4"/>
        <c:minorUnit val="2"/>
      </c:valAx>
      <c:catAx>
        <c:axId val="89593344"/>
        <c:scaling>
          <c:orientation val="minMax"/>
        </c:scaling>
        <c:delete val="1"/>
        <c:axPos val="b"/>
        <c:numFmt formatCode="General" sourceLinked="1"/>
        <c:majorTickMark val="out"/>
        <c:minorTickMark val="none"/>
        <c:tickLblPos val="none"/>
        <c:crossAx val="89591808"/>
        <c:crosses val="autoZero"/>
        <c:auto val="1"/>
        <c:lblAlgn val="ctr"/>
        <c:lblOffset val="100"/>
        <c:noMultiLvlLbl val="0"/>
      </c:catAx>
      <c:spPr>
        <a:ln>
          <a:solidFill>
            <a:schemeClr val="tx1"/>
          </a:solidFill>
        </a:ln>
      </c:spPr>
    </c:plotArea>
    <c:legend>
      <c:legendPos val="b"/>
      <c:layout>
        <c:manualLayout>
          <c:xMode val="edge"/>
          <c:yMode val="edge"/>
          <c:x val="1.7528829966329967E-2"/>
          <c:y val="0.8723506235827666"/>
          <c:w val="0.96213320707070704"/>
          <c:h val="0.1207964852607717"/>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654503640965086E-2"/>
          <c:y val="1.7112323287741892E-2"/>
          <c:w val="0.88571919735113291"/>
          <c:h val="0.76067747074773961"/>
        </c:manualLayout>
      </c:layout>
      <c:barChart>
        <c:barDir val="col"/>
        <c:grouping val="clustered"/>
        <c:varyColors val="0"/>
        <c:ser>
          <c:idx val="0"/>
          <c:order val="0"/>
          <c:tx>
            <c:strRef>
              <c:f>'Státní rozpočet-výdaje'!$B$31</c:f>
              <c:strCache>
                <c:ptCount val="1"/>
                <c:pt idx="0">
                  <c:v>Běžné výdaje (pravá osa)</c:v>
                </c:pt>
              </c:strCache>
            </c:strRef>
          </c:tx>
          <c:spPr>
            <a:solidFill>
              <a:schemeClr val="bg1">
                <a:lumMod val="75000"/>
              </a:schemeClr>
            </a:solidFill>
            <a:ln>
              <a:noFill/>
            </a:ln>
          </c:spPr>
          <c:invertIfNegative val="0"/>
          <c:cat>
            <c:numRef>
              <c:f>'Státní rozpočet-výdaje'!$A$32:$A$46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rozpočet-výdaje'!$B$32:$B$46</c:f>
              <c:numCache>
                <c:formatCode>0.0</c:formatCode>
                <c:ptCount val="15"/>
                <c:pt idx="0">
                  <c:v>192.453</c:v>
                </c:pt>
                <c:pt idx="1">
                  <c:v>210.25</c:v>
                </c:pt>
                <c:pt idx="2">
                  <c:v>220.65</c:v>
                </c:pt>
                <c:pt idx="3">
                  <c:v>251.64</c:v>
                </c:pt>
                <c:pt idx="4">
                  <c:v>242.03</c:v>
                </c:pt>
                <c:pt idx="5">
                  <c:v>262.01</c:v>
                </c:pt>
                <c:pt idx="6">
                  <c:v>252.45</c:v>
                </c:pt>
                <c:pt idx="7">
                  <c:v>258.94</c:v>
                </c:pt>
                <c:pt idx="8">
                  <c:v>261.20999999999998</c:v>
                </c:pt>
                <c:pt idx="9">
                  <c:v>265.72000000000003</c:v>
                </c:pt>
                <c:pt idx="10">
                  <c:v>274.76</c:v>
                </c:pt>
                <c:pt idx="11">
                  <c:v>278.33</c:v>
                </c:pt>
                <c:pt idx="12">
                  <c:v>296.72000000000003</c:v>
                </c:pt>
                <c:pt idx="13">
                  <c:v>317.70999999999998</c:v>
                </c:pt>
                <c:pt idx="14">
                  <c:v>357.13</c:v>
                </c:pt>
              </c:numCache>
            </c:numRef>
          </c:val>
          <c:extLst>
            <c:ext xmlns:c16="http://schemas.microsoft.com/office/drawing/2014/chart" uri="{C3380CC4-5D6E-409C-BE32-E72D297353CC}">
              <c16:uniqueId val="{00000000-CA1A-4F7F-9AA4-E1031A43E798}"/>
            </c:ext>
          </c:extLst>
        </c:ser>
        <c:dLbls>
          <c:showLegendKey val="0"/>
          <c:showVal val="0"/>
          <c:showCatName val="0"/>
          <c:showSerName val="0"/>
          <c:showPercent val="0"/>
          <c:showBubbleSize val="0"/>
        </c:dLbls>
        <c:gapWidth val="70"/>
        <c:axId val="72836608"/>
        <c:axId val="72835072"/>
      </c:barChart>
      <c:lineChart>
        <c:grouping val="standard"/>
        <c:varyColors val="0"/>
        <c:ser>
          <c:idx val="1"/>
          <c:order val="1"/>
          <c:tx>
            <c:strRef>
              <c:f>'Státní rozpočet-výdaje'!$C$31</c:f>
              <c:strCache>
                <c:ptCount val="1"/>
                <c:pt idx="0">
                  <c:v>Platy a související výdaje*</c:v>
                </c:pt>
              </c:strCache>
            </c:strRef>
          </c:tx>
          <c:spPr>
            <a:ln w="19050">
              <a:solidFill>
                <a:srgbClr val="984807"/>
              </a:solidFill>
            </a:ln>
          </c:spPr>
          <c:marker>
            <c:symbol val="none"/>
          </c:marker>
          <c:cat>
            <c:numRef>
              <c:f>'Státní rozpočet-výdaje'!$A$32:$A$46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rozpočet-výdaje'!$C$32:$C$46</c:f>
              <c:numCache>
                <c:formatCode>0.0</c:formatCode>
                <c:ptCount val="15"/>
                <c:pt idx="0">
                  <c:v>13.224</c:v>
                </c:pt>
                <c:pt idx="1">
                  <c:v>13.83</c:v>
                </c:pt>
                <c:pt idx="2">
                  <c:v>14.85</c:v>
                </c:pt>
                <c:pt idx="3">
                  <c:v>14.73</c:v>
                </c:pt>
                <c:pt idx="4">
                  <c:v>15.14</c:v>
                </c:pt>
                <c:pt idx="5">
                  <c:v>15.42</c:v>
                </c:pt>
                <c:pt idx="6">
                  <c:v>14.05</c:v>
                </c:pt>
                <c:pt idx="7">
                  <c:v>14.35</c:v>
                </c:pt>
                <c:pt idx="8">
                  <c:v>14.46</c:v>
                </c:pt>
                <c:pt idx="9">
                  <c:v>14.8</c:v>
                </c:pt>
                <c:pt idx="10">
                  <c:v>15.8</c:v>
                </c:pt>
                <c:pt idx="11">
                  <c:v>16.75</c:v>
                </c:pt>
                <c:pt idx="12">
                  <c:v>17.75</c:v>
                </c:pt>
                <c:pt idx="13">
                  <c:v>20.47</c:v>
                </c:pt>
                <c:pt idx="14">
                  <c:v>22.19</c:v>
                </c:pt>
              </c:numCache>
            </c:numRef>
          </c:val>
          <c:smooth val="0"/>
          <c:extLst>
            <c:ext xmlns:c16="http://schemas.microsoft.com/office/drawing/2014/chart" uri="{C3380CC4-5D6E-409C-BE32-E72D297353CC}">
              <c16:uniqueId val="{00000001-CA1A-4F7F-9AA4-E1031A43E798}"/>
            </c:ext>
          </c:extLst>
        </c:ser>
        <c:ser>
          <c:idx val="6"/>
          <c:order val="2"/>
          <c:tx>
            <c:strRef>
              <c:f>'Státní rozpočet-výdaje'!$D$31</c:f>
              <c:strCache>
                <c:ptCount val="1"/>
                <c:pt idx="0">
                  <c:v>Podpora v nezaměstnanosti</c:v>
                </c:pt>
              </c:strCache>
            </c:strRef>
          </c:tx>
          <c:spPr>
            <a:ln w="19050">
              <a:solidFill>
                <a:srgbClr val="F8A124"/>
              </a:solidFill>
            </a:ln>
          </c:spPr>
          <c:marker>
            <c:symbol val="none"/>
          </c:marker>
          <c:cat>
            <c:numRef>
              <c:f>'Státní rozpočet-výdaje'!$A$32:$A$46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rozpočet-výdaje'!$D$32:$D$46</c:f>
              <c:numCache>
                <c:formatCode>0.0</c:formatCode>
                <c:ptCount val="15"/>
                <c:pt idx="0">
                  <c:v>1.903</c:v>
                </c:pt>
                <c:pt idx="1">
                  <c:v>2.0099999999999998</c:v>
                </c:pt>
                <c:pt idx="2">
                  <c:v>2.0099999999999998</c:v>
                </c:pt>
                <c:pt idx="3">
                  <c:v>1.87</c:v>
                </c:pt>
                <c:pt idx="4">
                  <c:v>3.07</c:v>
                </c:pt>
                <c:pt idx="5">
                  <c:v>4.21</c:v>
                </c:pt>
                <c:pt idx="6">
                  <c:v>3.62</c:v>
                </c:pt>
                <c:pt idx="7">
                  <c:v>2.63</c:v>
                </c:pt>
                <c:pt idx="8">
                  <c:v>2.82</c:v>
                </c:pt>
                <c:pt idx="9">
                  <c:v>2.86</c:v>
                </c:pt>
                <c:pt idx="10">
                  <c:v>2.56</c:v>
                </c:pt>
                <c:pt idx="11">
                  <c:v>2.4500000000000002</c:v>
                </c:pt>
                <c:pt idx="12">
                  <c:v>2.42</c:v>
                </c:pt>
                <c:pt idx="13">
                  <c:v>2.21</c:v>
                </c:pt>
                <c:pt idx="14">
                  <c:v>2.31</c:v>
                </c:pt>
              </c:numCache>
            </c:numRef>
          </c:val>
          <c:smooth val="0"/>
          <c:extLst>
            <c:ext xmlns:c16="http://schemas.microsoft.com/office/drawing/2014/chart" uri="{C3380CC4-5D6E-409C-BE32-E72D297353CC}">
              <c16:uniqueId val="{00000002-CA1A-4F7F-9AA4-E1031A43E798}"/>
            </c:ext>
          </c:extLst>
        </c:ser>
        <c:ser>
          <c:idx val="7"/>
          <c:order val="3"/>
          <c:tx>
            <c:strRef>
              <c:f>'Státní rozpočet-výdaje'!$E$31</c:f>
              <c:strCache>
                <c:ptCount val="1"/>
                <c:pt idx="0">
                  <c:v>Státní sociální podpora**</c:v>
                </c:pt>
              </c:strCache>
            </c:strRef>
          </c:tx>
          <c:spPr>
            <a:ln w="19050">
              <a:solidFill>
                <a:srgbClr val="BD1B21"/>
              </a:solidFill>
            </a:ln>
          </c:spPr>
          <c:marker>
            <c:symbol val="none"/>
          </c:marker>
          <c:cat>
            <c:numRef>
              <c:f>'Státní rozpočet-výdaje'!$A$32:$A$46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rozpočet-výdaje'!$E$32:$E$46</c:f>
              <c:numCache>
                <c:formatCode>General</c:formatCode>
                <c:ptCount val="15"/>
                <c:pt idx="0" formatCode="0.00">
                  <c:v>8.2420000000000009</c:v>
                </c:pt>
                <c:pt idx="1">
                  <c:v>8.39</c:v>
                </c:pt>
                <c:pt idx="2">
                  <c:v>11.18</c:v>
                </c:pt>
                <c:pt idx="3">
                  <c:v>11.07</c:v>
                </c:pt>
                <c:pt idx="4">
                  <c:v>10.199999999999999</c:v>
                </c:pt>
                <c:pt idx="5">
                  <c:v>10.3</c:v>
                </c:pt>
                <c:pt idx="6">
                  <c:v>9.3800000000000008</c:v>
                </c:pt>
                <c:pt idx="7">
                  <c:v>8.89</c:v>
                </c:pt>
                <c:pt idx="8">
                  <c:v>9.2200000000000006</c:v>
                </c:pt>
                <c:pt idx="9">
                  <c:v>9.3699999999999992</c:v>
                </c:pt>
                <c:pt idx="10">
                  <c:v>9.33</c:v>
                </c:pt>
                <c:pt idx="11">
                  <c:v>9.3800000000000008</c:v>
                </c:pt>
                <c:pt idx="12">
                  <c:v>9.2899999999999991</c:v>
                </c:pt>
                <c:pt idx="13">
                  <c:v>9.48</c:v>
                </c:pt>
                <c:pt idx="14">
                  <c:v>9.5500000000000007</c:v>
                </c:pt>
              </c:numCache>
            </c:numRef>
          </c:val>
          <c:smooth val="0"/>
          <c:extLst>
            <c:ext xmlns:c16="http://schemas.microsoft.com/office/drawing/2014/chart" uri="{C3380CC4-5D6E-409C-BE32-E72D297353CC}">
              <c16:uniqueId val="{00000003-CA1A-4F7F-9AA4-E1031A43E798}"/>
            </c:ext>
          </c:extLst>
        </c:ser>
        <c:ser>
          <c:idx val="2"/>
          <c:order val="4"/>
          <c:tx>
            <c:strRef>
              <c:f>'Státní rozpočet-výdaje'!$F$31</c:f>
              <c:strCache>
                <c:ptCount val="1"/>
                <c:pt idx="0">
                  <c:v>Dávky nemocenského pojištění</c:v>
                </c:pt>
              </c:strCache>
            </c:strRef>
          </c:tx>
          <c:spPr>
            <a:ln w="19050">
              <a:solidFill>
                <a:srgbClr val="0071BC"/>
              </a:solidFill>
            </a:ln>
          </c:spPr>
          <c:marker>
            <c:symbol val="none"/>
          </c:marker>
          <c:cat>
            <c:numRef>
              <c:f>'Státní rozpočet-výdaje'!$A$32:$A$46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rozpočet-výdaje'!$F$32:$F$46</c:f>
              <c:numCache>
                <c:formatCode>0.00</c:formatCode>
                <c:ptCount val="15"/>
                <c:pt idx="0">
                  <c:v>8.9</c:v>
                </c:pt>
                <c:pt idx="1">
                  <c:v>9.6</c:v>
                </c:pt>
                <c:pt idx="2">
                  <c:v>9.6080000000000005</c:v>
                </c:pt>
                <c:pt idx="3">
                  <c:v>9.09</c:v>
                </c:pt>
                <c:pt idx="4">
                  <c:v>7.27</c:v>
                </c:pt>
                <c:pt idx="5">
                  <c:v>6.07</c:v>
                </c:pt>
                <c:pt idx="6">
                  <c:v>6.07</c:v>
                </c:pt>
                <c:pt idx="7">
                  <c:v>5.21</c:v>
                </c:pt>
                <c:pt idx="8">
                  <c:v>5.3</c:v>
                </c:pt>
                <c:pt idx="9">
                  <c:v>5.47</c:v>
                </c:pt>
                <c:pt idx="10">
                  <c:v>6.21</c:v>
                </c:pt>
                <c:pt idx="11">
                  <c:v>6.67</c:v>
                </c:pt>
                <c:pt idx="12">
                  <c:v>7.47</c:v>
                </c:pt>
                <c:pt idx="13">
                  <c:v>8.2899999999999991</c:v>
                </c:pt>
                <c:pt idx="14">
                  <c:v>9.91</c:v>
                </c:pt>
              </c:numCache>
            </c:numRef>
          </c:val>
          <c:smooth val="0"/>
          <c:extLst>
            <c:ext xmlns:c16="http://schemas.microsoft.com/office/drawing/2014/chart" uri="{C3380CC4-5D6E-409C-BE32-E72D297353CC}">
              <c16:uniqueId val="{00000004-CA1A-4F7F-9AA4-E1031A43E798}"/>
            </c:ext>
          </c:extLst>
        </c:ser>
        <c:ser>
          <c:idx val="3"/>
          <c:order val="5"/>
          <c:tx>
            <c:strRef>
              <c:f>'Státní rozpočet-výdaje'!$G$31</c:f>
              <c:strCache>
                <c:ptCount val="1"/>
                <c:pt idx="0">
                  <c:v>Dávky sociální péče***</c:v>
                </c:pt>
              </c:strCache>
            </c:strRef>
          </c:tx>
          <c:spPr>
            <a:ln w="19050">
              <a:solidFill>
                <a:srgbClr val="7030A0"/>
              </a:solidFill>
            </a:ln>
          </c:spPr>
          <c:marker>
            <c:symbol val="none"/>
          </c:marker>
          <c:cat>
            <c:numRef>
              <c:f>'Státní rozpočet-výdaje'!$A$32:$A$46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rozpočet-výdaje'!$G$32:$G$46</c:f>
              <c:numCache>
                <c:formatCode>General</c:formatCode>
                <c:ptCount val="15"/>
                <c:pt idx="2" formatCode="0.00">
                  <c:v>8.8000000000000007</c:v>
                </c:pt>
                <c:pt idx="3" formatCode="0.00">
                  <c:v>7.8000000000000007</c:v>
                </c:pt>
                <c:pt idx="4" formatCode="0.00">
                  <c:v>7.1</c:v>
                </c:pt>
                <c:pt idx="5" formatCode="0.00">
                  <c:v>7.1999999999999993</c:v>
                </c:pt>
                <c:pt idx="6" formatCode="0.00">
                  <c:v>6.68</c:v>
                </c:pt>
                <c:pt idx="7" formatCode="0.00">
                  <c:v>6.37</c:v>
                </c:pt>
                <c:pt idx="8" formatCode="0.00">
                  <c:v>7.64</c:v>
                </c:pt>
                <c:pt idx="9" formatCode="0.00">
                  <c:v>8.2100000000000009</c:v>
                </c:pt>
                <c:pt idx="10" formatCode="0.00">
                  <c:v>8.44</c:v>
                </c:pt>
                <c:pt idx="11" formatCode="0.00">
                  <c:v>8.34</c:v>
                </c:pt>
                <c:pt idx="12" formatCode="0.00">
                  <c:v>8.85</c:v>
                </c:pt>
                <c:pt idx="13" formatCode="0.00">
                  <c:v>8.48</c:v>
                </c:pt>
                <c:pt idx="14" formatCode="0.00">
                  <c:v>8.41</c:v>
                </c:pt>
              </c:numCache>
            </c:numRef>
          </c:val>
          <c:smooth val="0"/>
          <c:extLst>
            <c:ext xmlns:c16="http://schemas.microsoft.com/office/drawing/2014/chart" uri="{C3380CC4-5D6E-409C-BE32-E72D297353CC}">
              <c16:uniqueId val="{00000005-CA1A-4F7F-9AA4-E1031A43E798}"/>
            </c:ext>
          </c:extLst>
        </c:ser>
        <c:ser>
          <c:idx val="4"/>
          <c:order val="6"/>
          <c:tx>
            <c:strRef>
              <c:f>'Státní rozpočet-výdaje'!$J$31</c:f>
              <c:strCache>
                <c:ptCount val="1"/>
                <c:pt idx="0">
                  <c:v>Kapitálové výdaje</c:v>
                </c:pt>
              </c:strCache>
            </c:strRef>
          </c:tx>
          <c:spPr>
            <a:ln>
              <a:solidFill>
                <a:srgbClr val="7DBB2D"/>
              </a:solidFill>
              <a:prstDash val="sysDash"/>
            </a:ln>
          </c:spPr>
          <c:marker>
            <c:symbol val="none"/>
          </c:marker>
          <c:cat>
            <c:numRef>
              <c:f>'Státní rozpočet-výdaje'!$A$32:$A$46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'Státní rozpočet-výdaje'!$J$32:$J$46</c:f>
              <c:numCache>
                <c:formatCode>0.0</c:formatCode>
                <c:ptCount val="15"/>
                <c:pt idx="0">
                  <c:v>6.1210000000000004</c:v>
                </c:pt>
                <c:pt idx="1">
                  <c:v>9.93</c:v>
                </c:pt>
                <c:pt idx="2">
                  <c:v>10.07</c:v>
                </c:pt>
                <c:pt idx="3">
                  <c:v>31.85</c:v>
                </c:pt>
                <c:pt idx="4">
                  <c:v>31.88</c:v>
                </c:pt>
                <c:pt idx="5">
                  <c:v>33.1</c:v>
                </c:pt>
                <c:pt idx="6">
                  <c:v>26.12</c:v>
                </c:pt>
                <c:pt idx="7">
                  <c:v>22.19</c:v>
                </c:pt>
                <c:pt idx="8">
                  <c:v>17.690000000000001</c:v>
                </c:pt>
                <c:pt idx="9">
                  <c:v>14.93</c:v>
                </c:pt>
                <c:pt idx="10">
                  <c:v>19.78</c:v>
                </c:pt>
                <c:pt idx="11">
                  <c:v>20.02</c:v>
                </c:pt>
                <c:pt idx="12">
                  <c:v>6.27</c:v>
                </c:pt>
                <c:pt idx="13">
                  <c:v>11.73</c:v>
                </c:pt>
                <c:pt idx="14">
                  <c:v>16.41</c:v>
                </c:pt>
              </c:numCache>
            </c:numRef>
          </c:val>
          <c:smooth val="0"/>
          <c:extLst>
            <c:ext xmlns:c16="http://schemas.microsoft.com/office/drawing/2014/chart" uri="{C3380CC4-5D6E-409C-BE32-E72D297353CC}">
              <c16:uniqueId val="{00000006-CA1A-4F7F-9AA4-E1031A43E798}"/>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a:solidFill>
              <a:schemeClr val="bg1">
                <a:lumMod val="50000"/>
              </a:schemeClr>
            </a:solidFill>
          </a:ln>
        </c:spPr>
        <c:crossAx val="72829184"/>
        <c:crosses val="autoZero"/>
        <c:auto val="1"/>
        <c:lblAlgn val="ctr"/>
        <c:lblOffset val="20"/>
        <c:noMultiLvlLbl val="0"/>
      </c:catAx>
      <c:valAx>
        <c:axId val="72829184"/>
        <c:scaling>
          <c:orientation val="minMax"/>
          <c:max val="40"/>
          <c:min val="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72827648"/>
        <c:crosses val="autoZero"/>
        <c:crossBetween val="between"/>
        <c:majorUnit val="5"/>
      </c:valAx>
      <c:valAx>
        <c:axId val="72835072"/>
        <c:scaling>
          <c:orientation val="minMax"/>
          <c:max val="400"/>
          <c:min val="0"/>
        </c:scaling>
        <c:delete val="0"/>
        <c:axPos val="r"/>
        <c:numFmt formatCode="0" sourceLinked="0"/>
        <c:majorTickMark val="out"/>
        <c:minorTickMark val="none"/>
        <c:tickLblPos val="nextTo"/>
        <c:spPr>
          <a:ln>
            <a:solidFill>
              <a:schemeClr val="tx1"/>
            </a:solidFill>
          </a:ln>
        </c:spPr>
        <c:crossAx val="72836608"/>
        <c:crosses val="max"/>
        <c:crossBetween val="between"/>
        <c:majorUnit val="5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a:solidFill>
            <a:schemeClr val="tx1"/>
          </a:solidFill>
        </a:ln>
      </c:spPr>
    </c:plotArea>
    <c:legend>
      <c:legendPos val="b"/>
      <c:layout>
        <c:manualLayout>
          <c:xMode val="edge"/>
          <c:yMode val="edge"/>
          <c:x val="5.5741173954559867E-2"/>
          <c:y val="0.84135922118589024"/>
          <c:w val="0.87278375696225319"/>
          <c:h val="0.15135989194475927"/>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724701079031984E-2"/>
          <c:y val="2.6970778117567627E-2"/>
          <c:w val="0.87770649039241322"/>
          <c:h val="0.76009512552065761"/>
        </c:manualLayout>
      </c:layout>
      <c:barChart>
        <c:barDir val="col"/>
        <c:grouping val="clustered"/>
        <c:varyColors val="0"/>
        <c:ser>
          <c:idx val="0"/>
          <c:order val="0"/>
          <c:tx>
            <c:strRef>
              <c:f>'souhrnná výkonnost 2'!$C$5</c:f>
              <c:strCache>
                <c:ptCount val="1"/>
                <c:pt idx="0">
                  <c:v>HDP (pravá osa)</c:v>
                </c:pt>
              </c:strCache>
            </c:strRef>
          </c:tx>
          <c:spPr>
            <a:solidFill>
              <a:srgbClr val="A6A6A6"/>
            </a:solidFill>
            <a:ln>
              <a:noFill/>
            </a:ln>
          </c:spPr>
          <c:invertIfNegative val="0"/>
          <c:val>
            <c:numRef>
              <c:f>'souhrnná výkonnost 2'!$C$30:$C$92</c:f>
              <c:numCache>
                <c:formatCode>0.0</c:formatCode>
                <c:ptCount val="63"/>
                <c:pt idx="0">
                  <c:v>1.6</c:v>
                </c:pt>
                <c:pt idx="1">
                  <c:v>1.6</c:v>
                </c:pt>
                <c:pt idx="2">
                  <c:v>1.6</c:v>
                </c:pt>
                <c:pt idx="3">
                  <c:v>2.4</c:v>
                </c:pt>
                <c:pt idx="4">
                  <c:v>2.4</c:v>
                </c:pt>
                <c:pt idx="5">
                  <c:v>2.4</c:v>
                </c:pt>
                <c:pt idx="6">
                  <c:v>3.4</c:v>
                </c:pt>
                <c:pt idx="7">
                  <c:v>3.4</c:v>
                </c:pt>
                <c:pt idx="8">
                  <c:v>3.4</c:v>
                </c:pt>
                <c:pt idx="9">
                  <c:v>3.4</c:v>
                </c:pt>
                <c:pt idx="10">
                  <c:v>3.4</c:v>
                </c:pt>
                <c:pt idx="11">
                  <c:v>3.4</c:v>
                </c:pt>
                <c:pt idx="12">
                  <c:v>5.3</c:v>
                </c:pt>
                <c:pt idx="13">
                  <c:v>5.3</c:v>
                </c:pt>
                <c:pt idx="14">
                  <c:v>5.3</c:v>
                </c:pt>
                <c:pt idx="15">
                  <c:v>5.8</c:v>
                </c:pt>
                <c:pt idx="16">
                  <c:v>5.8</c:v>
                </c:pt>
                <c:pt idx="17">
                  <c:v>5.8</c:v>
                </c:pt>
                <c:pt idx="18">
                  <c:v>5.6</c:v>
                </c:pt>
                <c:pt idx="19">
                  <c:v>5.6</c:v>
                </c:pt>
                <c:pt idx="20">
                  <c:v>5.6</c:v>
                </c:pt>
                <c:pt idx="21">
                  <c:v>4.9000000000000004</c:v>
                </c:pt>
                <c:pt idx="22">
                  <c:v>4.9000000000000004</c:v>
                </c:pt>
                <c:pt idx="23">
                  <c:v>4.9000000000000004</c:v>
                </c:pt>
                <c:pt idx="24">
                  <c:v>3.6</c:v>
                </c:pt>
                <c:pt idx="25">
                  <c:v>3.6</c:v>
                </c:pt>
                <c:pt idx="26">
                  <c:v>3.6</c:v>
                </c:pt>
                <c:pt idx="27">
                  <c:v>2.4</c:v>
                </c:pt>
                <c:pt idx="28">
                  <c:v>2.4</c:v>
                </c:pt>
                <c:pt idx="29" formatCode="General">
                  <c:v>2.4</c:v>
                </c:pt>
                <c:pt idx="30" formatCode="General">
                  <c:v>1.7</c:v>
                </c:pt>
                <c:pt idx="31" formatCode="General">
                  <c:v>1.7</c:v>
                </c:pt>
                <c:pt idx="32" formatCode="General">
                  <c:v>1.7</c:v>
                </c:pt>
                <c:pt idx="33" formatCode="General">
                  <c:v>1.8</c:v>
                </c:pt>
                <c:pt idx="34" formatCode="General">
                  <c:v>1.8</c:v>
                </c:pt>
                <c:pt idx="35" formatCode="General">
                  <c:v>1.8</c:v>
                </c:pt>
                <c:pt idx="36" formatCode="General">
                  <c:v>3</c:v>
                </c:pt>
                <c:pt idx="37" formatCode="General">
                  <c:v>3</c:v>
                </c:pt>
                <c:pt idx="38" formatCode="General">
                  <c:v>3</c:v>
                </c:pt>
                <c:pt idx="39" formatCode="General">
                  <c:v>5</c:v>
                </c:pt>
                <c:pt idx="40" formatCode="General">
                  <c:v>5</c:v>
                </c:pt>
                <c:pt idx="41" formatCode="General">
                  <c:v>5</c:v>
                </c:pt>
                <c:pt idx="42" formatCode="General">
                  <c:v>5.2</c:v>
                </c:pt>
                <c:pt idx="43" formatCode="General">
                  <c:v>5.2</c:v>
                </c:pt>
                <c:pt idx="44" formatCode="General">
                  <c:v>5.2</c:v>
                </c:pt>
                <c:pt idx="45" formatCode="General">
                  <c:v>5</c:v>
                </c:pt>
                <c:pt idx="46" formatCode="General">
                  <c:v>5</c:v>
                </c:pt>
                <c:pt idx="47" formatCode="General">
                  <c:v>5</c:v>
                </c:pt>
                <c:pt idx="48" formatCode="General">
                  <c:v>4.2</c:v>
                </c:pt>
                <c:pt idx="49" formatCode="General">
                  <c:v>4.2</c:v>
                </c:pt>
                <c:pt idx="50" formatCode="General">
                  <c:v>4.2</c:v>
                </c:pt>
                <c:pt idx="51" formatCode="General">
                  <c:v>2.2999999999999998</c:v>
                </c:pt>
                <c:pt idx="52" formatCode="General">
                  <c:v>2.2999999999999998</c:v>
                </c:pt>
                <c:pt idx="53" formatCode="General">
                  <c:v>2.2999999999999998</c:v>
                </c:pt>
                <c:pt idx="54" formatCode="General">
                  <c:v>2.4</c:v>
                </c:pt>
                <c:pt idx="55" formatCode="General">
                  <c:v>2.4</c:v>
                </c:pt>
                <c:pt idx="56" formatCode="General">
                  <c:v>2.4</c:v>
                </c:pt>
                <c:pt idx="57" formatCode="General">
                  <c:v>2.6</c:v>
                </c:pt>
                <c:pt idx="58" formatCode="General">
                  <c:v>2.6</c:v>
                </c:pt>
                <c:pt idx="59" formatCode="General">
                  <c:v>2.6</c:v>
                </c:pt>
                <c:pt idx="60" formatCode="General">
                  <c:v>2.6</c:v>
                </c:pt>
                <c:pt idx="61" formatCode="General">
                  <c:v>2.6</c:v>
                </c:pt>
                <c:pt idx="62" formatCode="General">
                  <c:v>2.6</c:v>
                </c:pt>
              </c:numCache>
            </c:numRef>
          </c:val>
          <c:extLst>
            <c:ext xmlns:c16="http://schemas.microsoft.com/office/drawing/2014/chart" uri="{C3380CC4-5D6E-409C-BE32-E72D297353CC}">
              <c16:uniqueId val="{00000000-8CB3-489C-BFEF-01D54DD4E9E8}"/>
            </c:ext>
          </c:extLst>
        </c:ser>
        <c:dLbls>
          <c:showLegendKey val="0"/>
          <c:showVal val="0"/>
          <c:showCatName val="0"/>
          <c:showSerName val="0"/>
          <c:showPercent val="0"/>
          <c:showBubbleSize val="0"/>
        </c:dLbls>
        <c:gapWidth val="30"/>
        <c:axId val="268536064"/>
        <c:axId val="268534528"/>
      </c:barChart>
      <c:lineChart>
        <c:grouping val="standard"/>
        <c:varyColors val="0"/>
        <c:ser>
          <c:idx val="3"/>
          <c:order val="1"/>
          <c:tx>
            <c:strRef>
              <c:f>'souhrnná výkonnost 2'!$D$5</c:f>
              <c:strCache>
                <c:ptCount val="1"/>
                <c:pt idx="0">
                  <c:v>Důvěra podnikatelů</c:v>
                </c:pt>
              </c:strCache>
            </c:strRef>
          </c:tx>
          <c:spPr>
            <a:ln w="19050">
              <a:solidFill>
                <a:srgbClr val="0071BC"/>
              </a:solidFill>
            </a:ln>
          </c:spPr>
          <c:marker>
            <c:symbol val="none"/>
          </c:marker>
          <c:cat>
            <c:multiLvlStrRef>
              <c:f>'souhrnná výkonnost 2'!$A$30:$B$92</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2014</c:v>
                  </c:pt>
                  <c:pt idx="12">
                    <c:v>2015</c:v>
                  </c:pt>
                  <c:pt idx="24">
                    <c:v>2016</c:v>
                  </c:pt>
                  <c:pt idx="36">
                    <c:v>2017</c:v>
                  </c:pt>
                  <c:pt idx="48">
                    <c:v>2018</c:v>
                  </c:pt>
                  <c:pt idx="60">
                    <c:v>2019</c:v>
                  </c:pt>
                </c:lvl>
              </c:multiLvlStrCache>
            </c:multiLvlStrRef>
          </c:cat>
          <c:val>
            <c:numRef>
              <c:f>'souhrnná výkonnost 2'!$D$30:$D$92</c:f>
              <c:numCache>
                <c:formatCode>###\ ###\ ##0.0</c:formatCode>
                <c:ptCount val="63"/>
                <c:pt idx="0">
                  <c:v>90.1</c:v>
                </c:pt>
                <c:pt idx="1">
                  <c:v>90.9</c:v>
                </c:pt>
                <c:pt idx="2">
                  <c:v>91.6</c:v>
                </c:pt>
                <c:pt idx="3">
                  <c:v>91.5</c:v>
                </c:pt>
                <c:pt idx="4">
                  <c:v>91.5</c:v>
                </c:pt>
                <c:pt idx="5">
                  <c:v>92.5</c:v>
                </c:pt>
                <c:pt idx="6">
                  <c:v>91.6</c:v>
                </c:pt>
                <c:pt idx="7">
                  <c:v>92.5</c:v>
                </c:pt>
                <c:pt idx="8">
                  <c:v>93.2</c:v>
                </c:pt>
                <c:pt idx="9">
                  <c:v>92.8</c:v>
                </c:pt>
                <c:pt idx="10">
                  <c:v>93.5</c:v>
                </c:pt>
                <c:pt idx="11">
                  <c:v>94.8</c:v>
                </c:pt>
                <c:pt idx="12">
                  <c:v>94.3</c:v>
                </c:pt>
                <c:pt idx="13">
                  <c:v>93.4</c:v>
                </c:pt>
                <c:pt idx="14">
                  <c:v>92.9</c:v>
                </c:pt>
                <c:pt idx="15">
                  <c:v>93.2</c:v>
                </c:pt>
                <c:pt idx="16">
                  <c:v>93.8</c:v>
                </c:pt>
                <c:pt idx="17">
                  <c:v>95.5</c:v>
                </c:pt>
                <c:pt idx="18">
                  <c:v>94.6</c:v>
                </c:pt>
                <c:pt idx="19">
                  <c:v>94.2</c:v>
                </c:pt>
                <c:pt idx="20">
                  <c:v>94.4</c:v>
                </c:pt>
                <c:pt idx="21">
                  <c:v>93.2</c:v>
                </c:pt>
                <c:pt idx="22">
                  <c:v>94.2</c:v>
                </c:pt>
                <c:pt idx="23">
                  <c:v>94.3</c:v>
                </c:pt>
                <c:pt idx="24" formatCode="0.0">
                  <c:v>96</c:v>
                </c:pt>
                <c:pt idx="25" formatCode="0.0">
                  <c:v>95.3</c:v>
                </c:pt>
                <c:pt idx="26" formatCode="0.0">
                  <c:v>95.1</c:v>
                </c:pt>
                <c:pt idx="27" formatCode="0.0">
                  <c:v>93.8</c:v>
                </c:pt>
                <c:pt idx="28" formatCode="0.0">
                  <c:v>94.3</c:v>
                </c:pt>
                <c:pt idx="29" formatCode="0.0">
                  <c:v>93.5</c:v>
                </c:pt>
                <c:pt idx="30" formatCode="0.0">
                  <c:v>94</c:v>
                </c:pt>
                <c:pt idx="31" formatCode="0.0">
                  <c:v>95.3</c:v>
                </c:pt>
                <c:pt idx="32" formatCode="0.0">
                  <c:v>95.2</c:v>
                </c:pt>
                <c:pt idx="33" formatCode="0.0">
                  <c:v>95.2</c:v>
                </c:pt>
                <c:pt idx="34" formatCode="0.0">
                  <c:v>97.5</c:v>
                </c:pt>
                <c:pt idx="35" formatCode="0.0">
                  <c:v>97.1</c:v>
                </c:pt>
                <c:pt idx="36" formatCode="0.0">
                  <c:v>97</c:v>
                </c:pt>
                <c:pt idx="37" formatCode="0.0">
                  <c:v>95.9</c:v>
                </c:pt>
                <c:pt idx="38" formatCode="0.0">
                  <c:v>94.1</c:v>
                </c:pt>
                <c:pt idx="39" formatCode="0.0">
                  <c:v>95.1</c:v>
                </c:pt>
                <c:pt idx="40" formatCode="0.0">
                  <c:v>94.9</c:v>
                </c:pt>
                <c:pt idx="41" formatCode="0.0">
                  <c:v>95.2</c:v>
                </c:pt>
                <c:pt idx="42" formatCode="0.0">
                  <c:v>96.1</c:v>
                </c:pt>
                <c:pt idx="43" formatCode="0.0">
                  <c:v>96.8</c:v>
                </c:pt>
                <c:pt idx="44" formatCode="0.0">
                  <c:v>97</c:v>
                </c:pt>
                <c:pt idx="45" formatCode="0.0">
                  <c:v>97.4</c:v>
                </c:pt>
                <c:pt idx="46" formatCode="0.0">
                  <c:v>96.7</c:v>
                </c:pt>
                <c:pt idx="47" formatCode="0.0">
                  <c:v>97.5</c:v>
                </c:pt>
                <c:pt idx="48" formatCode="0.0">
                  <c:v>96.9</c:v>
                </c:pt>
                <c:pt idx="49" formatCode="0.0">
                  <c:v>97.5</c:v>
                </c:pt>
                <c:pt idx="50" formatCode="0.0">
                  <c:v>97</c:v>
                </c:pt>
                <c:pt idx="51" formatCode="0.0">
                  <c:v>97.6</c:v>
                </c:pt>
                <c:pt idx="52" formatCode="0.0">
                  <c:v>96.2</c:v>
                </c:pt>
                <c:pt idx="53" formatCode="0.0">
                  <c:v>97.4</c:v>
                </c:pt>
                <c:pt idx="54" formatCode="0.0">
                  <c:v>96.1</c:v>
                </c:pt>
                <c:pt idx="55" formatCode="0.0">
                  <c:v>96.9</c:v>
                </c:pt>
                <c:pt idx="56" formatCode="0.0">
                  <c:v>97.3</c:v>
                </c:pt>
                <c:pt idx="57" formatCode="0.0">
                  <c:v>97.3</c:v>
                </c:pt>
                <c:pt idx="58" formatCode="0.0">
                  <c:v>97.8</c:v>
                </c:pt>
                <c:pt idx="59" formatCode="0.0">
                  <c:v>96.4</c:v>
                </c:pt>
                <c:pt idx="60" formatCode="0.0">
                  <c:v>95.7</c:v>
                </c:pt>
                <c:pt idx="61" formatCode="0.0">
                  <c:v>96.5</c:v>
                </c:pt>
                <c:pt idx="62" formatCode="0.0">
                  <c:v>95.5</c:v>
                </c:pt>
              </c:numCache>
            </c:numRef>
          </c:val>
          <c:smooth val="0"/>
          <c:extLst>
            <c:ext xmlns:c16="http://schemas.microsoft.com/office/drawing/2014/chart" uri="{C3380CC4-5D6E-409C-BE32-E72D297353CC}">
              <c16:uniqueId val="{00000001-8CB3-489C-BFEF-01D54DD4E9E8}"/>
            </c:ext>
          </c:extLst>
        </c:ser>
        <c:ser>
          <c:idx val="2"/>
          <c:order val="2"/>
          <c:tx>
            <c:strRef>
              <c:f>'souhrnná výkonnost 2'!$E$5</c:f>
              <c:strCache>
                <c:ptCount val="1"/>
                <c:pt idx="0">
                  <c:v>Důvěra spotřebitelů</c:v>
                </c:pt>
              </c:strCache>
            </c:strRef>
          </c:tx>
          <c:spPr>
            <a:ln w="19050">
              <a:solidFill>
                <a:srgbClr val="BD1B21"/>
              </a:solidFill>
            </a:ln>
          </c:spPr>
          <c:marker>
            <c:symbol val="none"/>
          </c:marker>
          <c:cat>
            <c:multiLvlStrRef>
              <c:f>'souhrnná výkonnost 2'!$A$30:$B$92</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2014</c:v>
                  </c:pt>
                  <c:pt idx="12">
                    <c:v>2015</c:v>
                  </c:pt>
                  <c:pt idx="24">
                    <c:v>2016</c:v>
                  </c:pt>
                  <c:pt idx="36">
                    <c:v>2017</c:v>
                  </c:pt>
                  <c:pt idx="48">
                    <c:v>2018</c:v>
                  </c:pt>
                  <c:pt idx="60">
                    <c:v>2019</c:v>
                  </c:pt>
                </c:lvl>
              </c:multiLvlStrCache>
            </c:multiLvlStrRef>
          </c:cat>
          <c:val>
            <c:numRef>
              <c:f>'souhrnná výkonnost 2'!$E$30:$E$92</c:f>
              <c:numCache>
                <c:formatCode>###\ ###\ ##0.0</c:formatCode>
                <c:ptCount val="63"/>
                <c:pt idx="0">
                  <c:v>96.9</c:v>
                </c:pt>
                <c:pt idx="1">
                  <c:v>93.1</c:v>
                </c:pt>
                <c:pt idx="2">
                  <c:v>96.7</c:v>
                </c:pt>
                <c:pt idx="3">
                  <c:v>98.4</c:v>
                </c:pt>
                <c:pt idx="4">
                  <c:v>98.2</c:v>
                </c:pt>
                <c:pt idx="5">
                  <c:v>99.4</c:v>
                </c:pt>
                <c:pt idx="6">
                  <c:v>99.9</c:v>
                </c:pt>
                <c:pt idx="7">
                  <c:v>97.9</c:v>
                </c:pt>
                <c:pt idx="8">
                  <c:v>96.3</c:v>
                </c:pt>
                <c:pt idx="9">
                  <c:v>100.2</c:v>
                </c:pt>
                <c:pt idx="10">
                  <c:v>103.6</c:v>
                </c:pt>
                <c:pt idx="11">
                  <c:v>105.1</c:v>
                </c:pt>
                <c:pt idx="12">
                  <c:v>106.7</c:v>
                </c:pt>
                <c:pt idx="13">
                  <c:v>105.7</c:v>
                </c:pt>
                <c:pt idx="14">
                  <c:v>105.7</c:v>
                </c:pt>
                <c:pt idx="15">
                  <c:v>104.3</c:v>
                </c:pt>
                <c:pt idx="16">
                  <c:v>103.6</c:v>
                </c:pt>
                <c:pt idx="17">
                  <c:v>104.3</c:v>
                </c:pt>
                <c:pt idx="18">
                  <c:v>103.6</c:v>
                </c:pt>
                <c:pt idx="19">
                  <c:v>103.6</c:v>
                </c:pt>
                <c:pt idx="20">
                  <c:v>103.3</c:v>
                </c:pt>
                <c:pt idx="21">
                  <c:v>104.8</c:v>
                </c:pt>
                <c:pt idx="22">
                  <c:v>105.3</c:v>
                </c:pt>
                <c:pt idx="23">
                  <c:v>107.4</c:v>
                </c:pt>
                <c:pt idx="24" formatCode="0.0">
                  <c:v>110</c:v>
                </c:pt>
                <c:pt idx="25" formatCode="0.0">
                  <c:v>106.2</c:v>
                </c:pt>
                <c:pt idx="26" formatCode="0.0">
                  <c:v>104.8</c:v>
                </c:pt>
                <c:pt idx="27" formatCode="0.0">
                  <c:v>104.3</c:v>
                </c:pt>
                <c:pt idx="28" formatCode="0.0">
                  <c:v>104.3</c:v>
                </c:pt>
                <c:pt idx="29" formatCode="0.0">
                  <c:v>103.8</c:v>
                </c:pt>
                <c:pt idx="30" formatCode="0.0">
                  <c:v>102.3</c:v>
                </c:pt>
                <c:pt idx="31" formatCode="0.0">
                  <c:v>104.3</c:v>
                </c:pt>
                <c:pt idx="32" formatCode="0.0">
                  <c:v>106.4</c:v>
                </c:pt>
                <c:pt idx="33" formatCode="0.0">
                  <c:v>108.9</c:v>
                </c:pt>
                <c:pt idx="34" formatCode="0.0">
                  <c:v>107.9</c:v>
                </c:pt>
                <c:pt idx="35" formatCode="0.0">
                  <c:v>108.7</c:v>
                </c:pt>
                <c:pt idx="36" formatCode="0.0">
                  <c:v>110</c:v>
                </c:pt>
                <c:pt idx="37" formatCode="0.0">
                  <c:v>108.2</c:v>
                </c:pt>
                <c:pt idx="38" formatCode="0.0">
                  <c:v>108.7</c:v>
                </c:pt>
                <c:pt idx="39" formatCode="0.0">
                  <c:v>108.4</c:v>
                </c:pt>
                <c:pt idx="40" formatCode="0.0">
                  <c:v>108.4</c:v>
                </c:pt>
                <c:pt idx="41" formatCode="0.0">
                  <c:v>106.2</c:v>
                </c:pt>
                <c:pt idx="42" formatCode="0.0">
                  <c:v>105.7</c:v>
                </c:pt>
                <c:pt idx="43" formatCode="0.0">
                  <c:v>107.9</c:v>
                </c:pt>
                <c:pt idx="44" formatCode="0.0">
                  <c:v>109.2</c:v>
                </c:pt>
                <c:pt idx="45" formatCode="0.0">
                  <c:v>108.7</c:v>
                </c:pt>
                <c:pt idx="46" formatCode="0.0">
                  <c:v>110.3</c:v>
                </c:pt>
                <c:pt idx="47" formatCode="0.0">
                  <c:v>110</c:v>
                </c:pt>
                <c:pt idx="48" formatCode="0.0">
                  <c:v>112.3</c:v>
                </c:pt>
                <c:pt idx="49" formatCode="0.0">
                  <c:v>112</c:v>
                </c:pt>
                <c:pt idx="50" formatCode="0.0">
                  <c:v>112.8</c:v>
                </c:pt>
                <c:pt idx="51" formatCode="0.0">
                  <c:v>112.5</c:v>
                </c:pt>
                <c:pt idx="52" formatCode="0.0">
                  <c:v>113.8</c:v>
                </c:pt>
                <c:pt idx="53" formatCode="0.0">
                  <c:v>113</c:v>
                </c:pt>
                <c:pt idx="54" formatCode="0.0">
                  <c:v>111.8</c:v>
                </c:pt>
                <c:pt idx="55" formatCode="0.0">
                  <c:v>110.3</c:v>
                </c:pt>
                <c:pt idx="56" formatCode="0.0">
                  <c:v>111</c:v>
                </c:pt>
                <c:pt idx="57" formatCode="0.0">
                  <c:v>112</c:v>
                </c:pt>
                <c:pt idx="58" formatCode="0.0">
                  <c:v>106.9</c:v>
                </c:pt>
                <c:pt idx="59" formatCode="0.0">
                  <c:v>109.2</c:v>
                </c:pt>
                <c:pt idx="60" formatCode="0.0">
                  <c:v>109.2</c:v>
                </c:pt>
                <c:pt idx="61" formatCode="0.0">
                  <c:v>106.4</c:v>
                </c:pt>
                <c:pt idx="62" formatCode="0.0">
                  <c:v>104.6</c:v>
                </c:pt>
              </c:numCache>
            </c:numRef>
          </c:val>
          <c:smooth val="0"/>
          <c:extLst>
            <c:ext xmlns:c16="http://schemas.microsoft.com/office/drawing/2014/chart" uri="{C3380CC4-5D6E-409C-BE32-E72D297353CC}">
              <c16:uniqueId val="{00000002-8CB3-489C-BFEF-01D54DD4E9E8}"/>
            </c:ext>
          </c:extLst>
        </c:ser>
        <c:ser>
          <c:idx val="1"/>
          <c:order val="3"/>
          <c:tx>
            <c:strRef>
              <c:f>'souhrnná výkonnost 2'!$F$5</c:f>
              <c:strCache>
                <c:ptCount val="1"/>
                <c:pt idx="0">
                  <c:v>Souhrnný indikátor</c:v>
                </c:pt>
              </c:strCache>
            </c:strRef>
          </c:tx>
          <c:spPr>
            <a:ln w="19050">
              <a:solidFill>
                <a:schemeClr val="tx1"/>
              </a:solidFill>
            </a:ln>
          </c:spPr>
          <c:marker>
            <c:symbol val="none"/>
          </c:marker>
          <c:cat>
            <c:multiLvlStrRef>
              <c:f>'souhrnná výkonnost 2'!$A$30:$B$92</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2014</c:v>
                  </c:pt>
                  <c:pt idx="12">
                    <c:v>2015</c:v>
                  </c:pt>
                  <c:pt idx="24">
                    <c:v>2016</c:v>
                  </c:pt>
                  <c:pt idx="36">
                    <c:v>2017</c:v>
                  </c:pt>
                  <c:pt idx="48">
                    <c:v>2018</c:v>
                  </c:pt>
                  <c:pt idx="60">
                    <c:v>2019</c:v>
                  </c:pt>
                </c:lvl>
              </c:multiLvlStrCache>
            </c:multiLvlStrRef>
          </c:cat>
          <c:val>
            <c:numRef>
              <c:f>'souhrnná výkonnost 2'!$F$30:$F$92</c:f>
              <c:numCache>
                <c:formatCode>###\ ###\ ##0.0</c:formatCode>
                <c:ptCount val="63"/>
                <c:pt idx="0">
                  <c:v>91.3</c:v>
                </c:pt>
                <c:pt idx="1">
                  <c:v>91.2</c:v>
                </c:pt>
                <c:pt idx="2">
                  <c:v>92.4</c:v>
                </c:pt>
                <c:pt idx="3">
                  <c:v>92.6</c:v>
                </c:pt>
                <c:pt idx="4">
                  <c:v>92.6</c:v>
                </c:pt>
                <c:pt idx="5">
                  <c:v>93.6</c:v>
                </c:pt>
                <c:pt idx="6" formatCode="###\ ###\ ##0">
                  <c:v>93</c:v>
                </c:pt>
                <c:pt idx="7">
                  <c:v>93.4</c:v>
                </c:pt>
                <c:pt idx="8">
                  <c:v>93.7</c:v>
                </c:pt>
                <c:pt idx="9">
                  <c:v>94.1</c:v>
                </c:pt>
                <c:pt idx="10">
                  <c:v>95.2</c:v>
                </c:pt>
                <c:pt idx="11">
                  <c:v>96.5</c:v>
                </c:pt>
                <c:pt idx="12">
                  <c:v>96.4</c:v>
                </c:pt>
                <c:pt idx="13">
                  <c:v>95.5</c:v>
                </c:pt>
                <c:pt idx="14">
                  <c:v>95.1</c:v>
                </c:pt>
                <c:pt idx="15">
                  <c:v>95.1</c:v>
                </c:pt>
                <c:pt idx="16">
                  <c:v>95.5</c:v>
                </c:pt>
                <c:pt idx="17" formatCode="###\ ###\ ##0">
                  <c:v>97</c:v>
                </c:pt>
                <c:pt idx="18">
                  <c:v>96.1</c:v>
                </c:pt>
                <c:pt idx="19">
                  <c:v>95.7</c:v>
                </c:pt>
                <c:pt idx="20">
                  <c:v>95.9</c:v>
                </c:pt>
                <c:pt idx="21">
                  <c:v>95.1</c:v>
                </c:pt>
                <c:pt idx="22" formatCode="###\ ###\ ##0">
                  <c:v>96</c:v>
                </c:pt>
                <c:pt idx="23">
                  <c:v>96.5</c:v>
                </c:pt>
                <c:pt idx="24" formatCode="0.0">
                  <c:v>98.4</c:v>
                </c:pt>
                <c:pt idx="25" formatCode="0.0">
                  <c:v>97.1</c:v>
                </c:pt>
                <c:pt idx="26" formatCode="0.0">
                  <c:v>96.7</c:v>
                </c:pt>
                <c:pt idx="27" formatCode="0.0">
                  <c:v>95.6</c:v>
                </c:pt>
                <c:pt idx="28" formatCode="0.0">
                  <c:v>96</c:v>
                </c:pt>
                <c:pt idx="29" formatCode="0.0">
                  <c:v>95.3</c:v>
                </c:pt>
                <c:pt idx="30" formatCode="0.0">
                  <c:v>95.4</c:v>
                </c:pt>
                <c:pt idx="31" formatCode="0.0">
                  <c:v>96.8</c:v>
                </c:pt>
                <c:pt idx="32" formatCode="0.0">
                  <c:v>97.1</c:v>
                </c:pt>
                <c:pt idx="33" formatCode="0.0">
                  <c:v>97.5</c:v>
                </c:pt>
                <c:pt idx="34" formatCode="0.0">
                  <c:v>99.3</c:v>
                </c:pt>
                <c:pt idx="35" formatCode="0.0">
                  <c:v>99.1</c:v>
                </c:pt>
                <c:pt idx="36" formatCode="0.0">
                  <c:v>99.2</c:v>
                </c:pt>
                <c:pt idx="37" formatCode="0.0">
                  <c:v>98</c:v>
                </c:pt>
                <c:pt idx="38" formatCode="0.0">
                  <c:v>96.6</c:v>
                </c:pt>
                <c:pt idx="39" formatCode="0.0">
                  <c:v>97.4</c:v>
                </c:pt>
                <c:pt idx="40" formatCode="0.0">
                  <c:v>97.2</c:v>
                </c:pt>
                <c:pt idx="41" formatCode="0.0">
                  <c:v>97.1</c:v>
                </c:pt>
                <c:pt idx="42" formatCode="0.0">
                  <c:v>97.7</c:v>
                </c:pt>
                <c:pt idx="43" formatCode="0.0">
                  <c:v>98.7</c:v>
                </c:pt>
                <c:pt idx="44" formatCode="0.0">
                  <c:v>99.1</c:v>
                </c:pt>
                <c:pt idx="45" formatCode="0.0">
                  <c:v>99.3</c:v>
                </c:pt>
                <c:pt idx="46" formatCode="0.0">
                  <c:v>99</c:v>
                </c:pt>
                <c:pt idx="47" formatCode="0.0">
                  <c:v>99.6</c:v>
                </c:pt>
                <c:pt idx="48" formatCode="0.0">
                  <c:v>99.5</c:v>
                </c:pt>
                <c:pt idx="49" formatCode="0.0">
                  <c:v>99.9</c:v>
                </c:pt>
                <c:pt idx="50" formatCode="0.0">
                  <c:v>99.7</c:v>
                </c:pt>
                <c:pt idx="51" formatCode="0.0">
                  <c:v>100.1</c:v>
                </c:pt>
                <c:pt idx="52" formatCode="0.0">
                  <c:v>99.2</c:v>
                </c:pt>
                <c:pt idx="53" formatCode="0.0">
                  <c:v>100</c:v>
                </c:pt>
                <c:pt idx="54" formatCode="0.0">
                  <c:v>98.7</c:v>
                </c:pt>
                <c:pt idx="55" formatCode="0.0">
                  <c:v>99.1</c:v>
                </c:pt>
                <c:pt idx="56" formatCode="0.0">
                  <c:v>99.6</c:v>
                </c:pt>
                <c:pt idx="57" formatCode="0.0">
                  <c:v>99.8</c:v>
                </c:pt>
                <c:pt idx="58" formatCode="0.0">
                  <c:v>99.3</c:v>
                </c:pt>
                <c:pt idx="59" formatCode="0.0">
                  <c:v>98.6</c:v>
                </c:pt>
                <c:pt idx="60" formatCode="0.0">
                  <c:v>98</c:v>
                </c:pt>
                <c:pt idx="61" formatCode="0.0">
                  <c:v>98.2</c:v>
                </c:pt>
                <c:pt idx="62" formatCode="0.0">
                  <c:v>97</c:v>
                </c:pt>
              </c:numCache>
            </c:numRef>
          </c:val>
          <c:smooth val="0"/>
          <c:extLst>
            <c:ext xmlns:c16="http://schemas.microsoft.com/office/drawing/2014/chart" uri="{C3380CC4-5D6E-409C-BE32-E72D297353CC}">
              <c16:uniqueId val="{00000003-8CB3-489C-BFEF-01D54DD4E9E8}"/>
            </c:ext>
          </c:extLst>
        </c:ser>
        <c:dLbls>
          <c:showLegendKey val="0"/>
          <c:showVal val="0"/>
          <c:showCatName val="0"/>
          <c:showSerName val="0"/>
          <c:showPercent val="0"/>
          <c:showBubbleSize val="0"/>
        </c:dLbls>
        <c:marker val="1"/>
        <c:smooth val="0"/>
        <c:axId val="268518912"/>
        <c:axId val="268520448"/>
      </c:lineChart>
      <c:catAx>
        <c:axId val="268518912"/>
        <c:scaling>
          <c:orientation val="minMax"/>
        </c:scaling>
        <c:delete val="0"/>
        <c:axPos val="b"/>
        <c:numFmt formatCode="General" sourceLinked="0"/>
        <c:majorTickMark val="out"/>
        <c:minorTickMark val="none"/>
        <c:tickLblPos val="low"/>
        <c:spPr>
          <a:ln>
            <a:solidFill>
              <a:schemeClr val="tx1"/>
            </a:solidFill>
          </a:ln>
        </c:spPr>
        <c:crossAx val="268520448"/>
        <c:crossesAt val="100"/>
        <c:auto val="1"/>
        <c:lblAlgn val="ctr"/>
        <c:lblOffset val="100"/>
        <c:noMultiLvlLbl val="0"/>
      </c:catAx>
      <c:valAx>
        <c:axId val="268520448"/>
        <c:scaling>
          <c:orientation val="minMax"/>
          <c:min val="70"/>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8518912"/>
        <c:crosses val="autoZero"/>
        <c:crossBetween val="between"/>
        <c:majorUnit val="5"/>
      </c:valAx>
      <c:valAx>
        <c:axId val="268534528"/>
        <c:scaling>
          <c:orientation val="minMax"/>
        </c:scaling>
        <c:delete val="0"/>
        <c:axPos val="r"/>
        <c:numFmt formatCode="0" sourceLinked="0"/>
        <c:majorTickMark val="out"/>
        <c:minorTickMark val="none"/>
        <c:tickLblPos val="nextTo"/>
        <c:spPr>
          <a:ln>
            <a:solidFill>
              <a:schemeClr val="tx1"/>
            </a:solidFill>
          </a:ln>
        </c:spPr>
        <c:crossAx val="268536064"/>
        <c:crosses val="max"/>
        <c:crossBetween val="between"/>
        <c:majorUnit val="1"/>
      </c:valAx>
      <c:catAx>
        <c:axId val="268536064"/>
        <c:scaling>
          <c:orientation val="minMax"/>
        </c:scaling>
        <c:delete val="1"/>
        <c:axPos val="b"/>
        <c:majorTickMark val="out"/>
        <c:minorTickMark val="none"/>
        <c:tickLblPos val="none"/>
        <c:crossAx val="268534528"/>
        <c:crossesAt val="0"/>
        <c:auto val="1"/>
        <c:lblAlgn val="ctr"/>
        <c:lblOffset val="100"/>
        <c:noMultiLvlLbl val="0"/>
      </c:catAx>
      <c:spPr>
        <a:ln>
          <a:solidFill>
            <a:schemeClr val="tx1"/>
          </a:solidFill>
        </a:ln>
      </c:spPr>
    </c:plotArea>
    <c:legend>
      <c:legendPos val="b"/>
      <c:layout>
        <c:manualLayout>
          <c:xMode val="edge"/>
          <c:yMode val="edge"/>
          <c:x val="6.2295583422442583E-2"/>
          <c:y val="0.90228835978835142"/>
          <c:w val="0.88075331324325201"/>
          <c:h val="8.264578408195417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948352704928246E-2"/>
          <c:y val="2.8458510079622041E-2"/>
          <c:w val="0.93956464282120356"/>
          <c:h val="0.6497469886299676"/>
        </c:manualLayout>
      </c:layout>
      <c:barChart>
        <c:barDir val="col"/>
        <c:grouping val="stacked"/>
        <c:varyColors val="0"/>
        <c:ser>
          <c:idx val="5"/>
          <c:order val="1"/>
          <c:tx>
            <c:strRef>
              <c:f>'souhrnná výkonnost 3'!$D$5</c:f>
              <c:strCache>
                <c:ptCount val="1"/>
                <c:pt idx="0">
                  <c:v>Výdaje na konečnou spotřebu domácností (vč. nezisk. inst.)</c:v>
                </c:pt>
              </c:strCache>
            </c:strRef>
          </c:tx>
          <c:spPr>
            <a:solidFill>
              <a:srgbClr val="0071BC"/>
            </a:solidFill>
            <a:ln>
              <a:noFill/>
            </a:ln>
          </c:spPr>
          <c:invertIfNegative val="0"/>
          <c:val>
            <c:numRef>
              <c:f>'souhrnná výkonnost 3'!$D$14:$D$34</c:f>
              <c:numCache>
                <c:formatCode>#\ ##0.0</c:formatCode>
                <c:ptCount val="21"/>
                <c:pt idx="0">
                  <c:v>-0.34634066091739607</c:v>
                </c:pt>
                <c:pt idx="1">
                  <c:v>1.9385986465040451E-2</c:v>
                </c:pt>
                <c:pt idx="2">
                  <c:v>0.6409759581575154</c:v>
                </c:pt>
                <c:pt idx="3">
                  <c:v>1.1222751214521565</c:v>
                </c:pt>
                <c:pt idx="4">
                  <c:v>0.95324800193997639</c:v>
                </c:pt>
                <c:pt idx="5">
                  <c:v>0.87834008534043184</c:v>
                </c:pt>
                <c:pt idx="6">
                  <c:v>0.98282233736482061</c:v>
                </c:pt>
                <c:pt idx="7">
                  <c:v>1.2011732247886713</c:v>
                </c:pt>
                <c:pt idx="8">
                  <c:v>0.93830506590305751</c:v>
                </c:pt>
                <c:pt idx="9">
                  <c:v>1.0153624426824208</c:v>
                </c:pt>
                <c:pt idx="10">
                  <c:v>1.2128070502408641</c:v>
                </c:pt>
                <c:pt idx="11">
                  <c:v>1.1229514324692931</c:v>
                </c:pt>
                <c:pt idx="12">
                  <c:v>1.9458738005336886</c:v>
                </c:pt>
                <c:pt idx="13">
                  <c:v>2.2652735745102026</c:v>
                </c:pt>
                <c:pt idx="14">
                  <c:v>2.0895125347925299</c:v>
                </c:pt>
                <c:pt idx="15">
                  <c:v>1.9257383607728384</c:v>
                </c:pt>
                <c:pt idx="16">
                  <c:v>1.4881260977680475</c:v>
                </c:pt>
                <c:pt idx="17">
                  <c:v>1.0675441122268532</c:v>
                </c:pt>
                <c:pt idx="18">
                  <c:v>0.81890767828324396</c:v>
                </c:pt>
                <c:pt idx="19">
                  <c:v>0.55650371954350941</c:v>
                </c:pt>
                <c:pt idx="20">
                  <c:v>1.1114491676995903</c:v>
                </c:pt>
              </c:numCache>
            </c:numRef>
          </c:val>
          <c:extLst>
            <c:ext xmlns:c16="http://schemas.microsoft.com/office/drawing/2014/chart" uri="{C3380CC4-5D6E-409C-BE32-E72D297353CC}">
              <c16:uniqueId val="{00000000-71C5-4DE9-AB9F-3C284B19BBA1}"/>
            </c:ext>
          </c:extLst>
        </c:ser>
        <c:ser>
          <c:idx val="4"/>
          <c:order val="2"/>
          <c:tx>
            <c:strRef>
              <c:f>'souhrnná výkonnost 3'!$E$5</c:f>
              <c:strCache>
                <c:ptCount val="1"/>
                <c:pt idx="0">
                  <c:v>Výdaje na konečnou spotřebu vládních institucí</c:v>
                </c:pt>
              </c:strCache>
            </c:strRef>
          </c:tx>
          <c:spPr>
            <a:solidFill>
              <a:srgbClr val="A6CDE8"/>
            </a:solidFill>
            <a:ln>
              <a:noFill/>
            </a:ln>
          </c:spPr>
          <c:invertIfNegative val="0"/>
          <c:val>
            <c:numRef>
              <c:f>'souhrnná výkonnost 3'!$E$14:$E$34</c:f>
              <c:numCache>
                <c:formatCode>#\ ##0.0</c:formatCode>
                <c:ptCount val="21"/>
                <c:pt idx="0">
                  <c:v>0.1647650452266268</c:v>
                </c:pt>
                <c:pt idx="1">
                  <c:v>0.35920558983442286</c:v>
                </c:pt>
                <c:pt idx="2">
                  <c:v>3.375533070618371E-3</c:v>
                </c:pt>
                <c:pt idx="3">
                  <c:v>0.43296248055129644</c:v>
                </c:pt>
                <c:pt idx="4">
                  <c:v>0.38860653049012461</c:v>
                </c:pt>
                <c:pt idx="5">
                  <c:v>0.42050971602096776</c:v>
                </c:pt>
                <c:pt idx="6">
                  <c:v>0.6826406447636606</c:v>
                </c:pt>
                <c:pt idx="7">
                  <c:v>0.4517370628889108</c:v>
                </c:pt>
                <c:pt idx="8">
                  <c:v>0.43519225643702975</c:v>
                </c:pt>
                <c:pt idx="9">
                  <c:v>0.57425071934076943</c:v>
                </c:pt>
                <c:pt idx="10">
                  <c:v>0.47033661242885427</c:v>
                </c:pt>
                <c:pt idx="11">
                  <c:v>0.44566852961049669</c:v>
                </c:pt>
                <c:pt idx="12">
                  <c:v>0.39517296657767198</c:v>
                </c:pt>
                <c:pt idx="13">
                  <c:v>0.24462460795774524</c:v>
                </c:pt>
                <c:pt idx="14">
                  <c:v>0.15366770388227927</c:v>
                </c:pt>
                <c:pt idx="15">
                  <c:v>0.18391952152497579</c:v>
                </c:pt>
                <c:pt idx="16">
                  <c:v>0.54550447043147099</c:v>
                </c:pt>
                <c:pt idx="17">
                  <c:v>0.51370778971567932</c:v>
                </c:pt>
                <c:pt idx="18">
                  <c:v>0.94751377139279147</c:v>
                </c:pt>
                <c:pt idx="19">
                  <c:v>0.65511131399105382</c:v>
                </c:pt>
                <c:pt idx="20">
                  <c:v>0.64858388214134044</c:v>
                </c:pt>
              </c:numCache>
            </c:numRef>
          </c:val>
          <c:extLst>
            <c:ext xmlns:c16="http://schemas.microsoft.com/office/drawing/2014/chart" uri="{C3380CC4-5D6E-409C-BE32-E72D297353CC}">
              <c16:uniqueId val="{00000001-71C5-4DE9-AB9F-3C284B19BBA1}"/>
            </c:ext>
          </c:extLst>
        </c:ser>
        <c:ser>
          <c:idx val="3"/>
          <c:order val="3"/>
          <c:tx>
            <c:strRef>
              <c:f>'souhrnná výkonnost 3'!$G$5</c:f>
              <c:strCache>
                <c:ptCount val="1"/>
                <c:pt idx="0">
                  <c:v>Tvorba hrubého kapitálu</c:v>
                </c:pt>
              </c:strCache>
            </c:strRef>
          </c:tx>
          <c:spPr>
            <a:solidFill>
              <a:srgbClr val="BD1B21"/>
            </a:solidFill>
            <a:ln>
              <a:noFill/>
            </a:ln>
          </c:spPr>
          <c:invertIfNegative val="0"/>
          <c:val>
            <c:numRef>
              <c:f>'souhrnná výkonnost 3'!$G$14:$G$34</c:f>
              <c:numCache>
                <c:formatCode>#\ ##0.0</c:formatCode>
                <c:ptCount val="21"/>
                <c:pt idx="0">
                  <c:v>3.1093775840910038E-3</c:v>
                </c:pt>
                <c:pt idx="1">
                  <c:v>1.7228402322588214</c:v>
                </c:pt>
                <c:pt idx="2">
                  <c:v>1.2740748429655091</c:v>
                </c:pt>
                <c:pt idx="3">
                  <c:v>0.34209608794035873</c:v>
                </c:pt>
                <c:pt idx="4">
                  <c:v>3.0940088082175081</c:v>
                </c:pt>
                <c:pt idx="5">
                  <c:v>3.9603163536228365</c:v>
                </c:pt>
                <c:pt idx="6">
                  <c:v>2.4230101905838697</c:v>
                </c:pt>
                <c:pt idx="7">
                  <c:v>1.1383788063935325</c:v>
                </c:pt>
                <c:pt idx="8">
                  <c:v>0.69863508777302097</c:v>
                </c:pt>
                <c:pt idx="9">
                  <c:v>-1.3723494139423089</c:v>
                </c:pt>
                <c:pt idx="10">
                  <c:v>-0.97881672565525746</c:v>
                </c:pt>
                <c:pt idx="11">
                  <c:v>-0.61772712880566016</c:v>
                </c:pt>
                <c:pt idx="12">
                  <c:v>-0.91202695306872372</c:v>
                </c:pt>
                <c:pt idx="13">
                  <c:v>0.39448109649743185</c:v>
                </c:pt>
                <c:pt idx="14">
                  <c:v>1.7505503340288129</c:v>
                </c:pt>
                <c:pt idx="15">
                  <c:v>2.1128152209543964</c:v>
                </c:pt>
                <c:pt idx="16">
                  <c:v>1.6984263061874072</c:v>
                </c:pt>
                <c:pt idx="17">
                  <c:v>0.45203283554029289</c:v>
                </c:pt>
                <c:pt idx="18">
                  <c:v>0.58344926381093754</c:v>
                </c:pt>
                <c:pt idx="19">
                  <c:v>0.45092159032701057</c:v>
                </c:pt>
                <c:pt idx="20">
                  <c:v>0.22747416208169488</c:v>
                </c:pt>
              </c:numCache>
            </c:numRef>
          </c:val>
          <c:extLst>
            <c:ext xmlns:c16="http://schemas.microsoft.com/office/drawing/2014/chart" uri="{C3380CC4-5D6E-409C-BE32-E72D297353CC}">
              <c16:uniqueId val="{00000002-71C5-4DE9-AB9F-3C284B19BBA1}"/>
            </c:ext>
          </c:extLst>
        </c:ser>
        <c:ser>
          <c:idx val="1"/>
          <c:order val="4"/>
          <c:tx>
            <c:strRef>
              <c:f>'souhrnná výkonnost 3'!$F$5</c:f>
              <c:strCache>
                <c:ptCount val="1"/>
                <c:pt idx="0">
                  <c:v>Bilance zahraničního obchodu</c:v>
                </c:pt>
              </c:strCache>
            </c:strRef>
          </c:tx>
          <c:spPr>
            <a:solidFill>
              <a:srgbClr val="7DBB2D"/>
            </a:solidFill>
            <a:ln>
              <a:noFill/>
            </a:ln>
          </c:spPr>
          <c:invertIfNegative val="0"/>
          <c:val>
            <c:numRef>
              <c:f>'souhrnná výkonnost 3'!$F$14:$F$34</c:f>
              <c:numCache>
                <c:formatCode>#\ ##0.0</c:formatCode>
                <c:ptCount val="21"/>
                <c:pt idx="0">
                  <c:v>1.7889130945120968</c:v>
                </c:pt>
                <c:pt idx="1">
                  <c:v>0.28187217433750344</c:v>
                </c:pt>
                <c:pt idx="2">
                  <c:v>1.4439285779814037</c:v>
                </c:pt>
                <c:pt idx="3">
                  <c:v>1.4927511797532684</c:v>
                </c:pt>
                <c:pt idx="4">
                  <c:v>0.84168612845165525</c:v>
                </c:pt>
                <c:pt idx="5">
                  <c:v>0.57781958996686633</c:v>
                </c:pt>
                <c:pt idx="6">
                  <c:v>1.5186993594783789</c:v>
                </c:pt>
                <c:pt idx="7">
                  <c:v>2.1434487917698908</c:v>
                </c:pt>
                <c:pt idx="8">
                  <c:v>1.4573635285701187</c:v>
                </c:pt>
                <c:pt idx="9">
                  <c:v>2.1300532057503894</c:v>
                </c:pt>
                <c:pt idx="10">
                  <c:v>0.94178716932770379</c:v>
                </c:pt>
                <c:pt idx="11">
                  <c:v>0.8164685092271653</c:v>
                </c:pt>
                <c:pt idx="12">
                  <c:v>1.4723667997214176</c:v>
                </c:pt>
                <c:pt idx="13">
                  <c:v>2.0147147493291326</c:v>
                </c:pt>
                <c:pt idx="14">
                  <c:v>1.1771214609805769</c:v>
                </c:pt>
                <c:pt idx="15">
                  <c:v>0.82510354577362399</c:v>
                </c:pt>
                <c:pt idx="16">
                  <c:v>0.42306699851593299</c:v>
                </c:pt>
                <c:pt idx="17">
                  <c:v>0.27839160380563577</c:v>
                </c:pt>
                <c:pt idx="18">
                  <c:v>2.2037511208119476E-2</c:v>
                </c:pt>
                <c:pt idx="19">
                  <c:v>0.91623432653373937</c:v>
                </c:pt>
                <c:pt idx="20">
                  <c:v>0.5781786021030908</c:v>
                </c:pt>
              </c:numCache>
            </c:numRef>
          </c:val>
          <c:extLst>
            <c:ext xmlns:c16="http://schemas.microsoft.com/office/drawing/2014/chart" uri="{C3380CC4-5D6E-409C-BE32-E72D297353CC}">
              <c16:uniqueId val="{00000003-71C5-4DE9-AB9F-3C284B19BBA1}"/>
            </c:ext>
          </c:extLst>
        </c:ser>
        <c:dLbls>
          <c:showLegendKey val="0"/>
          <c:showVal val="0"/>
          <c:showCatName val="0"/>
          <c:showSerName val="0"/>
          <c:showPercent val="0"/>
          <c:showBubbleSize val="0"/>
        </c:dLbls>
        <c:gapWidth val="40"/>
        <c:overlap val="100"/>
        <c:axId val="267591040"/>
        <c:axId val="267605120"/>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3'!$A$14:$B$34</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'souhrnná výkonnost 3'!$C$14:$C$34</c:f>
              <c:numCache>
                <c:formatCode>#\ ##0.0</c:formatCode>
                <c:ptCount val="21"/>
                <c:pt idx="0">
                  <c:v>1.5996926444217838</c:v>
                </c:pt>
                <c:pt idx="1">
                  <c:v>2.4019552100365242</c:v>
                </c:pt>
                <c:pt idx="2">
                  <c:v>3.4030564515715609</c:v>
                </c:pt>
                <c:pt idx="3">
                  <c:v>3.4380052076485548</c:v>
                </c:pt>
                <c:pt idx="4">
                  <c:v>5.2550726107844561</c:v>
                </c:pt>
                <c:pt idx="5">
                  <c:v>5.7987847820088794</c:v>
                </c:pt>
                <c:pt idx="6">
                  <c:v>5.570766922533239</c:v>
                </c:pt>
                <c:pt idx="7">
                  <c:v>4.9148252973920021</c:v>
                </c:pt>
                <c:pt idx="8">
                  <c:v>3.5623906099722102</c:v>
                </c:pt>
                <c:pt idx="9">
                  <c:v>2.4146777549828156</c:v>
                </c:pt>
                <c:pt idx="10">
                  <c:v>1.6940486553423915</c:v>
                </c:pt>
                <c:pt idx="11">
                  <c:v>1.8037525372218224</c:v>
                </c:pt>
                <c:pt idx="12">
                  <c:v>2.951494542529185</c:v>
                </c:pt>
                <c:pt idx="13">
                  <c:v>4.9632301254937214</c:v>
                </c:pt>
                <c:pt idx="14">
                  <c:v>5.1967259795663656</c:v>
                </c:pt>
                <c:pt idx="15">
                  <c:v>5.0477771937091704</c:v>
                </c:pt>
                <c:pt idx="16">
                  <c:v>4.173093702844624</c:v>
                </c:pt>
                <c:pt idx="17">
                  <c:v>2.3330884450051057</c:v>
                </c:pt>
                <c:pt idx="18">
                  <c:v>2.4206665898534574</c:v>
                </c:pt>
                <c:pt idx="19">
                  <c:v>2.6092635188831483</c:v>
                </c:pt>
                <c:pt idx="20">
                  <c:v>2.582408769149541</c:v>
                </c:pt>
              </c:numCache>
            </c:numRef>
          </c:val>
          <c:smooth val="0"/>
          <c:extLst>
            <c:ext xmlns:c16="http://schemas.microsoft.com/office/drawing/2014/chart" uri="{C3380CC4-5D6E-409C-BE32-E72D297353CC}">
              <c16:uniqueId val="{00000004-71C5-4DE9-AB9F-3C284B19BBA1}"/>
            </c:ext>
          </c:extLst>
        </c:ser>
        <c:dLbls>
          <c:showLegendKey val="0"/>
          <c:showVal val="0"/>
          <c:showCatName val="0"/>
          <c:showSerName val="0"/>
          <c:showPercent val="0"/>
          <c:showBubbleSize val="0"/>
        </c:dLbls>
        <c:marker val="1"/>
        <c:smooth val="0"/>
        <c:axId val="267591040"/>
        <c:axId val="267605120"/>
      </c:lineChart>
      <c:catAx>
        <c:axId val="267591040"/>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7605120"/>
        <c:crosses val="autoZero"/>
        <c:auto val="1"/>
        <c:lblAlgn val="ctr"/>
        <c:lblOffset val="100"/>
        <c:noMultiLvlLbl val="0"/>
      </c:catAx>
      <c:valAx>
        <c:axId val="267605120"/>
        <c:scaling>
          <c:orientation val="minMax"/>
          <c:max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7591040"/>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404035346809034E-2"/>
          <c:y val="3.7154479717354444E-2"/>
          <c:w val="0.93674937195830565"/>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4'!$C$14:$C$34</c:f>
              <c:numCache>
                <c:formatCode>#\ ##0.0</c:formatCode>
                <c:ptCount val="21"/>
                <c:pt idx="0">
                  <c:v>0.10484022899366492</c:v>
                </c:pt>
                <c:pt idx="1">
                  <c:v>0.23303189360207813</c:v>
                </c:pt>
                <c:pt idx="2">
                  <c:v>0.28109723711472029</c:v>
                </c:pt>
                <c:pt idx="3">
                  <c:v>0.24717682951386641</c:v>
                </c:pt>
                <c:pt idx="4">
                  <c:v>0.26823173927838584</c:v>
                </c:pt>
                <c:pt idx="5">
                  <c:v>0.14948544343377107</c:v>
                </c:pt>
                <c:pt idx="6">
                  <c:v>9.4306850455799285E-2</c:v>
                </c:pt>
                <c:pt idx="7">
                  <c:v>9.406314403563476E-2</c:v>
                </c:pt>
                <c:pt idx="8">
                  <c:v>1.5298427987703245E-2</c:v>
                </c:pt>
                <c:pt idx="9">
                  <c:v>0.12019796922604381</c:v>
                </c:pt>
                <c:pt idx="10">
                  <c:v>0.11238136571352417</c:v>
                </c:pt>
                <c:pt idx="11">
                  <c:v>8.4281943656207142E-2</c:v>
                </c:pt>
                <c:pt idx="12">
                  <c:v>1.5223476963877533E-2</c:v>
                </c:pt>
                <c:pt idx="13">
                  <c:v>-7.4308208257119993E-2</c:v>
                </c:pt>
                <c:pt idx="14">
                  <c:v>-0.1100961441944634</c:v>
                </c:pt>
                <c:pt idx="15">
                  <c:v>-0.10583189318283943</c:v>
                </c:pt>
                <c:pt idx="16">
                  <c:v>-9.6175516921183909E-2</c:v>
                </c:pt>
                <c:pt idx="17">
                  <c:v>-8.2697567528778285E-2</c:v>
                </c:pt>
                <c:pt idx="18">
                  <c:v>-5.2133372629545101E-2</c:v>
                </c:pt>
                <c:pt idx="19">
                  <c:v>-3.0840123914441336E-2</c:v>
                </c:pt>
                <c:pt idx="20">
                  <c:v>-0.13744472183559148</c:v>
                </c:pt>
              </c:numCache>
            </c:numRef>
          </c:val>
          <c:extLst>
            <c:ext xmlns:c16="http://schemas.microsoft.com/office/drawing/2014/chart" uri="{C3380CC4-5D6E-409C-BE32-E72D297353CC}">
              <c16:uniqueId val="{00000000-7879-4CFB-A8E1-231A89FF699F}"/>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4'!$D$14:$D$34</c:f>
              <c:numCache>
                <c:formatCode>#\ ##0.0</c:formatCode>
                <c:ptCount val="21"/>
                <c:pt idx="0">
                  <c:v>0.42074322312377188</c:v>
                </c:pt>
                <c:pt idx="1">
                  <c:v>1.1868852285094129</c:v>
                </c:pt>
                <c:pt idx="2">
                  <c:v>1.9567554935777904</c:v>
                </c:pt>
                <c:pt idx="3">
                  <c:v>2.5583690194642501</c:v>
                </c:pt>
                <c:pt idx="4">
                  <c:v>2.0456114828451173</c:v>
                </c:pt>
                <c:pt idx="5">
                  <c:v>1.6702996907805565</c:v>
                </c:pt>
                <c:pt idx="6">
                  <c:v>1.3766545744913377</c:v>
                </c:pt>
                <c:pt idx="7">
                  <c:v>0.74581262523505754</c:v>
                </c:pt>
                <c:pt idx="8">
                  <c:v>1.0172208499984978</c:v>
                </c:pt>
                <c:pt idx="9">
                  <c:v>0.54073292742156021</c:v>
                </c:pt>
                <c:pt idx="10">
                  <c:v>0.74515782437277844</c:v>
                </c:pt>
                <c:pt idx="11">
                  <c:v>1.1608262664011106</c:v>
                </c:pt>
                <c:pt idx="12">
                  <c:v>1.9829195456844466</c:v>
                </c:pt>
                <c:pt idx="13">
                  <c:v>3.383770141372497</c:v>
                </c:pt>
                <c:pt idx="14">
                  <c:v>3.5515728725029971</c:v>
                </c:pt>
                <c:pt idx="15">
                  <c:v>3.0210161964588012</c:v>
                </c:pt>
                <c:pt idx="16">
                  <c:v>2.0137679207503414</c:v>
                </c:pt>
                <c:pt idx="17">
                  <c:v>0.66622462938564431</c:v>
                </c:pt>
                <c:pt idx="18">
                  <c:v>0.3291777621029372</c:v>
                </c:pt>
                <c:pt idx="19">
                  <c:v>0.70264809520849181</c:v>
                </c:pt>
                <c:pt idx="20">
                  <c:v>0.66255947063512111</c:v>
                </c:pt>
              </c:numCache>
            </c:numRef>
          </c:val>
          <c:extLst>
            <c:ext xmlns:c16="http://schemas.microsoft.com/office/drawing/2014/chart" uri="{C3380CC4-5D6E-409C-BE32-E72D297353CC}">
              <c16:uniqueId val="{00000001-7879-4CFB-A8E1-231A89FF699F}"/>
            </c:ext>
          </c:extLst>
        </c:ser>
        <c:ser>
          <c:idx val="2"/>
          <c:order val="2"/>
          <c:tx>
            <c:strRef>
              <c:f>'souhrnná výkonnost 4'!$E$5</c:f>
              <c:strCache>
                <c:ptCount val="1"/>
                <c:pt idx="0">
                  <c:v>Ostatní průmyslová odvětví (CZ-NACE B,D,E)</c:v>
                </c:pt>
              </c:strCache>
            </c:strRef>
          </c:tx>
          <c:spPr>
            <a:solidFill>
              <a:srgbClr val="BD1B21"/>
            </a:solidFill>
            <a:ln>
              <a:noFill/>
            </a:ln>
          </c:spPr>
          <c:invertIfNegative val="0"/>
          <c:val>
            <c:numRef>
              <c:f>'souhrnná výkonnost 4'!$E$14:$E$34</c:f>
              <c:numCache>
                <c:formatCode>#\ ##0.0</c:formatCode>
                <c:ptCount val="21"/>
                <c:pt idx="0">
                  <c:v>0.37424666108654747</c:v>
                </c:pt>
                <c:pt idx="1">
                  <c:v>0.10237488857645771</c:v>
                </c:pt>
                <c:pt idx="2">
                  <c:v>-0.10556119406722497</c:v>
                </c:pt>
                <c:pt idx="3">
                  <c:v>-0.159619194225185</c:v>
                </c:pt>
                <c:pt idx="4">
                  <c:v>-0.12486694839002821</c:v>
                </c:pt>
                <c:pt idx="5">
                  <c:v>9.7685740381325825E-3</c:v>
                </c:pt>
                <c:pt idx="6">
                  <c:v>1.8886282982711888E-2</c:v>
                </c:pt>
                <c:pt idx="7">
                  <c:v>-0.11860623658777791</c:v>
                </c:pt>
                <c:pt idx="8">
                  <c:v>-0.46095331826814501</c:v>
                </c:pt>
                <c:pt idx="9">
                  <c:v>-0.29612577965425507</c:v>
                </c:pt>
                <c:pt idx="10">
                  <c:v>-0.38011145584839146</c:v>
                </c:pt>
                <c:pt idx="11">
                  <c:v>-0.15646644139843158</c:v>
                </c:pt>
                <c:pt idx="12">
                  <c:v>7.4826037810895807E-2</c:v>
                </c:pt>
                <c:pt idx="13">
                  <c:v>-4.1125865248032412E-2</c:v>
                </c:pt>
                <c:pt idx="14">
                  <c:v>0.12800220372520066</c:v>
                </c:pt>
                <c:pt idx="15">
                  <c:v>-2.0745047871292055E-2</c:v>
                </c:pt>
                <c:pt idx="16">
                  <c:v>-0.15357188510659681</c:v>
                </c:pt>
                <c:pt idx="17">
                  <c:v>-6.128742347202365E-2</c:v>
                </c:pt>
                <c:pt idx="18" formatCode="General">
                  <c:v>0.19908837402785978</c:v>
                </c:pt>
                <c:pt idx="19" formatCode="General">
                  <c:v>4.8852459356656386E-2</c:v>
                </c:pt>
                <c:pt idx="20" formatCode="General">
                  <c:v>0.11058319722484089</c:v>
                </c:pt>
              </c:numCache>
            </c:numRef>
          </c:val>
          <c:extLst>
            <c:ext xmlns:c16="http://schemas.microsoft.com/office/drawing/2014/chart" uri="{C3380CC4-5D6E-409C-BE32-E72D297353CC}">
              <c16:uniqueId val="{00000002-7879-4CFB-A8E1-231A89FF699F}"/>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4'!$F$14:$F$34</c:f>
              <c:numCache>
                <c:formatCode>#\ ##0.0</c:formatCode>
                <c:ptCount val="21"/>
                <c:pt idx="0">
                  <c:v>0.20523242964120858</c:v>
                </c:pt>
                <c:pt idx="1">
                  <c:v>8.0476659503907658E-2</c:v>
                </c:pt>
                <c:pt idx="2">
                  <c:v>3.4966330205502577E-2</c:v>
                </c:pt>
                <c:pt idx="3">
                  <c:v>0.13500830058584118</c:v>
                </c:pt>
                <c:pt idx="4">
                  <c:v>0.12988031583912305</c:v>
                </c:pt>
                <c:pt idx="5">
                  <c:v>0.27364277251097802</c:v>
                </c:pt>
                <c:pt idx="6">
                  <c:v>0.34260174976950719</c:v>
                </c:pt>
                <c:pt idx="7">
                  <c:v>0.14326265942419522</c:v>
                </c:pt>
                <c:pt idx="8">
                  <c:v>-2.8321751396452415E-2</c:v>
                </c:pt>
                <c:pt idx="9">
                  <c:v>-0.2266549076208873</c:v>
                </c:pt>
                <c:pt idx="10">
                  <c:v>-0.33919566041548832</c:v>
                </c:pt>
                <c:pt idx="11">
                  <c:v>-0.26185884641425</c:v>
                </c:pt>
                <c:pt idx="12">
                  <c:v>-0.2919792752497829</c:v>
                </c:pt>
                <c:pt idx="13">
                  <c:v>-0.12429976252850211</c:v>
                </c:pt>
                <c:pt idx="14">
                  <c:v>-5.2539251264632304E-2</c:v>
                </c:pt>
                <c:pt idx="15">
                  <c:v>-4.7966155185397485E-2</c:v>
                </c:pt>
                <c:pt idx="16">
                  <c:v>0.3114102439175494</c:v>
                </c:pt>
                <c:pt idx="17">
                  <c:v>0.32113458224110519</c:v>
                </c:pt>
                <c:pt idx="18">
                  <c:v>0.37100033890891621</c:v>
                </c:pt>
                <c:pt idx="19">
                  <c:v>0.41593413132016765</c:v>
                </c:pt>
                <c:pt idx="20">
                  <c:v>0.17336007771232934</c:v>
                </c:pt>
              </c:numCache>
            </c:numRef>
          </c:val>
          <c:extLst>
            <c:ext xmlns:c16="http://schemas.microsoft.com/office/drawing/2014/chart" uri="{C3380CC4-5D6E-409C-BE32-E72D297353CC}">
              <c16:uniqueId val="{00000003-7879-4CFB-A8E1-231A89FF699F}"/>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4'!$G$14:$G$34</c:f>
              <c:numCache>
                <c:formatCode>#\ ##0.0</c:formatCode>
                <c:ptCount val="21"/>
                <c:pt idx="0">
                  <c:v>1.2015462411733087</c:v>
                </c:pt>
                <c:pt idx="1">
                  <c:v>1.3618962066899474</c:v>
                </c:pt>
                <c:pt idx="2">
                  <c:v>1.6305753628128847</c:v>
                </c:pt>
                <c:pt idx="3">
                  <c:v>1.7371534802280579</c:v>
                </c:pt>
                <c:pt idx="4">
                  <c:v>2.3293944432592837</c:v>
                </c:pt>
                <c:pt idx="5">
                  <c:v>2.9607261994462402</c:v>
                </c:pt>
                <c:pt idx="6">
                  <c:v>3.3104809685977723</c:v>
                </c:pt>
                <c:pt idx="7">
                  <c:v>3.5102997095503525</c:v>
                </c:pt>
                <c:pt idx="8">
                  <c:v>2.8263627195651684</c:v>
                </c:pt>
                <c:pt idx="9">
                  <c:v>2.1630843086592866</c:v>
                </c:pt>
                <c:pt idx="10">
                  <c:v>1.4107617066750833</c:v>
                </c:pt>
                <c:pt idx="11">
                  <c:v>1.1370846005544948</c:v>
                </c:pt>
                <c:pt idx="12">
                  <c:v>1.1261629003567881</c:v>
                </c:pt>
                <c:pt idx="13">
                  <c:v>1.7690458157205164</c:v>
                </c:pt>
                <c:pt idx="14">
                  <c:v>1.6362557113068485</c:v>
                </c:pt>
                <c:pt idx="15">
                  <c:v>1.9697866170629317</c:v>
                </c:pt>
                <c:pt idx="16">
                  <c:v>2.1403017798223356</c:v>
                </c:pt>
                <c:pt idx="17">
                  <c:v>1.5298196817016738</c:v>
                </c:pt>
                <c:pt idx="18" formatCode="General">
                  <c:v>1.7264141079794193</c:v>
                </c:pt>
                <c:pt idx="19" formatCode="General">
                  <c:v>1.782381230194525</c:v>
                </c:pt>
                <c:pt idx="20" formatCode="General">
                  <c:v>1.8364514559836973</c:v>
                </c:pt>
              </c:numCache>
            </c:numRef>
          </c:val>
          <c:extLst>
            <c:ext xmlns:c16="http://schemas.microsoft.com/office/drawing/2014/chart" uri="{C3380CC4-5D6E-409C-BE32-E72D297353CC}">
              <c16:uniqueId val="{00000004-7879-4CFB-A8E1-231A89FF699F}"/>
            </c:ext>
          </c:extLst>
        </c:ser>
        <c:dLbls>
          <c:showLegendKey val="0"/>
          <c:showVal val="0"/>
          <c:showCatName val="0"/>
          <c:showSerName val="0"/>
          <c:showPercent val="0"/>
          <c:showBubbleSize val="0"/>
        </c:dLbls>
        <c:gapWidth val="70"/>
        <c:overlap val="100"/>
        <c:axId val="269005952"/>
        <c:axId val="269007488"/>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4'!$A$14:$B$34</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2014</c:v>
                  </c:pt>
                  <c:pt idx="4">
                    <c:v>2015</c:v>
                  </c:pt>
                  <c:pt idx="8">
                    <c:v>2016</c:v>
                  </c:pt>
                  <c:pt idx="12">
                    <c:v>2017</c:v>
                  </c:pt>
                  <c:pt idx="16">
                    <c:v>2018</c:v>
                  </c:pt>
                  <c:pt idx="20">
                    <c:v>2019</c:v>
                  </c:pt>
                </c:lvl>
              </c:multiLvlStrCache>
            </c:multiLvlStrRef>
          </c:cat>
          <c:val>
            <c:numRef>
              <c:f>'souhrnná výkonnost 4'!$H$14:$H$34</c:f>
              <c:numCache>
                <c:formatCode>#\ ##0.0</c:formatCode>
                <c:ptCount val="21"/>
                <c:pt idx="0">
                  <c:v>2.3247275605985616</c:v>
                </c:pt>
                <c:pt idx="1">
                  <c:v>2.9677793446742413</c:v>
                </c:pt>
                <c:pt idx="2">
                  <c:v>3.7862627849497223</c:v>
                </c:pt>
                <c:pt idx="3">
                  <c:v>4.5085738953991772</c:v>
                </c:pt>
                <c:pt idx="4">
                  <c:v>4.6449632769544067</c:v>
                </c:pt>
                <c:pt idx="5">
                  <c:v>5.0617095222013688</c:v>
                </c:pt>
                <c:pt idx="6">
                  <c:v>5.1392793226927225</c:v>
                </c:pt>
                <c:pt idx="7">
                  <c:v>4.3837812230315532</c:v>
                </c:pt>
                <c:pt idx="8">
                  <c:v>3.3693001484089824</c:v>
                </c:pt>
                <c:pt idx="9">
                  <c:v>2.3056178950667725</c:v>
                </c:pt>
                <c:pt idx="10">
                  <c:v>1.5499257674343776</c:v>
                </c:pt>
                <c:pt idx="11">
                  <c:v>1.9589295741354551</c:v>
                </c:pt>
                <c:pt idx="12">
                  <c:v>2.9235011230373464</c:v>
                </c:pt>
                <c:pt idx="13">
                  <c:v>4.9159154362708826</c:v>
                </c:pt>
                <c:pt idx="14">
                  <c:v>5.1480576847178785</c:v>
                </c:pt>
                <c:pt idx="15">
                  <c:v>4.8024567059751302</c:v>
                </c:pt>
                <c:pt idx="16">
                  <c:v>4.2700649176535395</c:v>
                </c:pt>
                <c:pt idx="17">
                  <c:v>2.3810057022628865</c:v>
                </c:pt>
                <c:pt idx="18">
                  <c:v>2.5428073912595521</c:v>
                </c:pt>
                <c:pt idx="19">
                  <c:v>2.8892648851342244</c:v>
                </c:pt>
                <c:pt idx="20">
                  <c:v>2.6437636402698956</c:v>
                </c:pt>
              </c:numCache>
            </c:numRef>
          </c:val>
          <c:smooth val="0"/>
          <c:extLst>
            <c:ext xmlns:c16="http://schemas.microsoft.com/office/drawing/2014/chart" uri="{C3380CC4-5D6E-409C-BE32-E72D297353CC}">
              <c16:uniqueId val="{00000005-7879-4CFB-A8E1-231A89FF699F}"/>
            </c:ext>
          </c:extLst>
        </c:ser>
        <c:dLbls>
          <c:showLegendKey val="0"/>
          <c:showVal val="0"/>
          <c:showCatName val="0"/>
          <c:showSerName val="0"/>
          <c:showPercent val="0"/>
          <c:showBubbleSize val="0"/>
        </c:dLbls>
        <c:marker val="1"/>
        <c:smooth val="0"/>
        <c:axId val="269005952"/>
        <c:axId val="269007488"/>
      </c:lineChart>
      <c:catAx>
        <c:axId val="26900595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269007488"/>
        <c:crosses val="autoZero"/>
        <c:auto val="1"/>
        <c:lblAlgn val="ctr"/>
        <c:lblOffset val="100"/>
        <c:noMultiLvlLbl val="0"/>
      </c:catAx>
      <c:valAx>
        <c:axId val="269007488"/>
        <c:scaling>
          <c:orientation val="minMax"/>
          <c:max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69005952"/>
        <c:crosses val="autoZero"/>
        <c:crossBetween val="between"/>
        <c:majorUnit val="1"/>
      </c:valAx>
      <c:spPr>
        <a:ln>
          <a:solidFill>
            <a:schemeClr val="tx1"/>
          </a:solidFill>
        </a:ln>
      </c:spPr>
    </c:plotArea>
    <c:legend>
      <c:legendPos val="b"/>
      <c:layout>
        <c:manualLayout>
          <c:xMode val="edge"/>
          <c:yMode val="edge"/>
          <c:x val="4.8782884397989404E-2"/>
          <c:y val="0.79016604750647301"/>
          <c:w val="0.92922619274506457"/>
          <c:h val="0.1946248452099494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2768470688525411E-2"/>
          <c:y val="1.6203558522131581E-2"/>
          <c:w val="0.93666788782242216"/>
          <c:h val="0.71950593410789765"/>
        </c:manualLayout>
      </c:layout>
      <c:barChart>
        <c:barDir val="col"/>
        <c:grouping val="stacked"/>
        <c:varyColors val="0"/>
        <c:ser>
          <c:idx val="0"/>
          <c:order val="0"/>
          <c:tx>
            <c:strRef>
              <c:f>'GRAF příspěvky IPP'!$A$32</c:f>
              <c:strCache>
                <c:ptCount val="1"/>
                <c:pt idx="0">
                  <c:v>Výroba dopravních prostředků (29+30)</c:v>
                </c:pt>
              </c:strCache>
            </c:strRef>
          </c:tx>
          <c:spPr>
            <a:solidFill>
              <a:srgbClr val="E8AFB2"/>
            </a:solidFill>
          </c:spPr>
          <c:invertIfNegative val="0"/>
          <c:cat>
            <c:multiLvlStrRef>
              <c:f>'GRAF příspěvky IPP'!$F$30:$AH$31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'GRAF příspěvky IPP'!$F$32:$AH$32</c:f>
              <c:numCache>
                <c:formatCode>0.0</c:formatCode>
                <c:ptCount val="29"/>
                <c:pt idx="0">
                  <c:v>2.2354222453018546</c:v>
                </c:pt>
                <c:pt idx="1">
                  <c:v>1.0231087154858276</c:v>
                </c:pt>
                <c:pt idx="2">
                  <c:v>-0.451101844135188</c:v>
                </c:pt>
                <c:pt idx="3">
                  <c:v>-1.6929043388850369</c:v>
                </c:pt>
                <c:pt idx="4">
                  <c:v>-2.8414439289814464</c:v>
                </c:pt>
                <c:pt idx="5">
                  <c:v>-1.1037033400298391</c:v>
                </c:pt>
                <c:pt idx="6">
                  <c:v>0.65561921804615453</c:v>
                </c:pt>
                <c:pt idx="7">
                  <c:v>1.8828182694641358</c:v>
                </c:pt>
                <c:pt idx="8">
                  <c:v>3.5759262633273021</c:v>
                </c:pt>
                <c:pt idx="9">
                  <c:v>2.2387100258789236</c:v>
                </c:pt>
                <c:pt idx="10">
                  <c:v>1.7719699895287304</c:v>
                </c:pt>
                <c:pt idx="11">
                  <c:v>1.5189883620689975</c:v>
                </c:pt>
                <c:pt idx="12">
                  <c:v>1.5349338595230806</c:v>
                </c:pt>
                <c:pt idx="13">
                  <c:v>2.1941006685518607</c:v>
                </c:pt>
                <c:pt idx="14">
                  <c:v>2.3415413147137585</c:v>
                </c:pt>
                <c:pt idx="15">
                  <c:v>2.8930236159837905</c:v>
                </c:pt>
                <c:pt idx="16">
                  <c:v>3.2926965523764138</c:v>
                </c:pt>
                <c:pt idx="17">
                  <c:v>2.7635032677542575</c:v>
                </c:pt>
                <c:pt idx="18">
                  <c:v>1.4750591136369875</c:v>
                </c:pt>
                <c:pt idx="19">
                  <c:v>1.02695332712745</c:v>
                </c:pt>
                <c:pt idx="20">
                  <c:v>1.8306689908816125</c:v>
                </c:pt>
                <c:pt idx="21">
                  <c:v>2.068398562814969</c:v>
                </c:pt>
                <c:pt idx="22">
                  <c:v>1.5408162380207475</c:v>
                </c:pt>
                <c:pt idx="23">
                  <c:v>1.6794015454983153</c:v>
                </c:pt>
                <c:pt idx="24">
                  <c:v>0.71263094632827717</c:v>
                </c:pt>
                <c:pt idx="25">
                  <c:v>0.55756753588850994</c:v>
                </c:pt>
                <c:pt idx="26">
                  <c:v>0.23129044493147494</c:v>
                </c:pt>
                <c:pt idx="27">
                  <c:v>1.0042396494574</c:v>
                </c:pt>
                <c:pt idx="28">
                  <c:v>-8.4827477587202618E-2</c:v>
                </c:pt>
              </c:numCache>
            </c:numRef>
          </c:val>
          <c:extLst>
            <c:ext xmlns:c16="http://schemas.microsoft.com/office/drawing/2014/chart" uri="{C3380CC4-5D6E-409C-BE32-E72D297353CC}">
              <c16:uniqueId val="{00000000-D693-4991-B601-3DC9CED00CB1}"/>
            </c:ext>
          </c:extLst>
        </c:ser>
        <c:ser>
          <c:idx val="1"/>
          <c:order val="1"/>
          <c:tx>
            <c:strRef>
              <c:f>'GRAF příspěvky IPP'!$A$33</c:f>
              <c:strCache>
                <c:ptCount val="1"/>
                <c:pt idx="0">
                  <c:v>Gumárenství, elektrotechnický pr. (22+27)</c:v>
                </c:pt>
              </c:strCache>
            </c:strRef>
          </c:tx>
          <c:spPr>
            <a:solidFill>
              <a:srgbClr val="BD1B21"/>
            </a:solidFill>
          </c:spPr>
          <c:invertIfNegative val="0"/>
          <c:cat>
            <c:multiLvlStrRef>
              <c:f>'GRAF příspěvky IPP'!$F$30:$AH$31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'GRAF příspěvky IPP'!$F$33:$AH$33</c:f>
              <c:numCache>
                <c:formatCode>0.0</c:formatCode>
                <c:ptCount val="29"/>
                <c:pt idx="0">
                  <c:v>0.8499224953159652</c:v>
                </c:pt>
                <c:pt idx="1">
                  <c:v>0.67909419809764782</c:v>
                </c:pt>
                <c:pt idx="2">
                  <c:v>1.0716764887904229</c:v>
                </c:pt>
                <c:pt idx="3">
                  <c:v>-0.46502811090535007</c:v>
                </c:pt>
                <c:pt idx="4">
                  <c:v>-0.34838129757408365</c:v>
                </c:pt>
                <c:pt idx="5">
                  <c:v>-0.29702711628118111</c:v>
                </c:pt>
                <c:pt idx="6">
                  <c:v>0.37983146763629139</c:v>
                </c:pt>
                <c:pt idx="7">
                  <c:v>0.67444684530708243</c:v>
                </c:pt>
                <c:pt idx="8">
                  <c:v>1.1965754118683707</c:v>
                </c:pt>
                <c:pt idx="9">
                  <c:v>1.3110490341587351</c:v>
                </c:pt>
                <c:pt idx="10">
                  <c:v>0.16431106389180708</c:v>
                </c:pt>
                <c:pt idx="11">
                  <c:v>0.79246998238680644</c:v>
                </c:pt>
                <c:pt idx="12">
                  <c:v>1.0327158178902081</c:v>
                </c:pt>
                <c:pt idx="13">
                  <c:v>1.2474010464389864</c:v>
                </c:pt>
                <c:pt idx="14">
                  <c:v>1.4188923779020084</c:v>
                </c:pt>
                <c:pt idx="15">
                  <c:v>0.62907027961344431</c:v>
                </c:pt>
                <c:pt idx="16">
                  <c:v>0.70002238690210272</c:v>
                </c:pt>
                <c:pt idx="17">
                  <c:v>0.15473181772475597</c:v>
                </c:pt>
                <c:pt idx="18">
                  <c:v>0.28439313569749469</c:v>
                </c:pt>
                <c:pt idx="19">
                  <c:v>0.43251342156214512</c:v>
                </c:pt>
                <c:pt idx="20">
                  <c:v>0.91486926491740084</c:v>
                </c:pt>
                <c:pt idx="21">
                  <c:v>1.4491903433443376</c:v>
                </c:pt>
                <c:pt idx="22">
                  <c:v>0.86660777787350374</c:v>
                </c:pt>
                <c:pt idx="23">
                  <c:v>1.6549188645784936</c:v>
                </c:pt>
                <c:pt idx="24">
                  <c:v>0.99816192512028035</c:v>
                </c:pt>
                <c:pt idx="25">
                  <c:v>0.32776104689334196</c:v>
                </c:pt>
                <c:pt idx="26">
                  <c:v>0.42835286981440412</c:v>
                </c:pt>
                <c:pt idx="27">
                  <c:v>-5.482683783231744E-2</c:v>
                </c:pt>
                <c:pt idx="28">
                  <c:v>-4.4734783459862718E-2</c:v>
                </c:pt>
              </c:numCache>
            </c:numRef>
          </c:val>
          <c:extLst>
            <c:ext xmlns:c16="http://schemas.microsoft.com/office/drawing/2014/chart" uri="{C3380CC4-5D6E-409C-BE32-E72D297353CC}">
              <c16:uniqueId val="{00000001-D693-4991-B601-3DC9CED00CB1}"/>
            </c:ext>
          </c:extLst>
        </c:ser>
        <c:ser>
          <c:idx val="2"/>
          <c:order val="2"/>
          <c:tx>
            <c:strRef>
              <c:f>'GRAF příspěvky IPP'!$A$34</c:f>
              <c:strCache>
                <c:ptCount val="1"/>
                <c:pt idx="0">
                  <c:v>Strojírenství (28)</c:v>
                </c:pt>
              </c:strCache>
            </c:strRef>
          </c:tx>
          <c:spPr>
            <a:solidFill>
              <a:srgbClr val="BFE3F7"/>
            </a:solidFill>
          </c:spPr>
          <c:invertIfNegative val="0"/>
          <c:cat>
            <c:multiLvlStrRef>
              <c:f>'GRAF příspěvky IPP'!$F$30:$AH$31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'GRAF příspěvky IPP'!$F$34:$AH$34</c:f>
              <c:numCache>
                <c:formatCode>0.0</c:formatCode>
                <c:ptCount val="29"/>
                <c:pt idx="0">
                  <c:v>0.5085259739532223</c:v>
                </c:pt>
                <c:pt idx="1">
                  <c:v>0.2631231278845213</c:v>
                </c:pt>
                <c:pt idx="2">
                  <c:v>0.23301984566307926</c:v>
                </c:pt>
                <c:pt idx="3">
                  <c:v>-0.13339713383761653</c:v>
                </c:pt>
                <c:pt idx="4">
                  <c:v>7.970787180892118E-2</c:v>
                </c:pt>
                <c:pt idx="5">
                  <c:v>0.20406264489060252</c:v>
                </c:pt>
                <c:pt idx="6">
                  <c:v>-1.7001944235035402E-2</c:v>
                </c:pt>
                <c:pt idx="7">
                  <c:v>0.64362374734259087</c:v>
                </c:pt>
                <c:pt idx="8">
                  <c:v>0.21470457876175333</c:v>
                </c:pt>
                <c:pt idx="9">
                  <c:v>0.40293012989484661</c:v>
                </c:pt>
                <c:pt idx="10">
                  <c:v>0.21152856009329646</c:v>
                </c:pt>
                <c:pt idx="11">
                  <c:v>0.3301204419286361</c:v>
                </c:pt>
                <c:pt idx="12">
                  <c:v>0.27832699102768171</c:v>
                </c:pt>
                <c:pt idx="13">
                  <c:v>0.29159295435772503</c:v>
                </c:pt>
                <c:pt idx="14">
                  <c:v>0.37916922656306401</c:v>
                </c:pt>
                <c:pt idx="15">
                  <c:v>1.781989990773131E-2</c:v>
                </c:pt>
                <c:pt idx="16">
                  <c:v>0.36450086052988051</c:v>
                </c:pt>
                <c:pt idx="17">
                  <c:v>-6.9051390149412681E-2</c:v>
                </c:pt>
                <c:pt idx="18">
                  <c:v>0.19850927828339104</c:v>
                </c:pt>
                <c:pt idx="19">
                  <c:v>0.32150601856840716</c:v>
                </c:pt>
                <c:pt idx="20">
                  <c:v>0.35626268364085967</c:v>
                </c:pt>
                <c:pt idx="21">
                  <c:v>1.0647927179276142</c:v>
                </c:pt>
                <c:pt idx="22">
                  <c:v>0.84846050084183755</c:v>
                </c:pt>
                <c:pt idx="23">
                  <c:v>0.80860359811504845</c:v>
                </c:pt>
                <c:pt idx="24">
                  <c:v>0.47304853811916969</c:v>
                </c:pt>
                <c:pt idx="25">
                  <c:v>0.14476620973557222</c:v>
                </c:pt>
                <c:pt idx="26">
                  <c:v>0.18486837793719377</c:v>
                </c:pt>
                <c:pt idx="27">
                  <c:v>-0.19246221652367956</c:v>
                </c:pt>
                <c:pt idx="28">
                  <c:v>3.9363634088702436E-2</c:v>
                </c:pt>
              </c:numCache>
            </c:numRef>
          </c:val>
          <c:extLst>
            <c:ext xmlns:c16="http://schemas.microsoft.com/office/drawing/2014/chart" uri="{C3380CC4-5D6E-409C-BE32-E72D297353CC}">
              <c16:uniqueId val="{00000002-D693-4991-B601-3DC9CED00CB1}"/>
            </c:ext>
          </c:extLst>
        </c:ser>
        <c:ser>
          <c:idx val="3"/>
          <c:order val="3"/>
          <c:tx>
            <c:strRef>
              <c:f>'GRAF příspěvky IPP'!$A$35</c:f>
              <c:strCache>
                <c:ptCount val="1"/>
                <c:pt idx="0">
                  <c:v>Kovodělný průmysl (25)</c:v>
                </c:pt>
              </c:strCache>
            </c:strRef>
          </c:tx>
          <c:spPr>
            <a:solidFill>
              <a:srgbClr val="48AEE7"/>
            </a:solidFill>
          </c:spPr>
          <c:invertIfNegative val="0"/>
          <c:cat>
            <c:multiLvlStrRef>
              <c:f>'GRAF příspěvky IPP'!$F$30:$AH$31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'GRAF příspěvky IPP'!$F$35:$AH$35</c:f>
              <c:numCache>
                <c:formatCode>0.0</c:formatCode>
                <c:ptCount val="29"/>
                <c:pt idx="0">
                  <c:v>-6.6514476486077501E-2</c:v>
                </c:pt>
                <c:pt idx="1">
                  <c:v>-7.3342687149672695E-2</c:v>
                </c:pt>
                <c:pt idx="2">
                  <c:v>0.10363464102827508</c:v>
                </c:pt>
                <c:pt idx="3">
                  <c:v>-0.16145263797014556</c:v>
                </c:pt>
                <c:pt idx="4">
                  <c:v>-8.2159524291812738E-2</c:v>
                </c:pt>
                <c:pt idx="5">
                  <c:v>9.286896218709495E-2</c:v>
                </c:pt>
                <c:pt idx="6">
                  <c:v>0.38311516609077362</c:v>
                </c:pt>
                <c:pt idx="7">
                  <c:v>0.56967075654605959</c:v>
                </c:pt>
                <c:pt idx="8">
                  <c:v>0.73131867751878388</c:v>
                </c:pt>
                <c:pt idx="9">
                  <c:v>0.63955710701683133</c:v>
                </c:pt>
                <c:pt idx="10">
                  <c:v>0.13796392398444496</c:v>
                </c:pt>
                <c:pt idx="11">
                  <c:v>0.35044871686260598</c:v>
                </c:pt>
                <c:pt idx="12">
                  <c:v>0.69752018574312757</c:v>
                </c:pt>
                <c:pt idx="13">
                  <c:v>0.78069864008168055</c:v>
                </c:pt>
                <c:pt idx="14">
                  <c:v>0.92145489387273505</c:v>
                </c:pt>
                <c:pt idx="15">
                  <c:v>0.62569777143327532</c:v>
                </c:pt>
                <c:pt idx="16">
                  <c:v>0.75848604717513379</c:v>
                </c:pt>
                <c:pt idx="17">
                  <c:v>0.39407337586741892</c:v>
                </c:pt>
                <c:pt idx="18">
                  <c:v>0.20786247012396855</c:v>
                </c:pt>
                <c:pt idx="19">
                  <c:v>0.25885378383640428</c:v>
                </c:pt>
                <c:pt idx="20">
                  <c:v>0.51937603959814027</c:v>
                </c:pt>
                <c:pt idx="21">
                  <c:v>0.90938443427805682</c:v>
                </c:pt>
                <c:pt idx="22">
                  <c:v>0.81941846333328994</c:v>
                </c:pt>
                <c:pt idx="23">
                  <c:v>0.96985539906457718</c:v>
                </c:pt>
                <c:pt idx="24">
                  <c:v>0.65412230976581631</c:v>
                </c:pt>
                <c:pt idx="25">
                  <c:v>0.44319835953798226</c:v>
                </c:pt>
                <c:pt idx="26">
                  <c:v>0.42907934907412904</c:v>
                </c:pt>
                <c:pt idx="27">
                  <c:v>0.16483038496854438</c:v>
                </c:pt>
                <c:pt idx="28">
                  <c:v>0.15808497992841608</c:v>
                </c:pt>
              </c:numCache>
            </c:numRef>
          </c:val>
          <c:extLst>
            <c:ext xmlns:c16="http://schemas.microsoft.com/office/drawing/2014/chart" uri="{C3380CC4-5D6E-409C-BE32-E72D297353CC}">
              <c16:uniqueId val="{00000003-D693-4991-B601-3DC9CED00CB1}"/>
            </c:ext>
          </c:extLst>
        </c:ser>
        <c:ser>
          <c:idx val="4"/>
          <c:order val="4"/>
          <c:tx>
            <c:strRef>
              <c:f>'GRAF příspěvky IPP'!$A$36</c:f>
              <c:strCache>
                <c:ptCount val="1"/>
                <c:pt idx="0">
                  <c:v>Výroba PC, elektronic. a optic. přístr. (26)</c:v>
                </c:pt>
              </c:strCache>
            </c:strRef>
          </c:tx>
          <c:spPr>
            <a:solidFill>
              <a:srgbClr val="FDDEB3"/>
            </a:solidFill>
          </c:spPr>
          <c:invertIfNegative val="0"/>
          <c:cat>
            <c:multiLvlStrRef>
              <c:f>'GRAF příspěvky IPP'!$F$30:$AH$31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'GRAF příspěvky IPP'!$F$36:$AH$36</c:f>
              <c:numCache>
                <c:formatCode>0.0</c:formatCode>
                <c:ptCount val="29"/>
                <c:pt idx="0">
                  <c:v>-0.63245776036395984</c:v>
                </c:pt>
                <c:pt idx="1">
                  <c:v>-0.77404145043570627</c:v>
                </c:pt>
                <c:pt idx="2">
                  <c:v>-0.66225050698900134</c:v>
                </c:pt>
                <c:pt idx="3">
                  <c:v>-0.4416747399469686</c:v>
                </c:pt>
                <c:pt idx="4">
                  <c:v>0.17467389713018558</c:v>
                </c:pt>
                <c:pt idx="5">
                  <c:v>0.21019414413841453</c:v>
                </c:pt>
                <c:pt idx="6">
                  <c:v>0.2864313771080319</c:v>
                </c:pt>
                <c:pt idx="7">
                  <c:v>0.37118882448330998</c:v>
                </c:pt>
                <c:pt idx="8">
                  <c:v>0.25436485129926611</c:v>
                </c:pt>
                <c:pt idx="9">
                  <c:v>0.35812460138361812</c:v>
                </c:pt>
                <c:pt idx="10">
                  <c:v>0.24882306773154061</c:v>
                </c:pt>
                <c:pt idx="11">
                  <c:v>0.43276478248186534</c:v>
                </c:pt>
                <c:pt idx="12">
                  <c:v>0.1016909527808563</c:v>
                </c:pt>
                <c:pt idx="13">
                  <c:v>1.4154514873228306E-2</c:v>
                </c:pt>
                <c:pt idx="14">
                  <c:v>4.8795542794375368E-2</c:v>
                </c:pt>
                <c:pt idx="15">
                  <c:v>-7.6486878800618135E-2</c:v>
                </c:pt>
                <c:pt idx="16">
                  <c:v>0</c:v>
                </c:pt>
                <c:pt idx="17">
                  <c:v>4.9500595864093791E-2</c:v>
                </c:pt>
                <c:pt idx="18">
                  <c:v>5.3821883781074741E-2</c:v>
                </c:pt>
                <c:pt idx="19">
                  <c:v>0.16393002768986806</c:v>
                </c:pt>
                <c:pt idx="20">
                  <c:v>0.12720409542401243</c:v>
                </c:pt>
                <c:pt idx="21">
                  <c:v>0.37722657172069585</c:v>
                </c:pt>
                <c:pt idx="22">
                  <c:v>0.23589929598354478</c:v>
                </c:pt>
                <c:pt idx="23">
                  <c:v>0.23405074111066751</c:v>
                </c:pt>
                <c:pt idx="24">
                  <c:v>0.40841205756367421</c:v>
                </c:pt>
                <c:pt idx="25">
                  <c:v>0.15022174099177518</c:v>
                </c:pt>
                <c:pt idx="26">
                  <c:v>0.63690848940509115</c:v>
                </c:pt>
                <c:pt idx="27">
                  <c:v>0.30590035521772224</c:v>
                </c:pt>
                <c:pt idx="28">
                  <c:v>0.17144112724479707</c:v>
                </c:pt>
              </c:numCache>
            </c:numRef>
          </c:val>
          <c:extLst>
            <c:ext xmlns:c16="http://schemas.microsoft.com/office/drawing/2014/chart" uri="{C3380CC4-5D6E-409C-BE32-E72D297353CC}">
              <c16:uniqueId val="{00000004-D693-4991-B601-3DC9CED00CB1}"/>
            </c:ext>
          </c:extLst>
        </c:ser>
        <c:ser>
          <c:idx val="5"/>
          <c:order val="5"/>
          <c:tx>
            <c:strRef>
              <c:f>'GRAF příspěvky IPP'!$A$37</c:f>
              <c:strCache>
                <c:ptCount val="1"/>
                <c:pt idx="0">
                  <c:v>Chemický a farmaceutický pr. (20+21)</c:v>
                </c:pt>
              </c:strCache>
            </c:strRef>
          </c:tx>
          <c:spPr>
            <a:solidFill>
              <a:srgbClr val="F8A124"/>
            </a:solidFill>
          </c:spPr>
          <c:invertIfNegative val="0"/>
          <c:cat>
            <c:multiLvlStrRef>
              <c:f>'GRAF příspěvky IPP'!$F$30:$AH$31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'GRAF příspěvky IPP'!$F$37:$AH$37</c:f>
              <c:numCache>
                <c:formatCode>0.0</c:formatCode>
                <c:ptCount val="29"/>
                <c:pt idx="0">
                  <c:v>8.0797212942745181E-2</c:v>
                </c:pt>
                <c:pt idx="1">
                  <c:v>-9.8083333850390669E-2</c:v>
                </c:pt>
                <c:pt idx="2">
                  <c:v>0.2931368710398069</c:v>
                </c:pt>
                <c:pt idx="3">
                  <c:v>8.1304750180385743E-2</c:v>
                </c:pt>
                <c:pt idx="4">
                  <c:v>-0.16133731408121707</c:v>
                </c:pt>
                <c:pt idx="5">
                  <c:v>2.5011128929958708E-2</c:v>
                </c:pt>
                <c:pt idx="6">
                  <c:v>-0.19584426798635859</c:v>
                </c:pt>
                <c:pt idx="7">
                  <c:v>0.22028075022638577</c:v>
                </c:pt>
                <c:pt idx="8">
                  <c:v>0.41605736757706308</c:v>
                </c:pt>
                <c:pt idx="9">
                  <c:v>0.30259515004571136</c:v>
                </c:pt>
                <c:pt idx="10">
                  <c:v>0.37231498218051085</c:v>
                </c:pt>
                <c:pt idx="11">
                  <c:v>0.12425244912027755</c:v>
                </c:pt>
                <c:pt idx="12">
                  <c:v>7.5536144712547285E-2</c:v>
                </c:pt>
                <c:pt idx="13">
                  <c:v>0.23897170690908801</c:v>
                </c:pt>
                <c:pt idx="14">
                  <c:v>-0.16868273111371118</c:v>
                </c:pt>
                <c:pt idx="15">
                  <c:v>-0.33155900660842996</c:v>
                </c:pt>
                <c:pt idx="16">
                  <c:v>-0.42141366234773647</c:v>
                </c:pt>
                <c:pt idx="17">
                  <c:v>-0.41865631031483336</c:v>
                </c:pt>
                <c:pt idx="18">
                  <c:v>-0.112184127274519</c:v>
                </c:pt>
                <c:pt idx="19">
                  <c:v>0.23370867984991769</c:v>
                </c:pt>
                <c:pt idx="20">
                  <c:v>0.53306418431628844</c:v>
                </c:pt>
                <c:pt idx="21">
                  <c:v>0.81421630557623526</c:v>
                </c:pt>
                <c:pt idx="22">
                  <c:v>0.65133086792843509</c:v>
                </c:pt>
                <c:pt idx="23">
                  <c:v>0.50748040986382348</c:v>
                </c:pt>
                <c:pt idx="24">
                  <c:v>0.39834714620638623</c:v>
                </c:pt>
                <c:pt idx="25">
                  <c:v>8.2771275877324191E-2</c:v>
                </c:pt>
                <c:pt idx="26">
                  <c:v>-5.2685224398581379E-2</c:v>
                </c:pt>
                <c:pt idx="27">
                  <c:v>-6.6134018054349333E-2</c:v>
                </c:pt>
                <c:pt idx="28">
                  <c:v>0.13195515032911637</c:v>
                </c:pt>
              </c:numCache>
            </c:numRef>
          </c:val>
          <c:extLst>
            <c:ext xmlns:c16="http://schemas.microsoft.com/office/drawing/2014/chart" uri="{C3380CC4-5D6E-409C-BE32-E72D297353CC}">
              <c16:uniqueId val="{00000005-D693-4991-B601-3DC9CED00CB1}"/>
            </c:ext>
          </c:extLst>
        </c:ser>
        <c:ser>
          <c:idx val="6"/>
          <c:order val="6"/>
          <c:tx>
            <c:strRef>
              <c:f>'GRAF příspěvky IPP'!$A$38</c:f>
              <c:strCache>
                <c:ptCount val="1"/>
                <c:pt idx="0">
                  <c:v>Zbývající zpracovatelský průmysl</c:v>
                </c:pt>
              </c:strCache>
            </c:strRef>
          </c:tx>
          <c:spPr>
            <a:solidFill>
              <a:schemeClr val="bg1">
                <a:lumMod val="85000"/>
              </a:schemeClr>
            </a:solidFill>
          </c:spPr>
          <c:invertIfNegative val="0"/>
          <c:cat>
            <c:multiLvlStrRef>
              <c:f>'GRAF příspěvky IPP'!$F$30:$AH$31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'GRAF příspěvky IPP'!$F$38:$AH$38</c:f>
              <c:numCache>
                <c:formatCode>0.0</c:formatCode>
                <c:ptCount val="29"/>
                <c:pt idx="0">
                  <c:v>-1.117615111710859</c:v>
                </c:pt>
                <c:pt idx="1">
                  <c:v>-0.95620463023923719</c:v>
                </c:pt>
                <c:pt idx="2">
                  <c:v>-0.63862999967945933</c:v>
                </c:pt>
                <c:pt idx="3">
                  <c:v>-1.4041859725072221</c:v>
                </c:pt>
                <c:pt idx="4">
                  <c:v>-0.13029520241363662</c:v>
                </c:pt>
                <c:pt idx="5">
                  <c:v>-3.7358387860902342E-2</c:v>
                </c:pt>
                <c:pt idx="6">
                  <c:v>0.67372820804565214</c:v>
                </c:pt>
                <c:pt idx="7">
                  <c:v>1.419517828351488</c:v>
                </c:pt>
                <c:pt idx="8">
                  <c:v>1.1062169641993655</c:v>
                </c:pt>
                <c:pt idx="9">
                  <c:v>1.2118999929439469</c:v>
                </c:pt>
                <c:pt idx="10">
                  <c:v>0.47232149181081762</c:v>
                </c:pt>
                <c:pt idx="11">
                  <c:v>1.3246456842380105</c:v>
                </c:pt>
                <c:pt idx="12">
                  <c:v>1.0354669734013808</c:v>
                </c:pt>
                <c:pt idx="13">
                  <c:v>0.8741185897367626</c:v>
                </c:pt>
                <c:pt idx="14">
                  <c:v>1.0398417628407703</c:v>
                </c:pt>
                <c:pt idx="15">
                  <c:v>-0.23385945543910308</c:v>
                </c:pt>
                <c:pt idx="16">
                  <c:v>7.8780624629978036E-2</c:v>
                </c:pt>
                <c:pt idx="17">
                  <c:v>-0.27265528249529897</c:v>
                </c:pt>
                <c:pt idx="18">
                  <c:v>5.9675695447829025E-2</c:v>
                </c:pt>
                <c:pt idx="19">
                  <c:v>0.55700237533073271</c:v>
                </c:pt>
                <c:pt idx="20">
                  <c:v>0.2529751150076861</c:v>
                </c:pt>
                <c:pt idx="21">
                  <c:v>1.3966693669108228</c:v>
                </c:pt>
                <c:pt idx="22">
                  <c:v>0.76480988742038059</c:v>
                </c:pt>
                <c:pt idx="23">
                  <c:v>1.0099344525375158</c:v>
                </c:pt>
                <c:pt idx="24">
                  <c:v>1.1165184787981175</c:v>
                </c:pt>
                <c:pt idx="25">
                  <c:v>0.68718057153452672</c:v>
                </c:pt>
                <c:pt idx="26">
                  <c:v>1.0553800823685426</c:v>
                </c:pt>
                <c:pt idx="27">
                  <c:v>0.53845860359056064</c:v>
                </c:pt>
                <c:pt idx="28">
                  <c:v>-0.31936490520714211</c:v>
                </c:pt>
              </c:numCache>
            </c:numRef>
          </c:val>
          <c:extLst>
            <c:ext xmlns:c16="http://schemas.microsoft.com/office/drawing/2014/chart" uri="{C3380CC4-5D6E-409C-BE32-E72D297353CC}">
              <c16:uniqueId val="{00000006-D693-4991-B601-3DC9CED00CB1}"/>
            </c:ext>
          </c:extLst>
        </c:ser>
        <c:ser>
          <c:idx val="7"/>
          <c:order val="7"/>
          <c:tx>
            <c:strRef>
              <c:f>'GRAF příspěvky IPP'!$A$39</c:f>
              <c:strCache>
                <c:ptCount val="1"/>
                <c:pt idx="0">
                  <c:v>Těžba a energetika (B)</c:v>
                </c:pt>
              </c:strCache>
            </c:strRef>
          </c:tx>
          <c:spPr>
            <a:solidFill>
              <a:srgbClr val="808080"/>
            </a:solidFill>
          </c:spPr>
          <c:invertIfNegative val="0"/>
          <c:cat>
            <c:multiLvlStrRef>
              <c:f>'GRAF příspěvky IPP'!$F$30:$AH$31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'GRAF příspěvky IPP'!$F$39:$AH$39</c:f>
              <c:numCache>
                <c:formatCode>0.0</c:formatCode>
                <c:ptCount val="29"/>
                <c:pt idx="0">
                  <c:v>4.1919421047110217E-2</c:v>
                </c:pt>
                <c:pt idx="1">
                  <c:v>0.33634606020701019</c:v>
                </c:pt>
                <c:pt idx="2">
                  <c:v>-0.14948549571793562</c:v>
                </c:pt>
                <c:pt idx="3">
                  <c:v>-1.0826618161280459</c:v>
                </c:pt>
                <c:pt idx="4">
                  <c:v>-0.89076450159691012</c:v>
                </c:pt>
                <c:pt idx="5">
                  <c:v>-1.3940480359741478</c:v>
                </c:pt>
                <c:pt idx="6">
                  <c:v>-0.86587922470550971</c:v>
                </c:pt>
                <c:pt idx="7">
                  <c:v>0.51845297827894687</c:v>
                </c:pt>
                <c:pt idx="8">
                  <c:v>-0.4951641145519059</c:v>
                </c:pt>
                <c:pt idx="9">
                  <c:v>-0.36486604132261174</c:v>
                </c:pt>
                <c:pt idx="10">
                  <c:v>-0.47923307922114755</c:v>
                </c:pt>
                <c:pt idx="11">
                  <c:v>-0.67369041908719907</c:v>
                </c:pt>
                <c:pt idx="12">
                  <c:v>0.14380907492111705</c:v>
                </c:pt>
                <c:pt idx="13">
                  <c:v>-0.34103812094933217</c:v>
                </c:pt>
                <c:pt idx="14">
                  <c:v>-0.38101238757299938</c:v>
                </c:pt>
                <c:pt idx="15">
                  <c:v>-1.1237062260900912</c:v>
                </c:pt>
                <c:pt idx="16">
                  <c:v>-0.67307280926577207</c:v>
                </c:pt>
                <c:pt idx="17">
                  <c:v>9.8553925749019666E-2</c:v>
                </c:pt>
                <c:pt idx="18">
                  <c:v>-0.46713744969622628</c:v>
                </c:pt>
                <c:pt idx="19">
                  <c:v>0.50553236603507523</c:v>
                </c:pt>
                <c:pt idx="20">
                  <c:v>0.66557962621400024</c:v>
                </c:pt>
                <c:pt idx="21">
                  <c:v>-0.17987830257272874</c:v>
                </c:pt>
                <c:pt idx="22">
                  <c:v>0.77265696859826016</c:v>
                </c:pt>
                <c:pt idx="23">
                  <c:v>0.73575498923155713</c:v>
                </c:pt>
                <c:pt idx="24">
                  <c:v>-0.53968738070171485</c:v>
                </c:pt>
                <c:pt idx="25">
                  <c:v>1.0083156140964833E-2</c:v>
                </c:pt>
                <c:pt idx="26">
                  <c:v>0.78205087426774245</c:v>
                </c:pt>
                <c:pt idx="27">
                  <c:v>0.32754435807611393</c:v>
                </c:pt>
                <c:pt idx="28">
                  <c:v>0.21155572346317478</c:v>
                </c:pt>
              </c:numCache>
            </c:numRef>
          </c:val>
          <c:extLst>
            <c:ext xmlns:c16="http://schemas.microsoft.com/office/drawing/2014/chart" uri="{C3380CC4-5D6E-409C-BE32-E72D297353CC}">
              <c16:uniqueId val="{00000007-D693-4991-B601-3DC9CED00CB1}"/>
            </c:ext>
          </c:extLst>
        </c:ser>
        <c:dLbls>
          <c:showLegendKey val="0"/>
          <c:showVal val="0"/>
          <c:showCatName val="0"/>
          <c:showSerName val="0"/>
          <c:showPercent val="0"/>
          <c:showBubbleSize val="0"/>
        </c:dLbls>
        <c:gapWidth val="32"/>
        <c:overlap val="100"/>
        <c:axId val="131052672"/>
        <c:axId val="131054208"/>
      </c:barChart>
      <c:lineChart>
        <c:grouping val="standard"/>
        <c:varyColors val="0"/>
        <c:ser>
          <c:idx val="8"/>
          <c:order val="8"/>
          <c:tx>
            <c:strRef>
              <c:f>'GRAF příspěvky IPP'!$A$40</c:f>
              <c:strCache>
                <c:ptCount val="1"/>
                <c:pt idx="0">
                  <c:v>Průmysl celkem (NACE B až D)</c:v>
                </c:pt>
              </c:strCache>
            </c:strRef>
          </c:tx>
          <c:spPr>
            <a:ln w="19050">
              <a:solidFill>
                <a:schemeClr val="tx1">
                  <a:lumMod val="95000"/>
                  <a:lumOff val="5000"/>
                </a:schemeClr>
              </a:solidFill>
            </a:ln>
          </c:spPr>
          <c:marker>
            <c:symbol val="none"/>
          </c:marker>
          <c:cat>
            <c:multiLvlStrRef>
              <c:f>'GRAF příspěvky IPP'!$F$30:$AH$31</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'GRAF příspěvky IPP'!$F$40:$AH$40</c:f>
              <c:numCache>
                <c:formatCode>#,##0.0</c:formatCode>
                <c:ptCount val="29"/>
                <c:pt idx="0">
                  <c:v>1.7776371540000042</c:v>
                </c:pt>
                <c:pt idx="1">
                  <c:v>0.40341299639999306</c:v>
                </c:pt>
                <c:pt idx="2">
                  <c:v>-0.21112265520000051</c:v>
                </c:pt>
                <c:pt idx="3">
                  <c:v>-5.3481617104000065</c:v>
                </c:pt>
                <c:pt idx="4">
                  <c:v>-4.2249701698000024</c:v>
                </c:pt>
                <c:pt idx="5">
                  <c:v>-2.3853554206000069</c:v>
                </c:pt>
                <c:pt idx="6">
                  <c:v>1.2316497516000027</c:v>
                </c:pt>
                <c:pt idx="7">
                  <c:v>6.3229322730999939</c:v>
                </c:pt>
                <c:pt idx="8">
                  <c:v>7.1030450258000002</c:v>
                </c:pt>
                <c:pt idx="9">
                  <c:v>6.1297209744000014</c:v>
                </c:pt>
                <c:pt idx="10">
                  <c:v>2.9753758001999984</c:v>
                </c:pt>
                <c:pt idx="11">
                  <c:v>4.2327805536999961</c:v>
                </c:pt>
                <c:pt idx="12">
                  <c:v>4.873394060199999</c:v>
                </c:pt>
                <c:pt idx="13">
                  <c:v>5.3081959839000064</c:v>
                </c:pt>
                <c:pt idx="14">
                  <c:v>5.5472987825999951</c:v>
                </c:pt>
                <c:pt idx="15">
                  <c:v>2.4027878042000026</c:v>
                </c:pt>
                <c:pt idx="16">
                  <c:v>4.0765835575000011</c:v>
                </c:pt>
                <c:pt idx="17">
                  <c:v>2.6745568033000069</c:v>
                </c:pt>
                <c:pt idx="18">
                  <c:v>1.6551514254000068</c:v>
                </c:pt>
                <c:pt idx="19">
                  <c:v>3.5118172237000067</c:v>
                </c:pt>
                <c:pt idx="20">
                  <c:v>5.2597731895999971</c:v>
                </c:pt>
                <c:pt idx="21">
                  <c:v>7.9444180928999941</c:v>
                </c:pt>
                <c:pt idx="22">
                  <c:v>6.519713423400006</c:v>
                </c:pt>
                <c:pt idx="23">
                  <c:v>7.5755516541999981</c:v>
                </c:pt>
                <c:pt idx="24">
                  <c:v>4.2215540212000064</c:v>
                </c:pt>
                <c:pt idx="25">
                  <c:v>2.4035498965999977</c:v>
                </c:pt>
                <c:pt idx="26">
                  <c:v>3.6952452633999968</c:v>
                </c:pt>
                <c:pt idx="27">
                  <c:v>2.0275502788999944</c:v>
                </c:pt>
                <c:pt idx="28">
                  <c:v>0.26347344879999923</c:v>
                </c:pt>
              </c:numCache>
            </c:numRef>
          </c:val>
          <c:smooth val="0"/>
          <c:extLst>
            <c:ext xmlns:c16="http://schemas.microsoft.com/office/drawing/2014/chart" uri="{C3380CC4-5D6E-409C-BE32-E72D297353CC}">
              <c16:uniqueId val="{00000008-D693-4991-B601-3DC9CED00CB1}"/>
            </c:ext>
          </c:extLst>
        </c:ser>
        <c:dLbls>
          <c:showLegendKey val="0"/>
          <c:showVal val="0"/>
          <c:showCatName val="0"/>
          <c:showSerName val="0"/>
          <c:showPercent val="0"/>
          <c:showBubbleSize val="0"/>
        </c:dLbls>
        <c:marker val="1"/>
        <c:smooth val="0"/>
        <c:axId val="131052672"/>
        <c:axId val="131054208"/>
      </c:lineChart>
      <c:catAx>
        <c:axId val="131052672"/>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31054208"/>
        <c:crosses val="autoZero"/>
        <c:auto val="1"/>
        <c:lblAlgn val="ctr"/>
        <c:lblOffset val="0"/>
        <c:noMultiLvlLbl val="0"/>
      </c:catAx>
      <c:valAx>
        <c:axId val="131054208"/>
        <c:scaling>
          <c:orientation val="minMax"/>
          <c:max val="11"/>
          <c:min val="-6"/>
        </c:scaling>
        <c:delete val="0"/>
        <c:axPos val="l"/>
        <c:majorGridlines>
          <c:spPr>
            <a:ln>
              <a:solidFill>
                <a:srgbClr val="BEBEBE"/>
              </a:solidFill>
            </a:ln>
          </c:spPr>
        </c:majorGridlines>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31052672"/>
        <c:crosses val="autoZero"/>
        <c:crossBetween val="between"/>
        <c:majorUnit val="1"/>
      </c:valAx>
      <c:spPr>
        <a:noFill/>
        <a:ln w="6350">
          <a:solidFill>
            <a:prstClr val="black">
              <a:lumMod val="95000"/>
              <a:lumOff val="5000"/>
            </a:prstClr>
          </a:solidFill>
        </a:ln>
      </c:spPr>
    </c:plotArea>
    <c:legend>
      <c:legendPos val="r"/>
      <c:layout>
        <c:manualLayout>
          <c:xMode val="edge"/>
          <c:yMode val="edge"/>
          <c:x val="3.3056192145588408E-2"/>
          <c:y val="0.82802404283095155"/>
          <c:w val="0.9607942953080415"/>
          <c:h val="0.16188919209533764"/>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277854581154255E-2"/>
          <c:y val="1.643251153889452E-2"/>
          <c:w val="0.90094328257138789"/>
          <c:h val="0.77409039738827223"/>
        </c:manualLayout>
      </c:layout>
      <c:barChart>
        <c:barDir val="col"/>
        <c:grouping val="clustered"/>
        <c:varyColors val="0"/>
        <c:ser>
          <c:idx val="0"/>
          <c:order val="0"/>
          <c:tx>
            <c:strRef>
              <c:f>'výkonnost odvětví 2'!$B$31</c:f>
              <c:strCache>
                <c:ptCount val="1"/>
                <c:pt idx="0">
                  <c:v>Průmyslové zakázky celkem</c:v>
                </c:pt>
              </c:strCache>
            </c:strRef>
          </c:tx>
          <c:spPr>
            <a:solidFill>
              <a:schemeClr val="bg1">
                <a:lumMod val="65000"/>
              </a:schemeClr>
            </a:solidFill>
            <a:ln w="12700">
              <a:noFill/>
              <a:prstDash val="solid"/>
            </a:ln>
          </c:spPr>
          <c:invertIfNegative val="0"/>
          <c:cat>
            <c:multiLvlStrRef>
              <c:f>'výkonnost odvětví 2'!$G$29:$AI$30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'výkonnost odvětví 2'!$G$31:$AI$31</c:f>
              <c:numCache>
                <c:formatCode>#,##0.0__</c:formatCode>
                <c:ptCount val="29"/>
                <c:pt idx="0">
                  <c:v>7.8919882289544319</c:v>
                </c:pt>
                <c:pt idx="1">
                  <c:v>0.24363263911027389</c:v>
                </c:pt>
                <c:pt idx="2">
                  <c:v>2.6780600325356119</c:v>
                </c:pt>
                <c:pt idx="3">
                  <c:v>-2.2927798243121345</c:v>
                </c:pt>
                <c:pt idx="4">
                  <c:v>-6.7566875441004868</c:v>
                </c:pt>
                <c:pt idx="5">
                  <c:v>-0.77743908810788298</c:v>
                </c:pt>
                <c:pt idx="6">
                  <c:v>12.110592029586002</c:v>
                </c:pt>
                <c:pt idx="7">
                  <c:v>12.611542535334834</c:v>
                </c:pt>
                <c:pt idx="8">
                  <c:v>18.454576257258609</c:v>
                </c:pt>
                <c:pt idx="9">
                  <c:v>13.812603337719324</c:v>
                </c:pt>
                <c:pt idx="10">
                  <c:v>11.164927309703884</c:v>
                </c:pt>
                <c:pt idx="11">
                  <c:v>7.3250322249586759</c:v>
                </c:pt>
                <c:pt idx="12">
                  <c:v>8.5397251010390391</c:v>
                </c:pt>
                <c:pt idx="13">
                  <c:v>6.4894834031568251</c:v>
                </c:pt>
                <c:pt idx="14">
                  <c:v>4.1045761314248068</c:v>
                </c:pt>
                <c:pt idx="15">
                  <c:v>6.0151063810169205</c:v>
                </c:pt>
                <c:pt idx="16">
                  <c:v>1.3550678522953064</c:v>
                </c:pt>
                <c:pt idx="17">
                  <c:v>10.856046878525433</c:v>
                </c:pt>
                <c:pt idx="18">
                  <c:v>1.6431282237439291</c:v>
                </c:pt>
                <c:pt idx="19">
                  <c:v>6.7220844736941103</c:v>
                </c:pt>
                <c:pt idx="20">
                  <c:v>10.841479121555906</c:v>
                </c:pt>
                <c:pt idx="21">
                  <c:v>4.5315942367003714</c:v>
                </c:pt>
                <c:pt idx="22">
                  <c:v>6.9082617878945598</c:v>
                </c:pt>
                <c:pt idx="23">
                  <c:v>7.5112613571588724</c:v>
                </c:pt>
                <c:pt idx="24">
                  <c:v>1.6339188767607453</c:v>
                </c:pt>
                <c:pt idx="25">
                  <c:v>4.6301209797549205</c:v>
                </c:pt>
                <c:pt idx="26">
                  <c:v>3.6945404784506337</c:v>
                </c:pt>
                <c:pt idx="27">
                  <c:v>4.2467023509658759</c:v>
                </c:pt>
                <c:pt idx="28">
                  <c:v>3.3476432191151559</c:v>
                </c:pt>
              </c:numCache>
            </c:numRef>
          </c:val>
          <c:extLst>
            <c:ext xmlns:c16="http://schemas.microsoft.com/office/drawing/2014/chart" uri="{C3380CC4-5D6E-409C-BE32-E72D297353CC}">
              <c16:uniqueId val="{00000000-3580-48AA-B593-D5469C37E2A6}"/>
            </c:ext>
          </c:extLst>
        </c:ser>
        <c:dLbls>
          <c:showLegendKey val="0"/>
          <c:showVal val="0"/>
          <c:showCatName val="0"/>
          <c:showSerName val="0"/>
          <c:showPercent val="0"/>
          <c:showBubbleSize val="0"/>
        </c:dLbls>
        <c:gapWidth val="34"/>
        <c:overlap val="28"/>
        <c:axId val="168454016"/>
        <c:axId val="168460672"/>
      </c:barChart>
      <c:lineChart>
        <c:grouping val="standard"/>
        <c:varyColors val="0"/>
        <c:ser>
          <c:idx val="2"/>
          <c:order val="1"/>
          <c:tx>
            <c:strRef>
              <c:f>'výkonnost odvětví 2'!$B$32</c:f>
              <c:strCache>
                <c:ptCount val="1"/>
                <c:pt idx="0">
                  <c:v>Průmyslové zakázky z tuzemska</c:v>
                </c:pt>
              </c:strCache>
            </c:strRef>
          </c:tx>
          <c:spPr>
            <a:ln w="15875">
              <a:solidFill>
                <a:srgbClr val="BD1B21"/>
              </a:solidFill>
              <a:prstDash val="solid"/>
            </a:ln>
          </c:spPr>
          <c:marker>
            <c:symbol val="none"/>
          </c:marker>
          <c:cat>
            <c:multiLvlStrRef>
              <c:f>'výkonnost odvětví 2'!$G$29:$AI$30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'výkonnost odvětví 2'!$G$32:$AI$32</c:f>
              <c:numCache>
                <c:formatCode>#,##0.0__</c:formatCode>
                <c:ptCount val="29"/>
                <c:pt idx="0">
                  <c:v>2.6214056871317126</c:v>
                </c:pt>
                <c:pt idx="1">
                  <c:v>-9.2467743432498821</c:v>
                </c:pt>
                <c:pt idx="2">
                  <c:v>-2.8571545096936291</c:v>
                </c:pt>
                <c:pt idx="3">
                  <c:v>-4.0487324448534139</c:v>
                </c:pt>
                <c:pt idx="4">
                  <c:v>-7.112663177047466</c:v>
                </c:pt>
                <c:pt idx="5">
                  <c:v>-0.59561460542927591</c:v>
                </c:pt>
                <c:pt idx="6">
                  <c:v>9.3847374388735147</c:v>
                </c:pt>
                <c:pt idx="7">
                  <c:v>7.0782158358476011</c:v>
                </c:pt>
                <c:pt idx="8">
                  <c:v>14.18383964594139</c:v>
                </c:pt>
                <c:pt idx="9">
                  <c:v>7.7929541685002164</c:v>
                </c:pt>
                <c:pt idx="10">
                  <c:v>16.845115352064937</c:v>
                </c:pt>
                <c:pt idx="11">
                  <c:v>9.6787104542652713</c:v>
                </c:pt>
                <c:pt idx="12">
                  <c:v>4.341961301010727</c:v>
                </c:pt>
                <c:pt idx="13">
                  <c:v>10.024449168168019</c:v>
                </c:pt>
                <c:pt idx="14">
                  <c:v>-4.7604240586837108</c:v>
                </c:pt>
                <c:pt idx="15">
                  <c:v>0.56107209694786775</c:v>
                </c:pt>
                <c:pt idx="16">
                  <c:v>0.20304376106223287</c:v>
                </c:pt>
                <c:pt idx="17">
                  <c:v>4.9376200007964286</c:v>
                </c:pt>
                <c:pt idx="18">
                  <c:v>-0.65834656713856532</c:v>
                </c:pt>
                <c:pt idx="19">
                  <c:v>2.873089889380708</c:v>
                </c:pt>
                <c:pt idx="20">
                  <c:v>16.722989365311648</c:v>
                </c:pt>
                <c:pt idx="21">
                  <c:v>11.567742610098009</c:v>
                </c:pt>
                <c:pt idx="22">
                  <c:v>14.702871802754672</c:v>
                </c:pt>
                <c:pt idx="23">
                  <c:v>15.641374658030259</c:v>
                </c:pt>
                <c:pt idx="24">
                  <c:v>-0.54655499165191657</c:v>
                </c:pt>
                <c:pt idx="25">
                  <c:v>3.3862320433243838</c:v>
                </c:pt>
                <c:pt idx="26">
                  <c:v>4.5707977831681177</c:v>
                </c:pt>
                <c:pt idx="27">
                  <c:v>4.8009732818449038</c:v>
                </c:pt>
                <c:pt idx="28">
                  <c:v>6.3141947655327044</c:v>
                </c:pt>
              </c:numCache>
            </c:numRef>
          </c:val>
          <c:smooth val="0"/>
          <c:extLst>
            <c:ext xmlns:c16="http://schemas.microsoft.com/office/drawing/2014/chart" uri="{C3380CC4-5D6E-409C-BE32-E72D297353CC}">
              <c16:uniqueId val="{00000001-3580-48AA-B593-D5469C37E2A6}"/>
            </c:ext>
          </c:extLst>
        </c:ser>
        <c:ser>
          <c:idx val="5"/>
          <c:order val="2"/>
          <c:tx>
            <c:strRef>
              <c:f>'výkonnost odvětví 2'!$B$33</c:f>
              <c:strCache>
                <c:ptCount val="1"/>
                <c:pt idx="0">
                  <c:v>Celk. zakázky ve výrobě motor. voz.</c:v>
                </c:pt>
              </c:strCache>
            </c:strRef>
          </c:tx>
          <c:spPr>
            <a:ln w="15875">
              <a:solidFill>
                <a:srgbClr val="0071BC"/>
              </a:solidFill>
              <a:prstDash val="solid"/>
            </a:ln>
          </c:spPr>
          <c:marker>
            <c:symbol val="none"/>
          </c:marker>
          <c:cat>
            <c:multiLvlStrRef>
              <c:f>'výkonnost odvětví 2'!$G$29:$AI$30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'výkonnost odvětví 2'!$G$33:$AI$33</c:f>
              <c:numCache>
                <c:formatCode>#,##0.0__</c:formatCode>
                <c:ptCount val="29"/>
                <c:pt idx="0">
                  <c:v>19.54636851917148</c:v>
                </c:pt>
                <c:pt idx="1">
                  <c:v>4.6887564118292033</c:v>
                </c:pt>
                <c:pt idx="2">
                  <c:v>1.3322326875189248</c:v>
                </c:pt>
                <c:pt idx="3">
                  <c:v>-2.0219087809167178</c:v>
                </c:pt>
                <c:pt idx="4">
                  <c:v>-15.423726227988496</c:v>
                </c:pt>
                <c:pt idx="5">
                  <c:v>-3.0233686336023169</c:v>
                </c:pt>
                <c:pt idx="6">
                  <c:v>24.654149056071944</c:v>
                </c:pt>
                <c:pt idx="7">
                  <c:v>18.470996489023392</c:v>
                </c:pt>
                <c:pt idx="8">
                  <c:v>33.791068906341536</c:v>
                </c:pt>
                <c:pt idx="9">
                  <c:v>22.39294364855138</c:v>
                </c:pt>
                <c:pt idx="10">
                  <c:v>16.969041222835131</c:v>
                </c:pt>
                <c:pt idx="11">
                  <c:v>12.211301534151133</c:v>
                </c:pt>
                <c:pt idx="12">
                  <c:v>15.316352438277931</c:v>
                </c:pt>
                <c:pt idx="13">
                  <c:v>5.584343456517459</c:v>
                </c:pt>
                <c:pt idx="14">
                  <c:v>13.898535777390734</c:v>
                </c:pt>
                <c:pt idx="15">
                  <c:v>18.975191723154538</c:v>
                </c:pt>
                <c:pt idx="16">
                  <c:v>11.460497347422447</c:v>
                </c:pt>
                <c:pt idx="17">
                  <c:v>33.085131031292235</c:v>
                </c:pt>
                <c:pt idx="18">
                  <c:v>5.912380139380474</c:v>
                </c:pt>
                <c:pt idx="19">
                  <c:v>12.001000805244416</c:v>
                </c:pt>
                <c:pt idx="20">
                  <c:v>7.9804719471503205</c:v>
                </c:pt>
                <c:pt idx="21">
                  <c:v>-1.7592612473364966</c:v>
                </c:pt>
                <c:pt idx="22">
                  <c:v>3.8626497182263222</c:v>
                </c:pt>
                <c:pt idx="23">
                  <c:v>0.37376710568412364</c:v>
                </c:pt>
                <c:pt idx="24">
                  <c:v>0.60861960894675349</c:v>
                </c:pt>
                <c:pt idx="25">
                  <c:v>3.6675371997157811</c:v>
                </c:pt>
                <c:pt idx="26">
                  <c:v>0.69699979014031044</c:v>
                </c:pt>
                <c:pt idx="27">
                  <c:v>1.0371076901644045</c:v>
                </c:pt>
                <c:pt idx="28">
                  <c:v>3.1937048433042747</c:v>
                </c:pt>
              </c:numCache>
            </c:numRef>
          </c:val>
          <c:smooth val="0"/>
          <c:extLst>
            <c:ext xmlns:c16="http://schemas.microsoft.com/office/drawing/2014/chart" uri="{C3380CC4-5D6E-409C-BE32-E72D297353CC}">
              <c16:uniqueId val="{00000002-3580-48AA-B593-D5469C37E2A6}"/>
            </c:ext>
          </c:extLst>
        </c:ser>
        <c:ser>
          <c:idx val="3"/>
          <c:order val="3"/>
          <c:tx>
            <c:strRef>
              <c:f>'výkonnost odvětví 2'!$B$34</c:f>
              <c:strCache>
                <c:ptCount val="1"/>
                <c:pt idx="0">
                  <c:v>Saldo souhr. indikát. důvěry v průmyslu</c:v>
                </c:pt>
              </c:strCache>
            </c:strRef>
          </c:tx>
          <c:spPr>
            <a:ln w="19050">
              <a:noFill/>
              <a:prstDash val="sysDash"/>
            </a:ln>
          </c:spPr>
          <c:marker>
            <c:symbol val="diamond"/>
            <c:size val="5"/>
            <c:spPr>
              <a:solidFill>
                <a:srgbClr val="FFFF00"/>
              </a:solidFill>
              <a:ln>
                <a:solidFill>
                  <a:prstClr val="black">
                    <a:lumMod val="95000"/>
                    <a:lumOff val="5000"/>
                  </a:prstClr>
                </a:solidFill>
              </a:ln>
            </c:spPr>
          </c:marker>
          <c:cat>
            <c:multiLvlStrRef>
              <c:f>'výkonnost odvětví 2'!$G$29:$AI$30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'výkonnost odvětví 2'!$G$34:$AI$34</c:f>
              <c:numCache>
                <c:formatCode>0.0</c:formatCode>
                <c:ptCount val="29"/>
                <c:pt idx="0">
                  <c:v>1.5666666666666667</c:v>
                </c:pt>
                <c:pt idx="1">
                  <c:v>-2.5666666666666669</c:v>
                </c:pt>
                <c:pt idx="2">
                  <c:v>-8.9</c:v>
                </c:pt>
                <c:pt idx="3">
                  <c:v>-10.200000000000001</c:v>
                </c:pt>
                <c:pt idx="4">
                  <c:v>-8.9</c:v>
                </c:pt>
                <c:pt idx="5">
                  <c:v>-10</c:v>
                </c:pt>
                <c:pt idx="6">
                  <c:v>-6.2333333333333334</c:v>
                </c:pt>
                <c:pt idx="7">
                  <c:v>1.7000000000000002</c:v>
                </c:pt>
                <c:pt idx="8">
                  <c:v>2.3333333333333335</c:v>
                </c:pt>
                <c:pt idx="9">
                  <c:v>3.6333333333333329</c:v>
                </c:pt>
                <c:pt idx="10">
                  <c:v>2.5333333333333332</c:v>
                </c:pt>
                <c:pt idx="11">
                  <c:v>2.6666666666666665</c:v>
                </c:pt>
                <c:pt idx="12">
                  <c:v>3</c:v>
                </c:pt>
                <c:pt idx="13">
                  <c:v>3.7666666666666671</c:v>
                </c:pt>
                <c:pt idx="14">
                  <c:v>3.7666666666666671</c:v>
                </c:pt>
                <c:pt idx="15">
                  <c:v>0.76666666666666661</c:v>
                </c:pt>
                <c:pt idx="16">
                  <c:v>3.5666666666666664</c:v>
                </c:pt>
                <c:pt idx="17">
                  <c:v>1.9000000000000001</c:v>
                </c:pt>
                <c:pt idx="18">
                  <c:v>3.7666666666666671</c:v>
                </c:pt>
                <c:pt idx="19">
                  <c:v>5.333333333333333</c:v>
                </c:pt>
                <c:pt idx="20">
                  <c:v>3.3333333333333335</c:v>
                </c:pt>
                <c:pt idx="21">
                  <c:v>0.83333333333333337</c:v>
                </c:pt>
                <c:pt idx="22">
                  <c:v>3.8666666666666667</c:v>
                </c:pt>
                <c:pt idx="23">
                  <c:v>5.8</c:v>
                </c:pt>
                <c:pt idx="24">
                  <c:v>3.9</c:v>
                </c:pt>
                <c:pt idx="25">
                  <c:v>3.4333333333333336</c:v>
                </c:pt>
                <c:pt idx="26">
                  <c:v>1.9666666666666666</c:v>
                </c:pt>
                <c:pt idx="27">
                  <c:v>1.8666666666666665</c:v>
                </c:pt>
                <c:pt idx="28">
                  <c:v>-0.33333333333333331</c:v>
                </c:pt>
              </c:numCache>
            </c:numRef>
          </c:val>
          <c:smooth val="0"/>
          <c:extLst>
            <c:ext xmlns:c16="http://schemas.microsoft.com/office/drawing/2014/chart" uri="{C3380CC4-5D6E-409C-BE32-E72D297353CC}">
              <c16:uniqueId val="{00000003-3580-48AA-B593-D5469C37E2A6}"/>
            </c:ext>
          </c:extLst>
        </c:ser>
        <c:dLbls>
          <c:showLegendKey val="0"/>
          <c:showVal val="0"/>
          <c:showCatName val="0"/>
          <c:showSerName val="0"/>
          <c:showPercent val="0"/>
          <c:showBubbleSize val="0"/>
        </c:dLbls>
        <c:marker val="1"/>
        <c:smooth val="0"/>
        <c:axId val="168454016"/>
        <c:axId val="168460672"/>
      </c:lineChart>
      <c:lineChart>
        <c:grouping val="standard"/>
        <c:varyColors val="0"/>
        <c:ser>
          <c:idx val="1"/>
          <c:order val="4"/>
          <c:tx>
            <c:strRef>
              <c:f>'výkonnost odvětví 2'!$B$35</c:f>
              <c:strCache>
                <c:ptCount val="1"/>
                <c:pt idx="0">
                  <c:v>Využití výrob. kapacit v prům. (pr. osa)</c:v>
                </c:pt>
              </c:strCache>
            </c:strRef>
          </c:tx>
          <c:spPr>
            <a:ln w="15875">
              <a:solidFill>
                <a:srgbClr val="00B050"/>
              </a:solidFill>
              <a:prstDash val="sysDash"/>
            </a:ln>
          </c:spPr>
          <c:marker>
            <c:symbol val="none"/>
          </c:marker>
          <c:cat>
            <c:multiLvlStrRef>
              <c:f>'výkonnost odvětví 2'!$G$29:$AI$30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'výkonnost odvětví 2'!$G$35:$AI$35</c:f>
              <c:numCache>
                <c:formatCode>0.0</c:formatCode>
                <c:ptCount val="29"/>
                <c:pt idx="0">
                  <c:v>84.6</c:v>
                </c:pt>
                <c:pt idx="1">
                  <c:v>83.6</c:v>
                </c:pt>
                <c:pt idx="2">
                  <c:v>81.2</c:v>
                </c:pt>
                <c:pt idx="3">
                  <c:v>81.2</c:v>
                </c:pt>
                <c:pt idx="4">
                  <c:v>80.900000000000006</c:v>
                </c:pt>
                <c:pt idx="5">
                  <c:v>82.2</c:v>
                </c:pt>
                <c:pt idx="6">
                  <c:v>80.7</c:v>
                </c:pt>
                <c:pt idx="7">
                  <c:v>82.2</c:v>
                </c:pt>
                <c:pt idx="8">
                  <c:v>81.2</c:v>
                </c:pt>
                <c:pt idx="9">
                  <c:v>83.5</c:v>
                </c:pt>
                <c:pt idx="10">
                  <c:v>82.8</c:v>
                </c:pt>
                <c:pt idx="11">
                  <c:v>84.4</c:v>
                </c:pt>
                <c:pt idx="12">
                  <c:v>86.2</c:v>
                </c:pt>
                <c:pt idx="13">
                  <c:v>85</c:v>
                </c:pt>
                <c:pt idx="14">
                  <c:v>85.6</c:v>
                </c:pt>
                <c:pt idx="15">
                  <c:v>83.9</c:v>
                </c:pt>
                <c:pt idx="16">
                  <c:v>84.5</c:v>
                </c:pt>
                <c:pt idx="17">
                  <c:v>84.7</c:v>
                </c:pt>
                <c:pt idx="18">
                  <c:v>84.7</c:v>
                </c:pt>
                <c:pt idx="19">
                  <c:v>84.1</c:v>
                </c:pt>
                <c:pt idx="20">
                  <c:v>84.9</c:v>
                </c:pt>
                <c:pt idx="21">
                  <c:v>83.1</c:v>
                </c:pt>
                <c:pt idx="22">
                  <c:v>84.4</c:v>
                </c:pt>
                <c:pt idx="23">
                  <c:v>84.3</c:v>
                </c:pt>
                <c:pt idx="24">
                  <c:v>85.8</c:v>
                </c:pt>
                <c:pt idx="25">
                  <c:v>85.4</c:v>
                </c:pt>
                <c:pt idx="26">
                  <c:v>86.2</c:v>
                </c:pt>
                <c:pt idx="27">
                  <c:v>85.8</c:v>
                </c:pt>
                <c:pt idx="28">
                  <c:v>85.8</c:v>
                </c:pt>
              </c:numCache>
            </c:numRef>
          </c:val>
          <c:smooth val="0"/>
          <c:extLst>
            <c:ext xmlns:c16="http://schemas.microsoft.com/office/drawing/2014/chart" uri="{C3380CC4-5D6E-409C-BE32-E72D297353CC}">
              <c16:uniqueId val="{00000004-3580-48AA-B593-D5469C37E2A6}"/>
            </c:ext>
          </c:extLst>
        </c:ser>
        <c:dLbls>
          <c:showLegendKey val="0"/>
          <c:showVal val="0"/>
          <c:showCatName val="0"/>
          <c:showSerName val="0"/>
          <c:showPercent val="0"/>
          <c:showBubbleSize val="0"/>
        </c:dLbls>
        <c:marker val="1"/>
        <c:smooth val="0"/>
        <c:axId val="168466688"/>
        <c:axId val="168464768"/>
      </c:lineChart>
      <c:catAx>
        <c:axId val="168454016"/>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68460672"/>
        <c:crossesAt val="0"/>
        <c:auto val="0"/>
        <c:lblAlgn val="ctr"/>
        <c:lblOffset val="0"/>
        <c:tickLblSkip val="1"/>
        <c:tickMarkSkip val="4"/>
        <c:noMultiLvlLbl val="0"/>
      </c:catAx>
      <c:valAx>
        <c:axId val="168460672"/>
        <c:scaling>
          <c:orientation val="minMax"/>
          <c:max val="36"/>
          <c:min val="-16"/>
        </c:scaling>
        <c:delete val="0"/>
        <c:axPos val="l"/>
        <c:majorGridlines>
          <c:spPr>
            <a:ln w="6350">
              <a:solidFill>
                <a:schemeClr val="bg1">
                  <a:lumMod val="75000"/>
                </a:schemeClr>
              </a:solidFill>
            </a:ln>
          </c:spPr>
        </c:majorGridlines>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68454016"/>
        <c:crosses val="autoZero"/>
        <c:crossBetween val="between"/>
        <c:majorUnit val="4"/>
      </c:valAx>
      <c:valAx>
        <c:axId val="168464768"/>
        <c:scaling>
          <c:orientation val="minMax"/>
          <c:max val="90"/>
          <c:min val="0"/>
        </c:scaling>
        <c:delete val="0"/>
        <c:axPos val="r"/>
        <c:numFmt formatCode="0" sourceLinked="0"/>
        <c:majorTickMark val="out"/>
        <c:minorTickMark val="none"/>
        <c:tickLblPos val="nextTo"/>
        <c:crossAx val="168466688"/>
        <c:crosses val="max"/>
        <c:crossBetween val="between"/>
      </c:valAx>
      <c:catAx>
        <c:axId val="168466688"/>
        <c:scaling>
          <c:orientation val="minMax"/>
        </c:scaling>
        <c:delete val="1"/>
        <c:axPos val="b"/>
        <c:numFmt formatCode="General" sourceLinked="1"/>
        <c:majorTickMark val="out"/>
        <c:minorTickMark val="none"/>
        <c:tickLblPos val="none"/>
        <c:crossAx val="168464768"/>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3.4890404821680654E-2"/>
          <c:y val="0.88253517955645477"/>
          <c:w val="0.92313671290543453"/>
          <c:h val="0.10687971406056511"/>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040945877997E-2"/>
          <c:y val="1.6563187842952774E-2"/>
          <c:w val="0.92847707700101312"/>
          <c:h val="0.79283878988810608"/>
        </c:manualLayout>
      </c:layout>
      <c:barChart>
        <c:barDir val="col"/>
        <c:grouping val="stacked"/>
        <c:varyColors val="0"/>
        <c:ser>
          <c:idx val="1"/>
          <c:order val="1"/>
          <c:tx>
            <c:strRef>
              <c:f>'výkonnost odvětví 3'!$Y$10</c:f>
              <c:strCache>
                <c:ptCount val="1"/>
                <c:pt idx="0">
                  <c:v>Pozemní stavitel. (příspěvek v p. b.)</c:v>
                </c:pt>
              </c:strCache>
            </c:strRef>
          </c:tx>
          <c:spPr>
            <a:solidFill>
              <a:srgbClr val="A6CDE9"/>
            </a:solidFill>
            <a:ln w="19050">
              <a:noFill/>
              <a:prstDash val="solid"/>
            </a:ln>
          </c:spPr>
          <c:invertIfNegative val="0"/>
          <c:cat>
            <c:multiLvlStrRef>
              <c:f>'výkonnost odvětví 3'!$V$19:$W$47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'výkonnost odvětví 3'!$Y$19:$Y$47</c:f>
              <c:numCache>
                <c:formatCode>0.0</c:formatCode>
                <c:ptCount val="29"/>
                <c:pt idx="0">
                  <c:v>-5.3022031302793717</c:v>
                </c:pt>
                <c:pt idx="1">
                  <c:v>-1.5999045389578102</c:v>
                </c:pt>
                <c:pt idx="2">
                  <c:v>-3.5130102420491762</c:v>
                </c:pt>
                <c:pt idx="3">
                  <c:v>-6.7555301608648861</c:v>
                </c:pt>
                <c:pt idx="4">
                  <c:v>-7.4494613166624175</c:v>
                </c:pt>
                <c:pt idx="5">
                  <c:v>-7.6445497128481437</c:v>
                </c:pt>
                <c:pt idx="6">
                  <c:v>-1.0682691783109799</c:v>
                </c:pt>
                <c:pt idx="7">
                  <c:v>-1.9493377311710223</c:v>
                </c:pt>
                <c:pt idx="8">
                  <c:v>12.566943344133882</c:v>
                </c:pt>
                <c:pt idx="9">
                  <c:v>3.6351497652780851</c:v>
                </c:pt>
                <c:pt idx="10">
                  <c:v>-0.45324693117659842</c:v>
                </c:pt>
                <c:pt idx="11">
                  <c:v>-0.36606393008697818</c:v>
                </c:pt>
                <c:pt idx="12">
                  <c:v>6.1271532249555065</c:v>
                </c:pt>
                <c:pt idx="13">
                  <c:v>5.1643460249363384</c:v>
                </c:pt>
                <c:pt idx="14">
                  <c:v>0.83297673757564561</c:v>
                </c:pt>
                <c:pt idx="15">
                  <c:v>-1.7982617757414765</c:v>
                </c:pt>
                <c:pt idx="16">
                  <c:v>-4.9815161309290197</c:v>
                </c:pt>
                <c:pt idx="17">
                  <c:v>-5.090359103416124</c:v>
                </c:pt>
                <c:pt idx="18">
                  <c:v>0.80114826815278817</c:v>
                </c:pt>
                <c:pt idx="19">
                  <c:v>4.0255253535152793</c:v>
                </c:pt>
                <c:pt idx="20">
                  <c:v>2.3613815385973198</c:v>
                </c:pt>
                <c:pt idx="21">
                  <c:v>10.131059779582992</c:v>
                </c:pt>
                <c:pt idx="22">
                  <c:v>3.498785055616723</c:v>
                </c:pt>
                <c:pt idx="23">
                  <c:v>2.6836523585599443</c:v>
                </c:pt>
                <c:pt idx="24">
                  <c:v>13.601573712178984</c:v>
                </c:pt>
                <c:pt idx="25">
                  <c:v>6.2926845295717255</c:v>
                </c:pt>
                <c:pt idx="26">
                  <c:v>7.6965874994183201</c:v>
                </c:pt>
                <c:pt idx="27">
                  <c:v>2.4800414103542021</c:v>
                </c:pt>
                <c:pt idx="28">
                  <c:v>1.6045757372201461</c:v>
                </c:pt>
              </c:numCache>
            </c:numRef>
          </c:val>
          <c:extLst>
            <c:ext xmlns:c16="http://schemas.microsoft.com/office/drawing/2014/chart" uri="{C3380CC4-5D6E-409C-BE32-E72D297353CC}">
              <c16:uniqueId val="{00000000-F0AC-4E96-8E4E-E10C32FB31E0}"/>
            </c:ext>
          </c:extLst>
        </c:ser>
        <c:ser>
          <c:idx val="2"/>
          <c:order val="2"/>
          <c:tx>
            <c:strRef>
              <c:f>'výkonnost odvětví 3'!$Z$10</c:f>
              <c:strCache>
                <c:ptCount val="1"/>
                <c:pt idx="0">
                  <c:v>Inženýrské stavitel.  (příspěvek v p. b.)</c:v>
                </c:pt>
              </c:strCache>
            </c:strRef>
          </c:tx>
          <c:spPr>
            <a:solidFill>
              <a:srgbClr val="E8AFB2"/>
            </a:solidFill>
            <a:ln w="19050">
              <a:noFill/>
              <a:prstDash val="solid"/>
            </a:ln>
          </c:spPr>
          <c:invertIfNegative val="0"/>
          <c:cat>
            <c:multiLvlStrRef>
              <c:f>'výkonnost odvětví 3'!$V$19:$W$47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'výkonnost odvětví 3'!$Z$19:$Z$47</c:f>
              <c:numCache>
                <c:formatCode>0.0</c:formatCode>
                <c:ptCount val="29"/>
                <c:pt idx="0">
                  <c:v>-4.5325705445019278</c:v>
                </c:pt>
                <c:pt idx="1">
                  <c:v>-3.3816764133675128</c:v>
                </c:pt>
                <c:pt idx="2">
                  <c:v>-2.1535257894891182</c:v>
                </c:pt>
                <c:pt idx="3">
                  <c:v>-2.7362282478539268</c:v>
                </c:pt>
                <c:pt idx="4">
                  <c:v>-3.1462106086994615</c:v>
                </c:pt>
                <c:pt idx="5">
                  <c:v>-4.0071361489320152</c:v>
                </c:pt>
                <c:pt idx="6">
                  <c:v>-3.8638336141336853</c:v>
                </c:pt>
                <c:pt idx="7">
                  <c:v>-0.6682286226087546</c:v>
                </c:pt>
                <c:pt idx="8">
                  <c:v>0.47816204703611281</c:v>
                </c:pt>
                <c:pt idx="9">
                  <c:v>1.9382451000935319</c:v>
                </c:pt>
                <c:pt idx="10">
                  <c:v>2.9101573390963145</c:v>
                </c:pt>
                <c:pt idx="11">
                  <c:v>1.4867336535742897</c:v>
                </c:pt>
                <c:pt idx="12">
                  <c:v>3.076249756289712</c:v>
                </c:pt>
                <c:pt idx="13">
                  <c:v>6.808177847860005</c:v>
                </c:pt>
                <c:pt idx="14">
                  <c:v>7.0034491621502593</c:v>
                </c:pt>
                <c:pt idx="15">
                  <c:v>2.7242709285012001</c:v>
                </c:pt>
                <c:pt idx="16">
                  <c:v>-1.2800593253581558</c:v>
                </c:pt>
                <c:pt idx="17">
                  <c:v>-5.1237592552173856</c:v>
                </c:pt>
                <c:pt idx="18">
                  <c:v>-6.738697141384268</c:v>
                </c:pt>
                <c:pt idx="19">
                  <c:v>-5.6639277382780735</c:v>
                </c:pt>
                <c:pt idx="20">
                  <c:v>-3.1817345144073315</c:v>
                </c:pt>
                <c:pt idx="21">
                  <c:v>-1.1611176517333757</c:v>
                </c:pt>
                <c:pt idx="22">
                  <c:v>-1.4520055753029342</c:v>
                </c:pt>
                <c:pt idx="23">
                  <c:v>0.24399043939338474</c:v>
                </c:pt>
                <c:pt idx="24">
                  <c:v>1.7417951974230768</c:v>
                </c:pt>
                <c:pt idx="25">
                  <c:v>1.2071300143922414</c:v>
                </c:pt>
                <c:pt idx="26">
                  <c:v>4.713683392920708</c:v>
                </c:pt>
                <c:pt idx="27">
                  <c:v>1.907817205679025</c:v>
                </c:pt>
                <c:pt idx="28">
                  <c:v>0.83961191684980074</c:v>
                </c:pt>
              </c:numCache>
            </c:numRef>
          </c:val>
          <c:extLst>
            <c:ext xmlns:c16="http://schemas.microsoft.com/office/drawing/2014/chart" uri="{C3380CC4-5D6E-409C-BE32-E72D297353CC}">
              <c16:uniqueId val="{00000001-F0AC-4E96-8E4E-E10C32FB31E0}"/>
            </c:ext>
          </c:extLst>
        </c:ser>
        <c:dLbls>
          <c:showLegendKey val="0"/>
          <c:showVal val="0"/>
          <c:showCatName val="0"/>
          <c:showSerName val="0"/>
          <c:showPercent val="0"/>
          <c:showBubbleSize val="0"/>
        </c:dLbls>
        <c:gapWidth val="32"/>
        <c:overlap val="100"/>
        <c:axId val="101326848"/>
        <c:axId val="101328384"/>
      </c:barChart>
      <c:lineChart>
        <c:grouping val="standard"/>
        <c:varyColors val="0"/>
        <c:ser>
          <c:idx val="0"/>
          <c:order val="0"/>
          <c:tx>
            <c:strRef>
              <c:f>'výkonnost odvětví 3'!$X$10</c:f>
              <c:strCache>
                <c:ptCount val="1"/>
                <c:pt idx="0">
                  <c:v>Index staveb. produkce (y/y, v %)*</c:v>
                </c:pt>
              </c:strCache>
            </c:strRef>
          </c:tx>
          <c:spPr>
            <a:ln>
              <a:noFill/>
            </a:ln>
          </c:spPr>
          <c:marker>
            <c:symbol val="dash"/>
            <c:size val="9"/>
            <c:spPr>
              <a:solidFill>
                <a:schemeClr val="tx1">
                  <a:lumMod val="95000"/>
                  <a:lumOff val="5000"/>
                </a:schemeClr>
              </a:solidFill>
              <a:ln>
                <a:noFill/>
              </a:ln>
            </c:spPr>
          </c:marker>
          <c:cat>
            <c:multiLvlStrRef>
              <c:f>'výkonnost odvětví 3'!$V$19:$W$47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'výkonnost odvětví 3'!$X$19:$X$47</c:f>
              <c:numCache>
                <c:formatCode>0.0</c:formatCode>
                <c:ptCount val="29"/>
                <c:pt idx="0">
                  <c:v>-9.8176869650590124</c:v>
                </c:pt>
                <c:pt idx="1">
                  <c:v>-4.9530552533065153</c:v>
                </c:pt>
                <c:pt idx="2">
                  <c:v>-5.6581695459626795</c:v>
                </c:pt>
                <c:pt idx="3">
                  <c:v>-9.4885475172252036</c:v>
                </c:pt>
                <c:pt idx="4">
                  <c:v>-10.579815595377399</c:v>
                </c:pt>
                <c:pt idx="5">
                  <c:v>-11.629204530081054</c:v>
                </c:pt>
                <c:pt idx="6">
                  <c:v>-4.9227705444566965</c:v>
                </c:pt>
                <c:pt idx="7">
                  <c:v>-2.6304695831236269</c:v>
                </c:pt>
                <c:pt idx="8">
                  <c:v>13.065720793685204</c:v>
                </c:pt>
                <c:pt idx="9">
                  <c:v>5.5574965767788154</c:v>
                </c:pt>
                <c:pt idx="10">
                  <c:v>2.4528404003720103</c:v>
                </c:pt>
                <c:pt idx="11">
                  <c:v>1.1105301216238961</c:v>
                </c:pt>
                <c:pt idx="12">
                  <c:v>9.1987205755459769</c:v>
                </c:pt>
                <c:pt idx="13">
                  <c:v>11.979287453540708</c:v>
                </c:pt>
                <c:pt idx="14">
                  <c:v>7.8402841547893871</c:v>
                </c:pt>
                <c:pt idx="15">
                  <c:v>0.94044663433192</c:v>
                </c:pt>
                <c:pt idx="16">
                  <c:v>-6.2719935815947014</c:v>
                </c:pt>
                <c:pt idx="17">
                  <c:v>-10.211749998840263</c:v>
                </c:pt>
                <c:pt idx="18">
                  <c:v>-5.9149832774989033</c:v>
                </c:pt>
                <c:pt idx="19">
                  <c:v>-1.6473939282213055</c:v>
                </c:pt>
                <c:pt idx="20">
                  <c:v>-0.83133107014202778</c:v>
                </c:pt>
                <c:pt idx="21">
                  <c:v>8.9767875028969719</c:v>
                </c:pt>
                <c:pt idx="22">
                  <c:v>2.0523368263581854</c:v>
                </c:pt>
                <c:pt idx="23">
                  <c:v>2.9410729810894765</c:v>
                </c:pt>
                <c:pt idx="24">
                  <c:v>15.341271700922233</c:v>
                </c:pt>
                <c:pt idx="25">
                  <c:v>7.5002566445961074</c:v>
                </c:pt>
                <c:pt idx="26">
                  <c:v>12.405428991842145</c:v>
                </c:pt>
                <c:pt idx="27">
                  <c:v>4.312575845822237</c:v>
                </c:pt>
                <c:pt idx="28">
                  <c:v>2.4494174739724457</c:v>
                </c:pt>
              </c:numCache>
            </c:numRef>
          </c:val>
          <c:smooth val="0"/>
          <c:extLst>
            <c:ext xmlns:c16="http://schemas.microsoft.com/office/drawing/2014/chart" uri="{C3380CC4-5D6E-409C-BE32-E72D297353CC}">
              <c16:uniqueId val="{00000002-F0AC-4E96-8E4E-E10C32FB31E0}"/>
            </c:ext>
          </c:extLst>
        </c:ser>
        <c:dLbls>
          <c:showLegendKey val="0"/>
          <c:showVal val="0"/>
          <c:showCatName val="0"/>
          <c:showSerName val="0"/>
          <c:showPercent val="0"/>
          <c:showBubbleSize val="0"/>
        </c:dLbls>
        <c:marker val="1"/>
        <c:smooth val="0"/>
        <c:axId val="101326848"/>
        <c:axId val="101328384"/>
      </c:lineChart>
      <c:lineChart>
        <c:grouping val="standard"/>
        <c:varyColors val="0"/>
        <c:ser>
          <c:idx val="3"/>
          <c:order val="3"/>
          <c:tx>
            <c:strRef>
              <c:f>'výkonnost odvětví 3'!$AA$10</c:f>
              <c:strCache>
                <c:ptCount val="1"/>
                <c:pt idx="0">
                  <c:v>Nové stavební zakázky (pr.osa)</c:v>
                </c:pt>
              </c:strCache>
            </c:strRef>
          </c:tx>
          <c:spPr>
            <a:ln w="15875">
              <a:solidFill>
                <a:srgbClr val="984807"/>
              </a:solidFill>
              <a:prstDash val="sysDash"/>
            </a:ln>
          </c:spPr>
          <c:marker>
            <c:symbol val="none"/>
          </c:marker>
          <c:cat>
            <c:multiLvlStrRef>
              <c:f>'výkonnost odvětví 3'!$V$19:$W$47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'výkonnost odvětví 3'!$AA$19:$AA$47</c:f>
              <c:numCache>
                <c:formatCode>0.0</c:formatCode>
                <c:ptCount val="29"/>
                <c:pt idx="0">
                  <c:v>-46.322059646597907</c:v>
                </c:pt>
                <c:pt idx="1">
                  <c:v>-13.714800630772698</c:v>
                </c:pt>
                <c:pt idx="2">
                  <c:v>-7.6729748888363778</c:v>
                </c:pt>
                <c:pt idx="3">
                  <c:v>7.5624082232011753</c:v>
                </c:pt>
                <c:pt idx="4">
                  <c:v>-17.695687793252407</c:v>
                </c:pt>
                <c:pt idx="5">
                  <c:v>-1.584773641063137</c:v>
                </c:pt>
                <c:pt idx="6">
                  <c:v>-1.3308205951467045</c:v>
                </c:pt>
                <c:pt idx="7">
                  <c:v>16.153096050706978</c:v>
                </c:pt>
                <c:pt idx="8">
                  <c:v>67.509727626459139</c:v>
                </c:pt>
                <c:pt idx="9">
                  <c:v>18.978644382544097</c:v>
                </c:pt>
                <c:pt idx="10">
                  <c:v>34.050931384107542</c:v>
                </c:pt>
                <c:pt idx="11">
                  <c:v>-1</c:v>
                </c:pt>
                <c:pt idx="12">
                  <c:v>-3.1547956675580053</c:v>
                </c:pt>
                <c:pt idx="13">
                  <c:v>9.7504961091663223</c:v>
                </c:pt>
                <c:pt idx="14">
                  <c:v>-1.0976060227612552</c:v>
                </c:pt>
                <c:pt idx="15">
                  <c:v>-2.3987783410040464</c:v>
                </c:pt>
                <c:pt idx="16">
                  <c:v>-6.6406358945753814</c:v>
                </c:pt>
                <c:pt idx="17">
                  <c:v>-0.49977652269311085</c:v>
                </c:pt>
                <c:pt idx="18">
                  <c:v>-7.0322087253454839</c:v>
                </c:pt>
                <c:pt idx="19">
                  <c:v>10.122126124559955</c:v>
                </c:pt>
                <c:pt idx="20">
                  <c:v>16.177217458847441</c:v>
                </c:pt>
                <c:pt idx="21">
                  <c:v>9.5350878984013026</c:v>
                </c:pt>
                <c:pt idx="22">
                  <c:v>-1.2817324431350698</c:v>
                </c:pt>
                <c:pt idx="23">
                  <c:v>15.620806693503823</c:v>
                </c:pt>
                <c:pt idx="24">
                  <c:v>30.106973873688563</c:v>
                </c:pt>
                <c:pt idx="25">
                  <c:v>32.836878110611956</c:v>
                </c:pt>
                <c:pt idx="26">
                  <c:v>5.276824990795121</c:v>
                </c:pt>
                <c:pt idx="27">
                  <c:v>1.8944565811032281</c:v>
                </c:pt>
                <c:pt idx="28">
                  <c:v>15.580283026326185</c:v>
                </c:pt>
              </c:numCache>
            </c:numRef>
          </c:val>
          <c:smooth val="0"/>
          <c:extLst>
            <c:ext xmlns:c16="http://schemas.microsoft.com/office/drawing/2014/chart" uri="{C3380CC4-5D6E-409C-BE32-E72D297353CC}">
              <c16:uniqueId val="{00000003-F0AC-4E96-8E4E-E10C32FB31E0}"/>
            </c:ext>
          </c:extLst>
        </c:ser>
        <c:ser>
          <c:idx val="4"/>
          <c:order val="4"/>
          <c:tx>
            <c:strRef>
              <c:f>'výkonnost odvětví 3'!$AB$10</c:f>
              <c:strCache>
                <c:ptCount val="1"/>
                <c:pt idx="0">
                  <c:v>Saldo indik.důvěry ve staveb.(pr.osa)</c:v>
                </c:pt>
              </c:strCache>
            </c:strRef>
          </c:tx>
          <c:spPr>
            <a:ln w="19050">
              <a:noFill/>
            </a:ln>
          </c:spPr>
          <c:marker>
            <c:symbol val="diamond"/>
            <c:size val="5"/>
            <c:spPr>
              <a:solidFill>
                <a:srgbClr val="FFFF00"/>
              </a:solidFill>
              <a:ln>
                <a:solidFill>
                  <a:prstClr val="black">
                    <a:lumMod val="95000"/>
                    <a:lumOff val="5000"/>
                  </a:prstClr>
                </a:solidFill>
              </a:ln>
            </c:spPr>
          </c:marker>
          <c:cat>
            <c:multiLvlStrRef>
              <c:f>'výkonnost odvětví 3'!$V$19:$W$47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'výkonnost odvětví 3'!$AB$19:$AB$47</c:f>
              <c:numCache>
                <c:formatCode>0.0</c:formatCode>
                <c:ptCount val="29"/>
                <c:pt idx="0">
                  <c:v>-46</c:v>
                </c:pt>
                <c:pt idx="1">
                  <c:v>-45.333333333333336</c:v>
                </c:pt>
                <c:pt idx="2">
                  <c:v>-43.5</c:v>
                </c:pt>
                <c:pt idx="3">
                  <c:v>-44.66666666666665</c:v>
                </c:pt>
                <c:pt idx="4">
                  <c:v>-46</c:v>
                </c:pt>
                <c:pt idx="5">
                  <c:v>-53.333333333333336</c:v>
                </c:pt>
                <c:pt idx="6">
                  <c:v>-49.5</c:v>
                </c:pt>
                <c:pt idx="7">
                  <c:v>-50.833333333333336</c:v>
                </c:pt>
                <c:pt idx="8">
                  <c:v>-45.16666666666665</c:v>
                </c:pt>
                <c:pt idx="9">
                  <c:v>-38.333333333333336</c:v>
                </c:pt>
                <c:pt idx="10">
                  <c:v>-32</c:v>
                </c:pt>
                <c:pt idx="11">
                  <c:v>-25.166666666666668</c:v>
                </c:pt>
                <c:pt idx="12">
                  <c:v>-20.833333333333325</c:v>
                </c:pt>
                <c:pt idx="13">
                  <c:v>-16.333333333333325</c:v>
                </c:pt>
                <c:pt idx="14">
                  <c:v>-18.666666666666668</c:v>
                </c:pt>
                <c:pt idx="15">
                  <c:v>-15.666666666666668</c:v>
                </c:pt>
                <c:pt idx="16">
                  <c:v>-17.166666666666668</c:v>
                </c:pt>
                <c:pt idx="17">
                  <c:v>-24</c:v>
                </c:pt>
                <c:pt idx="18">
                  <c:v>-26.666666666666668</c:v>
                </c:pt>
                <c:pt idx="19">
                  <c:v>-25.833333333333325</c:v>
                </c:pt>
                <c:pt idx="20">
                  <c:v>-24.5</c:v>
                </c:pt>
                <c:pt idx="21">
                  <c:v>-22.666666666666668</c:v>
                </c:pt>
                <c:pt idx="22">
                  <c:v>-19.833333333333325</c:v>
                </c:pt>
                <c:pt idx="23">
                  <c:v>-15.166666666666668</c:v>
                </c:pt>
                <c:pt idx="24">
                  <c:v>-9.6666666666666679</c:v>
                </c:pt>
                <c:pt idx="25">
                  <c:v>-5.666666666666667</c:v>
                </c:pt>
                <c:pt idx="26">
                  <c:v>-3.1666666666666665</c:v>
                </c:pt>
                <c:pt idx="27">
                  <c:v>0.83333333333333348</c:v>
                </c:pt>
                <c:pt idx="28">
                  <c:v>4.666666666666667</c:v>
                </c:pt>
              </c:numCache>
            </c:numRef>
          </c:val>
          <c:smooth val="0"/>
          <c:extLst>
            <c:ext xmlns:c16="http://schemas.microsoft.com/office/drawing/2014/chart" uri="{C3380CC4-5D6E-409C-BE32-E72D297353CC}">
              <c16:uniqueId val="{00000004-F0AC-4E96-8E4E-E10C32FB31E0}"/>
            </c:ext>
          </c:extLst>
        </c:ser>
        <c:dLbls>
          <c:showLegendKey val="0"/>
          <c:showVal val="0"/>
          <c:showCatName val="0"/>
          <c:showSerName val="0"/>
          <c:showPercent val="0"/>
          <c:showBubbleSize val="0"/>
        </c:dLbls>
        <c:marker val="1"/>
        <c:smooth val="0"/>
        <c:axId val="101339904"/>
        <c:axId val="101329920"/>
      </c:lineChart>
      <c:catAx>
        <c:axId val="101326848"/>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01328384"/>
        <c:crossesAt val="0"/>
        <c:auto val="0"/>
        <c:lblAlgn val="ctr"/>
        <c:lblOffset val="0"/>
        <c:tickLblSkip val="1"/>
        <c:tickMarkSkip val="4"/>
        <c:noMultiLvlLbl val="0"/>
      </c:catAx>
      <c:valAx>
        <c:axId val="101328384"/>
        <c:scaling>
          <c:orientation val="minMax"/>
          <c:max val="20"/>
          <c:min val="-30"/>
        </c:scaling>
        <c:delete val="0"/>
        <c:axPos val="l"/>
        <c:majorGridlines>
          <c:spPr>
            <a:ln w="6350">
              <a:solidFill>
                <a:schemeClr val="bg1">
                  <a:lumMod val="75000"/>
                </a:schemeClr>
              </a:solidFill>
            </a:ln>
          </c:spPr>
        </c:majorGridlines>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01326848"/>
        <c:crosses val="autoZero"/>
        <c:crossBetween val="between"/>
        <c:majorUnit val="5"/>
      </c:valAx>
      <c:valAx>
        <c:axId val="101329920"/>
        <c:scaling>
          <c:orientation val="minMax"/>
          <c:max val="40"/>
          <c:min val="-60"/>
        </c:scaling>
        <c:delete val="0"/>
        <c:axPos val="r"/>
        <c:numFmt formatCode="0" sourceLinked="0"/>
        <c:majorTickMark val="out"/>
        <c:minorTickMark val="none"/>
        <c:tickLblPos val="nextTo"/>
        <c:crossAx val="101339904"/>
        <c:crosses val="max"/>
        <c:crossBetween val="between"/>
        <c:majorUnit val="10"/>
      </c:valAx>
      <c:catAx>
        <c:axId val="101339904"/>
        <c:scaling>
          <c:orientation val="minMax"/>
        </c:scaling>
        <c:delete val="1"/>
        <c:axPos val="b"/>
        <c:numFmt formatCode="General" sourceLinked="1"/>
        <c:majorTickMark val="out"/>
        <c:minorTickMark val="none"/>
        <c:tickLblPos val="none"/>
        <c:crossAx val="101329920"/>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4.40232476530436E-2"/>
          <c:y val="0.90562846925368912"/>
          <c:w val="0.91057220931671268"/>
          <c:h val="8.8354697280216651E-2"/>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351562499999985E-2"/>
          <c:y val="2.3579668209876548E-2"/>
          <c:w val="0.92124978298611093"/>
          <c:h val="0.69620056990418255"/>
        </c:manualLayout>
      </c:layout>
      <c:barChart>
        <c:barDir val="col"/>
        <c:grouping val="stacked"/>
        <c:varyColors val="0"/>
        <c:ser>
          <c:idx val="0"/>
          <c:order val="1"/>
          <c:tx>
            <c:strRef>
              <c:f>'Služby-příspěvkyk růstu'!$D$25</c:f>
              <c:strCache>
                <c:ptCount val="1"/>
                <c:pt idx="0">
                  <c:v>Doprava a skladování</c:v>
                </c:pt>
              </c:strCache>
            </c:strRef>
          </c:tx>
          <c:spPr>
            <a:ln>
              <a:noFill/>
            </a:ln>
          </c:spPr>
          <c:invertIfNegative val="0"/>
          <c:cat>
            <c:multiLvlStrRef>
              <c:f>'Služby-příspěvkyk růstu'!$A$26:$B$54</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růstu'!$D$26:$D$54</c:f>
              <c:numCache>
                <c:formatCode>##0.0</c:formatCode>
                <c:ptCount val="29"/>
                <c:pt idx="0">
                  <c:v>0.41258028879798991</c:v>
                </c:pt>
                <c:pt idx="1">
                  <c:v>0.63363224761450532</c:v>
                </c:pt>
                <c:pt idx="2">
                  <c:v>1.4127813003583825</c:v>
                </c:pt>
                <c:pt idx="3">
                  <c:v>-0.52930429542989743</c:v>
                </c:pt>
                <c:pt idx="4">
                  <c:v>1.0164908016473087</c:v>
                </c:pt>
                <c:pt idx="5">
                  <c:v>0.81222423497464391</c:v>
                </c:pt>
                <c:pt idx="6">
                  <c:v>0.60084729976550999</c:v>
                </c:pt>
                <c:pt idx="7">
                  <c:v>2.8364249715613901</c:v>
                </c:pt>
                <c:pt idx="8">
                  <c:v>1.0103820969057067</c:v>
                </c:pt>
                <c:pt idx="9">
                  <c:v>0.78447781483192558</c:v>
                </c:pt>
                <c:pt idx="10">
                  <c:v>1.2387511976566299</c:v>
                </c:pt>
                <c:pt idx="11">
                  <c:v>-0.14268473953111685</c:v>
                </c:pt>
                <c:pt idx="12">
                  <c:v>0.18897621870678424</c:v>
                </c:pt>
                <c:pt idx="13">
                  <c:v>-4.2799353119549015E-2</c:v>
                </c:pt>
                <c:pt idx="14">
                  <c:v>0.21205794355549196</c:v>
                </c:pt>
                <c:pt idx="15">
                  <c:v>4.7901862732679275E-2</c:v>
                </c:pt>
                <c:pt idx="16">
                  <c:v>0.32051171891365582</c:v>
                </c:pt>
                <c:pt idx="17">
                  <c:v>0.2259888488685374</c:v>
                </c:pt>
                <c:pt idx="18">
                  <c:v>0.15728629150528156</c:v>
                </c:pt>
                <c:pt idx="19">
                  <c:v>0.93349278681087533</c:v>
                </c:pt>
                <c:pt idx="20">
                  <c:v>1.7160389510933645</c:v>
                </c:pt>
                <c:pt idx="21">
                  <c:v>1.0862613523310418</c:v>
                </c:pt>
                <c:pt idx="22">
                  <c:v>1.2287150214562867</c:v>
                </c:pt>
                <c:pt idx="23">
                  <c:v>0.5631488647190751</c:v>
                </c:pt>
                <c:pt idx="24">
                  <c:v>1.8080181128182973</c:v>
                </c:pt>
                <c:pt idx="25">
                  <c:v>1.8877993655833678</c:v>
                </c:pt>
                <c:pt idx="26">
                  <c:v>1.4687724916554512</c:v>
                </c:pt>
                <c:pt idx="27">
                  <c:v>0.50934387126785163</c:v>
                </c:pt>
                <c:pt idx="28">
                  <c:v>0.4202410931314679</c:v>
                </c:pt>
              </c:numCache>
            </c:numRef>
          </c:val>
          <c:extLst>
            <c:ext xmlns:c16="http://schemas.microsoft.com/office/drawing/2014/chart" uri="{C3380CC4-5D6E-409C-BE32-E72D297353CC}">
              <c16:uniqueId val="{00000000-C5D7-4925-AF1B-9F6C7CD417DE}"/>
            </c:ext>
          </c:extLst>
        </c:ser>
        <c:ser>
          <c:idx val="1"/>
          <c:order val="2"/>
          <c:tx>
            <c:strRef>
              <c:f>'Služby-příspěvkyk růstu'!$E$25</c:f>
              <c:strCache>
                <c:ptCount val="1"/>
                <c:pt idx="0">
                  <c:v>Ubytování, stravování a pohostinství</c:v>
                </c:pt>
              </c:strCache>
            </c:strRef>
          </c:tx>
          <c:spPr>
            <a:ln>
              <a:noFill/>
            </a:ln>
          </c:spPr>
          <c:invertIfNegative val="0"/>
          <c:cat>
            <c:multiLvlStrRef>
              <c:f>'Služby-příspěvkyk růstu'!$A$26:$B$54</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růstu'!$E$26:$E$54</c:f>
              <c:numCache>
                <c:formatCode>##0.0</c:formatCode>
                <c:ptCount val="29"/>
                <c:pt idx="0">
                  <c:v>-0.21540651327756419</c:v>
                </c:pt>
                <c:pt idx="1">
                  <c:v>-0.24051224313950981</c:v>
                </c:pt>
                <c:pt idx="2">
                  <c:v>-0.17165784231980319</c:v>
                </c:pt>
                <c:pt idx="3">
                  <c:v>-0.30093132797815431</c:v>
                </c:pt>
                <c:pt idx="4">
                  <c:v>4.8224843781560459E-2</c:v>
                </c:pt>
                <c:pt idx="5">
                  <c:v>4.241562741129741E-2</c:v>
                </c:pt>
                <c:pt idx="6">
                  <c:v>0.13208786204998771</c:v>
                </c:pt>
                <c:pt idx="7">
                  <c:v>5.3784020386466416E-2</c:v>
                </c:pt>
                <c:pt idx="8">
                  <c:v>-7.9490234003862972E-2</c:v>
                </c:pt>
                <c:pt idx="9">
                  <c:v>-5.0448681285627121E-2</c:v>
                </c:pt>
                <c:pt idx="10">
                  <c:v>-8.6614349232847193E-2</c:v>
                </c:pt>
                <c:pt idx="11">
                  <c:v>0.61356731269380715</c:v>
                </c:pt>
                <c:pt idx="12">
                  <c:v>0.22553913985377907</c:v>
                </c:pt>
                <c:pt idx="13">
                  <c:v>0.59291704675210055</c:v>
                </c:pt>
                <c:pt idx="14">
                  <c:v>0.60314538369598114</c:v>
                </c:pt>
                <c:pt idx="15">
                  <c:v>0.32643173615711307</c:v>
                </c:pt>
                <c:pt idx="16">
                  <c:v>0.38797812931074283</c:v>
                </c:pt>
                <c:pt idx="17">
                  <c:v>0.12368001151891801</c:v>
                </c:pt>
                <c:pt idx="18">
                  <c:v>0.54978014680094534</c:v>
                </c:pt>
                <c:pt idx="19">
                  <c:v>0.48729275394008176</c:v>
                </c:pt>
                <c:pt idx="20">
                  <c:v>0.88862866526536777</c:v>
                </c:pt>
                <c:pt idx="21">
                  <c:v>1.1922759630735096</c:v>
                </c:pt>
                <c:pt idx="22">
                  <c:v>0.57252700258083411</c:v>
                </c:pt>
                <c:pt idx="23">
                  <c:v>0.44347777349490691</c:v>
                </c:pt>
                <c:pt idx="24">
                  <c:v>0.17907619562418745</c:v>
                </c:pt>
                <c:pt idx="25">
                  <c:v>6.5474683590954333E-2</c:v>
                </c:pt>
                <c:pt idx="26">
                  <c:v>6.4588700814912123E-2</c:v>
                </c:pt>
                <c:pt idx="27">
                  <c:v>-3.6489257906923755E-2</c:v>
                </c:pt>
                <c:pt idx="28">
                  <c:v>0.19207429015789224</c:v>
                </c:pt>
              </c:numCache>
            </c:numRef>
          </c:val>
          <c:extLst>
            <c:ext xmlns:c16="http://schemas.microsoft.com/office/drawing/2014/chart" uri="{C3380CC4-5D6E-409C-BE32-E72D297353CC}">
              <c16:uniqueId val="{00000001-C5D7-4925-AF1B-9F6C7CD417DE}"/>
            </c:ext>
          </c:extLst>
        </c:ser>
        <c:ser>
          <c:idx val="2"/>
          <c:order val="3"/>
          <c:tx>
            <c:strRef>
              <c:f>'Služby-příspěvkyk růstu'!$F$25</c:f>
              <c:strCache>
                <c:ptCount val="1"/>
                <c:pt idx="0">
                  <c:v>Informační a komunikační činnosti</c:v>
                </c:pt>
              </c:strCache>
            </c:strRef>
          </c:tx>
          <c:spPr>
            <a:ln>
              <a:noFill/>
            </a:ln>
          </c:spPr>
          <c:invertIfNegative val="0"/>
          <c:cat>
            <c:multiLvlStrRef>
              <c:f>'Služby-příspěvkyk růstu'!$A$26:$B$54</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růstu'!$F$26:$F$54</c:f>
              <c:numCache>
                <c:formatCode>##0.0</c:formatCode>
                <c:ptCount val="29"/>
                <c:pt idx="0">
                  <c:v>0.14684653735824615</c:v>
                </c:pt>
                <c:pt idx="1">
                  <c:v>-1.2891325755081057E-2</c:v>
                </c:pt>
                <c:pt idx="2">
                  <c:v>0.27942134443276967</c:v>
                </c:pt>
                <c:pt idx="3">
                  <c:v>-7.0005390560601219E-2</c:v>
                </c:pt>
                <c:pt idx="4">
                  <c:v>-0.33779525436615415</c:v>
                </c:pt>
                <c:pt idx="5">
                  <c:v>5.6467869540597357E-4</c:v>
                </c:pt>
                <c:pt idx="6">
                  <c:v>-0.46128579099078315</c:v>
                </c:pt>
                <c:pt idx="7">
                  <c:v>6.8018075056457419E-2</c:v>
                </c:pt>
                <c:pt idx="8">
                  <c:v>5.9924722983300316E-2</c:v>
                </c:pt>
                <c:pt idx="9">
                  <c:v>0.21860315585743145</c:v>
                </c:pt>
                <c:pt idx="10">
                  <c:v>0.58419476081656385</c:v>
                </c:pt>
                <c:pt idx="11">
                  <c:v>0.43118649610632231</c:v>
                </c:pt>
                <c:pt idx="12">
                  <c:v>1.3855377802180726</c:v>
                </c:pt>
                <c:pt idx="13">
                  <c:v>0.74385512199846759</c:v>
                </c:pt>
                <c:pt idx="14">
                  <c:v>0.86097694613304743</c:v>
                </c:pt>
                <c:pt idx="15">
                  <c:v>1.4537606325303043</c:v>
                </c:pt>
                <c:pt idx="16">
                  <c:v>0.36940166834784166</c:v>
                </c:pt>
                <c:pt idx="17">
                  <c:v>0.11922805430251722</c:v>
                </c:pt>
                <c:pt idx="18">
                  <c:v>0.35054875298136778</c:v>
                </c:pt>
                <c:pt idx="19">
                  <c:v>0.19595603509390261</c:v>
                </c:pt>
                <c:pt idx="20">
                  <c:v>0.81074020348349185</c:v>
                </c:pt>
                <c:pt idx="21">
                  <c:v>1.1163033179816915</c:v>
                </c:pt>
                <c:pt idx="22">
                  <c:v>0.77780105386653609</c:v>
                </c:pt>
                <c:pt idx="23">
                  <c:v>0.71416702701913615</c:v>
                </c:pt>
                <c:pt idx="24">
                  <c:v>1.5639149470472034</c:v>
                </c:pt>
                <c:pt idx="25">
                  <c:v>0.75726695268090094</c:v>
                </c:pt>
                <c:pt idx="26">
                  <c:v>1.3776580039252013</c:v>
                </c:pt>
                <c:pt idx="27">
                  <c:v>1.0135841601170124</c:v>
                </c:pt>
                <c:pt idx="28">
                  <c:v>0.98356892876560631</c:v>
                </c:pt>
              </c:numCache>
            </c:numRef>
          </c:val>
          <c:extLst>
            <c:ext xmlns:c16="http://schemas.microsoft.com/office/drawing/2014/chart" uri="{C3380CC4-5D6E-409C-BE32-E72D297353CC}">
              <c16:uniqueId val="{00000002-C5D7-4925-AF1B-9F6C7CD417DE}"/>
            </c:ext>
          </c:extLst>
        </c:ser>
        <c:ser>
          <c:idx val="4"/>
          <c:order val="4"/>
          <c:tx>
            <c:strRef>
              <c:f>'Služby-příspěvkyk růstu'!$G$25</c:f>
              <c:strCache>
                <c:ptCount val="1"/>
                <c:pt idx="0">
                  <c:v>Činnosti v oblasti nemovitostí</c:v>
                </c:pt>
              </c:strCache>
            </c:strRef>
          </c:tx>
          <c:spPr>
            <a:ln>
              <a:noFill/>
              <a:prstDash val="sysDash"/>
            </a:ln>
          </c:spPr>
          <c:invertIfNegative val="0"/>
          <c:cat>
            <c:multiLvlStrRef>
              <c:f>'Služby-příspěvkyk růstu'!$A$26:$B$54</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růstu'!$G$26:$G$54</c:f>
              <c:numCache>
                <c:formatCode>##0.0</c:formatCode>
                <c:ptCount val="29"/>
                <c:pt idx="0">
                  <c:v>-0.40161454304599031</c:v>
                </c:pt>
                <c:pt idx="1">
                  <c:v>-0.33341590053225728</c:v>
                </c:pt>
                <c:pt idx="2">
                  <c:v>-0.37157916758678933</c:v>
                </c:pt>
                <c:pt idx="3">
                  <c:v>-0.23515544621648313</c:v>
                </c:pt>
                <c:pt idx="4">
                  <c:v>-0.10350809021054701</c:v>
                </c:pt>
                <c:pt idx="5">
                  <c:v>-0.23836448148177039</c:v>
                </c:pt>
                <c:pt idx="6">
                  <c:v>0.11801086843192365</c:v>
                </c:pt>
                <c:pt idx="7">
                  <c:v>-0.44929602033977079</c:v>
                </c:pt>
                <c:pt idx="8">
                  <c:v>-0.28617563677188235</c:v>
                </c:pt>
                <c:pt idx="9">
                  <c:v>0.10821938014324474</c:v>
                </c:pt>
                <c:pt idx="10">
                  <c:v>-2.0792881340096579E-2</c:v>
                </c:pt>
                <c:pt idx="11">
                  <c:v>-0.12003020730950852</c:v>
                </c:pt>
                <c:pt idx="12">
                  <c:v>3.9807076966785225E-2</c:v>
                </c:pt>
                <c:pt idx="13">
                  <c:v>-4.088120474491746E-3</c:v>
                </c:pt>
                <c:pt idx="14">
                  <c:v>7.5013887411450791E-2</c:v>
                </c:pt>
                <c:pt idx="15">
                  <c:v>3.7242624415505084E-2</c:v>
                </c:pt>
                <c:pt idx="16">
                  <c:v>0.19736413877934539</c:v>
                </c:pt>
                <c:pt idx="17">
                  <c:v>5.5192622351401703E-2</c:v>
                </c:pt>
                <c:pt idx="18">
                  <c:v>9.6409499969415516E-2</c:v>
                </c:pt>
                <c:pt idx="19">
                  <c:v>-6.2175980703885185E-2</c:v>
                </c:pt>
                <c:pt idx="20">
                  <c:v>0.32072501817024557</c:v>
                </c:pt>
                <c:pt idx="21">
                  <c:v>0.31927003655410885</c:v>
                </c:pt>
                <c:pt idx="22">
                  <c:v>-4.1000423609262239E-2</c:v>
                </c:pt>
                <c:pt idx="23">
                  <c:v>0.12133929128749343</c:v>
                </c:pt>
                <c:pt idx="24">
                  <c:v>-1.7820992452011804E-2</c:v>
                </c:pt>
                <c:pt idx="25">
                  <c:v>-0.19983715680261258</c:v>
                </c:pt>
                <c:pt idx="26">
                  <c:v>-0.10962876730751391</c:v>
                </c:pt>
                <c:pt idx="27">
                  <c:v>-0.19019877072200764</c:v>
                </c:pt>
                <c:pt idx="28">
                  <c:v>7.6041673787131281E-2</c:v>
                </c:pt>
              </c:numCache>
            </c:numRef>
          </c:val>
          <c:extLst>
            <c:ext xmlns:c16="http://schemas.microsoft.com/office/drawing/2014/chart" uri="{C3380CC4-5D6E-409C-BE32-E72D297353CC}">
              <c16:uniqueId val="{00000003-C5D7-4925-AF1B-9F6C7CD417DE}"/>
            </c:ext>
          </c:extLst>
        </c:ser>
        <c:ser>
          <c:idx val="5"/>
          <c:order val="5"/>
          <c:tx>
            <c:strRef>
              <c:f>'Služby-příspěvkyk růstu'!$H$25</c:f>
              <c:strCache>
                <c:ptCount val="1"/>
                <c:pt idx="0">
                  <c:v>Profesní, vědecké a technické činnosti</c:v>
                </c:pt>
              </c:strCache>
            </c:strRef>
          </c:tx>
          <c:spPr>
            <a:ln>
              <a:noFill/>
            </a:ln>
          </c:spPr>
          <c:invertIfNegative val="0"/>
          <c:cat>
            <c:multiLvlStrRef>
              <c:f>'Služby-příspěvkyk růstu'!$A$26:$B$54</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růstu'!$H$26:$H$54</c:f>
              <c:numCache>
                <c:formatCode>##0.0</c:formatCode>
                <c:ptCount val="29"/>
                <c:pt idx="0">
                  <c:v>0.24684979803643395</c:v>
                </c:pt>
                <c:pt idx="1">
                  <c:v>-1.2881799190115462</c:v>
                </c:pt>
                <c:pt idx="2">
                  <c:v>-0.30795789329873291</c:v>
                </c:pt>
                <c:pt idx="3">
                  <c:v>6.700626626090697E-3</c:v>
                </c:pt>
                <c:pt idx="4">
                  <c:v>-1.0240748901857266</c:v>
                </c:pt>
                <c:pt idx="5">
                  <c:v>-1.6051667930787326</c:v>
                </c:pt>
                <c:pt idx="6">
                  <c:v>-1.9291878383921195</c:v>
                </c:pt>
                <c:pt idx="7">
                  <c:v>-1.3988282943850583</c:v>
                </c:pt>
                <c:pt idx="8">
                  <c:v>-1.4974363610649184</c:v>
                </c:pt>
                <c:pt idx="9">
                  <c:v>0.15376282160865665</c:v>
                </c:pt>
                <c:pt idx="10">
                  <c:v>0.67645035928330355</c:v>
                </c:pt>
                <c:pt idx="11">
                  <c:v>-1.0551537211843995</c:v>
                </c:pt>
                <c:pt idx="12">
                  <c:v>0.94684124521569113</c:v>
                </c:pt>
                <c:pt idx="13">
                  <c:v>0.71899529557978525</c:v>
                </c:pt>
                <c:pt idx="14">
                  <c:v>1.0819169252384986</c:v>
                </c:pt>
                <c:pt idx="15">
                  <c:v>-6.5350919895119555E-2</c:v>
                </c:pt>
                <c:pt idx="16">
                  <c:v>-0.34291442842296904</c:v>
                </c:pt>
                <c:pt idx="17">
                  <c:v>-1.4803115229956514</c:v>
                </c:pt>
                <c:pt idx="18">
                  <c:v>2.781772580589632E-2</c:v>
                </c:pt>
                <c:pt idx="19">
                  <c:v>-0.34322965555345991</c:v>
                </c:pt>
                <c:pt idx="20">
                  <c:v>0.75205123039896415</c:v>
                </c:pt>
                <c:pt idx="21">
                  <c:v>0.61722518737301202</c:v>
                </c:pt>
                <c:pt idx="22">
                  <c:v>0.28238123093049133</c:v>
                </c:pt>
                <c:pt idx="23">
                  <c:v>0.40615531670326177</c:v>
                </c:pt>
                <c:pt idx="24">
                  <c:v>1.0513499961078938</c:v>
                </c:pt>
                <c:pt idx="25">
                  <c:v>0.49795463377300553</c:v>
                </c:pt>
                <c:pt idx="26">
                  <c:v>0.37048085470889042</c:v>
                </c:pt>
                <c:pt idx="27">
                  <c:v>-0.26446379811606535</c:v>
                </c:pt>
                <c:pt idx="28">
                  <c:v>0.57090378635169425</c:v>
                </c:pt>
              </c:numCache>
            </c:numRef>
          </c:val>
          <c:extLst>
            <c:ext xmlns:c16="http://schemas.microsoft.com/office/drawing/2014/chart" uri="{C3380CC4-5D6E-409C-BE32-E72D297353CC}">
              <c16:uniqueId val="{00000004-C5D7-4925-AF1B-9F6C7CD417DE}"/>
            </c:ext>
          </c:extLst>
        </c:ser>
        <c:ser>
          <c:idx val="6"/>
          <c:order val="6"/>
          <c:tx>
            <c:strRef>
              <c:f>'Služby-příspěvkyk růstu'!$I$25</c:f>
              <c:strCache>
                <c:ptCount val="1"/>
                <c:pt idx="0">
                  <c:v>Administrativní a podpůrné činnosti</c:v>
                </c:pt>
              </c:strCache>
            </c:strRef>
          </c:tx>
          <c:spPr>
            <a:ln>
              <a:noFill/>
            </a:ln>
          </c:spPr>
          <c:invertIfNegative val="0"/>
          <c:cat>
            <c:multiLvlStrRef>
              <c:f>'Služby-příspěvkyk růstu'!$A$26:$B$54</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růstu'!$I$26:$I$54</c:f>
              <c:numCache>
                <c:formatCode>##0.0</c:formatCode>
                <c:ptCount val="29"/>
                <c:pt idx="0">
                  <c:v>0.53358749999544874</c:v>
                </c:pt>
                <c:pt idx="1">
                  <c:v>0.25735251360519484</c:v>
                </c:pt>
                <c:pt idx="2">
                  <c:v>0.49443609467373445</c:v>
                </c:pt>
                <c:pt idx="3">
                  <c:v>-0.20754478645774899</c:v>
                </c:pt>
                <c:pt idx="4">
                  <c:v>-4.4931698800201071E-2</c:v>
                </c:pt>
                <c:pt idx="5">
                  <c:v>0.10860645698887413</c:v>
                </c:pt>
                <c:pt idx="6">
                  <c:v>0.10162620181108767</c:v>
                </c:pt>
                <c:pt idx="7">
                  <c:v>0.34742392375809888</c:v>
                </c:pt>
                <c:pt idx="8">
                  <c:v>-0.17377634820877852</c:v>
                </c:pt>
                <c:pt idx="9">
                  <c:v>0.48271003209079028</c:v>
                </c:pt>
                <c:pt idx="10">
                  <c:v>0.40993030869123914</c:v>
                </c:pt>
                <c:pt idx="11">
                  <c:v>0.56189775135060072</c:v>
                </c:pt>
                <c:pt idx="12">
                  <c:v>0.54606718443601765</c:v>
                </c:pt>
                <c:pt idx="13">
                  <c:v>0.61026804102825849</c:v>
                </c:pt>
                <c:pt idx="14">
                  <c:v>0.44529687622497188</c:v>
                </c:pt>
                <c:pt idx="15">
                  <c:v>0.50367275484196738</c:v>
                </c:pt>
                <c:pt idx="16">
                  <c:v>0.59231725635453469</c:v>
                </c:pt>
                <c:pt idx="17">
                  <c:v>0.18411297067048341</c:v>
                </c:pt>
                <c:pt idx="18">
                  <c:v>0.28631840050332019</c:v>
                </c:pt>
                <c:pt idx="19">
                  <c:v>0.46443587988913376</c:v>
                </c:pt>
                <c:pt idx="20">
                  <c:v>1.1745138663230763</c:v>
                </c:pt>
                <c:pt idx="21">
                  <c:v>1.1150283621795314</c:v>
                </c:pt>
                <c:pt idx="22">
                  <c:v>0.71175575763357057</c:v>
                </c:pt>
                <c:pt idx="23">
                  <c:v>0.32323237949546185</c:v>
                </c:pt>
                <c:pt idx="24">
                  <c:v>0.58953850623907122</c:v>
                </c:pt>
                <c:pt idx="25">
                  <c:v>0.4351519328858911</c:v>
                </c:pt>
                <c:pt idx="26">
                  <c:v>0.49725843234121808</c:v>
                </c:pt>
                <c:pt idx="27">
                  <c:v>-1.4380206207926988E-2</c:v>
                </c:pt>
                <c:pt idx="28">
                  <c:v>0.10913853553656482</c:v>
                </c:pt>
              </c:numCache>
            </c:numRef>
          </c:val>
          <c:extLst>
            <c:ext xmlns:c16="http://schemas.microsoft.com/office/drawing/2014/chart" uri="{C3380CC4-5D6E-409C-BE32-E72D297353CC}">
              <c16:uniqueId val="{00000005-C5D7-4925-AF1B-9F6C7CD417DE}"/>
            </c:ext>
          </c:extLst>
        </c:ser>
        <c:dLbls>
          <c:showLegendKey val="0"/>
          <c:showVal val="0"/>
          <c:showCatName val="0"/>
          <c:showSerName val="0"/>
          <c:showPercent val="0"/>
          <c:showBubbleSize val="0"/>
        </c:dLbls>
        <c:gapWidth val="32"/>
        <c:overlap val="100"/>
        <c:axId val="101418880"/>
        <c:axId val="101420416"/>
      </c:barChart>
      <c:lineChart>
        <c:grouping val="standard"/>
        <c:varyColors val="0"/>
        <c:ser>
          <c:idx val="3"/>
          <c:order val="0"/>
          <c:tx>
            <c:strRef>
              <c:f>'Služby-příspěvkyk růstu'!$C$25</c:f>
              <c:strCache>
                <c:ptCount val="1"/>
                <c:pt idx="0">
                  <c:v>Služby celkem</c:v>
                </c:pt>
              </c:strCache>
            </c:strRef>
          </c:tx>
          <c:spPr>
            <a:ln>
              <a:noFill/>
            </a:ln>
          </c:spPr>
          <c:marker>
            <c:symbol val="dash"/>
            <c:size val="10"/>
            <c:spPr>
              <a:solidFill>
                <a:schemeClr val="tx1">
                  <a:lumMod val="95000"/>
                  <a:lumOff val="5000"/>
                </a:schemeClr>
              </a:solidFill>
              <a:ln>
                <a:noFill/>
              </a:ln>
            </c:spPr>
          </c:marker>
          <c:cat>
            <c:multiLvlStrRef>
              <c:f>'Služby-příspěvkyk růstu'!$A$26:$B$54</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růstu'!$C$26:$C$54</c:f>
              <c:numCache>
                <c:formatCode>##0.0</c:formatCode>
                <c:ptCount val="29"/>
                <c:pt idx="0">
                  <c:v>0.44716083626813935</c:v>
                </c:pt>
                <c:pt idx="1">
                  <c:v>-1.2056183510881338</c:v>
                </c:pt>
                <c:pt idx="2">
                  <c:v>1.1119879111190585</c:v>
                </c:pt>
                <c:pt idx="3">
                  <c:v>-1.3703161378149815</c:v>
                </c:pt>
                <c:pt idx="4">
                  <c:v>-0.22134403967748997</c:v>
                </c:pt>
                <c:pt idx="5">
                  <c:v>-0.88400747104550703</c:v>
                </c:pt>
                <c:pt idx="6">
                  <c:v>-1.3618552952282099</c:v>
                </c:pt>
                <c:pt idx="7">
                  <c:v>1.6284062996127346</c:v>
                </c:pt>
                <c:pt idx="8">
                  <c:v>-0.78597154751084031</c:v>
                </c:pt>
                <c:pt idx="9">
                  <c:v>1.5809745598362357</c:v>
                </c:pt>
                <c:pt idx="10">
                  <c:v>2.5911234214958507</c:v>
                </c:pt>
                <c:pt idx="11">
                  <c:v>0.430474345343555</c:v>
                </c:pt>
                <c:pt idx="12">
                  <c:v>3.2637766911846455</c:v>
                </c:pt>
                <c:pt idx="13">
                  <c:v>2.707858485615048</c:v>
                </c:pt>
                <c:pt idx="14">
                  <c:v>3.2907142690075526</c:v>
                </c:pt>
                <c:pt idx="15">
                  <c:v>2.1897925834519048</c:v>
                </c:pt>
                <c:pt idx="16">
                  <c:v>1.4456719593731717</c:v>
                </c:pt>
                <c:pt idx="17">
                  <c:v>-0.89050342973393959</c:v>
                </c:pt>
                <c:pt idx="18">
                  <c:v>1.4392341652332448</c:v>
                </c:pt>
                <c:pt idx="19">
                  <c:v>1.5966870501338948</c:v>
                </c:pt>
                <c:pt idx="20">
                  <c:v>5.5268656319447729</c:v>
                </c:pt>
                <c:pt idx="21">
                  <c:v>5.4542507794333517</c:v>
                </c:pt>
                <c:pt idx="22">
                  <c:v>3.393311208050108</c:v>
                </c:pt>
                <c:pt idx="23">
                  <c:v>2.5151090055911283</c:v>
                </c:pt>
                <c:pt idx="24">
                  <c:v>5.077639838265056</c:v>
                </c:pt>
                <c:pt idx="25">
                  <c:v>3.5023606771157176</c:v>
                </c:pt>
                <c:pt idx="26">
                  <c:v>3.6971633218790316</c:v>
                </c:pt>
                <c:pt idx="27">
                  <c:v>1.08207916366419</c:v>
                </c:pt>
                <c:pt idx="28">
                  <c:v>2.3866485828116306</c:v>
                </c:pt>
              </c:numCache>
            </c:numRef>
          </c:val>
          <c:smooth val="0"/>
          <c:extLst>
            <c:ext xmlns:c16="http://schemas.microsoft.com/office/drawing/2014/chart" uri="{C3380CC4-5D6E-409C-BE32-E72D297353CC}">
              <c16:uniqueId val="{00000006-C5D7-4925-AF1B-9F6C7CD417DE}"/>
            </c:ext>
          </c:extLst>
        </c:ser>
        <c:dLbls>
          <c:showLegendKey val="0"/>
          <c:showVal val="0"/>
          <c:showCatName val="0"/>
          <c:showSerName val="0"/>
          <c:showPercent val="0"/>
          <c:showBubbleSize val="0"/>
        </c:dLbls>
        <c:marker val="1"/>
        <c:smooth val="0"/>
        <c:axId val="101418880"/>
        <c:axId val="101420416"/>
      </c:lineChart>
      <c:lineChart>
        <c:grouping val="standard"/>
        <c:varyColors val="0"/>
        <c:ser>
          <c:idx val="7"/>
          <c:order val="7"/>
          <c:tx>
            <c:strRef>
              <c:f>'Služby-příspěvkyk růstu'!$J$25</c:f>
              <c:strCache>
                <c:ptCount val="1"/>
                <c:pt idx="0">
                  <c:v>Saldo indik.důvěry ve vybr. službách (pr.osa)</c:v>
                </c:pt>
              </c:strCache>
            </c:strRef>
          </c:tx>
          <c:spPr>
            <a:ln w="28575">
              <a:noFill/>
            </a:ln>
          </c:spPr>
          <c:marker>
            <c:symbol val="diamond"/>
            <c:size val="5"/>
            <c:spPr>
              <a:solidFill>
                <a:srgbClr val="FFFF00"/>
              </a:solidFill>
              <a:ln w="6350">
                <a:solidFill>
                  <a:schemeClr val="tx1">
                    <a:lumMod val="95000"/>
                    <a:lumOff val="5000"/>
                  </a:schemeClr>
                </a:solidFill>
              </a:ln>
            </c:spPr>
          </c:marker>
          <c:cat>
            <c:multiLvlStrRef>
              <c:f>'Služby-příspěvkyk růstu'!$A$26:$B$54</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2012</c:v>
                  </c:pt>
                  <c:pt idx="4">
                    <c:v>2013</c:v>
                  </c:pt>
                  <c:pt idx="8">
                    <c:v>2014</c:v>
                  </c:pt>
                  <c:pt idx="12">
                    <c:v>2015</c:v>
                  </c:pt>
                  <c:pt idx="16">
                    <c:v>2016</c:v>
                  </c:pt>
                  <c:pt idx="20">
                    <c:v>2017</c:v>
                  </c:pt>
                  <c:pt idx="24">
                    <c:v>2018</c:v>
                  </c:pt>
                  <c:pt idx="28">
                    <c:v>2019</c:v>
                  </c:pt>
                </c:lvl>
              </c:multiLvlStrCache>
            </c:multiLvlStrRef>
          </c:cat>
          <c:val>
            <c:numRef>
              <c:f>'Služby-příspěvkyk růstu'!$J$26:$J$54</c:f>
              <c:numCache>
                <c:formatCode>0.0</c:formatCode>
                <c:ptCount val="29"/>
                <c:pt idx="0">
                  <c:v>26.333333333333325</c:v>
                </c:pt>
                <c:pt idx="1">
                  <c:v>25.666666666666668</c:v>
                </c:pt>
                <c:pt idx="2">
                  <c:v>23.866666666666664</c:v>
                </c:pt>
                <c:pt idx="3">
                  <c:v>23.3</c:v>
                </c:pt>
                <c:pt idx="4">
                  <c:v>23.666666666666668</c:v>
                </c:pt>
                <c:pt idx="5">
                  <c:v>22.233333333333324</c:v>
                </c:pt>
                <c:pt idx="6">
                  <c:v>22.366666666666664</c:v>
                </c:pt>
                <c:pt idx="7">
                  <c:v>26.333333333333325</c:v>
                </c:pt>
                <c:pt idx="8">
                  <c:v>26.900000000000002</c:v>
                </c:pt>
                <c:pt idx="9">
                  <c:v>26.666666666666668</c:v>
                </c:pt>
                <c:pt idx="10">
                  <c:v>29.233333333333324</c:v>
                </c:pt>
                <c:pt idx="11">
                  <c:v>31.666666666666668</c:v>
                </c:pt>
                <c:pt idx="12">
                  <c:v>29.466666666666669</c:v>
                </c:pt>
                <c:pt idx="13">
                  <c:v>29.133333333333329</c:v>
                </c:pt>
                <c:pt idx="14">
                  <c:v>30.633333333333329</c:v>
                </c:pt>
                <c:pt idx="15">
                  <c:v>32.466666666666647</c:v>
                </c:pt>
                <c:pt idx="16">
                  <c:v>33.566666666666656</c:v>
                </c:pt>
                <c:pt idx="17">
                  <c:v>32.43333333333333</c:v>
                </c:pt>
                <c:pt idx="18">
                  <c:v>33.66666666666665</c:v>
                </c:pt>
                <c:pt idx="19">
                  <c:v>36.700000000000003</c:v>
                </c:pt>
                <c:pt idx="20">
                  <c:v>35.300000000000011</c:v>
                </c:pt>
                <c:pt idx="21">
                  <c:v>37.366666666666646</c:v>
                </c:pt>
                <c:pt idx="22">
                  <c:v>37.533333333333331</c:v>
                </c:pt>
                <c:pt idx="23">
                  <c:v>35.9</c:v>
                </c:pt>
                <c:pt idx="24">
                  <c:v>37.20000000000001</c:v>
                </c:pt>
                <c:pt idx="25">
                  <c:v>37.566666666666656</c:v>
                </c:pt>
                <c:pt idx="26">
                  <c:v>38.1</c:v>
                </c:pt>
                <c:pt idx="27">
                  <c:v>39</c:v>
                </c:pt>
                <c:pt idx="28">
                  <c:v>38</c:v>
                </c:pt>
              </c:numCache>
            </c:numRef>
          </c:val>
          <c:smooth val="0"/>
          <c:extLst>
            <c:ext xmlns:c16="http://schemas.microsoft.com/office/drawing/2014/chart" uri="{C3380CC4-5D6E-409C-BE32-E72D297353CC}">
              <c16:uniqueId val="{00000007-C5D7-4925-AF1B-9F6C7CD417DE}"/>
            </c:ext>
          </c:extLst>
        </c:ser>
        <c:dLbls>
          <c:showLegendKey val="0"/>
          <c:showVal val="0"/>
          <c:showCatName val="0"/>
          <c:showSerName val="0"/>
          <c:showPercent val="0"/>
          <c:showBubbleSize val="0"/>
        </c:dLbls>
        <c:marker val="1"/>
        <c:smooth val="0"/>
        <c:axId val="101436032"/>
        <c:axId val="101434496"/>
      </c:lineChart>
      <c:catAx>
        <c:axId val="101418880"/>
        <c:scaling>
          <c:orientation val="minMax"/>
        </c:scaling>
        <c:delete val="0"/>
        <c:axPos val="b"/>
        <c:numFmt formatCode="General" sourceLinked="0"/>
        <c:majorTickMark val="out"/>
        <c:minorTickMark val="none"/>
        <c:tickLblPos val="low"/>
        <c:txPr>
          <a:bodyPr/>
          <a:lstStyle/>
          <a:p>
            <a:pPr>
              <a:defRPr sz="800"/>
            </a:pPr>
            <a:endParaRPr lang="cs-CZ"/>
          </a:p>
        </c:txPr>
        <c:crossAx val="101420416"/>
        <c:crosses val="autoZero"/>
        <c:auto val="1"/>
        <c:lblAlgn val="ctr"/>
        <c:lblOffset val="100"/>
        <c:noMultiLvlLbl val="0"/>
      </c:catAx>
      <c:valAx>
        <c:axId val="101420416"/>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txPr>
          <a:bodyPr/>
          <a:lstStyle/>
          <a:p>
            <a:pPr>
              <a:defRPr sz="800"/>
            </a:pPr>
            <a:endParaRPr lang="cs-CZ"/>
          </a:p>
        </c:txPr>
        <c:crossAx val="101418880"/>
        <c:crosses val="autoZero"/>
        <c:crossBetween val="between"/>
      </c:valAx>
      <c:valAx>
        <c:axId val="101434496"/>
        <c:scaling>
          <c:orientation val="minMax"/>
        </c:scaling>
        <c:delete val="0"/>
        <c:axPos val="r"/>
        <c:numFmt formatCode="0" sourceLinked="0"/>
        <c:majorTickMark val="out"/>
        <c:minorTickMark val="none"/>
        <c:tickLblPos val="nextTo"/>
        <c:txPr>
          <a:bodyPr/>
          <a:lstStyle/>
          <a:p>
            <a:pPr>
              <a:defRPr sz="800"/>
            </a:pPr>
            <a:endParaRPr lang="cs-CZ"/>
          </a:p>
        </c:txPr>
        <c:crossAx val="101436032"/>
        <c:crosses val="max"/>
        <c:crossBetween val="between"/>
      </c:valAx>
      <c:catAx>
        <c:axId val="101436032"/>
        <c:scaling>
          <c:orientation val="minMax"/>
        </c:scaling>
        <c:delete val="1"/>
        <c:axPos val="b"/>
        <c:numFmt formatCode="General" sourceLinked="1"/>
        <c:majorTickMark val="out"/>
        <c:minorTickMark val="none"/>
        <c:tickLblPos val="none"/>
        <c:crossAx val="101434496"/>
        <c:crosses val="autoZero"/>
        <c:auto val="1"/>
        <c:lblAlgn val="ctr"/>
        <c:lblOffset val="100"/>
        <c:noMultiLvlLbl val="0"/>
      </c:catAx>
      <c:spPr>
        <a:ln>
          <a:solidFill>
            <a:schemeClr val="tx1"/>
          </a:solidFill>
        </a:ln>
      </c:spPr>
    </c:plotArea>
    <c:legend>
      <c:legendPos val="r"/>
      <c:layout>
        <c:manualLayout>
          <c:xMode val="edge"/>
          <c:yMode val="edge"/>
          <c:x val="3.716251839558414E-2"/>
          <c:y val="0.83590207424931084"/>
          <c:w val="0.91427564014132157"/>
          <c:h val="0.16164795524691361"/>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656266097578916E-2"/>
          <c:y val="2.3304908251716772E-2"/>
          <c:w val="0.92389825103638745"/>
          <c:h val="0.58623184734886868"/>
        </c:manualLayout>
      </c:layout>
      <c:barChart>
        <c:barDir val="col"/>
        <c:grouping val="clustered"/>
        <c:varyColors val="0"/>
        <c:ser>
          <c:idx val="0"/>
          <c:order val="0"/>
          <c:tx>
            <c:strRef>
              <c:f>'Vnější vztahy 2'!$A$6</c:f>
              <c:strCache>
                <c:ptCount val="1"/>
                <c:pt idx="0">
                  <c:v>2018</c:v>
                </c:pt>
              </c:strCache>
            </c:strRef>
          </c:tx>
          <c:spPr>
            <a:solidFill>
              <a:schemeClr val="tx1">
                <a:lumMod val="50000"/>
                <a:lumOff val="50000"/>
              </a:schemeClr>
            </a:solidFill>
            <a:ln>
              <a:noFill/>
            </a:ln>
          </c:spPr>
          <c:invertIfNegative val="0"/>
          <c:cat>
            <c:strRef>
              <c:f>'Vnější vztahy 2'!$B$5:$N$5</c:f>
              <c:strCache>
                <c:ptCount val="13"/>
                <c:pt idx="0">
                  <c:v>Ropa a zemní plyn</c:v>
                </c:pt>
                <c:pt idx="1">
                  <c:v>Potrav. výrobky</c:v>
                </c:pt>
                <c:pt idx="2">
                  <c:v>Oděvy</c:v>
                </c:pt>
                <c:pt idx="3">
                  <c:v>Koks, raf. ropné prod.</c:v>
                </c:pt>
                <c:pt idx="4">
                  <c:v>Chem. látky a přípr.</c:v>
                </c:pt>
                <c:pt idx="5">
                  <c:v>Farmac. výrobky</c:v>
                </c:pt>
                <c:pt idx="6">
                  <c:v>Ostat. nekov. minerály</c:v>
                </c:pt>
                <c:pt idx="7">
                  <c:v>Základní kovy</c:v>
                </c:pt>
                <c:pt idx="8">
                  <c:v>Kovodělné výrobky</c:v>
                </c:pt>
                <c:pt idx="9">
                  <c:v>Počítače, opt.                                          a elektron. přístr.</c:v>
                </c:pt>
                <c:pt idx="10">
                  <c:v>Elektrická zařízení</c:v>
                </c:pt>
                <c:pt idx="11">
                  <c:v>Stroje a zařízení j.n.</c:v>
                </c:pt>
                <c:pt idx="12">
                  <c:v>Motorová vozidla</c:v>
                </c:pt>
              </c:strCache>
            </c:strRef>
          </c:cat>
          <c:val>
            <c:numRef>
              <c:f>'Vnější vztahy 2'!$B$6:$N$6</c:f>
              <c:numCache>
                <c:formatCode>General</c:formatCode>
                <c:ptCount val="13"/>
                <c:pt idx="0">
                  <c:v>-25.53</c:v>
                </c:pt>
                <c:pt idx="1">
                  <c:v>-9.3179999999999996</c:v>
                </c:pt>
                <c:pt idx="2">
                  <c:v>-7.2709999999999999</c:v>
                </c:pt>
                <c:pt idx="3">
                  <c:v>-5.6390000000000002</c:v>
                </c:pt>
                <c:pt idx="4">
                  <c:v>-28.495999999999999</c:v>
                </c:pt>
                <c:pt idx="5">
                  <c:v>-13.826000000000001</c:v>
                </c:pt>
                <c:pt idx="6">
                  <c:v>6.1710000000000003</c:v>
                </c:pt>
                <c:pt idx="7">
                  <c:v>-31.82</c:v>
                </c:pt>
                <c:pt idx="8">
                  <c:v>14.699</c:v>
                </c:pt>
                <c:pt idx="9">
                  <c:v>-0.45300000000000001</c:v>
                </c:pt>
                <c:pt idx="10">
                  <c:v>13.599</c:v>
                </c:pt>
                <c:pt idx="11">
                  <c:v>20.448</c:v>
                </c:pt>
                <c:pt idx="12">
                  <c:v>118.712</c:v>
                </c:pt>
              </c:numCache>
            </c:numRef>
          </c:val>
          <c:extLst>
            <c:ext xmlns:c16="http://schemas.microsoft.com/office/drawing/2014/chart" uri="{C3380CC4-5D6E-409C-BE32-E72D297353CC}">
              <c16:uniqueId val="{00000000-84C0-4CFC-838D-31F4EBDF5112}"/>
            </c:ext>
          </c:extLst>
        </c:ser>
        <c:ser>
          <c:idx val="1"/>
          <c:order val="1"/>
          <c:tx>
            <c:strRef>
              <c:f>'Vnější vztahy 2'!$A$7</c:f>
              <c:strCache>
                <c:ptCount val="1"/>
                <c:pt idx="0">
                  <c:v>2019</c:v>
                </c:pt>
              </c:strCache>
            </c:strRef>
          </c:tx>
          <c:spPr>
            <a:solidFill>
              <a:schemeClr val="bg1">
                <a:lumMod val="65000"/>
              </a:schemeClr>
            </a:solidFill>
          </c:spPr>
          <c:invertIfNegative val="0"/>
          <c:val>
            <c:numRef>
              <c:f>'Vnější vztahy 2'!$B$7:$N$7</c:f>
              <c:numCache>
                <c:formatCode>General</c:formatCode>
                <c:ptCount val="13"/>
                <c:pt idx="0">
                  <c:v>-30.701000000000001</c:v>
                </c:pt>
                <c:pt idx="1">
                  <c:v>-9.7940000000000005</c:v>
                </c:pt>
                <c:pt idx="2">
                  <c:v>-8.2669999999999995</c:v>
                </c:pt>
                <c:pt idx="3">
                  <c:v>-5.2729999999999997</c:v>
                </c:pt>
                <c:pt idx="4">
                  <c:v>-29.422999999999998</c:v>
                </c:pt>
                <c:pt idx="5">
                  <c:v>-13.609</c:v>
                </c:pt>
                <c:pt idx="6">
                  <c:v>5.8019999999999996</c:v>
                </c:pt>
                <c:pt idx="7">
                  <c:v>-29.789000000000001</c:v>
                </c:pt>
                <c:pt idx="8">
                  <c:v>15.465</c:v>
                </c:pt>
                <c:pt idx="9">
                  <c:v>-6.0519999999999996</c:v>
                </c:pt>
                <c:pt idx="10">
                  <c:v>12.741</c:v>
                </c:pt>
                <c:pt idx="11">
                  <c:v>20.007999999999999</c:v>
                </c:pt>
                <c:pt idx="12">
                  <c:v>125.208</c:v>
                </c:pt>
              </c:numCache>
            </c:numRef>
          </c:val>
          <c:extLst>
            <c:ext xmlns:c16="http://schemas.microsoft.com/office/drawing/2014/chart" uri="{C3380CC4-5D6E-409C-BE32-E72D297353CC}">
              <c16:uniqueId val="{00000001-84C0-4CFC-838D-31F4EBDF5112}"/>
            </c:ext>
          </c:extLst>
        </c:ser>
        <c:dLbls>
          <c:showLegendKey val="0"/>
          <c:showVal val="0"/>
          <c:showCatName val="0"/>
          <c:showSerName val="0"/>
          <c:showPercent val="0"/>
          <c:showBubbleSize val="0"/>
        </c:dLbls>
        <c:gapWidth val="97"/>
        <c:axId val="269967744"/>
        <c:axId val="269969280"/>
      </c:barChart>
      <c:catAx>
        <c:axId val="269967744"/>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269969280"/>
        <c:crosses val="autoZero"/>
        <c:auto val="1"/>
        <c:lblAlgn val="ctr"/>
        <c:lblOffset val="100"/>
        <c:noMultiLvlLbl val="0"/>
      </c:catAx>
      <c:valAx>
        <c:axId val="269969280"/>
        <c:scaling>
          <c:orientation val="minMax"/>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269967744"/>
        <c:crosses val="autoZero"/>
        <c:crossBetween val="between"/>
      </c:valAx>
      <c:spPr>
        <a:ln>
          <a:solidFill>
            <a:schemeClr val="tx1"/>
          </a:solidFill>
        </a:ln>
      </c:spPr>
    </c:plotArea>
    <c:legend>
      <c:legendPos val="b"/>
      <c:layout>
        <c:manualLayout>
          <c:xMode val="edge"/>
          <c:yMode val="edge"/>
          <c:x val="5.5873075264417107E-2"/>
          <c:y val="0.93271781816746591"/>
          <c:w val="0.92593890471149387"/>
          <c:h val="5.4750853511732103E-2"/>
        </c:manualLayout>
      </c:layout>
      <c:overlay val="1"/>
      <c:spPr>
        <a:ln w="6350">
          <a:solidFill>
            <a:sysClr val="windowText" lastClr="000000"/>
          </a:solid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0.35246</cdr:x>
      <cdr:y>0.02108</cdr:y>
    </cdr:from>
    <cdr:to>
      <cdr:x>0.40377</cdr:x>
      <cdr:y>0.04868</cdr:y>
    </cdr:to>
    <cdr:sp macro="" textlink="">
      <cdr:nvSpPr>
        <cdr:cNvPr id="2" name="Přímá spojovací šipka 1"/>
        <cdr:cNvSpPr/>
      </cdr:nvSpPr>
      <cdr:spPr>
        <a:xfrm xmlns:a="http://schemas.openxmlformats.org/drawingml/2006/main" flipH="1" flipV="1">
          <a:off x="1669301" y="88838"/>
          <a:ext cx="243025" cy="116316"/>
        </a:xfrm>
        <a:prstGeom xmlns:a="http://schemas.openxmlformats.org/drawingml/2006/main" prst="straightConnector1">
          <a:avLst/>
        </a:prstGeom>
        <a:noFill xmlns:a="http://schemas.openxmlformats.org/drawingml/2006/main"/>
        <a:ln xmlns:a="http://schemas.openxmlformats.org/drawingml/2006/main" w="6350" cap="flat" cmpd="sng" algn="ctr">
          <a:solidFill>
            <a:srgbClr val="984807"/>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0.41609</cdr:x>
      <cdr:y>0.03333</cdr:y>
    </cdr:from>
    <cdr:to>
      <cdr:x>0.46667</cdr:x>
      <cdr:y>0.06113</cdr:y>
    </cdr:to>
    <cdr:sp macro="" textlink="">
      <cdr:nvSpPr>
        <cdr:cNvPr id="3" name="TextovéPole 2"/>
        <cdr:cNvSpPr txBox="1"/>
      </cdr:nvSpPr>
      <cdr:spPr>
        <a:xfrm xmlns:a="http://schemas.openxmlformats.org/drawingml/2006/main" flipH="1">
          <a:off x="1970639" y="140482"/>
          <a:ext cx="239554" cy="117159"/>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984807"/>
              </a:solidFill>
              <a:latin typeface="Arial" pitchFamily="34" charset="0"/>
              <a:cs typeface="Arial" pitchFamily="34" charset="0"/>
            </a:rPr>
            <a:t>67,5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6623-24FD-447E-86E0-570C546032F5}">
  <ds:schemaRefs>
    <ds:schemaRef ds:uri="http://schemas.openxmlformats.org/officeDocument/2006/bibliography"/>
  </ds:schemaRefs>
</ds:datastoreItem>
</file>

<file path=customXml/itemProps2.xml><?xml version="1.0" encoding="utf-8"?>
<ds:datastoreItem xmlns:ds="http://schemas.openxmlformats.org/officeDocument/2006/customXml" ds:itemID="{421E139B-AA72-47DA-9217-02456666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10</TotalTime>
  <Pages>31</Pages>
  <Words>11076</Words>
  <Characters>65351</Characters>
  <Application>Microsoft Office Word</Application>
  <DocSecurity>0</DocSecurity>
  <Lines>544</Lines>
  <Paragraphs>152</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76275</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Zábojníková</cp:lastModifiedBy>
  <cp:revision>9</cp:revision>
  <cp:lastPrinted>2019-04-08T10:52:00Z</cp:lastPrinted>
  <dcterms:created xsi:type="dcterms:W3CDTF">2019-06-13T09:58:00Z</dcterms:created>
  <dcterms:modified xsi:type="dcterms:W3CDTF">2019-06-13T10:25:00Z</dcterms:modified>
</cp:coreProperties>
</file>