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Default="00576A3E" w:rsidP="0060487F">
      <w:pPr>
        <w:pStyle w:val="Styl1"/>
        <w:rPr>
          <w:rFonts w:cs="Arial"/>
          <w:sz w:val="20"/>
        </w:rPr>
      </w:pPr>
    </w:p>
    <w:p w:rsidR="00576A3E" w:rsidRDefault="00A17754">
      <w:pPr>
        <w:spacing w:line="240" w:lineRule="auto"/>
        <w:rPr>
          <w:rFonts w:cs="Arial"/>
          <w:lang w:eastAsia="ar-SA"/>
        </w:rPr>
      </w:pPr>
      <w:r w:rsidRPr="00A17754">
        <w:rPr>
          <w:noProof/>
        </w:rPr>
        <w:pict>
          <v:shapetype id="_x0000_t202" coordsize="21600,21600" o:spt="202" path="m,l,21600r21600,l21600,xe">
            <v:stroke joinstyle="miter"/>
            <v:path gradientshapeok="t" o:connecttype="rect"/>
          </v:shapetype>
          <v:shape id="Textové pole 2" o:spid="_x0000_s1026" type="#_x0000_t202" style="position:absolute;margin-left:134.65pt;margin-top:759.8pt;width:403.95pt;height:14.15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fJtwIAAK8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" filled="f" stroked="f">
            <v:textbox inset="0,0,0,0">
              <w:txbxContent>
                <w:p w:rsidR="00707D43" w:rsidRPr="005251DD" w:rsidRDefault="00707D43" w:rsidP="004F191F">
                  <w:r w:rsidRPr="005251DD">
                    <w:t xml:space="preserve">Český statistický úřad, </w:t>
                  </w:r>
                  <w:r>
                    <w:t>Praha, 2015</w:t>
                  </w:r>
                </w:p>
              </w:txbxContent>
            </v:textbox>
            <w10:wrap anchorx="page" anchory="page"/>
            <w10:anchorlock/>
          </v:shape>
        </w:pict>
      </w:r>
      <w:r w:rsidRPr="00A17754">
        <w:rPr>
          <w:noProof/>
        </w:rPr>
        <w:pict>
          <v:shape id="_x0000_s1027" type="#_x0000_t202" style="position:absolute;margin-left:134.65pt;margin-top:612.45pt;width:394.65pt;height:112.4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" filled="f" stroked="f">
            <v:textbox inset="0,0,0,0">
              <w:txbxContent>
                <w:p w:rsidR="00707D43" w:rsidRDefault="00707D43" w:rsidP="004F2A73">
                  <w:pPr>
                    <w:pStyle w:val="TL-Identifikace-dole"/>
                  </w:pPr>
                </w:p>
                <w:p w:rsidR="00707D43" w:rsidRPr="006C5577" w:rsidRDefault="00707D43" w:rsidP="004F2A73">
                  <w:pPr>
                    <w:pStyle w:val="TL-Identifikace-dole"/>
                  </w:pPr>
                  <w:r>
                    <w:t>Z</w:t>
                  </w:r>
                  <w:r w:rsidRPr="006C5577">
                    <w:t>pracoval: Odbor</w:t>
                  </w:r>
                  <w:r>
                    <w:t xml:space="preserve"> Kancelář předsedkyně, Oddělení svodných analýz</w:t>
                  </w:r>
                </w:p>
                <w:p w:rsidR="00707D43" w:rsidRPr="006C5577" w:rsidRDefault="00707D43" w:rsidP="004F191F">
                  <w:pPr>
                    <w:pStyle w:val="TL-Identifikace-dole"/>
                  </w:pPr>
                  <w:r w:rsidRPr="006C5577">
                    <w:t xml:space="preserve">Ředitel odboru: </w:t>
                  </w:r>
                  <w:proofErr w:type="spellStart"/>
                  <w:r>
                    <w:t>Egor</w:t>
                  </w:r>
                  <w:proofErr w:type="spellEnd"/>
                  <w:r>
                    <w:t xml:space="preserve"> </w:t>
                  </w:r>
                  <w:proofErr w:type="spellStart"/>
                  <w:r>
                    <w:t>Sidorov</w:t>
                  </w:r>
                  <w:proofErr w:type="spellEnd"/>
                  <w:r>
                    <w:t xml:space="preserve">, </w:t>
                  </w:r>
                  <w:proofErr w:type="spellStart"/>
                  <w:r>
                    <w:t>Ph.D</w:t>
                  </w:r>
                  <w:proofErr w:type="spellEnd"/>
                  <w:r>
                    <w:t>.</w:t>
                  </w:r>
                </w:p>
                <w:p w:rsidR="00707D43" w:rsidRDefault="00707D43" w:rsidP="004F191F">
                  <w:pPr>
                    <w:pStyle w:val="TL-Identifikace-dole"/>
                  </w:pPr>
                  <w:r>
                    <w:t>Autorský tým: Ing. Drahomíra Dubská, CSc., Bc. Jiří Kamenický, Ing. Lukáš Kučera</w:t>
                  </w:r>
                </w:p>
                <w:p w:rsidR="00707D43" w:rsidRDefault="00707D43" w:rsidP="004F191F">
                  <w:pPr>
                    <w:pStyle w:val="TL-Identifikace-dole"/>
                  </w:pPr>
                  <w:r w:rsidRPr="006C5577">
                    <w:t xml:space="preserve">Kontaktní osoba: </w:t>
                  </w:r>
                  <w:r>
                    <w:t>Ing. Lukáš Kučera, e</w:t>
                  </w:r>
                  <w:r w:rsidR="00BD1EAC">
                    <w:t>-</w:t>
                  </w:r>
                  <w:r>
                    <w:t>mail</w:t>
                  </w:r>
                  <w:r w:rsidRPr="006C5577">
                    <w:t>:</w:t>
                  </w:r>
                  <w:r>
                    <w:t xml:space="preserve"> </w:t>
                  </w:r>
                  <w:hyperlink r:id="rId8" w:history="1">
                    <w:r w:rsidRPr="00F35EAC">
                      <w:rPr>
                        <w:rStyle w:val="Hypertextovodkaz"/>
                      </w:rPr>
                      <w:t>lukas.kucera@czso.cz</w:t>
                    </w:r>
                  </w:hyperlink>
                  <w:r w:rsidR="00BD1EAC">
                    <w:t>. tel: 2</w:t>
                  </w:r>
                  <w:r>
                    <w:t>74</w:t>
                  </w:r>
                  <w:r w:rsidR="00BD1EAC">
                    <w:t> 05</w:t>
                  </w:r>
                  <w:r>
                    <w:t>2</w:t>
                  </w:r>
                  <w:r w:rsidR="00BD1EAC">
                    <w:t xml:space="preserve"> </w:t>
                  </w:r>
                  <w:r>
                    <w:t>254</w:t>
                  </w:r>
                </w:p>
              </w:txbxContent>
            </v:textbox>
            <w10:wrap anchorx="page" anchory="page"/>
            <w10:anchorlock/>
          </v:shape>
        </w:pict>
      </w:r>
      <w:r w:rsidRPr="00A17754">
        <w:rPr>
          <w:noProof/>
        </w:rPr>
        <w:pict>
          <v:shape id="Text Box 25" o:spid="_x0000_s1028" type="#_x0000_t202" style="position:absolute;margin-left:134.65pt;margin-top:358.2pt;width:394.6pt;height:155.5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" filled="f" stroked="f">
            <v:textbox inset="0,0,0,0">
              <w:txbxContent>
                <w:p w:rsidR="00707D43" w:rsidRPr="00D31445" w:rsidRDefault="00707D43" w:rsidP="004F191F">
                  <w:pPr>
                    <w:pStyle w:val="TL-identifikace-sted"/>
                  </w:pPr>
                  <w:r>
                    <w:t>Souhrnná data o České republice</w:t>
                  </w:r>
                </w:p>
                <w:p w:rsidR="00707D43" w:rsidRPr="00473E94" w:rsidRDefault="00707D43" w:rsidP="004F191F">
                  <w:pPr>
                    <w:pStyle w:val="TL-identifikace-sted"/>
                    <w:rPr>
                      <w:color w:val="000000"/>
                    </w:rPr>
                  </w:pPr>
                  <w:bookmarkStart w:id="0" w:name="_GoBack"/>
                  <w:r>
                    <w:rPr>
                      <w:color w:val="000000"/>
                    </w:rPr>
                    <w:t>Praha, 21. 9</w:t>
                  </w:r>
                  <w:r w:rsidRPr="00473E94">
                    <w:rPr>
                      <w:color w:val="000000"/>
                    </w:rPr>
                    <w:t>. 2015</w:t>
                  </w:r>
                </w:p>
                <w:bookmarkEnd w:id="0"/>
                <w:p w:rsidR="00707D43" w:rsidRPr="00D31445" w:rsidRDefault="00707D43" w:rsidP="004F191F">
                  <w:pPr>
                    <w:pStyle w:val="TL-identifikace-sted"/>
                  </w:pPr>
                  <w:r w:rsidRPr="00D31445">
                    <w:t xml:space="preserve">Kód </w:t>
                  </w:r>
                  <w:r w:rsidRPr="004F4353">
                    <w:t>publikace: 320193-15</w:t>
                  </w:r>
                </w:p>
                <w:p w:rsidR="00707D43" w:rsidRPr="00477241" w:rsidRDefault="00707D43" w:rsidP="004F191F">
                  <w:pPr>
                    <w:spacing w:after="200"/>
                    <w:rPr>
                      <w:sz w:val="24"/>
                    </w:rPr>
                  </w:pPr>
                  <w:r w:rsidRPr="00477241">
                    <w:rPr>
                      <w:sz w:val="24"/>
                    </w:rPr>
                    <w:t xml:space="preserve">Č. </w:t>
                  </w:r>
                  <w:proofErr w:type="spellStart"/>
                  <w:r w:rsidRPr="00477241">
                    <w:rPr>
                      <w:sz w:val="24"/>
                    </w:rPr>
                    <w:t>j</w:t>
                  </w:r>
                  <w:proofErr w:type="spellEnd"/>
                  <w:r w:rsidRPr="00477241">
                    <w:rPr>
                      <w:sz w:val="24"/>
                    </w:rPr>
                    <w:t xml:space="preserve">.:  </w:t>
                  </w:r>
                  <w:r>
                    <w:rPr>
                      <w:sz w:val="24"/>
                    </w:rPr>
                    <w:t>1798</w:t>
                  </w:r>
                  <w:r w:rsidRPr="00477241">
                    <w:rPr>
                      <w:sz w:val="24"/>
                    </w:rPr>
                    <w:t>/ 2015 - 01</w:t>
                  </w:r>
                </w:p>
                <w:p w:rsidR="00707D43" w:rsidRPr="00D31445" w:rsidRDefault="00707D43" w:rsidP="004F191F">
                  <w:pPr>
                    <w:spacing w:after="200"/>
                    <w:rPr>
                      <w:sz w:val="24"/>
                    </w:rPr>
                  </w:pPr>
                  <w:r>
                    <w:rPr>
                      <w:sz w:val="24"/>
                    </w:rPr>
                    <w:t>Pořadové číslo v roce: 2</w:t>
                  </w:r>
                </w:p>
              </w:txbxContent>
            </v:textbox>
            <w10:wrap anchorx="page" anchory="page"/>
            <w10:anchorlock/>
          </v:shape>
        </w:pict>
      </w:r>
      <w:r w:rsidRPr="00A17754">
        <w:rPr>
          <w:noProof/>
        </w:rPr>
        <w:pict>
          <v:shape id="_x0000_s1029" type="#_x0000_t202" style="position:absolute;margin-left:134.65pt;margin-top:116.25pt;width:371.15pt;height:135.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Z4uwIAALcFAAAOAAAAZHJzL2Uyb0RvYy54bWysVNuOmzAQfa/Uf7D8znJZQgJ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" filled="f" stroked="f">
            <v:textbox style="mso-fit-shape-to-text:t" inset="0,0,0,0">
              <w:txbxContent>
                <w:p w:rsidR="00707D43" w:rsidRPr="001C357A" w:rsidRDefault="00707D43" w:rsidP="001C357A">
                  <w:pPr>
                    <w:pStyle w:val="Podtitul"/>
                    <w:rPr>
                      <w:sz w:val="56"/>
                      <w:szCs w:val="56"/>
                    </w:rPr>
                  </w:pPr>
                  <w:r>
                    <w:rPr>
                      <w:sz w:val="56"/>
                      <w:szCs w:val="56"/>
                    </w:rPr>
                    <w:t>VÝVOJ EKONOMIKY Č</w:t>
                  </w:r>
                  <w:r w:rsidRPr="001C357A">
                    <w:rPr>
                      <w:sz w:val="56"/>
                      <w:szCs w:val="56"/>
                    </w:rPr>
                    <w:t>E</w:t>
                  </w:r>
                  <w:r>
                    <w:rPr>
                      <w:sz w:val="56"/>
                      <w:szCs w:val="56"/>
                    </w:rPr>
                    <w:t>SKÉ REPUBLIKY V 1. POLOLETÍ 2015</w:t>
                  </w:r>
                </w:p>
                <w:p w:rsidR="00707D43" w:rsidRPr="009B04D0" w:rsidRDefault="00707D43" w:rsidP="004F191F">
                  <w:pPr>
                    <w:pStyle w:val="Podtitul"/>
                  </w:pPr>
                </w:p>
              </w:txbxContent>
            </v:textbox>
            <w10:wrap anchorx="page" anchory="page"/>
            <w10:anchorlock/>
          </v:shape>
        </w:pict>
      </w:r>
      <w:r w:rsidRPr="00A17754">
        <w:rPr>
          <w:noProof/>
        </w:rPr>
        <w:pict>
          <v:group id="Group 24" o:spid="_x0000_s1030" style="position:absolute;margin-left:45.1pt;margin-top:36.8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">
            <o:lock v:ext="edit" aspectratio="t"/>
            <v:rect id="Rectangle 9" o:spid="_x0000_s1031" style="position:absolute;left:1215;top:901;width:676;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dfb4A&#10;AADaAAAADwAAAGRycy9kb3ducmV2LnhtbERPTYvCMBC9L/gfwgje1lQPrlTTIooguB62Cl7HZmyD&#10;zaQ00Xb/vTks7PHxvtf5YBvxos4bxwpm0wQEcem04UrB5bz/XILwAVlj45gU/JKHPBt9rDHVrucf&#10;ehWhEjGEfYoK6hDaVEpf1mTRT11LHLm76yyGCLtK6g77GG4bOU+ShbRoODbU2NK2pvJRPK0CI797&#10;W5yuO5c827O5ft2WPhyVmoyHzQpEoCH8i//cB60gbo1X4g2Q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BHX2+AAAA2gAAAA8AAAAAAAAAAAAAAAAAmAIAAGRycy9kb3ducmV2&#10;LnhtbFBLBQYAAAAABAAEAPUAAACDAwAAAAA=&#10;" fillcolor="#0071bc" stroked="f">
              <o:lock v:ext="edit" aspectratio="t"/>
            </v:rect>
            <v:rect id="Rectangle 10" o:spid="_x0000_s1032" style="position:absolute;left:567;top:1131;width:1324;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45sIA&#10;AADaAAAADwAAAGRycy9kb3ducmV2LnhtbESPT4vCMBTE74LfITzBm6Z68E/XKIuysLB6sApen83b&#10;NmzzUppou9/eCILHYWZ+w6w2na3EnRpvHCuYjBMQxLnThgsF59PXaAHCB2SNlWNS8E8eNut+b4Wp&#10;di0f6Z6FQkQI+xQVlCHUqZQ+L8miH7uaOHq/rrEYomwKqRtsI9xWcpokM2nRcFwosaZtSflfdrMK&#10;jNy3Njtcdi651SdzmV8XPvwoNRx0nx8gAnXhHX61v7WCJ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jbjmwgAAANoAAAAPAAAAAAAAAAAAAAAAAJgCAABkcnMvZG93&#10;bnJldi54bWxQSwUGAAAAAAQABAD1AAAAhwMAAAAA&#10;" fillcolor="#0071bc" stroked="f">
              <o:lock v:ext="edit" aspectratio="t"/>
            </v:rect>
            <v:rect id="Rectangle 11" o:spid="_x0000_s1033" style="position:absolute;left:1288;top:1361;width:603;height: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CmR8QA&#10;AADbAAAADwAAAGRycy9kb3ducmV2LnhtbESPQWvCQBSE7wX/w/KE3pqNUtoQXUUshULbQxMh12f2&#10;mSxm34bsauK/dwuFHoeZ+YZZbyfbiSsN3jhWsEhSEMS104YbBYfy/SkD4QOyxs4xKbiRh+1m9rDG&#10;XLuRf+hahEZECPscFbQh9LmUvm7Jok9cTxy9kxsshiiHRuoBxwi3nVym6Yu0aDgutNjTvqX6XFys&#10;AiO/Rlt8V28uvfSlqV6PmQ+fSj3Op90KRKAp/If/2h9awfIZ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pkfEAAAA2wAAAA8AAAAAAAAAAAAAAAAAmAIAAGRycy9k&#10;b3ducmV2LnhtbFBLBQYAAAAABAAEAPUAAACJAwAAAAA=&#10;" fillcolor="#0071bc" stroked="f">
              <o:lock v:ext="edit" aspectratio="t"/>
            </v:rect>
            <v:shape id="Freeform 12" o:spid="_x0000_s1034" style="position:absolute;left:1969;top:1311;width:600;height:207;visibility:visible;mso-wrap-style:square;v-text-anchor:top" coordsize="120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cN8EA&#10;AADbAAAADwAAAGRycy9kb3ducmV2LnhtbESPQYvCMBSE78L+h/AEb5paUJauUYqs7IqnrfX+aN42&#10;xealNFHrvzeC4HGYmW+Y1WawrbhS7xvHCuazBARx5XTDtYLyuJt+gvABWWPrmBTcycNm/TFaYabd&#10;jf/oWoRaRAj7DBWYELpMSl8ZsuhnriOO3r/rLYYo+1rqHm8RbluZJslSWmw4LhjsaGuoOhcXq+A7&#10;J0N52W0L3renn9P5kDb7g1KT8ZB/gQg0hHf41f7VCtIFPL/E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HDfBAAAA2wAAAA8AAAAAAAAAAAAAAAAAmAIAAGRycy9kb3du&#10;cmV2LnhtbFBLBQYAAAAABAAEAPUAAACGAw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5" style="position:absolute;left:1962;top:1081;width:1319;height:208;visibility:visible;mso-wrap-style:square;v-text-anchor:top" coordsize="263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aAMYA&#10;AADbAAAADwAAAGRycy9kb3ducmV2LnhtbESPQWvCQBSE7wX/w/KEXqRuVBBJ3YSiFKQqqGkPvT2y&#10;r0lo9m3Y3Zr033cFocdhZr5h1vlgWnEl5xvLCmbTBARxaXXDlYL34vVpBcIHZI2tZVLwSx7ybPSw&#10;xlTbns90vYRKRAj7FBXUIXSplL6syaCf2o44el/WGQxRukpqh32Em1bOk2QpDTYcF2rsaFNT+X35&#10;MQo2RfvhFod+f3aT7e7t81jJ4nhS6nE8vDyDCDSE//C9vdMK5ku4fY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haAMYAAADbAAAADwAAAAAAAAAAAAAAAACYAgAAZHJz&#10;L2Rvd25yZXYueG1sUEsFBgAAAAAEAAQA9QAAAIsD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6" style="position:absolute;left:1962;top:851;width:679;height:208;visibility:visible;mso-wrap-style:square;v-text-anchor:top" coordsize="1358,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zGsMA&#10;AADbAAAADwAAAGRycy9kb3ducmV2LnhtbESPQWvCQBSE74L/YXmCF6mbetCSukpVot5KVXp+zT6T&#10;0OzbdHc18d+7BcHjMPPNMPNlZ2pxJecrywpexwkI4tzqigsFp2P28gbCB2SNtWVScCMPy0W/N8dU&#10;25a/6HoIhYgl7FNUUIbQpFL6vCSDfmwb4uidrTMYonSF1A7bWG5qOUmSqTRYcVwosaF1Sfnv4WIU&#10;TKbfP7tsX6w+6+3fyOnzJhu1G6WGg+7jHUSgLjzDD3qvIzeD/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gzGsMAAADbAAAADwAAAAAAAAAAAAAAAACYAgAAZHJzL2Rv&#10;d25yZXYueG1sUEsFBgAAAAAEAAQA9QAAAIgDA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rsidP="00D31932">
      <w:pPr>
        <w:autoSpaceDE w:val="0"/>
        <w:autoSpaceDN w:val="0"/>
        <w:adjustRightInd w:val="0"/>
        <w:spacing w:line="240" w:lineRule="auto"/>
        <w:jc w:val="both"/>
        <w:rPr>
          <w:rFonts w:cs="Arial"/>
        </w:rPr>
      </w:pPr>
    </w:p>
    <w:p w:rsidR="00576A3E" w:rsidRDefault="00A17754" w:rsidP="00D31932">
      <w:pPr>
        <w:autoSpaceDE w:val="0"/>
        <w:autoSpaceDN w:val="0"/>
        <w:adjustRightInd w:val="0"/>
        <w:spacing w:line="240" w:lineRule="auto"/>
        <w:jc w:val="both"/>
        <w:rPr>
          <w:rFonts w:cs="Arial"/>
          <w:lang w:eastAsia="ar-SA"/>
        </w:rPr>
      </w:pPr>
      <w:r w:rsidRPr="00A17754">
        <w:rPr>
          <w:noProof/>
        </w:rPr>
        <w:pict>
          <v:line id="Přímá spojnice 33" o:spid="_x0000_s1037" style="position:absolute;left:0;text-align:left;z-index:251656704;visibility:visible;mso-wrap-distance-top:-3e-5mm;mso-wrap-distance-bottom:-3e-5mm;mso-position-horizontal-relative:page;mso-position-vertical-relative:page"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576A3E">
        <w:rPr>
          <w:rFonts w:cs="Arial"/>
        </w:rPr>
        <w:br w:type="page"/>
      </w:r>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pPr>
        <w:spacing w:line="240" w:lineRule="auto"/>
        <w:rPr>
          <w:rFonts w:cs="Arial"/>
          <w:lang w:eastAsia="ar-SA"/>
        </w:rPr>
      </w:pPr>
    </w:p>
    <w:p w:rsidR="00576A3E" w:rsidRDefault="00576A3E" w:rsidP="0060487F">
      <w:pPr>
        <w:pStyle w:val="Styl1"/>
        <w:rPr>
          <w:rFonts w:cs="Arial"/>
          <w:sz w:val="20"/>
        </w:rPr>
      </w:pPr>
    </w:p>
    <w:p w:rsidR="00576A3E" w:rsidRPr="006404A7" w:rsidRDefault="00A17754" w:rsidP="0060487F">
      <w:pPr>
        <w:pStyle w:val="Styl1"/>
        <w:rPr>
          <w:rFonts w:cs="Arial"/>
          <w:color w:val="7DB41E"/>
          <w:sz w:val="20"/>
          <w:szCs w:val="20"/>
        </w:rPr>
      </w:pPr>
      <w:r w:rsidRPr="00A17754">
        <w:rPr>
          <w:noProof/>
          <w:lang w:eastAsia="cs-CZ"/>
        </w:rPr>
        <w:pict>
          <v:shape id="_x0000_s1038" type="#_x0000_t202" style="position:absolute;margin-left:56.7pt;margin-top:116.25pt;width:481.9pt;height:595.3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" filled="f" stroked="f">
            <v:textbox inset="0,0,0,0">
              <w:txbxContent>
                <w:p w:rsidR="00707D43" w:rsidRPr="00D766EF" w:rsidRDefault="00707D43" w:rsidP="00437C76">
                  <w:pPr>
                    <w:pStyle w:val="TL-Kontakty"/>
                  </w:pPr>
                  <w:r w:rsidRPr="00D766EF">
                    <w:rPr>
                      <w:caps w:val="0"/>
                    </w:rPr>
                    <w:t>KONTAKTY V</w:t>
                  </w:r>
                  <w:r w:rsidRPr="00D766EF">
                    <w:t> ÚSTŘEDÍ</w:t>
                  </w:r>
                </w:p>
                <w:p w:rsidR="00707D43" w:rsidRPr="00EA4153" w:rsidRDefault="00707D43"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707D43" w:rsidRPr="00B27293" w:rsidRDefault="00707D43" w:rsidP="00BD366B">
                  <w:pPr>
                    <w:spacing w:after="80" w:line="240" w:lineRule="auto"/>
                  </w:pPr>
                  <w:r w:rsidRPr="00100014">
                    <w:rPr>
                      <w:b/>
                    </w:rPr>
                    <w:t>Oddělení informačních služeb</w:t>
                  </w:r>
                  <w:r w:rsidRPr="00EA4153">
                    <w:t xml:space="preserve"> |</w:t>
                  </w:r>
                  <w:r>
                    <w:rPr>
                      <w:b/>
                    </w:rPr>
                    <w:t xml:space="preserve"> </w:t>
                  </w:r>
                  <w:r>
                    <w:t>tel.: 274 052 648, 274 052 304, 274 052 451 | e-mail: infoservis@czso.cz</w:t>
                  </w:r>
                </w:p>
                <w:p w:rsidR="00707D43" w:rsidRPr="00EA4153" w:rsidRDefault="00707D43" w:rsidP="00BD366B">
                  <w:pPr>
                    <w:spacing w:after="80" w:line="240" w:lineRule="auto"/>
                    <w:rPr>
                      <w:b/>
                    </w:rPr>
                  </w:pPr>
                  <w:r w:rsidRPr="00100014">
                    <w:rPr>
                      <w:b/>
                    </w:rPr>
                    <w:t>Prodejna publikací ČSÚ</w:t>
                  </w:r>
                  <w:r>
                    <w:t xml:space="preserve"> | tel.: 274 052 361 | e-mail: prodejna@czso.cz</w:t>
                  </w:r>
                </w:p>
                <w:p w:rsidR="00707D43" w:rsidRPr="00EA4153" w:rsidRDefault="00707D43"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707D43" w:rsidRPr="00EA4153" w:rsidRDefault="00707D43" w:rsidP="00BD366B">
                  <w:pPr>
                    <w:spacing w:after="80" w:line="240" w:lineRule="auto"/>
                    <w:rPr>
                      <w:b/>
                    </w:rPr>
                  </w:pPr>
                  <w:r w:rsidRPr="00100014">
                    <w:rPr>
                      <w:b/>
                    </w:rPr>
                    <w:t>Ústřední statistická knihovna</w:t>
                  </w:r>
                  <w:r>
                    <w:t xml:space="preserve"> | tel.: 274 052 361 | e-mail: knihovna@czso.cz</w:t>
                  </w:r>
                </w:p>
                <w:p w:rsidR="00707D43" w:rsidRDefault="00707D43" w:rsidP="00BD366B">
                  <w:pPr>
                    <w:spacing w:line="240" w:lineRule="auto"/>
                  </w:pPr>
                </w:p>
                <w:p w:rsidR="00707D43" w:rsidRPr="0071229A" w:rsidRDefault="00707D43" w:rsidP="004F06F5">
                  <w:pPr>
                    <w:pStyle w:val="TL-Kontakty"/>
                  </w:pPr>
                  <w:r w:rsidRPr="0071229A">
                    <w:t>INFORMAČNÍ SLUŽBY V REGIONECH</w:t>
                  </w:r>
                </w:p>
                <w:p w:rsidR="00707D43" w:rsidRDefault="00707D43" w:rsidP="00BD366B">
                  <w:pPr>
                    <w:spacing w:line="240" w:lineRule="auto"/>
                  </w:pPr>
                  <w:r w:rsidRPr="00100014">
                    <w:rPr>
                      <w:b/>
                      <w:color w:val="0071BC"/>
                    </w:rPr>
                    <w:t>Hl. m. Praha</w:t>
                  </w:r>
                  <w:r>
                    <w:t xml:space="preserve"> | Na padesátém 81, 100 82 Praha 10 | tel.: 274 052 673, 274 054 223</w:t>
                  </w:r>
                </w:p>
                <w:p w:rsidR="00707D43" w:rsidRPr="00100014" w:rsidRDefault="00707D43" w:rsidP="00BD366B">
                  <w:pPr>
                    <w:spacing w:line="240" w:lineRule="auto"/>
                    <w:rPr>
                      <w:b/>
                    </w:rPr>
                  </w:pPr>
                  <w:r>
                    <w:t xml:space="preserve">e-mail: infoservispraha@czso.cz | </w:t>
                  </w:r>
                  <w:r w:rsidRPr="00100014">
                    <w:rPr>
                      <w:b/>
                    </w:rPr>
                    <w:t>www.praha.czso.cz</w:t>
                  </w:r>
                </w:p>
                <w:p w:rsidR="00707D43" w:rsidRDefault="00707D43" w:rsidP="00BD366B">
                  <w:pPr>
                    <w:spacing w:line="240" w:lineRule="auto"/>
                  </w:pPr>
                </w:p>
                <w:p w:rsidR="00707D43" w:rsidRPr="00B27293" w:rsidRDefault="00707D43"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707D43" w:rsidRPr="00B27293" w:rsidRDefault="00707D43" w:rsidP="00BD366B">
                  <w:pPr>
                    <w:spacing w:line="240" w:lineRule="auto"/>
                  </w:pPr>
                  <w:r>
                    <w:t xml:space="preserve">e-mail: infoservisstc@czso.cz | </w:t>
                  </w:r>
                  <w:r w:rsidRPr="00100014">
                    <w:rPr>
                      <w:b/>
                    </w:rPr>
                    <w:t>www.stredocesky.czso.cz</w:t>
                  </w:r>
                </w:p>
                <w:p w:rsidR="00707D43" w:rsidRDefault="00707D43" w:rsidP="00BD366B">
                  <w:pPr>
                    <w:spacing w:line="240" w:lineRule="auto"/>
                  </w:pPr>
                </w:p>
                <w:p w:rsidR="00707D43" w:rsidRPr="00B27293" w:rsidRDefault="00707D43" w:rsidP="00BD366B">
                  <w:pPr>
                    <w:spacing w:line="240" w:lineRule="auto"/>
                    <w:rPr>
                      <w:b/>
                      <w:color w:val="0071BC"/>
                    </w:rPr>
                  </w:pPr>
                  <w:r w:rsidRPr="00100014">
                    <w:rPr>
                      <w:b/>
                      <w:color w:val="0071BC"/>
                    </w:rPr>
                    <w:t>České Budějovice</w:t>
                  </w:r>
                  <w:r>
                    <w:t xml:space="preserve"> | Žižkova 1, 370 77 České Budějovice | tel.: 386 718 440</w:t>
                  </w:r>
                </w:p>
                <w:p w:rsidR="00707D43" w:rsidRPr="00B27293" w:rsidRDefault="00707D43" w:rsidP="00BD366B">
                  <w:pPr>
                    <w:spacing w:line="240" w:lineRule="auto"/>
                  </w:pPr>
                  <w:r>
                    <w:t xml:space="preserve">e-mail: infoserviscb@czso.cz | </w:t>
                  </w:r>
                  <w:r w:rsidRPr="00100014">
                    <w:rPr>
                      <w:b/>
                    </w:rPr>
                    <w:t>www.cbudejovice.czso.cz</w:t>
                  </w:r>
                </w:p>
                <w:p w:rsidR="00707D43" w:rsidRDefault="00707D43" w:rsidP="00BD366B">
                  <w:pPr>
                    <w:spacing w:line="240" w:lineRule="auto"/>
                  </w:pPr>
                </w:p>
                <w:p w:rsidR="00707D43" w:rsidRPr="00B27293" w:rsidRDefault="00707D43" w:rsidP="00BD366B">
                  <w:pPr>
                    <w:spacing w:line="240" w:lineRule="auto"/>
                    <w:rPr>
                      <w:b/>
                      <w:color w:val="0071BC"/>
                    </w:rPr>
                  </w:pPr>
                  <w:r w:rsidRPr="0071229A">
                    <w:rPr>
                      <w:b/>
                      <w:color w:val="0071BC"/>
                    </w:rPr>
                    <w:t>Plzeň</w:t>
                  </w:r>
                  <w:r>
                    <w:t xml:space="preserve"> | Slovanská alej 36, 326 64 Plzeň | tel.: 377 612 108, 377 612 249</w:t>
                  </w:r>
                </w:p>
                <w:p w:rsidR="00707D43" w:rsidRPr="00B27293" w:rsidRDefault="00707D43" w:rsidP="00BD366B">
                  <w:pPr>
                    <w:spacing w:line="240" w:lineRule="auto"/>
                  </w:pPr>
                  <w:r>
                    <w:t xml:space="preserve">e-mail: infoservisplzen@czso.cz | </w:t>
                  </w:r>
                  <w:r w:rsidRPr="0071229A">
                    <w:rPr>
                      <w:b/>
                    </w:rPr>
                    <w:t>www.plzen.czso.cz</w:t>
                  </w:r>
                </w:p>
                <w:p w:rsidR="00707D43" w:rsidRDefault="00707D43" w:rsidP="00BD366B">
                  <w:pPr>
                    <w:spacing w:line="240" w:lineRule="auto"/>
                  </w:pPr>
                </w:p>
                <w:p w:rsidR="00707D43" w:rsidRPr="00B27293" w:rsidRDefault="00707D43" w:rsidP="00BD366B">
                  <w:pPr>
                    <w:spacing w:line="240" w:lineRule="auto"/>
                    <w:rPr>
                      <w:b/>
                      <w:color w:val="0071BC"/>
                    </w:rPr>
                  </w:pPr>
                  <w:r w:rsidRPr="0071229A">
                    <w:rPr>
                      <w:b/>
                      <w:color w:val="0071BC"/>
                    </w:rPr>
                    <w:t>Karlovy Vary</w:t>
                  </w:r>
                  <w:r>
                    <w:t xml:space="preserve"> | Sportovní 28, 360 01 Karlovy Vary | tel.: 353 114 529, 353 114 525</w:t>
                  </w:r>
                </w:p>
                <w:p w:rsidR="00707D43" w:rsidRDefault="00707D43" w:rsidP="00BD366B">
                  <w:pPr>
                    <w:spacing w:line="240" w:lineRule="auto"/>
                    <w:rPr>
                      <w:b/>
                    </w:rPr>
                  </w:pPr>
                  <w:r>
                    <w:t xml:space="preserve">e-mail: infoserviskv@czso.cz | </w:t>
                  </w:r>
                  <w:r>
                    <w:rPr>
                      <w:b/>
                    </w:rPr>
                    <w:t>www.kvary.czso.cz</w:t>
                  </w:r>
                </w:p>
                <w:p w:rsidR="00707D43" w:rsidRDefault="00707D43" w:rsidP="00BD366B">
                  <w:pPr>
                    <w:spacing w:line="240" w:lineRule="auto"/>
                  </w:pPr>
                </w:p>
                <w:p w:rsidR="00707D43" w:rsidRPr="00B27293" w:rsidRDefault="00707D43" w:rsidP="00BD366B">
                  <w:pPr>
                    <w:spacing w:line="240" w:lineRule="auto"/>
                    <w:rPr>
                      <w:b/>
                      <w:bCs/>
                      <w:color w:val="0071BC"/>
                    </w:rPr>
                  </w:pPr>
                  <w:r w:rsidRPr="0071229A">
                    <w:rPr>
                      <w:b/>
                      <w:bCs/>
                      <w:color w:val="0071BC"/>
                    </w:rPr>
                    <w:t>Ústí nad Labem</w:t>
                  </w:r>
                  <w:r>
                    <w:t xml:space="preserve"> | </w:t>
                  </w:r>
                  <w:proofErr w:type="spellStart"/>
                  <w:r w:rsidRPr="0071229A">
                    <w:rPr>
                      <w:bCs/>
                    </w:rPr>
                    <w:t>Špálova</w:t>
                  </w:r>
                  <w:proofErr w:type="spellEnd"/>
                  <w:r w:rsidRPr="0071229A">
                    <w:rPr>
                      <w:bCs/>
                    </w:rPr>
                    <w:t xml:space="preserve"> 2684, 400 11 Ústí nad Labem</w:t>
                  </w:r>
                  <w:r>
                    <w:t xml:space="preserve"> | </w:t>
                  </w:r>
                  <w:r w:rsidRPr="0071229A">
                    <w:rPr>
                      <w:bCs/>
                    </w:rPr>
                    <w:t>tel.: 472 706 176, 472 706 121</w:t>
                  </w:r>
                </w:p>
                <w:p w:rsidR="00707D43" w:rsidRPr="00B27293" w:rsidRDefault="00707D43" w:rsidP="00BD366B">
                  <w:pPr>
                    <w:spacing w:line="240" w:lineRule="auto"/>
                    <w:rPr>
                      <w:bCs/>
                    </w:rPr>
                  </w:pPr>
                  <w:r w:rsidRPr="0071229A">
                    <w:rPr>
                      <w:bCs/>
                    </w:rPr>
                    <w:t>e-mail: infoservisul@czso.cz</w:t>
                  </w:r>
                  <w:r>
                    <w:t xml:space="preserve"> | </w:t>
                  </w:r>
                  <w:r w:rsidRPr="0071229A">
                    <w:rPr>
                      <w:b/>
                      <w:bCs/>
                    </w:rPr>
                    <w:t>www.ustinadlabem.czso.cz</w:t>
                  </w:r>
                </w:p>
                <w:p w:rsidR="00707D43" w:rsidRPr="0071229A" w:rsidRDefault="00707D43" w:rsidP="00BD366B">
                  <w:pPr>
                    <w:spacing w:line="240" w:lineRule="auto"/>
                    <w:rPr>
                      <w:bCs/>
                    </w:rPr>
                  </w:pPr>
                </w:p>
                <w:p w:rsidR="00707D43" w:rsidRPr="00B27293" w:rsidRDefault="00707D43"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r w:rsidRPr="0071229A">
                    <w:rPr>
                      <w:bCs/>
                    </w:rPr>
                    <w:t>tel.: 485 238 811</w:t>
                  </w:r>
                </w:p>
                <w:p w:rsidR="00707D43" w:rsidRPr="00B27293" w:rsidRDefault="00707D43" w:rsidP="00BD366B">
                  <w:pPr>
                    <w:spacing w:line="240" w:lineRule="auto"/>
                    <w:rPr>
                      <w:bCs/>
                    </w:rPr>
                  </w:pPr>
                  <w:r w:rsidRPr="0071229A">
                    <w:rPr>
                      <w:bCs/>
                    </w:rPr>
                    <w:t>e-mail: infoservislbc@czso.cz</w:t>
                  </w:r>
                  <w:r>
                    <w:t xml:space="preserve"> | </w:t>
                  </w:r>
                  <w:r w:rsidRPr="0071229A">
                    <w:rPr>
                      <w:b/>
                      <w:bCs/>
                    </w:rPr>
                    <w:t>www.liberec.czso.cz</w:t>
                  </w:r>
                </w:p>
                <w:p w:rsidR="00707D43" w:rsidRPr="0071229A" w:rsidRDefault="00707D43" w:rsidP="00BD366B">
                  <w:pPr>
                    <w:spacing w:line="240" w:lineRule="auto"/>
                    <w:rPr>
                      <w:bCs/>
                    </w:rPr>
                  </w:pPr>
                </w:p>
                <w:p w:rsidR="00707D43" w:rsidRPr="00B27293" w:rsidRDefault="00707D43"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707D43" w:rsidRPr="00B27293" w:rsidRDefault="00707D43" w:rsidP="00BD366B">
                  <w:pPr>
                    <w:spacing w:line="240" w:lineRule="auto"/>
                    <w:rPr>
                      <w:bCs/>
                    </w:rPr>
                  </w:pPr>
                  <w:r w:rsidRPr="0071229A">
                    <w:rPr>
                      <w:bCs/>
                    </w:rPr>
                    <w:t>e-mail: infoservishk@czso.cz</w:t>
                  </w:r>
                  <w:r>
                    <w:t xml:space="preserve"> | </w:t>
                  </w:r>
                  <w:r w:rsidRPr="0071229A">
                    <w:rPr>
                      <w:b/>
                      <w:bCs/>
                    </w:rPr>
                    <w:t>www.hradeckralove.czso.cz</w:t>
                  </w:r>
                </w:p>
                <w:p w:rsidR="00707D43" w:rsidRPr="0071229A" w:rsidRDefault="00707D43" w:rsidP="00BD366B">
                  <w:pPr>
                    <w:spacing w:line="240" w:lineRule="auto"/>
                    <w:rPr>
                      <w:bCs/>
                    </w:rPr>
                  </w:pPr>
                </w:p>
                <w:p w:rsidR="00707D43" w:rsidRPr="00B27293" w:rsidRDefault="00707D43"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707D43" w:rsidRPr="00B27293" w:rsidRDefault="00707D43" w:rsidP="00BD366B">
                  <w:pPr>
                    <w:spacing w:line="240" w:lineRule="auto"/>
                    <w:rPr>
                      <w:bCs/>
                    </w:rPr>
                  </w:pPr>
                  <w:r w:rsidRPr="0071229A">
                    <w:rPr>
                      <w:bCs/>
                    </w:rPr>
                    <w:t>e-mail: infoservispa@czso.cz</w:t>
                  </w:r>
                  <w:r>
                    <w:t xml:space="preserve"> | </w:t>
                  </w:r>
                  <w:r w:rsidRPr="0071229A">
                    <w:rPr>
                      <w:b/>
                      <w:bCs/>
                    </w:rPr>
                    <w:t>www.pardubice.czso.cz</w:t>
                  </w:r>
                </w:p>
                <w:p w:rsidR="00707D43" w:rsidRPr="0071229A" w:rsidRDefault="00707D43" w:rsidP="00BD366B">
                  <w:pPr>
                    <w:spacing w:line="240" w:lineRule="auto"/>
                    <w:rPr>
                      <w:bCs/>
                    </w:rPr>
                  </w:pPr>
                </w:p>
                <w:p w:rsidR="00707D43" w:rsidRPr="00B27293" w:rsidRDefault="00707D43"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707D43" w:rsidRPr="00B27293" w:rsidRDefault="00707D43" w:rsidP="00BD366B">
                  <w:pPr>
                    <w:spacing w:line="240" w:lineRule="auto"/>
                    <w:rPr>
                      <w:bCs/>
                    </w:rPr>
                  </w:pPr>
                  <w:r w:rsidRPr="0071229A">
                    <w:rPr>
                      <w:bCs/>
                    </w:rPr>
                    <w:t>e-mail: infoservisvys@czso.cz</w:t>
                  </w:r>
                  <w:r>
                    <w:t xml:space="preserve"> | </w:t>
                  </w:r>
                  <w:r w:rsidRPr="0071229A">
                    <w:rPr>
                      <w:b/>
                      <w:bCs/>
                    </w:rPr>
                    <w:t>www.jihlava.czso.cz</w:t>
                  </w:r>
                </w:p>
                <w:p w:rsidR="00707D43" w:rsidRPr="0071229A" w:rsidRDefault="00707D43" w:rsidP="00BD366B">
                  <w:pPr>
                    <w:spacing w:line="240" w:lineRule="auto"/>
                    <w:rPr>
                      <w:bCs/>
                    </w:rPr>
                  </w:pPr>
                </w:p>
                <w:p w:rsidR="00707D43" w:rsidRPr="00B27293" w:rsidRDefault="00707D43"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707D43" w:rsidRPr="00B27293" w:rsidRDefault="00707D43" w:rsidP="00BD366B">
                  <w:pPr>
                    <w:spacing w:line="240" w:lineRule="auto"/>
                    <w:rPr>
                      <w:bCs/>
                    </w:rPr>
                  </w:pPr>
                  <w:r w:rsidRPr="0071229A">
                    <w:rPr>
                      <w:bCs/>
                    </w:rPr>
                    <w:t>e-mail: infoservisbrno@czso.cz</w:t>
                  </w:r>
                  <w:r>
                    <w:t xml:space="preserve"> | </w:t>
                  </w:r>
                  <w:r w:rsidRPr="0071229A">
                    <w:rPr>
                      <w:b/>
                      <w:bCs/>
                    </w:rPr>
                    <w:t>www.brno.czso.cz</w:t>
                  </w:r>
                </w:p>
                <w:p w:rsidR="00707D43" w:rsidRPr="0071229A" w:rsidRDefault="00707D43" w:rsidP="00BD366B">
                  <w:pPr>
                    <w:spacing w:line="240" w:lineRule="auto"/>
                    <w:rPr>
                      <w:bCs/>
                    </w:rPr>
                  </w:pPr>
                </w:p>
                <w:p w:rsidR="00707D43" w:rsidRPr="00B27293" w:rsidRDefault="00707D43" w:rsidP="00BD366B">
                  <w:pPr>
                    <w:spacing w:line="240" w:lineRule="auto"/>
                    <w:rPr>
                      <w:b/>
                      <w:bCs/>
                    </w:rPr>
                  </w:pPr>
                  <w:r w:rsidRPr="0071229A">
                    <w:rPr>
                      <w:b/>
                      <w:bCs/>
                      <w:color w:val="0071BC"/>
                    </w:rPr>
                    <w:t>Olomouc</w:t>
                  </w:r>
                  <w:r>
                    <w:t xml:space="preserve"> | </w:t>
                  </w:r>
                  <w:proofErr w:type="spellStart"/>
                  <w:r w:rsidRPr="0071229A">
                    <w:rPr>
                      <w:bCs/>
                    </w:rPr>
                    <w:t>Jeremenkova</w:t>
                  </w:r>
                  <w:proofErr w:type="spellEnd"/>
                  <w:r w:rsidRPr="0071229A">
                    <w:rPr>
                      <w:bCs/>
                    </w:rPr>
                    <w:t xml:space="preserve"> 1142/42, 772 11 Olomouc</w:t>
                  </w:r>
                  <w:r>
                    <w:t xml:space="preserve"> | </w:t>
                  </w:r>
                  <w:r w:rsidRPr="0071229A">
                    <w:rPr>
                      <w:bCs/>
                    </w:rPr>
                    <w:t>tel.: 585 731 516, 585 731 509</w:t>
                  </w:r>
                </w:p>
                <w:p w:rsidR="00707D43" w:rsidRPr="00B27293" w:rsidRDefault="00707D43" w:rsidP="00BD366B">
                  <w:pPr>
                    <w:spacing w:line="240" w:lineRule="auto"/>
                    <w:rPr>
                      <w:bCs/>
                    </w:rPr>
                  </w:pPr>
                  <w:r w:rsidRPr="0071229A">
                    <w:rPr>
                      <w:bCs/>
                    </w:rPr>
                    <w:t>e-mail: infoservisolom@czso.cz</w:t>
                  </w:r>
                  <w:r>
                    <w:t xml:space="preserve"> | </w:t>
                  </w:r>
                  <w:r w:rsidRPr="0071229A">
                    <w:rPr>
                      <w:b/>
                      <w:bCs/>
                    </w:rPr>
                    <w:t>www.olomouc.czso.cz</w:t>
                  </w:r>
                </w:p>
                <w:p w:rsidR="00707D43" w:rsidRPr="0071229A" w:rsidRDefault="00707D43" w:rsidP="00BD366B">
                  <w:pPr>
                    <w:spacing w:line="240" w:lineRule="auto"/>
                    <w:rPr>
                      <w:bCs/>
                    </w:rPr>
                  </w:pPr>
                </w:p>
                <w:p w:rsidR="00707D43" w:rsidRPr="00B27293" w:rsidRDefault="00707D43" w:rsidP="00BD366B">
                  <w:pPr>
                    <w:spacing w:line="240" w:lineRule="auto"/>
                    <w:rPr>
                      <w:b/>
                      <w:bCs/>
                    </w:rPr>
                  </w:pPr>
                  <w:r w:rsidRPr="0071229A">
                    <w:rPr>
                      <w:b/>
                      <w:bCs/>
                      <w:color w:val="0071BC"/>
                    </w:rPr>
                    <w:t>Ostrava</w:t>
                  </w:r>
                  <w:r>
                    <w:t xml:space="preserve"> | </w:t>
                  </w:r>
                  <w:proofErr w:type="spellStart"/>
                  <w:r w:rsidRPr="0071229A">
                    <w:rPr>
                      <w:bCs/>
                    </w:rPr>
                    <w:t>Repinova</w:t>
                  </w:r>
                  <w:proofErr w:type="spellEnd"/>
                  <w:r w:rsidRPr="0071229A">
                    <w:rPr>
                      <w:bCs/>
                    </w:rPr>
                    <w:t xml:space="preserve"> 17, 702 03 Ostrava</w:t>
                  </w:r>
                  <w:r>
                    <w:t xml:space="preserve"> | </w:t>
                  </w:r>
                  <w:r w:rsidRPr="0071229A">
                    <w:rPr>
                      <w:bCs/>
                    </w:rPr>
                    <w:t>tel.: 595 131 230, 595 131 232</w:t>
                  </w:r>
                </w:p>
                <w:p w:rsidR="00707D43" w:rsidRPr="00B27293" w:rsidRDefault="00707D43" w:rsidP="00BD366B">
                  <w:pPr>
                    <w:spacing w:line="240" w:lineRule="auto"/>
                    <w:rPr>
                      <w:bCs/>
                    </w:rPr>
                  </w:pPr>
                  <w:r w:rsidRPr="0071229A">
                    <w:rPr>
                      <w:bCs/>
                    </w:rPr>
                    <w:t>e-mail: infoservis_ov@czso.cz</w:t>
                  </w:r>
                  <w:r>
                    <w:t xml:space="preserve"> | </w:t>
                  </w:r>
                  <w:r w:rsidRPr="0071229A">
                    <w:rPr>
                      <w:b/>
                      <w:bCs/>
                    </w:rPr>
                    <w:t>www.ostrava.czso.cz</w:t>
                  </w:r>
                </w:p>
                <w:p w:rsidR="00707D43" w:rsidRPr="0071229A" w:rsidRDefault="00707D43" w:rsidP="00BD366B">
                  <w:pPr>
                    <w:spacing w:line="240" w:lineRule="auto"/>
                    <w:rPr>
                      <w:bCs/>
                    </w:rPr>
                  </w:pPr>
                </w:p>
                <w:p w:rsidR="00707D43" w:rsidRPr="0071229A" w:rsidRDefault="00707D43"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707D43" w:rsidRPr="00B27293" w:rsidRDefault="00707D43" w:rsidP="00BD366B">
                  <w:pPr>
                    <w:spacing w:line="240" w:lineRule="auto"/>
                    <w:rPr>
                      <w:bCs/>
                    </w:rPr>
                  </w:pPr>
                  <w:r w:rsidRPr="0071229A">
                    <w:rPr>
                      <w:bCs/>
                    </w:rPr>
                    <w:t>e-mail: infoservis-zl@czso.cz</w:t>
                  </w:r>
                  <w:r>
                    <w:t xml:space="preserve"> | </w:t>
                  </w:r>
                  <w:r w:rsidRPr="0071229A">
                    <w:rPr>
                      <w:b/>
                      <w:bCs/>
                    </w:rPr>
                    <w:t>www.zlin.czso.cz</w:t>
                  </w:r>
                </w:p>
                <w:p w:rsidR="00707D43" w:rsidRPr="00B27293" w:rsidRDefault="00707D43" w:rsidP="00BD366B">
                  <w:pPr>
                    <w:spacing w:line="240" w:lineRule="auto"/>
                  </w:pPr>
                </w:p>
              </w:txbxContent>
            </v:textbox>
            <w10:wrap anchorx="page" anchory="page"/>
            <w10:anchorlock/>
          </v:shape>
        </w:pict>
      </w:r>
      <w:r w:rsidRPr="00A17754">
        <w:rPr>
          <w:noProof/>
          <w:lang w:eastAsia="cs-CZ"/>
        </w:rPr>
        <w:pict>
          <v:shape id="_x0000_s1039" type="#_x0000_t202" style="position:absolute;margin-left:56.7pt;margin-top:56.7pt;width:481.85pt;height:33.1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" filled="f" stroked="f">
            <v:textbox style="mso-fit-shape-to-text:t" inset="0,0,0,0">
              <w:txbxContent>
                <w:p w:rsidR="00707D43" w:rsidRPr="004F4353" w:rsidRDefault="00707D43" w:rsidP="0060487F">
                  <w:pPr>
                    <w:rPr>
                      <w:b/>
                      <w:bCs/>
                      <w:sz w:val="24"/>
                    </w:rPr>
                  </w:pPr>
                  <w:r w:rsidRPr="004F4353">
                    <w:rPr>
                      <w:b/>
                      <w:color w:val="0071BC"/>
                      <w:sz w:val="24"/>
                    </w:rPr>
                    <w:t xml:space="preserve">Zajímají Vás nejnovější údaje o inflaci, HDP, obyvatelstvu, průměrných mzdách </w:t>
                  </w:r>
                  <w:r w:rsidRPr="004F4353">
                    <w:rPr>
                      <w:b/>
                      <w:color w:val="0071BC"/>
                      <w:sz w:val="24"/>
                    </w:rPr>
                    <w:br/>
                    <w:t xml:space="preserve">a mnohé další? Najdete je na stránkách ČSÚ na internetu: </w:t>
                  </w:r>
                  <w:r w:rsidRPr="004F4353">
                    <w:rPr>
                      <w:b/>
                      <w:bCs/>
                      <w:sz w:val="24"/>
                    </w:rPr>
                    <w:t>www.czso.cz</w:t>
                  </w:r>
                </w:p>
              </w:txbxContent>
            </v:textbox>
            <w10:wrap anchorx="page" anchory="page"/>
            <w10:anchorlock/>
          </v:shape>
        </w:pict>
      </w:r>
      <w:r w:rsidRPr="00A17754">
        <w:rPr>
          <w:noProof/>
          <w:lang w:eastAsia="cs-CZ"/>
        </w:rPr>
        <w:pict>
          <v:shape id="_x0000_s1040" type="#_x0000_t202" style="position:absolute;margin-left:56.35pt;margin-top:747pt;width:481.9pt;height:28.3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EUug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" filled="f" stroked="f">
            <v:textbox inset="0,0,0,0">
              <w:txbxContent>
                <w:p w:rsidR="00707D43" w:rsidRPr="00841D9F" w:rsidRDefault="00707D43" w:rsidP="004F06F5"/>
                <w:p w:rsidR="00707D43" w:rsidRPr="00AF2852" w:rsidRDefault="00707D43" w:rsidP="004F06F5">
                  <w:r w:rsidRPr="00841D9F">
                    <w:t>© Český sta</w:t>
                  </w:r>
                  <w:r>
                    <w:t>tistický úřad, Praha, 2015</w:t>
                  </w:r>
                </w:p>
              </w:txbxContent>
            </v:textbox>
            <w10:wrap anchorx="page" anchory="page"/>
            <w10:anchorlock/>
          </v:shape>
        </w:pict>
      </w:r>
    </w:p>
    <w:p w:rsidR="00576A3E" w:rsidRDefault="00576A3E" w:rsidP="00F04811">
      <w:pPr>
        <w:pStyle w:val="Zkladnodstavec"/>
        <w:spacing w:after="240"/>
        <w:rPr>
          <w:rFonts w:ascii="Arial" w:hAnsi="Arial" w:cs="Arial"/>
          <w:b/>
          <w:color w:val="A5007B"/>
          <w:sz w:val="32"/>
          <w:szCs w:val="32"/>
        </w:rPr>
      </w:pPr>
    </w:p>
    <w:p w:rsidR="00576A3E" w:rsidRPr="0060487F" w:rsidRDefault="00576A3E">
      <w:pPr>
        <w:rPr>
          <w:rFonts w:cs="Arial"/>
          <w:b/>
          <w:color w:val="A5007B"/>
          <w:sz w:val="32"/>
          <w:szCs w:val="32"/>
        </w:rPr>
        <w:sectPr w:rsidR="00576A3E" w:rsidRPr="0060487F" w:rsidSect="00D5626D">
          <w:pgSz w:w="11906" w:h="16838" w:code="9"/>
          <w:pgMar w:top="1134" w:right="1134" w:bottom="1418" w:left="1134" w:header="709" w:footer="709" w:gutter="0"/>
          <w:cols w:space="708"/>
          <w:titlePg/>
          <w:docGrid w:linePitch="360"/>
        </w:sectPr>
      </w:pPr>
    </w:p>
    <w:p w:rsidR="00576A3E" w:rsidRPr="001C357A" w:rsidRDefault="00576A3E" w:rsidP="008C6CB8">
      <w:pPr>
        <w:pStyle w:val="Nadpis1"/>
        <w:rPr>
          <w:rFonts w:cs="Arial"/>
          <w:color w:val="808080"/>
        </w:rPr>
      </w:pPr>
      <w:bookmarkStart w:id="1" w:name="_Toc412459447"/>
      <w:bookmarkStart w:id="2" w:name="_Toc430335381"/>
      <w:r w:rsidRPr="001C357A">
        <w:lastRenderedPageBreak/>
        <w:t>Obsah</w:t>
      </w:r>
      <w:bookmarkEnd w:id="1"/>
      <w:bookmarkEnd w:id="2"/>
    </w:p>
    <w:p w:rsidR="00507040" w:rsidRDefault="00A17754">
      <w:pPr>
        <w:pStyle w:val="Obsah1"/>
        <w:rPr>
          <w:rFonts w:asciiTheme="minorHAnsi" w:eastAsiaTheme="minorEastAsia" w:hAnsiTheme="minorHAnsi" w:cstheme="minorBidi"/>
          <w:b w:val="0"/>
          <w:sz w:val="22"/>
          <w:szCs w:val="22"/>
          <w:lang w:eastAsia="cs-CZ"/>
        </w:rPr>
      </w:pPr>
      <w:r w:rsidRPr="00A17754">
        <w:fldChar w:fldCharType="begin"/>
      </w:r>
      <w:r w:rsidR="00576A3E" w:rsidRPr="00E921C7">
        <w:instrText xml:space="preserve"> TOC \o "1-3" \h \z \u </w:instrText>
      </w:r>
      <w:r w:rsidRPr="00A17754">
        <w:fldChar w:fldCharType="separate"/>
      </w:r>
      <w:hyperlink w:anchor="_Toc430335381" w:history="1">
        <w:r w:rsidR="00507040" w:rsidRPr="00A50EB7">
          <w:rPr>
            <w:rStyle w:val="Hypertextovodkaz"/>
          </w:rPr>
          <w:t>Obsah</w:t>
        </w:r>
        <w:r w:rsidR="00507040">
          <w:rPr>
            <w:webHidden/>
          </w:rPr>
          <w:tab/>
        </w:r>
        <w:r w:rsidR="00507040">
          <w:rPr>
            <w:webHidden/>
          </w:rPr>
          <w:tab/>
        </w:r>
        <w:r>
          <w:rPr>
            <w:webHidden/>
          </w:rPr>
          <w:fldChar w:fldCharType="begin"/>
        </w:r>
        <w:r w:rsidR="00507040">
          <w:rPr>
            <w:webHidden/>
          </w:rPr>
          <w:instrText xml:space="preserve"> PAGEREF _Toc430335381 \h </w:instrText>
        </w:r>
        <w:r>
          <w:rPr>
            <w:webHidden/>
          </w:rPr>
        </w:r>
        <w:r>
          <w:rPr>
            <w:webHidden/>
          </w:rPr>
          <w:fldChar w:fldCharType="separate"/>
        </w:r>
        <w:r w:rsidR="00507040">
          <w:rPr>
            <w:webHidden/>
          </w:rPr>
          <w:t>3</w:t>
        </w:r>
        <w:r>
          <w:rPr>
            <w:webHidden/>
          </w:rPr>
          <w:fldChar w:fldCharType="end"/>
        </w:r>
      </w:hyperlink>
    </w:p>
    <w:p w:rsidR="00507040" w:rsidRDefault="00A17754">
      <w:pPr>
        <w:pStyle w:val="Obsah1"/>
        <w:rPr>
          <w:rFonts w:asciiTheme="minorHAnsi" w:eastAsiaTheme="minorEastAsia" w:hAnsiTheme="minorHAnsi" w:cstheme="minorBidi"/>
          <w:b w:val="0"/>
          <w:sz w:val="22"/>
          <w:szCs w:val="22"/>
          <w:lang w:eastAsia="cs-CZ"/>
        </w:rPr>
      </w:pPr>
      <w:hyperlink w:anchor="_Toc430335382" w:history="1">
        <w:r w:rsidR="00507040" w:rsidRPr="00A50EB7">
          <w:rPr>
            <w:rStyle w:val="Hypertextovodkaz"/>
          </w:rPr>
          <w:t>1.</w:t>
        </w:r>
        <w:r w:rsidR="00507040">
          <w:rPr>
            <w:rFonts w:asciiTheme="minorHAnsi" w:eastAsiaTheme="minorEastAsia" w:hAnsiTheme="minorHAnsi" w:cstheme="minorBidi"/>
            <w:b w:val="0"/>
            <w:sz w:val="22"/>
            <w:szCs w:val="22"/>
            <w:lang w:eastAsia="cs-CZ"/>
          </w:rPr>
          <w:tab/>
        </w:r>
        <w:r w:rsidR="00507040" w:rsidRPr="00A50EB7">
          <w:rPr>
            <w:rStyle w:val="Hypertextovodkaz"/>
          </w:rPr>
          <w:t>Shrnutí</w:t>
        </w:r>
        <w:r w:rsidR="00507040">
          <w:rPr>
            <w:webHidden/>
          </w:rPr>
          <w:tab/>
        </w:r>
        <w:r>
          <w:rPr>
            <w:webHidden/>
          </w:rPr>
          <w:fldChar w:fldCharType="begin"/>
        </w:r>
        <w:r w:rsidR="00507040">
          <w:rPr>
            <w:webHidden/>
          </w:rPr>
          <w:instrText xml:space="preserve"> PAGEREF _Toc430335382 \h </w:instrText>
        </w:r>
        <w:r>
          <w:rPr>
            <w:webHidden/>
          </w:rPr>
        </w:r>
        <w:r>
          <w:rPr>
            <w:webHidden/>
          </w:rPr>
          <w:fldChar w:fldCharType="separate"/>
        </w:r>
        <w:r w:rsidR="00507040">
          <w:rPr>
            <w:webHidden/>
          </w:rPr>
          <w:t>4</w:t>
        </w:r>
        <w:r>
          <w:rPr>
            <w:webHidden/>
          </w:rPr>
          <w:fldChar w:fldCharType="end"/>
        </w:r>
      </w:hyperlink>
    </w:p>
    <w:p w:rsidR="00507040" w:rsidRDefault="00A17754">
      <w:pPr>
        <w:pStyle w:val="Obsah1"/>
        <w:rPr>
          <w:rFonts w:asciiTheme="minorHAnsi" w:eastAsiaTheme="minorEastAsia" w:hAnsiTheme="minorHAnsi" w:cstheme="minorBidi"/>
          <w:b w:val="0"/>
          <w:sz w:val="22"/>
          <w:szCs w:val="22"/>
          <w:lang w:eastAsia="cs-CZ"/>
        </w:rPr>
      </w:pPr>
      <w:hyperlink w:anchor="_Toc430335383" w:history="1">
        <w:r w:rsidR="00507040" w:rsidRPr="00A50EB7">
          <w:rPr>
            <w:rStyle w:val="Hypertextovodkaz"/>
          </w:rPr>
          <w:t>2.</w:t>
        </w:r>
        <w:r w:rsidR="00507040">
          <w:rPr>
            <w:rFonts w:asciiTheme="minorHAnsi" w:eastAsiaTheme="minorEastAsia" w:hAnsiTheme="minorHAnsi" w:cstheme="minorBidi"/>
            <w:b w:val="0"/>
            <w:sz w:val="22"/>
            <w:szCs w:val="22"/>
            <w:lang w:eastAsia="cs-CZ"/>
          </w:rPr>
          <w:tab/>
        </w:r>
        <w:r w:rsidR="00507040" w:rsidRPr="00A50EB7">
          <w:rPr>
            <w:rStyle w:val="Hypertextovodkaz"/>
          </w:rPr>
          <w:t>Souhrnná výkonnost</w:t>
        </w:r>
        <w:r w:rsidR="00507040">
          <w:rPr>
            <w:webHidden/>
          </w:rPr>
          <w:tab/>
        </w:r>
        <w:r>
          <w:rPr>
            <w:webHidden/>
          </w:rPr>
          <w:fldChar w:fldCharType="begin"/>
        </w:r>
        <w:r w:rsidR="00507040">
          <w:rPr>
            <w:webHidden/>
          </w:rPr>
          <w:instrText xml:space="preserve"> PAGEREF _Toc430335383 \h </w:instrText>
        </w:r>
        <w:r>
          <w:rPr>
            <w:webHidden/>
          </w:rPr>
        </w:r>
        <w:r>
          <w:rPr>
            <w:webHidden/>
          </w:rPr>
          <w:fldChar w:fldCharType="separate"/>
        </w:r>
        <w:r w:rsidR="00507040">
          <w:rPr>
            <w:webHidden/>
          </w:rPr>
          <w:t>5</w:t>
        </w:r>
        <w:r>
          <w:rPr>
            <w:webHidden/>
          </w:rPr>
          <w:fldChar w:fldCharType="end"/>
        </w:r>
      </w:hyperlink>
    </w:p>
    <w:p w:rsidR="00507040" w:rsidRDefault="00A17754">
      <w:pPr>
        <w:pStyle w:val="Obsah1"/>
        <w:rPr>
          <w:rFonts w:asciiTheme="minorHAnsi" w:eastAsiaTheme="minorEastAsia" w:hAnsiTheme="minorHAnsi" w:cstheme="minorBidi"/>
          <w:b w:val="0"/>
          <w:sz w:val="22"/>
          <w:szCs w:val="22"/>
          <w:lang w:eastAsia="cs-CZ"/>
        </w:rPr>
      </w:pPr>
      <w:hyperlink w:anchor="_Toc430335384" w:history="1">
        <w:r w:rsidR="00507040" w:rsidRPr="00A50EB7">
          <w:rPr>
            <w:rStyle w:val="Hypertextovodkaz"/>
          </w:rPr>
          <w:t>3.</w:t>
        </w:r>
        <w:r w:rsidR="00507040">
          <w:rPr>
            <w:rFonts w:asciiTheme="minorHAnsi" w:eastAsiaTheme="minorEastAsia" w:hAnsiTheme="minorHAnsi" w:cstheme="minorBidi"/>
            <w:b w:val="0"/>
            <w:sz w:val="22"/>
            <w:szCs w:val="22"/>
            <w:lang w:eastAsia="cs-CZ"/>
          </w:rPr>
          <w:tab/>
        </w:r>
        <w:r w:rsidR="00507040" w:rsidRPr="00A50EB7">
          <w:rPr>
            <w:rStyle w:val="Hypertextovodkaz"/>
          </w:rPr>
          <w:t>Výkonnost odvětví</w:t>
        </w:r>
        <w:r w:rsidR="00507040">
          <w:rPr>
            <w:webHidden/>
          </w:rPr>
          <w:tab/>
        </w:r>
        <w:r>
          <w:rPr>
            <w:webHidden/>
          </w:rPr>
          <w:fldChar w:fldCharType="begin"/>
        </w:r>
        <w:r w:rsidR="00507040">
          <w:rPr>
            <w:webHidden/>
          </w:rPr>
          <w:instrText xml:space="preserve"> PAGEREF _Toc430335384 \h </w:instrText>
        </w:r>
        <w:r>
          <w:rPr>
            <w:webHidden/>
          </w:rPr>
        </w:r>
        <w:r>
          <w:rPr>
            <w:webHidden/>
          </w:rPr>
          <w:fldChar w:fldCharType="separate"/>
        </w:r>
        <w:r w:rsidR="00507040">
          <w:rPr>
            <w:webHidden/>
          </w:rPr>
          <w:t>8</w:t>
        </w:r>
        <w:r>
          <w:rPr>
            <w:webHidden/>
          </w:rPr>
          <w:fldChar w:fldCharType="end"/>
        </w:r>
      </w:hyperlink>
    </w:p>
    <w:p w:rsidR="00507040" w:rsidRDefault="00A17754">
      <w:pPr>
        <w:pStyle w:val="Obsah1"/>
        <w:rPr>
          <w:rFonts w:asciiTheme="minorHAnsi" w:eastAsiaTheme="minorEastAsia" w:hAnsiTheme="minorHAnsi" w:cstheme="minorBidi"/>
          <w:b w:val="0"/>
          <w:sz w:val="22"/>
          <w:szCs w:val="22"/>
          <w:lang w:eastAsia="cs-CZ"/>
        </w:rPr>
      </w:pPr>
      <w:hyperlink w:anchor="_Toc430335385" w:history="1">
        <w:r w:rsidR="00507040" w:rsidRPr="00A50EB7">
          <w:rPr>
            <w:rStyle w:val="Hypertextovodkaz"/>
          </w:rPr>
          <w:t>4.</w:t>
        </w:r>
        <w:r w:rsidR="00507040">
          <w:rPr>
            <w:rFonts w:asciiTheme="minorHAnsi" w:eastAsiaTheme="minorEastAsia" w:hAnsiTheme="minorHAnsi" w:cstheme="minorBidi"/>
            <w:b w:val="0"/>
            <w:sz w:val="22"/>
            <w:szCs w:val="22"/>
            <w:lang w:eastAsia="cs-CZ"/>
          </w:rPr>
          <w:tab/>
        </w:r>
        <w:r w:rsidR="00507040" w:rsidRPr="00A50EB7">
          <w:rPr>
            <w:rStyle w:val="Hypertextovodkaz"/>
          </w:rPr>
          <w:t>Vnější ekonomické vztahy</w:t>
        </w:r>
        <w:r w:rsidR="00507040">
          <w:rPr>
            <w:webHidden/>
          </w:rPr>
          <w:tab/>
        </w:r>
        <w:r>
          <w:rPr>
            <w:webHidden/>
          </w:rPr>
          <w:fldChar w:fldCharType="begin"/>
        </w:r>
        <w:r w:rsidR="00507040">
          <w:rPr>
            <w:webHidden/>
          </w:rPr>
          <w:instrText xml:space="preserve"> PAGEREF _Toc430335385 \h </w:instrText>
        </w:r>
        <w:r>
          <w:rPr>
            <w:webHidden/>
          </w:rPr>
        </w:r>
        <w:r>
          <w:rPr>
            <w:webHidden/>
          </w:rPr>
          <w:fldChar w:fldCharType="separate"/>
        </w:r>
        <w:r w:rsidR="00507040">
          <w:rPr>
            <w:webHidden/>
          </w:rPr>
          <w:t>12</w:t>
        </w:r>
        <w:r>
          <w:rPr>
            <w:webHidden/>
          </w:rPr>
          <w:fldChar w:fldCharType="end"/>
        </w:r>
      </w:hyperlink>
    </w:p>
    <w:p w:rsidR="00507040" w:rsidRDefault="00A17754">
      <w:pPr>
        <w:pStyle w:val="Obsah1"/>
        <w:rPr>
          <w:rFonts w:asciiTheme="minorHAnsi" w:eastAsiaTheme="minorEastAsia" w:hAnsiTheme="minorHAnsi" w:cstheme="minorBidi"/>
          <w:b w:val="0"/>
          <w:sz w:val="22"/>
          <w:szCs w:val="22"/>
          <w:lang w:eastAsia="cs-CZ"/>
        </w:rPr>
      </w:pPr>
      <w:hyperlink w:anchor="_Toc430335386" w:history="1">
        <w:r w:rsidR="00507040" w:rsidRPr="00A50EB7">
          <w:rPr>
            <w:rStyle w:val="Hypertextovodkaz"/>
          </w:rPr>
          <w:t>5.</w:t>
        </w:r>
        <w:r w:rsidR="00507040">
          <w:rPr>
            <w:rFonts w:asciiTheme="minorHAnsi" w:eastAsiaTheme="minorEastAsia" w:hAnsiTheme="minorHAnsi" w:cstheme="minorBidi"/>
            <w:b w:val="0"/>
            <w:sz w:val="22"/>
            <w:szCs w:val="22"/>
            <w:lang w:eastAsia="cs-CZ"/>
          </w:rPr>
          <w:tab/>
        </w:r>
        <w:r w:rsidR="00507040" w:rsidRPr="00A50EB7">
          <w:rPr>
            <w:rStyle w:val="Hypertextovodkaz"/>
          </w:rPr>
          <w:t>Ceny</w:t>
        </w:r>
        <w:r w:rsidR="00507040">
          <w:rPr>
            <w:webHidden/>
          </w:rPr>
          <w:tab/>
        </w:r>
        <w:r>
          <w:rPr>
            <w:webHidden/>
          </w:rPr>
          <w:fldChar w:fldCharType="begin"/>
        </w:r>
        <w:r w:rsidR="00507040">
          <w:rPr>
            <w:webHidden/>
          </w:rPr>
          <w:instrText xml:space="preserve"> PAGEREF _Toc430335386 \h </w:instrText>
        </w:r>
        <w:r>
          <w:rPr>
            <w:webHidden/>
          </w:rPr>
        </w:r>
        <w:r>
          <w:rPr>
            <w:webHidden/>
          </w:rPr>
          <w:fldChar w:fldCharType="separate"/>
        </w:r>
        <w:r w:rsidR="00507040">
          <w:rPr>
            <w:webHidden/>
          </w:rPr>
          <w:t>14</w:t>
        </w:r>
        <w:r>
          <w:rPr>
            <w:webHidden/>
          </w:rPr>
          <w:fldChar w:fldCharType="end"/>
        </w:r>
      </w:hyperlink>
    </w:p>
    <w:p w:rsidR="00507040" w:rsidRDefault="00A17754">
      <w:pPr>
        <w:pStyle w:val="Obsah1"/>
        <w:rPr>
          <w:rFonts w:asciiTheme="minorHAnsi" w:eastAsiaTheme="minorEastAsia" w:hAnsiTheme="minorHAnsi" w:cstheme="minorBidi"/>
          <w:b w:val="0"/>
          <w:sz w:val="22"/>
          <w:szCs w:val="22"/>
          <w:lang w:eastAsia="cs-CZ"/>
        </w:rPr>
      </w:pPr>
      <w:hyperlink w:anchor="_Toc430335387" w:history="1">
        <w:r w:rsidR="00507040" w:rsidRPr="00A50EB7">
          <w:rPr>
            <w:rStyle w:val="Hypertextovodkaz"/>
          </w:rPr>
          <w:t>6.</w:t>
        </w:r>
        <w:r w:rsidR="00507040">
          <w:rPr>
            <w:rFonts w:asciiTheme="minorHAnsi" w:eastAsiaTheme="minorEastAsia" w:hAnsiTheme="minorHAnsi" w:cstheme="minorBidi"/>
            <w:b w:val="0"/>
            <w:sz w:val="22"/>
            <w:szCs w:val="22"/>
            <w:lang w:eastAsia="cs-CZ"/>
          </w:rPr>
          <w:tab/>
        </w:r>
        <w:r w:rsidR="00507040" w:rsidRPr="00A50EB7">
          <w:rPr>
            <w:rStyle w:val="Hypertextovodkaz"/>
          </w:rPr>
          <w:t>Trh práce</w:t>
        </w:r>
        <w:r w:rsidR="00507040">
          <w:rPr>
            <w:webHidden/>
          </w:rPr>
          <w:tab/>
        </w:r>
        <w:r>
          <w:rPr>
            <w:webHidden/>
          </w:rPr>
          <w:fldChar w:fldCharType="begin"/>
        </w:r>
        <w:r w:rsidR="00507040">
          <w:rPr>
            <w:webHidden/>
          </w:rPr>
          <w:instrText xml:space="preserve"> PAGEREF _Toc430335387 \h </w:instrText>
        </w:r>
        <w:r>
          <w:rPr>
            <w:webHidden/>
          </w:rPr>
        </w:r>
        <w:r>
          <w:rPr>
            <w:webHidden/>
          </w:rPr>
          <w:fldChar w:fldCharType="separate"/>
        </w:r>
        <w:r w:rsidR="00507040">
          <w:rPr>
            <w:webHidden/>
          </w:rPr>
          <w:t>17</w:t>
        </w:r>
        <w:r>
          <w:rPr>
            <w:webHidden/>
          </w:rPr>
          <w:fldChar w:fldCharType="end"/>
        </w:r>
      </w:hyperlink>
    </w:p>
    <w:p w:rsidR="00507040" w:rsidRDefault="00A17754">
      <w:pPr>
        <w:pStyle w:val="Obsah1"/>
        <w:rPr>
          <w:rFonts w:asciiTheme="minorHAnsi" w:eastAsiaTheme="minorEastAsia" w:hAnsiTheme="minorHAnsi" w:cstheme="minorBidi"/>
          <w:b w:val="0"/>
          <w:sz w:val="22"/>
          <w:szCs w:val="22"/>
          <w:lang w:eastAsia="cs-CZ"/>
        </w:rPr>
      </w:pPr>
      <w:hyperlink w:anchor="_Toc430335388" w:history="1">
        <w:r w:rsidR="00507040" w:rsidRPr="00A50EB7">
          <w:rPr>
            <w:rStyle w:val="Hypertextovodkaz"/>
          </w:rPr>
          <w:t>7.</w:t>
        </w:r>
        <w:r w:rsidR="00507040">
          <w:rPr>
            <w:rFonts w:asciiTheme="minorHAnsi" w:eastAsiaTheme="minorEastAsia" w:hAnsiTheme="minorHAnsi" w:cstheme="minorBidi"/>
            <w:b w:val="0"/>
            <w:sz w:val="22"/>
            <w:szCs w:val="22"/>
            <w:lang w:eastAsia="cs-CZ"/>
          </w:rPr>
          <w:tab/>
        </w:r>
        <w:r w:rsidR="00507040" w:rsidRPr="00A50EB7">
          <w:rPr>
            <w:rStyle w:val="Hypertextovodkaz"/>
          </w:rPr>
          <w:t>Měnové podmínky</w:t>
        </w:r>
        <w:r w:rsidR="00507040">
          <w:rPr>
            <w:webHidden/>
          </w:rPr>
          <w:tab/>
        </w:r>
        <w:r>
          <w:rPr>
            <w:webHidden/>
          </w:rPr>
          <w:fldChar w:fldCharType="begin"/>
        </w:r>
        <w:r w:rsidR="00507040">
          <w:rPr>
            <w:webHidden/>
          </w:rPr>
          <w:instrText xml:space="preserve"> PAGEREF _Toc430335388 \h </w:instrText>
        </w:r>
        <w:r>
          <w:rPr>
            <w:webHidden/>
          </w:rPr>
        </w:r>
        <w:r>
          <w:rPr>
            <w:webHidden/>
          </w:rPr>
          <w:fldChar w:fldCharType="separate"/>
        </w:r>
        <w:r w:rsidR="00507040">
          <w:rPr>
            <w:webHidden/>
          </w:rPr>
          <w:t>19</w:t>
        </w:r>
        <w:r>
          <w:rPr>
            <w:webHidden/>
          </w:rPr>
          <w:fldChar w:fldCharType="end"/>
        </w:r>
      </w:hyperlink>
    </w:p>
    <w:p w:rsidR="00507040" w:rsidRDefault="00A17754">
      <w:pPr>
        <w:pStyle w:val="Obsah1"/>
        <w:rPr>
          <w:rFonts w:asciiTheme="minorHAnsi" w:eastAsiaTheme="minorEastAsia" w:hAnsiTheme="minorHAnsi" w:cstheme="minorBidi"/>
          <w:b w:val="0"/>
          <w:sz w:val="22"/>
          <w:szCs w:val="22"/>
          <w:lang w:eastAsia="cs-CZ"/>
        </w:rPr>
      </w:pPr>
      <w:hyperlink w:anchor="_Toc430335389" w:history="1">
        <w:r w:rsidR="00507040" w:rsidRPr="00A50EB7">
          <w:rPr>
            <w:rStyle w:val="Hypertextovodkaz"/>
          </w:rPr>
          <w:t>8.</w:t>
        </w:r>
        <w:r w:rsidR="00507040">
          <w:rPr>
            <w:rFonts w:asciiTheme="minorHAnsi" w:eastAsiaTheme="minorEastAsia" w:hAnsiTheme="minorHAnsi" w:cstheme="minorBidi"/>
            <w:b w:val="0"/>
            <w:sz w:val="22"/>
            <w:szCs w:val="22"/>
            <w:lang w:eastAsia="cs-CZ"/>
          </w:rPr>
          <w:tab/>
        </w:r>
        <w:r w:rsidR="00507040" w:rsidRPr="00A50EB7">
          <w:rPr>
            <w:rStyle w:val="Hypertextovodkaz"/>
          </w:rPr>
          <w:t>Státní rozpočet</w:t>
        </w:r>
        <w:r w:rsidR="00507040">
          <w:rPr>
            <w:webHidden/>
          </w:rPr>
          <w:tab/>
        </w:r>
        <w:r>
          <w:rPr>
            <w:webHidden/>
          </w:rPr>
          <w:fldChar w:fldCharType="begin"/>
        </w:r>
        <w:r w:rsidR="00507040">
          <w:rPr>
            <w:webHidden/>
          </w:rPr>
          <w:instrText xml:space="preserve"> PAGEREF _Toc430335389 \h </w:instrText>
        </w:r>
        <w:r>
          <w:rPr>
            <w:webHidden/>
          </w:rPr>
        </w:r>
        <w:r>
          <w:rPr>
            <w:webHidden/>
          </w:rPr>
          <w:fldChar w:fldCharType="separate"/>
        </w:r>
        <w:r w:rsidR="00507040">
          <w:rPr>
            <w:webHidden/>
          </w:rPr>
          <w:t>21</w:t>
        </w:r>
        <w:r>
          <w:rPr>
            <w:webHidden/>
          </w:rPr>
          <w:fldChar w:fldCharType="end"/>
        </w:r>
      </w:hyperlink>
    </w:p>
    <w:p w:rsidR="00576A3E" w:rsidRDefault="00A17754" w:rsidP="00E921C7">
      <w:pPr>
        <w:pStyle w:val="Nadpis1"/>
        <w:spacing w:before="200"/>
        <w:rPr>
          <w:rFonts w:cs="Arial"/>
          <w:sz w:val="20"/>
          <w:szCs w:val="20"/>
        </w:rPr>
      </w:pPr>
      <w:r w:rsidRPr="00E921C7">
        <w:fldChar w:fldCharType="end"/>
      </w:r>
    </w:p>
    <w:p w:rsidR="00576A3E" w:rsidRPr="008E6113" w:rsidRDefault="00576A3E" w:rsidP="003406BD">
      <w:pPr>
        <w:rPr>
          <w:rFonts w:cs="Arial"/>
          <w:b/>
        </w:rPr>
      </w:pPr>
      <w:r w:rsidRPr="008E6113">
        <w:rPr>
          <w:rFonts w:cs="Arial"/>
          <w:b/>
        </w:rPr>
        <w:t>Kapitoly zpracovali:</w:t>
      </w:r>
    </w:p>
    <w:p w:rsidR="00576A3E" w:rsidRDefault="00576A3E" w:rsidP="003406BD">
      <w:pPr>
        <w:rPr>
          <w:rFonts w:cs="Arial"/>
        </w:rPr>
      </w:pPr>
    </w:p>
    <w:p w:rsidR="00576A3E" w:rsidRDefault="00576A3E" w:rsidP="003406BD">
      <w:pPr>
        <w:spacing w:after="120" w:line="276" w:lineRule="auto"/>
        <w:rPr>
          <w:rFonts w:cs="Arial"/>
        </w:rPr>
      </w:pPr>
      <w:r>
        <w:rPr>
          <w:rFonts w:cs="Arial"/>
        </w:rPr>
        <w:t xml:space="preserve">Drahomíra Dubská </w:t>
      </w:r>
      <w:r>
        <w:rPr>
          <w:rFonts w:cs="Arial"/>
        </w:rPr>
        <w:tab/>
        <w:t xml:space="preserve">Shrnutí (kap. 1), </w:t>
      </w:r>
      <w:r w:rsidRPr="000F401E">
        <w:rPr>
          <w:rFonts w:cs="Arial"/>
        </w:rPr>
        <w:t>kap. 4</w:t>
      </w:r>
      <w:r w:rsidRPr="009551E2">
        <w:rPr>
          <w:rFonts w:cs="Arial"/>
        </w:rPr>
        <w:t>, kap. 7</w:t>
      </w:r>
    </w:p>
    <w:p w:rsidR="00576A3E" w:rsidRDefault="00576A3E" w:rsidP="003406BD">
      <w:pPr>
        <w:spacing w:after="120" w:line="276" w:lineRule="auto"/>
        <w:rPr>
          <w:rFonts w:cs="Arial"/>
        </w:rPr>
      </w:pPr>
      <w:r>
        <w:rPr>
          <w:rFonts w:cs="Arial"/>
        </w:rPr>
        <w:t>Jiří Kamenický</w:t>
      </w:r>
      <w:r>
        <w:rPr>
          <w:rFonts w:cs="Arial"/>
        </w:rPr>
        <w:tab/>
      </w:r>
      <w:r>
        <w:rPr>
          <w:rFonts w:cs="Arial"/>
        </w:rPr>
        <w:tab/>
        <w:t xml:space="preserve">Shrnutí (kap. 1), </w:t>
      </w:r>
      <w:r w:rsidRPr="00606B93">
        <w:rPr>
          <w:rFonts w:cs="Arial"/>
          <w:color w:val="000000"/>
        </w:rPr>
        <w:t>kap. 3,</w:t>
      </w:r>
      <w:r>
        <w:rPr>
          <w:rFonts w:cs="Arial"/>
        </w:rPr>
        <w:t xml:space="preserve"> kap. 8</w:t>
      </w:r>
    </w:p>
    <w:p w:rsidR="00576A3E" w:rsidRDefault="00576A3E" w:rsidP="003406BD">
      <w:pPr>
        <w:spacing w:after="120" w:line="276" w:lineRule="auto"/>
        <w:rPr>
          <w:rFonts w:cs="Arial"/>
        </w:rPr>
      </w:pPr>
      <w:r>
        <w:rPr>
          <w:rFonts w:cs="Arial"/>
        </w:rPr>
        <w:t>Lukáš Kučera</w:t>
      </w:r>
      <w:r>
        <w:rPr>
          <w:rFonts w:cs="Arial"/>
        </w:rPr>
        <w:tab/>
      </w:r>
      <w:r>
        <w:rPr>
          <w:rFonts w:cs="Arial"/>
        </w:rPr>
        <w:tab/>
        <w:t>Shrnutí (kap. 1), kap. 2, kap. 5</w:t>
      </w:r>
      <w:r w:rsidR="00793387">
        <w:rPr>
          <w:rFonts w:cs="Arial"/>
        </w:rPr>
        <w:t xml:space="preserve">, kap. </w:t>
      </w:r>
      <w:r w:rsidR="004A22FA">
        <w:rPr>
          <w:rFonts w:cs="Arial"/>
        </w:rPr>
        <w:t>6</w:t>
      </w:r>
      <w:r>
        <w:rPr>
          <w:rFonts w:cs="Arial"/>
        </w:rPr>
        <w:t xml:space="preserve">  </w:t>
      </w:r>
    </w:p>
    <w:p w:rsidR="00576A3E" w:rsidRDefault="00576A3E" w:rsidP="001E3DA4"/>
    <w:p w:rsidR="00576A3E" w:rsidRDefault="00576A3E" w:rsidP="001E3DA4">
      <w:pPr>
        <w:sectPr w:rsidR="00576A3E" w:rsidSect="00357449">
          <w:headerReference w:type="even" r:id="rId9"/>
          <w:headerReference w:type="default" r:id="rId10"/>
          <w:footerReference w:type="default" r:id="rId11"/>
          <w:pgSz w:w="11906" w:h="16838" w:code="9"/>
          <w:pgMar w:top="1134" w:right="1134" w:bottom="1418" w:left="1134" w:header="680" w:footer="680" w:gutter="0"/>
          <w:cols w:space="708"/>
          <w:docGrid w:linePitch="360"/>
        </w:sectPr>
      </w:pPr>
    </w:p>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0E153A" w:rsidRDefault="00576A3E" w:rsidP="000E153A">
      <w:pPr>
        <w:pStyle w:val="Nadpis1"/>
        <w:numPr>
          <w:ilvl w:val="0"/>
          <w:numId w:val="1"/>
        </w:numPr>
      </w:pPr>
      <w:bookmarkStart w:id="3" w:name="_Toc430335382"/>
      <w:r>
        <w:lastRenderedPageBreak/>
        <w:t>Shrnutí</w:t>
      </w:r>
      <w:bookmarkEnd w:id="3"/>
    </w:p>
    <w:p w:rsidR="00101FB2" w:rsidRDefault="000E153A" w:rsidP="000E153A">
      <w:pPr>
        <w:pStyle w:val="Textpoznpodarou"/>
        <w:numPr>
          <w:ilvl w:val="0"/>
          <w:numId w:val="2"/>
        </w:numPr>
        <w:ind w:left="425" w:hanging="357"/>
        <w:jc w:val="both"/>
        <w:rPr>
          <w:lang w:eastAsia="ar-SA"/>
        </w:rPr>
      </w:pPr>
      <w:r>
        <w:rPr>
          <w:lang w:eastAsia="ar-SA"/>
        </w:rPr>
        <w:t xml:space="preserve">Silný růst ekonomiky </w:t>
      </w:r>
      <w:r w:rsidR="00317E31">
        <w:rPr>
          <w:lang w:eastAsia="ar-SA"/>
        </w:rPr>
        <w:t>z prvních tří měsíců roku</w:t>
      </w:r>
      <w:r>
        <w:rPr>
          <w:lang w:eastAsia="ar-SA"/>
        </w:rPr>
        <w:t xml:space="preserve"> 2015 </w:t>
      </w:r>
      <w:r w:rsidR="00317E31">
        <w:rPr>
          <w:lang w:eastAsia="ar-SA"/>
        </w:rPr>
        <w:t>podle hrubého domácího produktu (</w:t>
      </w:r>
      <w:r>
        <w:rPr>
          <w:lang w:eastAsia="ar-SA"/>
        </w:rPr>
        <w:t>HDP</w:t>
      </w:r>
      <w:r w:rsidR="00317E31">
        <w:rPr>
          <w:lang w:eastAsia="ar-SA"/>
        </w:rPr>
        <w:t>)</w:t>
      </w:r>
      <w:r w:rsidRPr="007821DB">
        <w:rPr>
          <w:rStyle w:val="Znakapoznpodarou"/>
          <w:lang w:eastAsia="ar-SA"/>
        </w:rPr>
        <w:footnoteReference w:id="1"/>
      </w:r>
      <w:r>
        <w:rPr>
          <w:lang w:eastAsia="ar-SA"/>
        </w:rPr>
        <w:t xml:space="preserve"> </w:t>
      </w:r>
      <w:r w:rsidR="006139C7">
        <w:rPr>
          <w:lang w:eastAsia="ar-SA"/>
        </w:rPr>
        <w:t xml:space="preserve">ve 2. čtvrtletí </w:t>
      </w:r>
      <w:r w:rsidR="00317E31">
        <w:rPr>
          <w:lang w:eastAsia="ar-SA"/>
        </w:rPr>
        <w:t>dále zrychlil</w:t>
      </w:r>
      <w:r w:rsidR="001852EC">
        <w:rPr>
          <w:lang w:eastAsia="ar-SA"/>
        </w:rPr>
        <w:t xml:space="preserve">. Uvolněná fiskální a měnová politika </w:t>
      </w:r>
      <w:r w:rsidR="00607727">
        <w:rPr>
          <w:lang w:eastAsia="ar-SA"/>
        </w:rPr>
        <w:t>přispívající ke</w:t>
      </w:r>
      <w:r w:rsidR="001852EC">
        <w:rPr>
          <w:lang w:eastAsia="ar-SA"/>
        </w:rPr>
        <w:t xml:space="preserve"> </w:t>
      </w:r>
      <w:r w:rsidR="00607727">
        <w:rPr>
          <w:lang w:eastAsia="ar-SA"/>
        </w:rPr>
        <w:t>zlepšování</w:t>
      </w:r>
      <w:r w:rsidR="005C4A23">
        <w:rPr>
          <w:lang w:eastAsia="ar-SA"/>
        </w:rPr>
        <w:t xml:space="preserve"> situace na</w:t>
      </w:r>
      <w:r w:rsidR="00607727">
        <w:rPr>
          <w:lang w:eastAsia="ar-SA"/>
        </w:rPr>
        <w:t xml:space="preserve"> trhu práce,</w:t>
      </w:r>
      <w:r w:rsidR="005C4A23">
        <w:rPr>
          <w:lang w:eastAsia="ar-SA"/>
        </w:rPr>
        <w:t xml:space="preserve"> tj.</w:t>
      </w:r>
      <w:r w:rsidR="00607727">
        <w:rPr>
          <w:lang w:eastAsia="ar-SA"/>
        </w:rPr>
        <w:t xml:space="preserve"> </w:t>
      </w:r>
      <w:r w:rsidR="001852EC">
        <w:rPr>
          <w:lang w:eastAsia="ar-SA"/>
        </w:rPr>
        <w:t>rychl</w:t>
      </w:r>
      <w:r w:rsidR="00607727">
        <w:rPr>
          <w:lang w:eastAsia="ar-SA"/>
        </w:rPr>
        <w:t>ému</w:t>
      </w:r>
      <w:r w:rsidR="001852EC">
        <w:rPr>
          <w:lang w:eastAsia="ar-SA"/>
        </w:rPr>
        <w:t xml:space="preserve"> </w:t>
      </w:r>
      <w:r w:rsidR="005C4A23">
        <w:rPr>
          <w:lang w:eastAsia="ar-SA"/>
        </w:rPr>
        <w:t>poklesu míry nezaměstnanosti a</w:t>
      </w:r>
      <w:r w:rsidR="00607727">
        <w:rPr>
          <w:lang w:eastAsia="ar-SA"/>
        </w:rPr>
        <w:t xml:space="preserve"> rostoucím příjmům, ale i zesílená investiční aktivita, dobrý </w:t>
      </w:r>
      <w:r w:rsidR="00F23825">
        <w:rPr>
          <w:lang w:eastAsia="ar-SA"/>
        </w:rPr>
        <w:t>výsledek zahraničního obchodu a</w:t>
      </w:r>
      <w:r w:rsidR="00607727">
        <w:rPr>
          <w:lang w:eastAsia="ar-SA"/>
        </w:rPr>
        <w:t xml:space="preserve"> přetrvávající pozitivní </w:t>
      </w:r>
      <w:r w:rsidR="005C4A23">
        <w:rPr>
          <w:lang w:eastAsia="ar-SA"/>
        </w:rPr>
        <w:t>očekávání na straně domácností a</w:t>
      </w:r>
      <w:r w:rsidR="00607727">
        <w:rPr>
          <w:lang w:eastAsia="ar-SA"/>
        </w:rPr>
        <w:t xml:space="preserve"> firem </w:t>
      </w:r>
      <w:r w:rsidR="00F23825">
        <w:rPr>
          <w:lang w:eastAsia="ar-SA"/>
        </w:rPr>
        <w:t>zvýšily výkonnost české ekonomiky</w:t>
      </w:r>
      <w:r w:rsidR="005C4A23">
        <w:rPr>
          <w:lang w:eastAsia="ar-SA"/>
        </w:rPr>
        <w:t xml:space="preserve"> více než v 1. čtvrtletí</w:t>
      </w:r>
      <w:r w:rsidR="00250C59">
        <w:rPr>
          <w:lang w:eastAsia="ar-SA"/>
        </w:rPr>
        <w:t xml:space="preserve">. </w:t>
      </w:r>
      <w:r w:rsidR="007559D7">
        <w:rPr>
          <w:lang w:eastAsia="ar-SA"/>
        </w:rPr>
        <w:t xml:space="preserve">Růst </w:t>
      </w:r>
      <w:r w:rsidR="00250C59">
        <w:rPr>
          <w:lang w:eastAsia="ar-SA"/>
        </w:rPr>
        <w:t>HDP zrychlil z</w:t>
      </w:r>
      <w:r w:rsidR="00F23825">
        <w:rPr>
          <w:lang w:eastAsia="ar-SA"/>
        </w:rPr>
        <w:t xml:space="preserve"> +4,0 % na +4,4 % v meziročním vyjádření</w:t>
      </w:r>
      <w:r w:rsidR="00101FB2">
        <w:rPr>
          <w:lang w:eastAsia="ar-SA"/>
        </w:rPr>
        <w:t xml:space="preserve"> a v úhrnu za celé pololetí tak vzrostla </w:t>
      </w:r>
      <w:r w:rsidR="005C4A23">
        <w:rPr>
          <w:lang w:eastAsia="ar-SA"/>
        </w:rPr>
        <w:t xml:space="preserve">tuzemská </w:t>
      </w:r>
      <w:r w:rsidR="00101FB2">
        <w:rPr>
          <w:lang w:eastAsia="ar-SA"/>
        </w:rPr>
        <w:t>ekonomika o 4,2 %. Šlo o růst neinflační a</w:t>
      </w:r>
      <w:r w:rsidR="00250C59">
        <w:rPr>
          <w:lang w:eastAsia="ar-SA"/>
        </w:rPr>
        <w:t> </w:t>
      </w:r>
      <w:r w:rsidR="00101FB2">
        <w:rPr>
          <w:lang w:eastAsia="ar-SA"/>
        </w:rPr>
        <w:t>s ohledem na vývoj státních financ</w:t>
      </w:r>
      <w:r w:rsidR="00D13830">
        <w:rPr>
          <w:lang w:eastAsia="ar-SA"/>
        </w:rPr>
        <w:t>í a vnějších vztahů rovnovážný.</w:t>
      </w:r>
    </w:p>
    <w:p w:rsidR="00F23825" w:rsidRPr="007F3E3E" w:rsidRDefault="00F23825" w:rsidP="003A027D">
      <w:pPr>
        <w:pStyle w:val="Textpoznpodarou"/>
        <w:ind w:left="68"/>
        <w:jc w:val="both"/>
        <w:rPr>
          <w:sz w:val="14"/>
          <w:szCs w:val="14"/>
          <w:lang w:eastAsia="ar-SA"/>
        </w:rPr>
      </w:pPr>
    </w:p>
    <w:p w:rsidR="00B46D25" w:rsidRDefault="00101FB2" w:rsidP="000E153A">
      <w:pPr>
        <w:pStyle w:val="Textpoznpodarou"/>
        <w:numPr>
          <w:ilvl w:val="0"/>
          <w:numId w:val="2"/>
        </w:numPr>
        <w:ind w:left="425" w:hanging="357"/>
        <w:jc w:val="both"/>
        <w:rPr>
          <w:lang w:eastAsia="ar-SA"/>
        </w:rPr>
      </w:pPr>
      <w:r>
        <w:rPr>
          <w:lang w:eastAsia="ar-SA"/>
        </w:rPr>
        <w:t>K vysokému růst</w:t>
      </w:r>
      <w:r w:rsidR="00B46D25">
        <w:rPr>
          <w:lang w:eastAsia="ar-SA"/>
        </w:rPr>
        <w:t>u</w:t>
      </w:r>
      <w:r>
        <w:rPr>
          <w:lang w:eastAsia="ar-SA"/>
        </w:rPr>
        <w:t xml:space="preserve"> české ekonomiky ve 2. </w:t>
      </w:r>
      <w:r w:rsidR="00B46D25">
        <w:rPr>
          <w:lang w:eastAsia="ar-SA"/>
        </w:rPr>
        <w:t>č</w:t>
      </w:r>
      <w:r>
        <w:rPr>
          <w:lang w:eastAsia="ar-SA"/>
        </w:rPr>
        <w:t>tvrtle</w:t>
      </w:r>
      <w:r w:rsidR="00B46D25">
        <w:rPr>
          <w:lang w:eastAsia="ar-SA"/>
        </w:rPr>
        <w:t>tí přispěly pozitivně</w:t>
      </w:r>
      <w:r w:rsidR="005C4A23">
        <w:rPr>
          <w:lang w:eastAsia="ar-SA"/>
        </w:rPr>
        <w:t xml:space="preserve"> všechny</w:t>
      </w:r>
      <w:r w:rsidR="007538F9">
        <w:rPr>
          <w:lang w:eastAsia="ar-SA"/>
        </w:rPr>
        <w:t xml:space="preserve"> klíčové</w:t>
      </w:r>
      <w:r w:rsidR="005C4A23">
        <w:rPr>
          <w:lang w:eastAsia="ar-SA"/>
        </w:rPr>
        <w:t xml:space="preserve"> složky poptávky,</w:t>
      </w:r>
      <w:r w:rsidR="00B46D25">
        <w:rPr>
          <w:lang w:eastAsia="ar-SA"/>
        </w:rPr>
        <w:t xml:space="preserve"> především </w:t>
      </w:r>
      <w:r w:rsidR="005C4A23">
        <w:rPr>
          <w:lang w:eastAsia="ar-SA"/>
        </w:rPr>
        <w:t xml:space="preserve">však </w:t>
      </w:r>
      <w:r w:rsidR="00B46D25">
        <w:rPr>
          <w:lang w:eastAsia="ar-SA"/>
        </w:rPr>
        <w:t>výdaje na konečnou spotřebu domácností a t</w:t>
      </w:r>
      <w:r w:rsidR="007559D7">
        <w:rPr>
          <w:lang w:eastAsia="ar-SA"/>
        </w:rPr>
        <w:t>vorba hrubého fixního kapitálu (dále jen</w:t>
      </w:r>
      <w:r w:rsidR="00B46D25">
        <w:rPr>
          <w:lang w:eastAsia="ar-SA"/>
        </w:rPr>
        <w:t xml:space="preserve"> investice</w:t>
      </w:r>
      <w:r w:rsidR="007559D7">
        <w:rPr>
          <w:lang w:eastAsia="ar-SA"/>
        </w:rPr>
        <w:t xml:space="preserve">) shodně +1,5 </w:t>
      </w:r>
      <w:proofErr w:type="spellStart"/>
      <w:r w:rsidR="007559D7">
        <w:rPr>
          <w:lang w:eastAsia="ar-SA"/>
        </w:rPr>
        <w:t>pb</w:t>
      </w:r>
      <w:proofErr w:type="spellEnd"/>
      <w:r w:rsidR="007559D7">
        <w:rPr>
          <w:lang w:eastAsia="ar-SA"/>
        </w:rPr>
        <w:t>.</w:t>
      </w:r>
      <w:r w:rsidR="0074329D" w:rsidRPr="004A11F8">
        <w:rPr>
          <w:rStyle w:val="Znakapoznpodarou"/>
          <w:spacing w:val="-6"/>
          <w:lang w:eastAsia="ar-SA"/>
        </w:rPr>
        <w:footnoteReference w:id="2"/>
      </w:r>
      <w:r>
        <w:rPr>
          <w:lang w:eastAsia="ar-SA"/>
        </w:rPr>
        <w:t xml:space="preserve"> </w:t>
      </w:r>
      <w:r w:rsidR="005C4A23">
        <w:rPr>
          <w:lang w:eastAsia="ar-SA"/>
        </w:rPr>
        <w:t>Příspěvek změny zásob se</w:t>
      </w:r>
      <w:r w:rsidR="00B46D25">
        <w:rPr>
          <w:lang w:eastAsia="ar-SA"/>
        </w:rPr>
        <w:t xml:space="preserve"> zmenšil na </w:t>
      </w:r>
      <w:r w:rsidR="005C4A23">
        <w:rPr>
          <w:lang w:eastAsia="ar-SA"/>
        </w:rPr>
        <w:t>+</w:t>
      </w:r>
      <w:r w:rsidR="00B46D25">
        <w:rPr>
          <w:lang w:eastAsia="ar-SA"/>
        </w:rPr>
        <w:t xml:space="preserve">0,7 </w:t>
      </w:r>
      <w:proofErr w:type="spellStart"/>
      <w:r w:rsidR="00B46D25">
        <w:rPr>
          <w:lang w:eastAsia="ar-SA"/>
        </w:rPr>
        <w:t>pb</w:t>
      </w:r>
      <w:proofErr w:type="spellEnd"/>
      <w:r w:rsidR="00B46D25">
        <w:rPr>
          <w:lang w:eastAsia="ar-SA"/>
        </w:rPr>
        <w:t xml:space="preserve">., vliv výdajů vládních institucí se v porovnání s 1. čtvrtletím nezměnil (+0,5 </w:t>
      </w:r>
      <w:proofErr w:type="spellStart"/>
      <w:r w:rsidR="00B46D25">
        <w:rPr>
          <w:lang w:eastAsia="ar-SA"/>
        </w:rPr>
        <w:t>pb</w:t>
      </w:r>
      <w:proofErr w:type="spellEnd"/>
      <w:r w:rsidR="00B46D25">
        <w:rPr>
          <w:lang w:eastAsia="ar-SA"/>
        </w:rPr>
        <w:t>.). Výsledek zahraničního obchodu pů</w:t>
      </w:r>
      <w:r w:rsidR="009C07A5">
        <w:rPr>
          <w:lang w:eastAsia="ar-SA"/>
        </w:rPr>
        <w:t xml:space="preserve">sobil rovněž ve směru růstu české ekonomiky (+0,3 </w:t>
      </w:r>
      <w:proofErr w:type="spellStart"/>
      <w:r w:rsidR="009C07A5">
        <w:rPr>
          <w:lang w:eastAsia="ar-SA"/>
        </w:rPr>
        <w:t>pb</w:t>
      </w:r>
      <w:proofErr w:type="spellEnd"/>
      <w:r w:rsidR="009C07A5">
        <w:rPr>
          <w:lang w:eastAsia="ar-SA"/>
        </w:rPr>
        <w:t>.), a</w:t>
      </w:r>
      <w:r w:rsidR="00D13830">
        <w:rPr>
          <w:lang w:eastAsia="ar-SA"/>
        </w:rPr>
        <w:t xml:space="preserve"> to poprvé po dvou čtvrtletích.</w:t>
      </w:r>
    </w:p>
    <w:p w:rsidR="009C07A5" w:rsidRPr="007F3E3E" w:rsidRDefault="009C07A5" w:rsidP="003A027D">
      <w:pPr>
        <w:pStyle w:val="Odstavecseseznamem"/>
        <w:ind w:left="0"/>
        <w:rPr>
          <w:sz w:val="14"/>
          <w:szCs w:val="14"/>
          <w:lang w:eastAsia="ar-SA"/>
        </w:rPr>
      </w:pPr>
    </w:p>
    <w:p w:rsidR="001852EC" w:rsidRPr="003A027D" w:rsidRDefault="009C07A5" w:rsidP="009C07A5">
      <w:pPr>
        <w:pStyle w:val="Textpoznpodarou"/>
        <w:numPr>
          <w:ilvl w:val="0"/>
          <w:numId w:val="2"/>
        </w:numPr>
        <w:ind w:left="425" w:hanging="357"/>
        <w:jc w:val="both"/>
        <w:rPr>
          <w:sz w:val="18"/>
          <w:szCs w:val="18"/>
          <w:lang w:eastAsia="ar-SA"/>
        </w:rPr>
      </w:pPr>
      <w:r>
        <w:rPr>
          <w:lang w:eastAsia="ar-SA"/>
        </w:rPr>
        <w:t>Proti 1. čtvrtletí 2015 stoupl HDP o 1,0</w:t>
      </w:r>
      <w:r w:rsidR="005C4A23">
        <w:rPr>
          <w:lang w:eastAsia="ar-SA"/>
        </w:rPr>
        <w:t xml:space="preserve"> </w:t>
      </w:r>
      <w:r>
        <w:rPr>
          <w:lang w:eastAsia="ar-SA"/>
        </w:rPr>
        <w:t>%, tažen hlavně investicemi (+3,5 %). Toto tempo však bylo významně ovlivněno mimořádnými faktory (čerpání peněz z fondů EU n</w:t>
      </w:r>
      <w:r w:rsidR="0046471F">
        <w:rPr>
          <w:lang w:eastAsia="ar-SA"/>
        </w:rPr>
        <w:t xml:space="preserve">a konci programovacího období, </w:t>
      </w:r>
      <w:r>
        <w:rPr>
          <w:lang w:eastAsia="ar-SA"/>
        </w:rPr>
        <w:t>výjimečné zisky firem především z roku 2014). Celkové výdaje na konečnou spotřebu stouply o 0,6 %.</w:t>
      </w:r>
      <w:r w:rsidR="001852EC">
        <w:rPr>
          <w:lang w:eastAsia="ar-SA"/>
        </w:rPr>
        <w:t xml:space="preserve"> </w:t>
      </w:r>
    </w:p>
    <w:p w:rsidR="003A027D" w:rsidRPr="007F3E3E" w:rsidRDefault="003A027D" w:rsidP="009C07A5">
      <w:pPr>
        <w:pStyle w:val="Textpoznpodarou"/>
        <w:jc w:val="both"/>
        <w:rPr>
          <w:sz w:val="14"/>
          <w:szCs w:val="14"/>
          <w:lang w:eastAsia="ar-SA"/>
        </w:rPr>
      </w:pPr>
    </w:p>
    <w:p w:rsidR="00F23825" w:rsidRPr="00193432" w:rsidRDefault="00F23825" w:rsidP="000E153A">
      <w:pPr>
        <w:pStyle w:val="Textpoznpodarou"/>
        <w:numPr>
          <w:ilvl w:val="0"/>
          <w:numId w:val="2"/>
        </w:numPr>
        <w:ind w:left="425" w:hanging="357"/>
        <w:jc w:val="both"/>
        <w:rPr>
          <w:spacing w:val="-2"/>
          <w:lang w:eastAsia="ar-SA"/>
        </w:rPr>
      </w:pPr>
      <w:r w:rsidRPr="003A027D">
        <w:rPr>
          <w:lang w:eastAsia="ar-SA"/>
        </w:rPr>
        <w:t>Výkonnost odvětví podle růstu hrubé přidané hodnoty (+3,8 %</w:t>
      </w:r>
      <w:r w:rsidR="005C4A23" w:rsidRPr="003A027D">
        <w:rPr>
          <w:lang w:eastAsia="ar-SA"/>
        </w:rPr>
        <w:t xml:space="preserve"> meziročně</w:t>
      </w:r>
      <w:r w:rsidR="003A027D">
        <w:rPr>
          <w:lang w:eastAsia="ar-SA"/>
        </w:rPr>
        <w:t xml:space="preserve"> ve 2. čtvrtletí</w:t>
      </w:r>
      <w:r w:rsidRPr="003A027D">
        <w:rPr>
          <w:lang w:eastAsia="ar-SA"/>
        </w:rPr>
        <w:t>), kter</w:t>
      </w:r>
      <w:r w:rsidR="00101FB2" w:rsidRPr="003A027D">
        <w:rPr>
          <w:lang w:eastAsia="ar-SA"/>
        </w:rPr>
        <w:t>ý</w:t>
      </w:r>
      <w:r w:rsidRPr="003A027D">
        <w:rPr>
          <w:lang w:eastAsia="ar-SA"/>
        </w:rPr>
        <w:t xml:space="preserve"> byl po</w:t>
      </w:r>
      <w:r w:rsidR="00250C59" w:rsidRPr="003A027D">
        <w:rPr>
          <w:lang w:eastAsia="ar-SA"/>
        </w:rPr>
        <w:t>dle dostupných dat nejvyšší v Evropské unii</w:t>
      </w:r>
      <w:r w:rsidRPr="003A027D">
        <w:rPr>
          <w:lang w:eastAsia="ar-SA"/>
        </w:rPr>
        <w:t>, ovlivnil co do dynamiky největ</w:t>
      </w:r>
      <w:r w:rsidR="00E34985">
        <w:rPr>
          <w:lang w:eastAsia="ar-SA"/>
        </w:rPr>
        <w:t>ší měrou zpracovatelský průmysl</w:t>
      </w:r>
      <w:r w:rsidRPr="003A027D">
        <w:rPr>
          <w:lang w:eastAsia="ar-SA"/>
        </w:rPr>
        <w:t xml:space="preserve"> (+7,0 %). Jeho pří</w:t>
      </w:r>
      <w:r w:rsidR="004C1B86" w:rsidRPr="003A027D">
        <w:rPr>
          <w:lang w:eastAsia="ar-SA"/>
        </w:rPr>
        <w:t>s</w:t>
      </w:r>
      <w:r w:rsidRPr="003A027D">
        <w:rPr>
          <w:lang w:eastAsia="ar-SA"/>
        </w:rPr>
        <w:t xml:space="preserve">pěvek k růstu </w:t>
      </w:r>
      <w:r w:rsidR="00250C59" w:rsidRPr="003A027D">
        <w:rPr>
          <w:lang w:eastAsia="ar-SA"/>
        </w:rPr>
        <w:t xml:space="preserve">celkové </w:t>
      </w:r>
      <w:r w:rsidRPr="003A027D">
        <w:rPr>
          <w:lang w:eastAsia="ar-SA"/>
        </w:rPr>
        <w:t xml:space="preserve">hrubé přidané hodnoty v ekonomice činil +1,8 </w:t>
      </w:r>
      <w:proofErr w:type="spellStart"/>
      <w:r w:rsidRPr="003A027D">
        <w:rPr>
          <w:lang w:eastAsia="ar-SA"/>
        </w:rPr>
        <w:t>pb</w:t>
      </w:r>
      <w:proofErr w:type="spellEnd"/>
      <w:r w:rsidRPr="003A027D">
        <w:rPr>
          <w:lang w:eastAsia="ar-SA"/>
        </w:rPr>
        <w:t xml:space="preserve">., </w:t>
      </w:r>
      <w:r w:rsidR="004C1B86" w:rsidRPr="003A027D">
        <w:rPr>
          <w:lang w:eastAsia="ar-SA"/>
        </w:rPr>
        <w:t xml:space="preserve">což bylo stejně jako v případě </w:t>
      </w:r>
      <w:r w:rsidR="003A027D">
        <w:rPr>
          <w:lang w:eastAsia="ar-SA"/>
        </w:rPr>
        <w:t>váhově</w:t>
      </w:r>
      <w:r w:rsidR="004C1B86" w:rsidRPr="003A027D">
        <w:rPr>
          <w:lang w:eastAsia="ar-SA"/>
        </w:rPr>
        <w:t xml:space="preserve"> významnějších služeb. Pokračující příznivý vývoj stavebnictví, po dlouhodobém útlumu, </w:t>
      </w:r>
      <w:r w:rsidR="00250C59" w:rsidRPr="003A027D">
        <w:rPr>
          <w:lang w:eastAsia="ar-SA"/>
        </w:rPr>
        <w:t>se ve</w:t>
      </w:r>
      <w:r w:rsidR="00987309" w:rsidRPr="003A027D">
        <w:rPr>
          <w:lang w:eastAsia="ar-SA"/>
        </w:rPr>
        <w:t> </w:t>
      </w:r>
      <w:r w:rsidR="004C1B86" w:rsidRPr="003A027D">
        <w:rPr>
          <w:lang w:eastAsia="ar-SA"/>
        </w:rPr>
        <w:t>výkon</w:t>
      </w:r>
      <w:r w:rsidR="00250C59" w:rsidRPr="003A027D">
        <w:rPr>
          <w:lang w:eastAsia="ar-SA"/>
        </w:rPr>
        <w:t>u</w:t>
      </w:r>
      <w:r w:rsidR="00101FB2" w:rsidRPr="003A027D">
        <w:rPr>
          <w:lang w:eastAsia="ar-SA"/>
        </w:rPr>
        <w:t xml:space="preserve"> české ekonomiky</w:t>
      </w:r>
      <w:r w:rsidR="00250C59" w:rsidRPr="003A027D">
        <w:rPr>
          <w:lang w:eastAsia="ar-SA"/>
        </w:rPr>
        <w:t xml:space="preserve"> promítnul</w:t>
      </w:r>
      <w:r w:rsidR="00101FB2" w:rsidRPr="003A027D">
        <w:rPr>
          <w:lang w:eastAsia="ar-SA"/>
        </w:rPr>
        <w:t xml:space="preserve"> také pozitivně</w:t>
      </w:r>
      <w:r w:rsidR="004C1B86" w:rsidRPr="003A027D">
        <w:rPr>
          <w:lang w:eastAsia="ar-SA"/>
        </w:rPr>
        <w:t xml:space="preserve"> (+0,2 </w:t>
      </w:r>
      <w:proofErr w:type="spellStart"/>
      <w:r w:rsidR="004C1B86" w:rsidRPr="003A027D">
        <w:rPr>
          <w:lang w:eastAsia="ar-SA"/>
        </w:rPr>
        <w:t>pb</w:t>
      </w:r>
      <w:proofErr w:type="spellEnd"/>
      <w:r w:rsidR="004C1B86" w:rsidRPr="003A027D">
        <w:rPr>
          <w:lang w:eastAsia="ar-SA"/>
        </w:rPr>
        <w:t>.)</w:t>
      </w:r>
      <w:r w:rsidR="00101FB2" w:rsidRPr="003A027D">
        <w:rPr>
          <w:lang w:eastAsia="ar-SA"/>
        </w:rPr>
        <w:t>. Odvětví zahrnující zemědělství, lesnictví a</w:t>
      </w:r>
      <w:r w:rsidR="00987309" w:rsidRPr="003A027D">
        <w:rPr>
          <w:lang w:eastAsia="ar-SA"/>
        </w:rPr>
        <w:t> </w:t>
      </w:r>
      <w:r w:rsidR="00101FB2" w:rsidRPr="003A027D">
        <w:rPr>
          <w:lang w:eastAsia="ar-SA"/>
        </w:rPr>
        <w:t xml:space="preserve">rybářství přidalo +0,1 </w:t>
      </w:r>
      <w:proofErr w:type="spellStart"/>
      <w:r w:rsidR="00101FB2" w:rsidRPr="003A027D">
        <w:rPr>
          <w:lang w:eastAsia="ar-SA"/>
        </w:rPr>
        <w:t>pb</w:t>
      </w:r>
      <w:proofErr w:type="spellEnd"/>
      <w:r w:rsidR="00101FB2" w:rsidRPr="003A027D">
        <w:rPr>
          <w:lang w:eastAsia="ar-SA"/>
        </w:rPr>
        <w:t>., nezpracovatelská průmyslová odv</w:t>
      </w:r>
      <w:r w:rsidR="00987309" w:rsidRPr="003A027D">
        <w:rPr>
          <w:lang w:eastAsia="ar-SA"/>
        </w:rPr>
        <w:t>ětví naopak růst</w:t>
      </w:r>
      <w:r w:rsidR="0046471F">
        <w:rPr>
          <w:lang w:eastAsia="ar-SA"/>
        </w:rPr>
        <w:t xml:space="preserve"> mírně</w:t>
      </w:r>
      <w:r w:rsidR="00101FB2" w:rsidRPr="003A027D">
        <w:rPr>
          <w:lang w:eastAsia="ar-SA"/>
        </w:rPr>
        <w:t xml:space="preserve"> brzdila (-0,1 </w:t>
      </w:r>
      <w:proofErr w:type="spellStart"/>
      <w:r w:rsidR="00101FB2" w:rsidRPr="003A027D">
        <w:rPr>
          <w:lang w:eastAsia="ar-SA"/>
        </w:rPr>
        <w:t>pb</w:t>
      </w:r>
      <w:proofErr w:type="spellEnd"/>
      <w:r w:rsidR="00101FB2" w:rsidRPr="003A027D">
        <w:rPr>
          <w:lang w:eastAsia="ar-SA"/>
        </w:rPr>
        <w:t>.).</w:t>
      </w:r>
      <w:r w:rsidR="00154147">
        <w:rPr>
          <w:lang w:eastAsia="ar-SA"/>
        </w:rPr>
        <w:t xml:space="preserve"> </w:t>
      </w:r>
      <w:r w:rsidR="007F3E3E" w:rsidRPr="00193432">
        <w:rPr>
          <w:spacing w:val="-2"/>
          <w:lang w:eastAsia="ar-SA"/>
        </w:rPr>
        <w:t>Odvětvím se dařilo i p</w:t>
      </w:r>
      <w:r w:rsidR="00154147" w:rsidRPr="00193432">
        <w:rPr>
          <w:spacing w:val="-2"/>
          <w:lang w:eastAsia="ar-SA"/>
        </w:rPr>
        <w:t xml:space="preserve">odle </w:t>
      </w:r>
      <w:r w:rsidR="007F3E3E" w:rsidRPr="00193432">
        <w:rPr>
          <w:spacing w:val="-2"/>
          <w:lang w:eastAsia="ar-SA"/>
        </w:rPr>
        <w:t>údajů produkčních statistik. Tržby v maloobchodě stouply za pololetí 2015</w:t>
      </w:r>
      <w:r w:rsidR="00193432" w:rsidRPr="00193432">
        <w:rPr>
          <w:spacing w:val="-2"/>
          <w:lang w:eastAsia="ar-SA"/>
        </w:rPr>
        <w:t xml:space="preserve"> v reálném vyjádření</w:t>
      </w:r>
      <w:r w:rsidR="007F3E3E" w:rsidRPr="00193432">
        <w:rPr>
          <w:spacing w:val="-2"/>
          <w:lang w:eastAsia="ar-SA"/>
        </w:rPr>
        <w:t xml:space="preserve"> meziročně o 6 %, z toho za </w:t>
      </w:r>
      <w:proofErr w:type="spellStart"/>
      <w:r w:rsidR="00B35174" w:rsidRPr="00193432">
        <w:rPr>
          <w:spacing w:val="-2"/>
          <w:lang w:eastAsia="ar-SA"/>
        </w:rPr>
        <w:t>ne</w:t>
      </w:r>
      <w:r w:rsidR="007F3E3E" w:rsidRPr="00193432">
        <w:rPr>
          <w:spacing w:val="-2"/>
          <w:lang w:eastAsia="ar-SA"/>
        </w:rPr>
        <w:t>potravinářské</w:t>
      </w:r>
      <w:proofErr w:type="spellEnd"/>
      <w:r w:rsidR="007F3E3E" w:rsidRPr="00193432">
        <w:rPr>
          <w:spacing w:val="-2"/>
          <w:lang w:eastAsia="ar-SA"/>
        </w:rPr>
        <w:t xml:space="preserve"> zboží o 7,6 %.</w:t>
      </w:r>
      <w:r w:rsidR="00636E5E" w:rsidRPr="00193432">
        <w:rPr>
          <w:spacing w:val="-2"/>
          <w:lang w:eastAsia="ar-SA"/>
        </w:rPr>
        <w:t xml:space="preserve"> Tržby ve službách vzrostly o 2,9 %, když ve stejném období roku 2014 se zvýšily pouze</w:t>
      </w:r>
      <w:r w:rsidR="00193432">
        <w:rPr>
          <w:spacing w:val="-2"/>
          <w:lang w:eastAsia="ar-SA"/>
        </w:rPr>
        <w:t xml:space="preserve"> o </w:t>
      </w:r>
      <w:r w:rsidR="00636E5E" w:rsidRPr="00193432">
        <w:rPr>
          <w:spacing w:val="-2"/>
          <w:lang w:eastAsia="ar-SA"/>
        </w:rPr>
        <w:t>1,9</w:t>
      </w:r>
      <w:r w:rsidR="00193432">
        <w:rPr>
          <w:spacing w:val="-2"/>
          <w:lang w:eastAsia="ar-SA"/>
        </w:rPr>
        <w:t> </w:t>
      </w:r>
      <w:r w:rsidR="00636E5E" w:rsidRPr="00193432">
        <w:rPr>
          <w:spacing w:val="-2"/>
          <w:lang w:eastAsia="ar-SA"/>
        </w:rPr>
        <w:t xml:space="preserve">%. </w:t>
      </w:r>
      <w:r w:rsidR="007559D7">
        <w:rPr>
          <w:spacing w:val="-2"/>
          <w:lang w:eastAsia="ar-SA"/>
        </w:rPr>
        <w:t>Jejich r</w:t>
      </w:r>
      <w:r w:rsidR="00636E5E" w:rsidRPr="00193432">
        <w:rPr>
          <w:spacing w:val="-2"/>
          <w:lang w:eastAsia="ar-SA"/>
        </w:rPr>
        <w:t xml:space="preserve">ůst byl plošný (s výjimkou činností v oblasti nemovitostí, kde tržby klesly o 0,2 %). </w:t>
      </w:r>
    </w:p>
    <w:p w:rsidR="009C07A5" w:rsidRPr="007F3E3E" w:rsidRDefault="009C07A5" w:rsidP="003A027D">
      <w:pPr>
        <w:pStyle w:val="Odstavecseseznamem"/>
        <w:ind w:left="0"/>
        <w:rPr>
          <w:spacing w:val="-2"/>
          <w:sz w:val="14"/>
          <w:szCs w:val="14"/>
          <w:lang w:eastAsia="ar-SA"/>
        </w:rPr>
      </w:pPr>
    </w:p>
    <w:p w:rsidR="00F817A4" w:rsidRPr="00F817A4" w:rsidRDefault="00F817A4" w:rsidP="00F817A4">
      <w:pPr>
        <w:pStyle w:val="Textpoznpodarou"/>
        <w:numPr>
          <w:ilvl w:val="0"/>
          <w:numId w:val="2"/>
        </w:numPr>
        <w:ind w:left="425" w:hanging="357"/>
        <w:jc w:val="both"/>
        <w:rPr>
          <w:spacing w:val="-4"/>
          <w:lang w:eastAsia="ar-SA"/>
        </w:rPr>
      </w:pPr>
      <w:r w:rsidRPr="00F817A4">
        <w:rPr>
          <w:spacing w:val="-4"/>
          <w:lang w:eastAsia="ar-SA"/>
        </w:rPr>
        <w:t>Výrazný růst HDP nevychyloval českou ekonomiku z vnější rovnováhy. Rekordní pololetní přebytek běžného účtu platební bilance ve výši 95,8 mld. korun ovlivněný největší měrou meziročně slabším odlivem dividend, ale i zlepšením salda druhotných důchodů spolu s vysokým přebytkem kapitálového účtu (83,3 mld. korun hlavně díky penězům z EU) dokázaly prakticky vykompenzovat hluboký deficit účtu finančního. Stagnující</w:t>
      </w:r>
      <w:r>
        <w:rPr>
          <w:spacing w:val="-4"/>
          <w:lang w:eastAsia="ar-SA"/>
        </w:rPr>
        <w:t> </w:t>
      </w:r>
      <w:r w:rsidRPr="00F817A4">
        <w:rPr>
          <w:spacing w:val="-4"/>
          <w:lang w:eastAsia="ar-SA"/>
        </w:rPr>
        <w:t>bilance zboží a služeb oproti minulým letům přebytek běžného účtu nedynamizovala.</w:t>
      </w:r>
    </w:p>
    <w:p w:rsidR="00F817A4" w:rsidRPr="007F3E3E" w:rsidRDefault="00F817A4" w:rsidP="00F817A4">
      <w:pPr>
        <w:pStyle w:val="Odstavecseseznamem"/>
        <w:ind w:left="0"/>
        <w:rPr>
          <w:sz w:val="14"/>
          <w:szCs w:val="14"/>
          <w:lang w:eastAsia="ar-SA"/>
        </w:rPr>
      </w:pPr>
    </w:p>
    <w:p w:rsidR="009C07A5" w:rsidRPr="00277BF7" w:rsidRDefault="0011352E" w:rsidP="000E153A">
      <w:pPr>
        <w:pStyle w:val="Textpoznpodarou"/>
        <w:numPr>
          <w:ilvl w:val="0"/>
          <w:numId w:val="2"/>
        </w:numPr>
        <w:ind w:left="425" w:hanging="357"/>
        <w:jc w:val="both"/>
        <w:rPr>
          <w:lang w:eastAsia="ar-SA"/>
        </w:rPr>
      </w:pPr>
      <w:r w:rsidRPr="00277BF7">
        <w:rPr>
          <w:lang w:eastAsia="ar-SA"/>
        </w:rPr>
        <w:t>Celková cenová hladina v ekonomice se ve 2. čtvrtletí 2015 zvýšila meziročně o 0,7 %, tedy méně než v 1.</w:t>
      </w:r>
      <w:r w:rsidR="00987309" w:rsidRPr="00277BF7">
        <w:rPr>
          <w:lang w:eastAsia="ar-SA"/>
        </w:rPr>
        <w:t> </w:t>
      </w:r>
      <w:r w:rsidRPr="00277BF7">
        <w:rPr>
          <w:lang w:eastAsia="ar-SA"/>
        </w:rPr>
        <w:t xml:space="preserve">čtvrtletí (+1,3 %). </w:t>
      </w:r>
      <w:r w:rsidR="005C4A23" w:rsidRPr="00277BF7">
        <w:rPr>
          <w:lang w:eastAsia="ar-SA"/>
        </w:rPr>
        <w:t>Na zpomalení</w:t>
      </w:r>
      <w:r w:rsidR="00277BF7">
        <w:rPr>
          <w:lang w:eastAsia="ar-SA"/>
        </w:rPr>
        <w:t xml:space="preserve"> jejího růstu</w:t>
      </w:r>
      <w:r w:rsidR="005C4A23" w:rsidRPr="00277BF7">
        <w:rPr>
          <w:lang w:eastAsia="ar-SA"/>
        </w:rPr>
        <w:t xml:space="preserve"> se podílel</w:t>
      </w:r>
      <w:r w:rsidR="00277BF7" w:rsidRPr="00277BF7">
        <w:rPr>
          <w:lang w:eastAsia="ar-SA"/>
        </w:rPr>
        <w:t xml:space="preserve"> především</w:t>
      </w:r>
      <w:r w:rsidRPr="00277BF7">
        <w:rPr>
          <w:lang w:eastAsia="ar-SA"/>
        </w:rPr>
        <w:t xml:space="preserve"> vývoj cen v zahraničním obchodě </w:t>
      </w:r>
      <w:r w:rsidR="004B10A8" w:rsidRPr="00277BF7">
        <w:rPr>
          <w:lang w:eastAsia="ar-SA"/>
        </w:rPr>
        <w:t>(směnné relace byly negativní</w:t>
      </w:r>
      <w:r w:rsidR="00277BF7" w:rsidRPr="00277BF7">
        <w:rPr>
          <w:lang w:eastAsia="ar-SA"/>
        </w:rPr>
        <w:t xml:space="preserve"> poprvé po devíti čtvrtletích</w:t>
      </w:r>
      <w:r w:rsidR="004B10A8" w:rsidRPr="00277BF7">
        <w:rPr>
          <w:lang w:eastAsia="ar-SA"/>
        </w:rPr>
        <w:t>)</w:t>
      </w:r>
      <w:r w:rsidRPr="00277BF7">
        <w:rPr>
          <w:lang w:eastAsia="ar-SA"/>
        </w:rPr>
        <w:t>.</w:t>
      </w:r>
      <w:r w:rsidR="005C4A23" w:rsidRPr="00277BF7">
        <w:rPr>
          <w:lang w:eastAsia="ar-SA"/>
        </w:rPr>
        <w:t xml:space="preserve"> Deflace cen pr</w:t>
      </w:r>
      <w:r w:rsidR="00277BF7">
        <w:rPr>
          <w:lang w:eastAsia="ar-SA"/>
        </w:rPr>
        <w:t xml:space="preserve">ůmyslových výrobců </w:t>
      </w:r>
      <w:r w:rsidR="0094626C">
        <w:rPr>
          <w:lang w:eastAsia="ar-SA"/>
        </w:rPr>
        <w:t>oslabila</w:t>
      </w:r>
      <w:r w:rsidR="00277BF7">
        <w:rPr>
          <w:lang w:eastAsia="ar-SA"/>
        </w:rPr>
        <w:t xml:space="preserve"> z</w:t>
      </w:r>
      <w:r w:rsidR="0094626C">
        <w:rPr>
          <w:lang w:eastAsia="ar-SA"/>
        </w:rPr>
        <w:t> </w:t>
      </w:r>
      <w:r w:rsidR="00277BF7">
        <w:rPr>
          <w:lang w:eastAsia="ar-SA"/>
        </w:rPr>
        <w:t>-3,3 % na -2,3 %</w:t>
      </w:r>
      <w:r w:rsidR="005C4A23" w:rsidRPr="00277BF7">
        <w:rPr>
          <w:lang w:eastAsia="ar-SA"/>
        </w:rPr>
        <w:t>, r</w:t>
      </w:r>
      <w:r w:rsidR="00877D68" w:rsidRPr="00277BF7">
        <w:rPr>
          <w:lang w:eastAsia="ar-SA"/>
        </w:rPr>
        <w:t>ůst spotřebitelských cen mírně zrychlil (z +0,1 % na +0,7 %).</w:t>
      </w:r>
    </w:p>
    <w:p w:rsidR="00101FB2" w:rsidRPr="007F3E3E" w:rsidRDefault="00101FB2" w:rsidP="003A027D">
      <w:pPr>
        <w:pStyle w:val="Textpoznpodarou"/>
        <w:ind w:left="68"/>
        <w:jc w:val="both"/>
        <w:rPr>
          <w:spacing w:val="-2"/>
          <w:sz w:val="14"/>
          <w:szCs w:val="14"/>
          <w:lang w:eastAsia="ar-SA"/>
        </w:rPr>
      </w:pPr>
    </w:p>
    <w:p w:rsidR="00B907EA" w:rsidRDefault="00877D68" w:rsidP="000E153A">
      <w:pPr>
        <w:pStyle w:val="Textpoznpodarou"/>
        <w:numPr>
          <w:ilvl w:val="0"/>
          <w:numId w:val="2"/>
        </w:numPr>
        <w:ind w:left="425" w:hanging="357"/>
        <w:jc w:val="both"/>
        <w:rPr>
          <w:lang w:eastAsia="ar-SA"/>
        </w:rPr>
      </w:pPr>
      <w:r>
        <w:rPr>
          <w:lang w:eastAsia="ar-SA"/>
        </w:rPr>
        <w:t>Příznivý vývoj reálné ekonomiky se zrcadlil i na trhu práce. Obecná míra nezaměstnanosti (ve věkové kategorii 15-64 let) činila v</w:t>
      </w:r>
      <w:r w:rsidR="00250C59">
        <w:rPr>
          <w:lang w:eastAsia="ar-SA"/>
        </w:rPr>
        <w:t> </w:t>
      </w:r>
      <w:r>
        <w:rPr>
          <w:lang w:eastAsia="ar-SA"/>
        </w:rPr>
        <w:t>červnu</w:t>
      </w:r>
      <w:r w:rsidR="00250C59">
        <w:rPr>
          <w:lang w:eastAsia="ar-SA"/>
        </w:rPr>
        <w:t xml:space="preserve"> pouze</w:t>
      </w:r>
      <w:r>
        <w:rPr>
          <w:lang w:eastAsia="ar-SA"/>
        </w:rPr>
        <w:t xml:space="preserve"> 5,1 %, přitom ještě v lednu dosahovala 5,9 %. Počty volných pracovních míst </w:t>
      </w:r>
      <w:r w:rsidR="003A027D">
        <w:rPr>
          <w:lang w:eastAsia="ar-SA"/>
        </w:rPr>
        <w:t>vzrostl</w:t>
      </w:r>
      <w:r w:rsidR="004B10A8">
        <w:rPr>
          <w:lang w:eastAsia="ar-SA"/>
        </w:rPr>
        <w:t>y</w:t>
      </w:r>
      <w:r w:rsidR="003A027D">
        <w:rPr>
          <w:lang w:eastAsia="ar-SA"/>
        </w:rPr>
        <w:t xml:space="preserve"> </w:t>
      </w:r>
      <w:r w:rsidR="00B800EB">
        <w:rPr>
          <w:lang w:eastAsia="ar-SA"/>
        </w:rPr>
        <w:t xml:space="preserve">na </w:t>
      </w:r>
      <w:r>
        <w:rPr>
          <w:lang w:eastAsia="ar-SA"/>
        </w:rPr>
        <w:t xml:space="preserve">97 tis. </w:t>
      </w:r>
      <w:r w:rsidR="00B800EB">
        <w:rPr>
          <w:lang w:eastAsia="ar-SA"/>
        </w:rPr>
        <w:t>koncem pololetí</w:t>
      </w:r>
      <w:r>
        <w:rPr>
          <w:lang w:eastAsia="ar-SA"/>
        </w:rPr>
        <w:t xml:space="preserve"> i</w:t>
      </w:r>
      <w:r w:rsidR="003A027D">
        <w:rPr>
          <w:lang w:eastAsia="ar-SA"/>
        </w:rPr>
        <w:t xml:space="preserve"> přes to, že</w:t>
      </w:r>
      <w:r w:rsidR="00B800EB">
        <w:rPr>
          <w:lang w:eastAsia="ar-SA"/>
        </w:rPr>
        <w:t xml:space="preserve"> celková zaměstnanost </w:t>
      </w:r>
      <w:r w:rsidR="003A027D">
        <w:rPr>
          <w:lang w:eastAsia="ar-SA"/>
        </w:rPr>
        <w:t>(</w:t>
      </w:r>
      <w:r w:rsidR="00B800EB">
        <w:rPr>
          <w:lang w:eastAsia="ar-SA"/>
        </w:rPr>
        <w:t>v pojetí národních účtů</w:t>
      </w:r>
      <w:r w:rsidR="003A027D">
        <w:rPr>
          <w:lang w:eastAsia="ar-SA"/>
        </w:rPr>
        <w:t>)</w:t>
      </w:r>
      <w:r w:rsidR="007559D7">
        <w:rPr>
          <w:lang w:eastAsia="ar-SA"/>
        </w:rPr>
        <w:t xml:space="preserve"> v </w:t>
      </w:r>
      <w:proofErr w:type="gramStart"/>
      <w:r w:rsidR="007559D7">
        <w:rPr>
          <w:lang w:eastAsia="ar-SA"/>
        </w:rPr>
        <w:t>obou</w:t>
      </w:r>
      <w:proofErr w:type="gramEnd"/>
      <w:r w:rsidR="007559D7">
        <w:rPr>
          <w:lang w:eastAsia="ar-SA"/>
        </w:rPr>
        <w:t xml:space="preserve"> čtvrtletí meziročně </w:t>
      </w:r>
      <w:r w:rsidR="00B800EB">
        <w:rPr>
          <w:lang w:eastAsia="ar-SA"/>
        </w:rPr>
        <w:t>po</w:t>
      </w:r>
      <w:r w:rsidR="003A027D">
        <w:rPr>
          <w:lang w:eastAsia="ar-SA"/>
        </w:rPr>
        <w:t>sílila</w:t>
      </w:r>
      <w:r w:rsidR="00B800EB">
        <w:rPr>
          <w:lang w:eastAsia="ar-SA"/>
        </w:rPr>
        <w:t xml:space="preserve"> </w:t>
      </w:r>
      <w:r w:rsidR="007559D7">
        <w:rPr>
          <w:lang w:eastAsia="ar-SA"/>
        </w:rPr>
        <w:t>(+1,1</w:t>
      </w:r>
      <w:r w:rsidR="00B800EB">
        <w:rPr>
          <w:lang w:eastAsia="ar-SA"/>
        </w:rPr>
        <w:t xml:space="preserve"> %</w:t>
      </w:r>
      <w:r w:rsidR="007559D7">
        <w:rPr>
          <w:lang w:eastAsia="ar-SA"/>
        </w:rPr>
        <w:t>, +1,4 %).</w:t>
      </w:r>
      <w:r>
        <w:rPr>
          <w:lang w:eastAsia="ar-SA"/>
        </w:rPr>
        <w:t xml:space="preserve"> Růst </w:t>
      </w:r>
      <w:r w:rsidR="00B800EB">
        <w:rPr>
          <w:lang w:eastAsia="ar-SA"/>
        </w:rPr>
        <w:t>průměrné nominální m</w:t>
      </w:r>
      <w:r>
        <w:rPr>
          <w:lang w:eastAsia="ar-SA"/>
        </w:rPr>
        <w:t>zd</w:t>
      </w:r>
      <w:r w:rsidR="00B800EB">
        <w:rPr>
          <w:lang w:eastAsia="ar-SA"/>
        </w:rPr>
        <w:t>y</w:t>
      </w:r>
      <w:r>
        <w:rPr>
          <w:lang w:eastAsia="ar-SA"/>
        </w:rPr>
        <w:t xml:space="preserve"> zrych</w:t>
      </w:r>
      <w:r w:rsidR="00B907EA">
        <w:rPr>
          <w:lang w:eastAsia="ar-SA"/>
        </w:rPr>
        <w:t>lil na +3,4 % ve 2. čtvrtletí</w:t>
      </w:r>
      <w:r>
        <w:rPr>
          <w:lang w:eastAsia="ar-SA"/>
        </w:rPr>
        <w:t>, reálná mzda stoupla o</w:t>
      </w:r>
      <w:r w:rsidR="00B907EA">
        <w:rPr>
          <w:lang w:eastAsia="ar-SA"/>
        </w:rPr>
        <w:t xml:space="preserve"> 2,7 %.</w:t>
      </w:r>
    </w:p>
    <w:p w:rsidR="00D76C03" w:rsidRPr="007F3E3E" w:rsidRDefault="00D76C03" w:rsidP="00D76C03">
      <w:pPr>
        <w:pStyle w:val="Textpoznpodarou"/>
        <w:jc w:val="both"/>
        <w:rPr>
          <w:sz w:val="14"/>
          <w:szCs w:val="14"/>
          <w:lang w:eastAsia="ar-SA"/>
        </w:rPr>
      </w:pPr>
    </w:p>
    <w:p w:rsidR="00F817A4" w:rsidRDefault="00F817A4" w:rsidP="00F817A4">
      <w:pPr>
        <w:pStyle w:val="Textpoznpodarou"/>
        <w:numPr>
          <w:ilvl w:val="0"/>
          <w:numId w:val="2"/>
        </w:numPr>
        <w:ind w:left="425" w:hanging="357"/>
        <w:jc w:val="both"/>
        <w:rPr>
          <w:lang w:eastAsia="ar-SA"/>
        </w:rPr>
      </w:pPr>
      <w:r>
        <w:rPr>
          <w:lang w:eastAsia="ar-SA"/>
        </w:rPr>
        <w:t xml:space="preserve">Zásoba peněz v české ekonomice stoupla koncem 1. pololetí meziročně rychleji než nominální HDP (+5,8 % proti +5,2 %). Její růst však nebyl tažen úvěrovou expanzí v takové míře jako za předchozí dlouhé a silné konjunktury české ekonomiky, i když tempo úvěrů firmám i domácnostem mírně zrychlilo. Dobrá finanční kondice firem i domácností umožnila provozní financování, resp. financování investic, realizovat ve značné míře </w:t>
      </w:r>
      <w:r w:rsidR="003D3EC4">
        <w:rPr>
          <w:lang w:eastAsia="ar-SA"/>
        </w:rPr>
        <w:t>z vlastních zdrojů.</w:t>
      </w:r>
    </w:p>
    <w:p w:rsidR="003D3EC4" w:rsidRPr="007F3E3E" w:rsidRDefault="003D3EC4" w:rsidP="007F3E3E">
      <w:pPr>
        <w:pStyle w:val="Odstavecseseznamem"/>
        <w:ind w:left="0"/>
        <w:rPr>
          <w:sz w:val="14"/>
          <w:szCs w:val="14"/>
          <w:lang w:eastAsia="ar-SA"/>
        </w:rPr>
      </w:pPr>
    </w:p>
    <w:p w:rsidR="003D3EC4" w:rsidRDefault="003D3EC4" w:rsidP="00F817A4">
      <w:pPr>
        <w:pStyle w:val="Textpoznpodarou"/>
        <w:numPr>
          <w:ilvl w:val="0"/>
          <w:numId w:val="2"/>
        </w:numPr>
        <w:ind w:left="425" w:hanging="357"/>
        <w:jc w:val="both"/>
        <w:rPr>
          <w:lang w:eastAsia="ar-SA"/>
        </w:rPr>
      </w:pPr>
      <w:r>
        <w:rPr>
          <w:lang w:eastAsia="ar-SA"/>
        </w:rPr>
        <w:t xml:space="preserve">Stát hospodařil v 1. </w:t>
      </w:r>
      <w:r w:rsidR="00832187">
        <w:rPr>
          <w:lang w:eastAsia="ar-SA"/>
        </w:rPr>
        <w:t>p</w:t>
      </w:r>
      <w:r>
        <w:rPr>
          <w:lang w:eastAsia="ar-SA"/>
        </w:rPr>
        <w:t>ololetí podle pokladního plnění rozpočtu s </w:t>
      </w:r>
      <w:r w:rsidR="00154147">
        <w:rPr>
          <w:lang w:eastAsia="ar-SA"/>
        </w:rPr>
        <w:t>p</w:t>
      </w:r>
      <w:r>
        <w:rPr>
          <w:lang w:eastAsia="ar-SA"/>
        </w:rPr>
        <w:t>řebytkem ve výši 22,6 m</w:t>
      </w:r>
      <w:r w:rsidR="00707D43">
        <w:rPr>
          <w:lang w:eastAsia="ar-SA"/>
        </w:rPr>
        <w:t>ld. korun, což představovalo 1,0</w:t>
      </w:r>
      <w:r>
        <w:rPr>
          <w:lang w:eastAsia="ar-SA"/>
        </w:rPr>
        <w:t xml:space="preserve"> % nominálního HDP.</w:t>
      </w:r>
      <w:r w:rsidR="00154147">
        <w:rPr>
          <w:lang w:eastAsia="ar-SA"/>
        </w:rPr>
        <w:t xml:space="preserve"> K rekordnímu kladnému saldu přispělo významně dočerpávání finančních prostředků z fondů EU, protože daňové inkaso tzv. „velkých“ daní (DPH, spot</w:t>
      </w:r>
      <w:r w:rsidR="007F3E3E">
        <w:rPr>
          <w:lang w:eastAsia="ar-SA"/>
        </w:rPr>
        <w:t>řební daně), meziročně pokles</w:t>
      </w:r>
      <w:r w:rsidR="007559D7">
        <w:rPr>
          <w:lang w:eastAsia="ar-SA"/>
        </w:rPr>
        <w:t>lo</w:t>
      </w:r>
      <w:r w:rsidR="007F3E3E">
        <w:rPr>
          <w:lang w:eastAsia="ar-SA"/>
        </w:rPr>
        <w:t>.</w:t>
      </w:r>
    </w:p>
    <w:p w:rsidR="007D4281" w:rsidRPr="000732DB" w:rsidRDefault="007D4281" w:rsidP="00FC3C84">
      <w:pPr>
        <w:pStyle w:val="Nadpis1"/>
        <w:numPr>
          <w:ilvl w:val="0"/>
          <w:numId w:val="3"/>
        </w:numPr>
        <w:jc w:val="both"/>
      </w:pPr>
      <w:bookmarkStart w:id="4" w:name="_Toc430335383"/>
      <w:r w:rsidRPr="000732DB">
        <w:lastRenderedPageBreak/>
        <w:t>Souhrnná výkonnost</w:t>
      </w:r>
      <w:bookmarkEnd w:id="4"/>
    </w:p>
    <w:tbl>
      <w:tblPr>
        <w:tblW w:w="5000" w:type="pct"/>
        <w:tblLayout w:type="fixed"/>
        <w:tblLook w:val="00A0"/>
      </w:tblPr>
      <w:tblGrid>
        <w:gridCol w:w="2077"/>
        <w:gridCol w:w="282"/>
        <w:gridCol w:w="7495"/>
      </w:tblGrid>
      <w:tr w:rsidR="00D301CA" w:rsidRPr="0002540B" w:rsidTr="00D245BA">
        <w:tc>
          <w:tcPr>
            <w:tcW w:w="1054" w:type="pct"/>
          </w:tcPr>
          <w:p w:rsidR="00D301CA" w:rsidRPr="00E042C9" w:rsidRDefault="00D301CA" w:rsidP="00D245BA">
            <w:pPr>
              <w:spacing w:line="240" w:lineRule="auto"/>
              <w:rPr>
                <w:sz w:val="16"/>
                <w:szCs w:val="16"/>
              </w:rPr>
            </w:pPr>
            <w:r>
              <w:rPr>
                <w:sz w:val="16"/>
                <w:szCs w:val="16"/>
              </w:rPr>
              <w:t>České ekonomice</w:t>
            </w:r>
            <w:r w:rsidRPr="00E042C9">
              <w:rPr>
                <w:sz w:val="16"/>
                <w:szCs w:val="16"/>
              </w:rPr>
              <w:t xml:space="preserve"> se daří. Meziroční růst HDP i hrubé přidané hodnoty ve 2. čtvrtletí 2015 zrychlil, </w:t>
            </w:r>
            <w:proofErr w:type="spellStart"/>
            <w:r w:rsidRPr="00E042C9">
              <w:rPr>
                <w:sz w:val="16"/>
                <w:szCs w:val="16"/>
              </w:rPr>
              <w:t>mezikvartální</w:t>
            </w:r>
            <w:proofErr w:type="spellEnd"/>
            <w:r w:rsidRPr="00E042C9">
              <w:rPr>
                <w:sz w:val="16"/>
                <w:szCs w:val="16"/>
              </w:rPr>
              <w:t xml:space="preserve"> přírůstky setrvaly vysoké</w:t>
            </w:r>
          </w:p>
        </w:tc>
        <w:tc>
          <w:tcPr>
            <w:tcW w:w="143" w:type="pct"/>
          </w:tcPr>
          <w:p w:rsidR="00D301CA" w:rsidRPr="00E042C9" w:rsidRDefault="00D301CA" w:rsidP="00D245BA">
            <w:pPr>
              <w:pStyle w:val="Textpoznpodarou"/>
              <w:jc w:val="both"/>
            </w:pPr>
          </w:p>
        </w:tc>
        <w:tc>
          <w:tcPr>
            <w:tcW w:w="3803" w:type="pct"/>
          </w:tcPr>
          <w:p w:rsidR="00D301CA" w:rsidRPr="00E042C9" w:rsidRDefault="00D301CA" w:rsidP="00D245BA">
            <w:pPr>
              <w:pStyle w:val="Textpoznpodarou"/>
              <w:jc w:val="both"/>
              <w:rPr>
                <w:spacing w:val="-2"/>
              </w:rPr>
            </w:pPr>
            <w:r>
              <w:rPr>
                <w:spacing w:val="-2"/>
              </w:rPr>
              <w:t>Ekonomika ČR</w:t>
            </w:r>
            <w:r w:rsidRPr="00E042C9">
              <w:rPr>
                <w:spacing w:val="-2"/>
              </w:rPr>
              <w:t xml:space="preserve"> ve 2. čtvrtletí 2015 nejenže navázala na velmi dobrý výsledek z počátku roku, ale dále zrychlila.</w:t>
            </w:r>
            <w:r w:rsidRPr="00E042C9">
              <w:rPr>
                <w:rStyle w:val="Znakapoznpodarou"/>
                <w:spacing w:val="-2"/>
              </w:rPr>
              <w:footnoteReference w:id="3"/>
            </w:r>
            <w:r w:rsidRPr="00E042C9">
              <w:rPr>
                <w:spacing w:val="-2"/>
              </w:rPr>
              <w:t xml:space="preserve"> Meziroční dynamika hrubého domácího produktu (HDP) se zvětšila z +4,0 % na +4,4 %, navýšil se ale i přírůstek hrubé přidané hodnoty (z +3,4 % na +3,8 %). Také </w:t>
            </w:r>
            <w:proofErr w:type="spellStart"/>
            <w:r w:rsidRPr="00E042C9">
              <w:rPr>
                <w:spacing w:val="-2"/>
              </w:rPr>
              <w:t>mezikvartální</w:t>
            </w:r>
            <w:proofErr w:type="spellEnd"/>
            <w:r w:rsidRPr="00E042C9">
              <w:rPr>
                <w:spacing w:val="-2"/>
              </w:rPr>
              <w:t xml:space="preserve"> tempa dokazují, že české ekonomice se aktuálně daří. Přestože se jejich velikost zmenšila (v případě HDP z</w:t>
            </w:r>
            <w:r>
              <w:rPr>
                <w:spacing w:val="-2"/>
              </w:rPr>
              <w:t> </w:t>
            </w:r>
            <w:r w:rsidRPr="00E042C9">
              <w:rPr>
                <w:spacing w:val="-2"/>
              </w:rPr>
              <w:t>+2,4 % na +1,0 %, v pojetí hrubé přidané hodnoty z +1,2 % na +0,9 %), přetrvaly tyto přírůstky robustní a</w:t>
            </w:r>
            <w:r w:rsidR="00F55605">
              <w:rPr>
                <w:spacing w:val="-2"/>
              </w:rPr>
              <w:t xml:space="preserve"> v</w:t>
            </w:r>
            <w:r w:rsidRPr="00E042C9">
              <w:rPr>
                <w:spacing w:val="-2"/>
              </w:rPr>
              <w:t xml:space="preserve"> kontextu vývoje v posledních letech nadprůměrné.</w:t>
            </w:r>
          </w:p>
          <w:p w:rsidR="00D301CA" w:rsidRPr="00E042C9" w:rsidRDefault="00D301CA" w:rsidP="00D245BA">
            <w:pPr>
              <w:pStyle w:val="Textpoznpodarou"/>
              <w:jc w:val="both"/>
              <w:rPr>
                <w:spacing w:val="-4"/>
                <w:sz w:val="18"/>
                <w:szCs w:val="18"/>
              </w:rPr>
            </w:pPr>
          </w:p>
        </w:tc>
      </w:tr>
      <w:tr w:rsidR="00D301CA" w:rsidRPr="0002540B" w:rsidTr="00D245BA">
        <w:tc>
          <w:tcPr>
            <w:tcW w:w="1054" w:type="pct"/>
          </w:tcPr>
          <w:p w:rsidR="00D301CA" w:rsidRPr="00E042C9" w:rsidRDefault="00D301CA" w:rsidP="00D245BA">
            <w:pPr>
              <w:spacing w:line="240" w:lineRule="auto"/>
              <w:rPr>
                <w:sz w:val="16"/>
                <w:szCs w:val="16"/>
              </w:rPr>
            </w:pPr>
            <w:proofErr w:type="spellStart"/>
            <w:r w:rsidRPr="00E042C9">
              <w:rPr>
                <w:sz w:val="16"/>
                <w:szCs w:val="16"/>
              </w:rPr>
              <w:t>Mezičtvrtletní</w:t>
            </w:r>
            <w:proofErr w:type="spellEnd"/>
            <w:r w:rsidRPr="00E042C9">
              <w:rPr>
                <w:sz w:val="16"/>
                <w:szCs w:val="16"/>
              </w:rPr>
              <w:t xml:space="preserve"> dynamika HDP již reflektuje skutečný vývoj české ekonomiky. Meziroční změna HDP je však i nadále poznamenána nízkou srovnávací základnou související s navýšením spotřební da</w:t>
            </w:r>
            <w:r>
              <w:rPr>
                <w:sz w:val="16"/>
                <w:szCs w:val="16"/>
              </w:rPr>
              <w:t>ně</w:t>
            </w:r>
            <w:r w:rsidRPr="00E042C9">
              <w:rPr>
                <w:sz w:val="16"/>
                <w:szCs w:val="16"/>
              </w:rPr>
              <w:t xml:space="preserve"> z cigaret od počátku roku 2014</w:t>
            </w:r>
          </w:p>
        </w:tc>
        <w:tc>
          <w:tcPr>
            <w:tcW w:w="143" w:type="pct"/>
          </w:tcPr>
          <w:p w:rsidR="00D301CA" w:rsidRPr="00E042C9" w:rsidRDefault="00D301CA" w:rsidP="00D245BA">
            <w:pPr>
              <w:pStyle w:val="Textpoznpodarou"/>
              <w:jc w:val="both"/>
            </w:pPr>
          </w:p>
        </w:tc>
        <w:tc>
          <w:tcPr>
            <w:tcW w:w="3803" w:type="pct"/>
          </w:tcPr>
          <w:p w:rsidR="00D301CA" w:rsidRPr="00E042C9" w:rsidRDefault="00D301CA" w:rsidP="00D245BA">
            <w:pPr>
              <w:pStyle w:val="Textpoznpodarou"/>
              <w:jc w:val="both"/>
            </w:pPr>
            <w:r w:rsidRPr="00E042C9">
              <w:t xml:space="preserve">Růst ekonomiky ČR byl ve 2. čtvrtletí 2015 z hlediska meziroční dynamiky HDP nadhodnocen, stejně jako tomu bylo v 1. čtvrtletí (rozdíl v meziročním přírůstku HDP a hrubé přidané hodnoty v 1. i 2. čtvrtletí 2015 činil 0,6 </w:t>
            </w:r>
            <w:proofErr w:type="spellStart"/>
            <w:r w:rsidRPr="00E042C9">
              <w:t>pb</w:t>
            </w:r>
            <w:proofErr w:type="spellEnd"/>
            <w:r w:rsidRPr="00E042C9">
              <w:t xml:space="preserve">. ve prospěch růstu HDP). „Diskrepance“ </w:t>
            </w:r>
            <w:r>
              <w:t>v</w:t>
            </w:r>
            <w:r w:rsidRPr="00E042C9">
              <w:t xml:space="preserve"> </w:t>
            </w:r>
            <w:proofErr w:type="spellStart"/>
            <w:r w:rsidRPr="00E042C9">
              <w:t>mezikvartálním</w:t>
            </w:r>
            <w:proofErr w:type="spellEnd"/>
            <w:r w:rsidRPr="00E042C9">
              <w:t xml:space="preserve"> růstu HDP a hrubé přidané hodnoty se</w:t>
            </w:r>
            <w:r>
              <w:t> </w:t>
            </w:r>
            <w:r w:rsidRPr="00E042C9">
              <w:t xml:space="preserve">však již zmenšila (ze 1,3 </w:t>
            </w:r>
            <w:proofErr w:type="spellStart"/>
            <w:r w:rsidRPr="00E042C9">
              <w:t>pb</w:t>
            </w:r>
            <w:proofErr w:type="spellEnd"/>
            <w:r w:rsidRPr="00E042C9">
              <w:t>. v 1. čtvrtletí na pouhou jednu desetinu procentního bodu ve 2. kvartále). Ukazuje se tak, že zatímco meziroční růst HDP je stále zatížen nízkou srovnávací základnou související s navýšením spotřební</w:t>
            </w:r>
            <w:r>
              <w:t xml:space="preserve"> daně</w:t>
            </w:r>
            <w:r w:rsidRPr="00E042C9">
              <w:t xml:space="preserve"> z cigaret od počátku roku 2014 (předzásobení těmito produkty vedlo k vyššímu výběru spotřební daně na konci roku 2013, v roce 2014 – kdy obchodníci čerpali z předzásobení – výběr klesl), </w:t>
            </w:r>
            <w:proofErr w:type="spellStart"/>
            <w:r w:rsidRPr="00E042C9">
              <w:t>mezikvartální</w:t>
            </w:r>
            <w:proofErr w:type="spellEnd"/>
            <w:r w:rsidRPr="00E042C9">
              <w:t xml:space="preserve"> dynamika HDP již v zásadě reflektuje skutečný vývoj české ekonomiky.</w:t>
            </w:r>
          </w:p>
          <w:p w:rsidR="00D301CA" w:rsidRPr="003B195C" w:rsidRDefault="00D301CA" w:rsidP="00D245BA">
            <w:pPr>
              <w:pStyle w:val="Textpoznpodarou"/>
              <w:jc w:val="both"/>
              <w:rPr>
                <w:sz w:val="16"/>
                <w:szCs w:val="16"/>
              </w:rPr>
            </w:pPr>
          </w:p>
        </w:tc>
      </w:tr>
      <w:tr w:rsidR="00D301CA" w:rsidRPr="0002540B" w:rsidTr="00D245BA">
        <w:tc>
          <w:tcPr>
            <w:tcW w:w="1054" w:type="pct"/>
          </w:tcPr>
          <w:p w:rsidR="00D301CA" w:rsidRPr="00E042C9" w:rsidRDefault="00D301CA" w:rsidP="00D245BA">
            <w:pPr>
              <w:spacing w:line="240" w:lineRule="auto"/>
              <w:rPr>
                <w:sz w:val="16"/>
                <w:szCs w:val="16"/>
              </w:rPr>
            </w:pPr>
            <w:r w:rsidRPr="00E042C9">
              <w:rPr>
                <w:sz w:val="16"/>
                <w:szCs w:val="16"/>
              </w:rPr>
              <w:t xml:space="preserve">V úhrnu za celé </w:t>
            </w:r>
            <w:r>
              <w:rPr>
                <w:sz w:val="16"/>
                <w:szCs w:val="16"/>
              </w:rPr>
              <w:t>1.</w:t>
            </w:r>
            <w:r w:rsidRPr="00E042C9">
              <w:rPr>
                <w:sz w:val="16"/>
                <w:szCs w:val="16"/>
              </w:rPr>
              <w:t xml:space="preserve"> pololetí se HDP zvýšil meziročně o 4,2 %, nejrychleji od</w:t>
            </w:r>
            <w:r>
              <w:rPr>
                <w:sz w:val="16"/>
                <w:szCs w:val="16"/>
              </w:rPr>
              <w:t> 2. </w:t>
            </w:r>
            <w:r w:rsidRPr="00E042C9">
              <w:rPr>
                <w:sz w:val="16"/>
                <w:szCs w:val="16"/>
              </w:rPr>
              <w:t>poloviny roku 2007</w:t>
            </w:r>
          </w:p>
        </w:tc>
        <w:tc>
          <w:tcPr>
            <w:tcW w:w="143" w:type="pct"/>
          </w:tcPr>
          <w:p w:rsidR="00D301CA" w:rsidRPr="00E042C9" w:rsidRDefault="00D301CA" w:rsidP="00D245BA">
            <w:pPr>
              <w:pStyle w:val="Textpoznpodarou"/>
              <w:jc w:val="both"/>
            </w:pPr>
          </w:p>
        </w:tc>
        <w:tc>
          <w:tcPr>
            <w:tcW w:w="3803" w:type="pct"/>
          </w:tcPr>
          <w:p w:rsidR="00D301CA" w:rsidRPr="00212C74" w:rsidRDefault="00D301CA" w:rsidP="00D245BA">
            <w:pPr>
              <w:pStyle w:val="Textpoznpodarou"/>
              <w:jc w:val="both"/>
            </w:pPr>
            <w:r w:rsidRPr="00212C74">
              <w:t>V úhrnu za celé 1. pololetí 2015 se HDP zvýšil v meziročním srovnání o 4,2 %, vyšší tempo růstu česká ekonomika evidovala naposledy na vrcholu konjunktury ve druhé části roku 2007 (+5,3 %). V porovnání s 2. pololetím loňského roku narostl HDP o 3,2 %. Jednalo se o největší přírůstek mezi dvěma po sobě jdoucími pololetími od prvních šesti měsíců roku 2006 (+4,1 %).</w:t>
            </w:r>
          </w:p>
          <w:p w:rsidR="00D301CA" w:rsidRPr="00212C74" w:rsidRDefault="00D301CA" w:rsidP="00D245BA">
            <w:pPr>
              <w:pStyle w:val="Textpoznpodarou"/>
              <w:jc w:val="both"/>
              <w:rPr>
                <w:sz w:val="18"/>
                <w:szCs w:val="18"/>
              </w:rPr>
            </w:pPr>
          </w:p>
        </w:tc>
      </w:tr>
      <w:tr w:rsidR="00D301CA" w:rsidRPr="0002540B" w:rsidTr="00D245BA">
        <w:tc>
          <w:tcPr>
            <w:tcW w:w="1054" w:type="pct"/>
          </w:tcPr>
          <w:p w:rsidR="00D301CA" w:rsidRPr="003B195C" w:rsidRDefault="00D301CA" w:rsidP="00D245BA">
            <w:pPr>
              <w:spacing w:line="240" w:lineRule="auto"/>
              <w:rPr>
                <w:sz w:val="16"/>
                <w:szCs w:val="16"/>
              </w:rPr>
            </w:pPr>
            <w:r>
              <w:rPr>
                <w:sz w:val="16"/>
                <w:szCs w:val="16"/>
              </w:rPr>
              <w:t>Tuzemský růst</w:t>
            </w:r>
            <w:r w:rsidRPr="003B195C">
              <w:rPr>
                <w:sz w:val="16"/>
                <w:szCs w:val="16"/>
              </w:rPr>
              <w:t xml:space="preserve"> je </w:t>
            </w:r>
            <w:r>
              <w:rPr>
                <w:sz w:val="16"/>
                <w:szCs w:val="16"/>
              </w:rPr>
              <w:t>silný také v kontextu zemí EU</w:t>
            </w:r>
            <w:r w:rsidRPr="003B195C">
              <w:rPr>
                <w:sz w:val="16"/>
                <w:szCs w:val="16"/>
              </w:rPr>
              <w:t xml:space="preserve">. </w:t>
            </w:r>
            <w:r>
              <w:rPr>
                <w:sz w:val="16"/>
                <w:szCs w:val="16"/>
              </w:rPr>
              <w:t>Reálná konvergence české ekonomiky tak zřejmě pokračuje</w:t>
            </w:r>
          </w:p>
        </w:tc>
        <w:tc>
          <w:tcPr>
            <w:tcW w:w="143" w:type="pct"/>
          </w:tcPr>
          <w:p w:rsidR="00D301CA" w:rsidRPr="003B195C" w:rsidRDefault="00D301CA" w:rsidP="00D245BA">
            <w:pPr>
              <w:pStyle w:val="Textpoznpodarou"/>
              <w:jc w:val="both"/>
            </w:pPr>
          </w:p>
        </w:tc>
        <w:tc>
          <w:tcPr>
            <w:tcW w:w="3803" w:type="pct"/>
          </w:tcPr>
          <w:p w:rsidR="00D301CA" w:rsidRPr="00212C74" w:rsidRDefault="00D301CA" w:rsidP="00D245BA">
            <w:pPr>
              <w:pStyle w:val="Textpoznpodarou"/>
              <w:jc w:val="both"/>
              <w:rPr>
                <w:spacing w:val="-6"/>
              </w:rPr>
            </w:pPr>
            <w:r w:rsidRPr="00212C74">
              <w:rPr>
                <w:spacing w:val="-6"/>
              </w:rPr>
              <w:t xml:space="preserve">Ekonomice ČR se daří a dokládá to také srovnání s vývojem v jednotlivých zemích </w:t>
            </w:r>
            <w:r>
              <w:rPr>
                <w:spacing w:val="-6"/>
              </w:rPr>
              <w:t>EU</w:t>
            </w:r>
            <w:r w:rsidRPr="00212C74">
              <w:rPr>
                <w:spacing w:val="-6"/>
              </w:rPr>
              <w:t>. Zatímco v 1. čtvrtletí byl meziroční přírůstek HDP v Česku mezi </w:t>
            </w:r>
            <w:r>
              <w:rPr>
                <w:spacing w:val="-6"/>
              </w:rPr>
              <w:t xml:space="preserve">zeměmi </w:t>
            </w:r>
            <w:r w:rsidRPr="00212C74">
              <w:rPr>
                <w:spacing w:val="-6"/>
              </w:rPr>
              <w:t>U</w:t>
            </w:r>
            <w:r>
              <w:rPr>
                <w:spacing w:val="-6"/>
              </w:rPr>
              <w:t>nie</w:t>
            </w:r>
            <w:r w:rsidRPr="00212C74">
              <w:rPr>
                <w:spacing w:val="-6"/>
              </w:rPr>
              <w:t xml:space="preserve"> z hlediska dostupných údajů </w:t>
            </w:r>
            <w:r>
              <w:rPr>
                <w:spacing w:val="-6"/>
              </w:rPr>
              <w:t>třetí</w:t>
            </w:r>
            <w:r w:rsidRPr="00212C74">
              <w:rPr>
                <w:spacing w:val="-6"/>
              </w:rPr>
              <w:t xml:space="preserve"> nejvyšší a zvýšení hrubé přidané hodnoty </w:t>
            </w:r>
            <w:r>
              <w:rPr>
                <w:spacing w:val="-6"/>
              </w:rPr>
              <w:t>taktéž</w:t>
            </w:r>
            <w:r w:rsidRPr="00212C74">
              <w:rPr>
                <w:spacing w:val="-6"/>
              </w:rPr>
              <w:t xml:space="preserve">, ve 2. kvartále se její postavení v tomto ohledu dále zlepšilo. Optikou změny HDP patřila tuzemské ekonomice příčka </w:t>
            </w:r>
            <w:r>
              <w:rPr>
                <w:spacing w:val="-6"/>
              </w:rPr>
              <w:t>druhá, z hlediska změny</w:t>
            </w:r>
            <w:r w:rsidRPr="00212C74">
              <w:rPr>
                <w:spacing w:val="-6"/>
              </w:rPr>
              <w:t> hrubé přidané hodnoty </w:t>
            </w:r>
            <w:r>
              <w:rPr>
                <w:spacing w:val="-6"/>
              </w:rPr>
              <w:t>dokonce první</w:t>
            </w:r>
            <w:r w:rsidRPr="00212C74">
              <w:rPr>
                <w:spacing w:val="-6"/>
              </w:rPr>
              <w:t>.</w:t>
            </w:r>
          </w:p>
          <w:p w:rsidR="00D301CA" w:rsidRPr="00212C74" w:rsidRDefault="00D301CA" w:rsidP="00D245BA">
            <w:pPr>
              <w:pStyle w:val="Textpoznpodarou"/>
              <w:jc w:val="both"/>
              <w:rPr>
                <w:sz w:val="18"/>
                <w:szCs w:val="18"/>
              </w:rPr>
            </w:pPr>
          </w:p>
          <w:p w:rsidR="00D301CA" w:rsidRPr="00212C74" w:rsidRDefault="00D301CA" w:rsidP="00D245BA">
            <w:pPr>
              <w:pStyle w:val="Textpoznpodarou"/>
              <w:jc w:val="both"/>
              <w:rPr>
                <w:spacing w:val="-2"/>
              </w:rPr>
            </w:pPr>
            <w:r w:rsidRPr="00212C74">
              <w:rPr>
                <w:spacing w:val="-4"/>
              </w:rPr>
              <w:t>Aktuální údaje naznačují, že loňské přibližování ekonomické vyspělosti ČR průměrné</w:t>
            </w:r>
            <w:r w:rsidRPr="00212C74">
              <w:rPr>
                <w:spacing w:val="-2"/>
              </w:rPr>
              <w:t xml:space="preserve"> úrovni zemí Unie nebylo ojedinělou záležitostí. Lze soudit, že pokračuje i letos.</w:t>
            </w:r>
          </w:p>
          <w:p w:rsidR="00D301CA" w:rsidRPr="00212C74" w:rsidRDefault="00D301CA" w:rsidP="00D245BA">
            <w:pPr>
              <w:pStyle w:val="Textpoznpodarou"/>
              <w:jc w:val="both"/>
              <w:rPr>
                <w:sz w:val="18"/>
                <w:szCs w:val="18"/>
              </w:rPr>
            </w:pPr>
          </w:p>
        </w:tc>
      </w:tr>
      <w:tr w:rsidR="00D301CA" w:rsidRPr="0002540B" w:rsidTr="00D245BA">
        <w:tc>
          <w:tcPr>
            <w:tcW w:w="1054" w:type="pct"/>
          </w:tcPr>
          <w:p w:rsidR="00D301CA" w:rsidRPr="00E042C9" w:rsidRDefault="00D301CA" w:rsidP="00D245BA">
            <w:pPr>
              <w:spacing w:line="240" w:lineRule="auto"/>
              <w:rPr>
                <w:sz w:val="16"/>
                <w:szCs w:val="16"/>
              </w:rPr>
            </w:pPr>
            <w:r w:rsidRPr="00E042C9">
              <w:rPr>
                <w:sz w:val="16"/>
                <w:szCs w:val="16"/>
              </w:rPr>
              <w:t>Na růstu HDP ve 2. čtvrtletí 2015</w:t>
            </w:r>
            <w:r>
              <w:rPr>
                <w:sz w:val="16"/>
                <w:szCs w:val="16"/>
              </w:rPr>
              <w:t xml:space="preserve"> (meziročně)</w:t>
            </w:r>
            <w:r w:rsidRPr="00E042C9">
              <w:rPr>
                <w:sz w:val="16"/>
                <w:szCs w:val="16"/>
              </w:rPr>
              <w:t xml:space="preserve"> participovaly především výdaje na konečnou spotřebu domácností a investice, …</w:t>
            </w:r>
          </w:p>
        </w:tc>
        <w:tc>
          <w:tcPr>
            <w:tcW w:w="143" w:type="pct"/>
          </w:tcPr>
          <w:p w:rsidR="00D301CA" w:rsidRPr="00E042C9" w:rsidRDefault="00D301CA" w:rsidP="00D245BA">
            <w:pPr>
              <w:pStyle w:val="Textpoznpodarou"/>
              <w:jc w:val="both"/>
            </w:pPr>
          </w:p>
        </w:tc>
        <w:tc>
          <w:tcPr>
            <w:tcW w:w="3803" w:type="pct"/>
          </w:tcPr>
          <w:p w:rsidR="00D301CA" w:rsidRPr="00E042C9" w:rsidRDefault="00D301CA" w:rsidP="00D245BA">
            <w:pPr>
              <w:pStyle w:val="Textpoznpodarou"/>
              <w:jc w:val="both"/>
            </w:pPr>
            <w:r w:rsidRPr="00E042C9">
              <w:t xml:space="preserve">Na růstu HDP ve 2. čtvrtletí 2015 o 4,4 % meziročně se podílely nejen všechny čtyři </w:t>
            </w:r>
            <w:r>
              <w:t>klíčové složky domácí poptávky –</w:t>
            </w:r>
            <w:r w:rsidRPr="00E042C9">
              <w:t xml:space="preserve"> jako tomu bylo na počátku roku</w:t>
            </w:r>
            <w:r>
              <w:t xml:space="preserve"> –</w:t>
            </w:r>
            <w:r w:rsidRPr="00E042C9">
              <w:t xml:space="preserve"> ale také výsledek zahraničního obchodu se zbožím a službami.</w:t>
            </w:r>
            <w:r w:rsidRPr="00E042C9">
              <w:rPr>
                <w:rStyle w:val="Znakapoznpodarou"/>
                <w:spacing w:val="-4"/>
              </w:rPr>
              <w:footnoteReference w:id="4"/>
            </w:r>
            <w:r w:rsidRPr="00E042C9">
              <w:t xml:space="preserve"> Příspěvek investic (tvorby hrubého fixního kapitálu) se zvětšil z +0,8 </w:t>
            </w:r>
            <w:proofErr w:type="spellStart"/>
            <w:r w:rsidRPr="00E042C9">
              <w:t>pb</w:t>
            </w:r>
            <w:proofErr w:type="spellEnd"/>
            <w:r w:rsidRPr="00E042C9">
              <w:t xml:space="preserve">. v 1. čtvrtletí na +1,5 </w:t>
            </w:r>
            <w:proofErr w:type="spellStart"/>
            <w:r w:rsidRPr="00E042C9">
              <w:t>pb</w:t>
            </w:r>
            <w:proofErr w:type="spellEnd"/>
            <w:r w:rsidRPr="00E042C9">
              <w:t>. ve 2.</w:t>
            </w:r>
            <w:r w:rsidR="00F55605">
              <w:t> </w:t>
            </w:r>
            <w:r w:rsidRPr="00E042C9">
              <w:t xml:space="preserve">kvartále, výdaje na konečnou spotřebu domácností se na růstu podílely taktéž větší silou (+1,4 </w:t>
            </w:r>
            <w:proofErr w:type="spellStart"/>
            <w:r w:rsidRPr="00E042C9">
              <w:t>pb</w:t>
            </w:r>
            <w:proofErr w:type="spellEnd"/>
            <w:r w:rsidRPr="00E042C9">
              <w:t xml:space="preserve">., +1,5 </w:t>
            </w:r>
            <w:proofErr w:type="spellStart"/>
            <w:r w:rsidRPr="00E042C9">
              <w:t>pb</w:t>
            </w:r>
            <w:proofErr w:type="spellEnd"/>
            <w:r w:rsidRPr="00E042C9">
              <w:t xml:space="preserve">.). Příspěvek výdajů na konečnou spotřebu vládních institucí setrval na úrovni prvních tří měsíců (+0,5 </w:t>
            </w:r>
            <w:proofErr w:type="spellStart"/>
            <w:r w:rsidRPr="00E042C9">
              <w:t>pb</w:t>
            </w:r>
            <w:proofErr w:type="spellEnd"/>
            <w:r w:rsidRPr="00E042C9">
              <w:t xml:space="preserve">.), nikoliv však příspěvek změny zásob, který se zmenšil z mimořádných +1,9 </w:t>
            </w:r>
            <w:proofErr w:type="spellStart"/>
            <w:r w:rsidRPr="00E042C9">
              <w:t>pb</w:t>
            </w:r>
            <w:proofErr w:type="spellEnd"/>
            <w:r w:rsidRPr="00E042C9">
              <w:t xml:space="preserve">. na +0,7 </w:t>
            </w:r>
            <w:proofErr w:type="spellStart"/>
            <w:r w:rsidRPr="00E042C9">
              <w:t>pb</w:t>
            </w:r>
            <w:proofErr w:type="spellEnd"/>
            <w:r w:rsidRPr="00E042C9">
              <w:t xml:space="preserve">. Výsledek zahraničního obchodu v reálném vyjádření, který po dvě předchozí čtvrtletí růst HDP brzdil, se již na zvýšení výkonu české ekonomiky podílel pozitivně (+0,3 </w:t>
            </w:r>
            <w:proofErr w:type="spellStart"/>
            <w:r w:rsidRPr="00E042C9">
              <w:t>pb</w:t>
            </w:r>
            <w:proofErr w:type="spellEnd"/>
            <w:r w:rsidRPr="00E042C9">
              <w:t>.).</w:t>
            </w:r>
          </w:p>
          <w:p w:rsidR="00D301CA" w:rsidRPr="00E042C9" w:rsidRDefault="00D301CA" w:rsidP="00D245BA">
            <w:pPr>
              <w:pStyle w:val="Textpoznpodarou"/>
              <w:jc w:val="both"/>
              <w:rPr>
                <w:spacing w:val="-4"/>
                <w:sz w:val="18"/>
                <w:szCs w:val="18"/>
              </w:rPr>
            </w:pPr>
          </w:p>
        </w:tc>
      </w:tr>
      <w:tr w:rsidR="00D301CA" w:rsidRPr="0002540B" w:rsidTr="00D245BA">
        <w:tc>
          <w:tcPr>
            <w:tcW w:w="1054" w:type="pct"/>
          </w:tcPr>
          <w:p w:rsidR="00D301CA" w:rsidRPr="00E042C9" w:rsidRDefault="00D301CA" w:rsidP="00D245BA">
            <w:pPr>
              <w:spacing w:line="240" w:lineRule="auto"/>
              <w:rPr>
                <w:sz w:val="16"/>
                <w:szCs w:val="16"/>
              </w:rPr>
            </w:pPr>
            <w:r w:rsidRPr="00E042C9">
              <w:rPr>
                <w:sz w:val="16"/>
                <w:szCs w:val="16"/>
              </w:rPr>
              <w:t>…pokud však z celkového objemu dovozu vyloučíme dovoz určený pro konečné užití, pak byl „tahounem“ takto modifikovaný výsledek zahraničního obchodu</w:t>
            </w:r>
          </w:p>
        </w:tc>
        <w:tc>
          <w:tcPr>
            <w:tcW w:w="143" w:type="pct"/>
          </w:tcPr>
          <w:p w:rsidR="00D301CA" w:rsidRPr="00E042C9" w:rsidRDefault="00D301CA" w:rsidP="00D245BA">
            <w:pPr>
              <w:pStyle w:val="Textpoznpodarou"/>
              <w:jc w:val="both"/>
            </w:pPr>
          </w:p>
        </w:tc>
        <w:tc>
          <w:tcPr>
            <w:tcW w:w="3803" w:type="pct"/>
          </w:tcPr>
          <w:p w:rsidR="00D301CA" w:rsidRPr="00E042C9" w:rsidRDefault="00D301CA" w:rsidP="00D245BA">
            <w:pPr>
              <w:pStyle w:val="Textpoznpodarou"/>
              <w:jc w:val="both"/>
            </w:pPr>
            <w:r w:rsidRPr="00E042C9">
              <w:t xml:space="preserve">Jestliže z celkového objemu dovozu do ČR vyloučíme dovoz určený pro konečné užití, jehož dynamika nemá s vývojem české ekonomiky ve své podstatě nic společného, pak se příspěvky k meziročnímu růstu HDP logicky mění. Investice, jejichž nárůst byl z velké části saturován produkty z dovozu, se na něm v tomto pojetí ve 2. čtvrtletí podílely pouze +1,1 </w:t>
            </w:r>
            <w:proofErr w:type="spellStart"/>
            <w:r w:rsidRPr="00E042C9">
              <w:t>pb</w:t>
            </w:r>
            <w:proofErr w:type="spellEnd"/>
            <w:r w:rsidRPr="00E042C9">
              <w:t xml:space="preserve">., příspěvek výdajů na konečnou spotřebu domácností dosáhl dokonce jen +1,0 </w:t>
            </w:r>
            <w:proofErr w:type="spellStart"/>
            <w:r w:rsidRPr="00E042C9">
              <w:t>pb</w:t>
            </w:r>
            <w:proofErr w:type="spellEnd"/>
            <w:r w:rsidRPr="00E042C9">
              <w:t xml:space="preserve">. Výdaje na konečnou spotřebu vládních institucí k růstu ekonomiky České republiky přispěly jen o něco menší silou než v klasickém pojetí (+0,4 </w:t>
            </w:r>
            <w:proofErr w:type="spellStart"/>
            <w:r w:rsidRPr="00E042C9">
              <w:t>pb</w:t>
            </w:r>
            <w:proofErr w:type="spellEnd"/>
            <w:r w:rsidRPr="00E042C9">
              <w:t>.), příspěvek změny zásob byl dokonce totožný (+0,7 </w:t>
            </w:r>
            <w:proofErr w:type="spellStart"/>
            <w:r w:rsidRPr="00E042C9">
              <w:t>pb</w:t>
            </w:r>
            <w:proofErr w:type="spellEnd"/>
            <w:r w:rsidRPr="00E042C9">
              <w:t>.). Bilance vývozu a dovozu</w:t>
            </w:r>
            <w:r>
              <w:t xml:space="preserve"> </w:t>
            </w:r>
            <w:r w:rsidRPr="00E042C9">
              <w:t xml:space="preserve">(sníženého o dovoz určený pro konečné užití) se na růstu HDP podílela +1,3 </w:t>
            </w:r>
            <w:proofErr w:type="spellStart"/>
            <w:r w:rsidRPr="00E042C9">
              <w:t>pb</w:t>
            </w:r>
            <w:proofErr w:type="spellEnd"/>
            <w:r w:rsidRPr="00E042C9">
              <w:t>.</w:t>
            </w:r>
          </w:p>
        </w:tc>
      </w:tr>
      <w:tr w:rsidR="00D301CA" w:rsidRPr="0002540B" w:rsidTr="00D245BA">
        <w:tc>
          <w:tcPr>
            <w:tcW w:w="1054" w:type="pct"/>
          </w:tcPr>
          <w:p w:rsidR="00D301CA" w:rsidRPr="00A8119A" w:rsidRDefault="00D301CA" w:rsidP="00D245BA">
            <w:pPr>
              <w:spacing w:line="240" w:lineRule="auto"/>
              <w:rPr>
                <w:sz w:val="16"/>
                <w:szCs w:val="16"/>
              </w:rPr>
            </w:pPr>
            <w:r w:rsidRPr="00A8119A">
              <w:rPr>
                <w:sz w:val="16"/>
                <w:szCs w:val="16"/>
              </w:rPr>
              <w:lastRenderedPageBreak/>
              <w:t>Výdaje na konečnou spotřebu domácností narostly v úhrnu za celé 1. pololetí roku 2015 o 3,0 % meziročně, …</w:t>
            </w:r>
          </w:p>
        </w:tc>
        <w:tc>
          <w:tcPr>
            <w:tcW w:w="143" w:type="pct"/>
          </w:tcPr>
          <w:p w:rsidR="00D301CA" w:rsidRPr="000672C7" w:rsidRDefault="00D301CA" w:rsidP="00D245BA">
            <w:pPr>
              <w:pStyle w:val="Textpoznpodarou"/>
              <w:jc w:val="both"/>
            </w:pPr>
          </w:p>
        </w:tc>
        <w:tc>
          <w:tcPr>
            <w:tcW w:w="3803" w:type="pct"/>
          </w:tcPr>
          <w:p w:rsidR="00D301CA" w:rsidRDefault="00D301CA" w:rsidP="00D245BA">
            <w:pPr>
              <w:pStyle w:val="Textpoznpodarou"/>
              <w:jc w:val="both"/>
              <w:rPr>
                <w:spacing w:val="-2"/>
              </w:rPr>
            </w:pPr>
            <w:r w:rsidRPr="00EB2C4A">
              <w:rPr>
                <w:spacing w:val="-2"/>
              </w:rPr>
              <w:t xml:space="preserve">V úhrnu za celé 1. pololetí 2015 narostly výdaje na konečnou spotřebu domácností meziročně o 3,0 %, nejrychleji od 2. poloviny roku 2007. Vyšší měrou se na tomto výsledku podílel vývoj ve 2. čtvrtletí – </w:t>
            </w:r>
            <w:r>
              <w:rPr>
                <w:spacing w:val="-2"/>
              </w:rPr>
              <w:t>ve kterém</w:t>
            </w:r>
            <w:r w:rsidRPr="00EB2C4A">
              <w:rPr>
                <w:spacing w:val="-2"/>
              </w:rPr>
              <w:t xml:space="preserve"> výdaje domácností stouply v meziročním srovnání o 3,1 % – než v 1. kvartále, </w:t>
            </w:r>
            <w:r>
              <w:rPr>
                <w:spacing w:val="-2"/>
              </w:rPr>
              <w:t>kdy</w:t>
            </w:r>
            <w:r w:rsidRPr="00EB2C4A">
              <w:rPr>
                <w:spacing w:val="-2"/>
              </w:rPr>
              <w:t xml:space="preserve"> byly vyšší o 2,8 %.</w:t>
            </w:r>
          </w:p>
          <w:p w:rsidR="00D301CA" w:rsidRPr="00B30125" w:rsidRDefault="00D301CA" w:rsidP="00D245BA">
            <w:pPr>
              <w:pStyle w:val="Textpoznpodarou"/>
              <w:jc w:val="both"/>
              <w:rPr>
                <w:spacing w:val="-2"/>
                <w:sz w:val="18"/>
                <w:szCs w:val="18"/>
              </w:rPr>
            </w:pPr>
          </w:p>
        </w:tc>
      </w:tr>
      <w:tr w:rsidR="00D301CA" w:rsidRPr="0002540B" w:rsidTr="00D245BA">
        <w:tc>
          <w:tcPr>
            <w:tcW w:w="1054" w:type="pct"/>
          </w:tcPr>
          <w:p w:rsidR="00D301CA" w:rsidRPr="00A8119A" w:rsidRDefault="00D301CA" w:rsidP="00C23CBD">
            <w:pPr>
              <w:spacing w:line="240" w:lineRule="auto"/>
              <w:rPr>
                <w:sz w:val="16"/>
                <w:szCs w:val="16"/>
              </w:rPr>
            </w:pPr>
            <w:r>
              <w:rPr>
                <w:sz w:val="16"/>
                <w:szCs w:val="16"/>
              </w:rPr>
              <w:t xml:space="preserve">… a to jak díky zvyšujícím se příjmům domácností, tak vlivem přetrvávající důvěry </w:t>
            </w:r>
            <w:r w:rsidR="00C23CBD">
              <w:rPr>
                <w:sz w:val="16"/>
                <w:szCs w:val="16"/>
              </w:rPr>
              <w:t>v ekonomiku</w:t>
            </w:r>
          </w:p>
        </w:tc>
        <w:tc>
          <w:tcPr>
            <w:tcW w:w="143" w:type="pct"/>
          </w:tcPr>
          <w:p w:rsidR="00D301CA" w:rsidRPr="000672C7" w:rsidRDefault="00D301CA" w:rsidP="00D245BA">
            <w:pPr>
              <w:pStyle w:val="Textpoznpodarou"/>
              <w:jc w:val="both"/>
            </w:pPr>
          </w:p>
        </w:tc>
        <w:tc>
          <w:tcPr>
            <w:tcW w:w="3803" w:type="pct"/>
          </w:tcPr>
          <w:p w:rsidR="00D301CA" w:rsidRPr="00E61BE0" w:rsidRDefault="00D301CA" w:rsidP="00D245BA">
            <w:pPr>
              <w:pStyle w:val="Textpoznpodarou"/>
              <w:jc w:val="both"/>
              <w:rPr>
                <w:spacing w:val="-2"/>
              </w:rPr>
            </w:pPr>
            <w:r w:rsidRPr="00E61BE0">
              <w:rPr>
                <w:spacing w:val="-2"/>
              </w:rPr>
              <w:t>Ochota domácností utrácet byla v 1. polovině roku příznivě ovlivněna dvěma klíčovými faktory. Tím prvním byl</w:t>
            </w:r>
            <w:r>
              <w:rPr>
                <w:spacing w:val="-2"/>
              </w:rPr>
              <w:t>y</w:t>
            </w:r>
            <w:r w:rsidRPr="00E61BE0">
              <w:rPr>
                <w:spacing w:val="-2"/>
              </w:rPr>
              <w:t xml:space="preserve"> narůstající </w:t>
            </w:r>
            <w:r>
              <w:rPr>
                <w:spacing w:val="-2"/>
              </w:rPr>
              <w:t>příjmy</w:t>
            </w:r>
            <w:r w:rsidRPr="00E61BE0">
              <w:rPr>
                <w:spacing w:val="-2"/>
              </w:rPr>
              <w:t xml:space="preserve"> – na </w:t>
            </w:r>
            <w:r>
              <w:rPr>
                <w:spacing w:val="-2"/>
              </w:rPr>
              <w:t>které</w:t>
            </w:r>
            <w:r w:rsidRPr="00E61BE0">
              <w:rPr>
                <w:spacing w:val="-2"/>
              </w:rPr>
              <w:t xml:space="preserve"> poukazuje</w:t>
            </w:r>
            <w:r>
              <w:rPr>
                <w:spacing w:val="-2"/>
              </w:rPr>
              <w:t xml:space="preserve"> reálně</w:t>
            </w:r>
            <w:r w:rsidRPr="00E61BE0">
              <w:rPr>
                <w:spacing w:val="-2"/>
              </w:rPr>
              <w:t xml:space="preserve"> stoupající průměrná mzda a zvyšující se zaměstnanost –</w:t>
            </w:r>
            <w:r w:rsidR="00F55605">
              <w:rPr>
                <w:spacing w:val="-2"/>
              </w:rPr>
              <w:t>,</w:t>
            </w:r>
            <w:r w:rsidRPr="00E61BE0">
              <w:rPr>
                <w:spacing w:val="-2"/>
              </w:rPr>
              <w:t xml:space="preserve"> druhým pak přetrvávající důvěra v </w:t>
            </w:r>
            <w:r w:rsidR="00C23CBD">
              <w:rPr>
                <w:spacing w:val="-2"/>
              </w:rPr>
              <w:t>českou ekonomiku</w:t>
            </w:r>
            <w:r w:rsidRPr="00E61BE0">
              <w:rPr>
                <w:spacing w:val="-2"/>
              </w:rPr>
              <w:t xml:space="preserve"> (indikátor důvěry spotřebitelů byl na konci 2. čtvrtletí 2015 sice na nižší úrovni než na sklonku 1. kvartálu, v meziročním srovnání však zůstávala důvěra spotřebitelů stále vyšší).</w:t>
            </w:r>
          </w:p>
          <w:p w:rsidR="00D301CA" w:rsidRPr="00B30125" w:rsidRDefault="00D301CA" w:rsidP="00D245BA">
            <w:pPr>
              <w:pStyle w:val="Textpoznpodarou"/>
              <w:jc w:val="both"/>
              <w:rPr>
                <w:spacing w:val="-2"/>
                <w:sz w:val="16"/>
                <w:szCs w:val="16"/>
              </w:rPr>
            </w:pPr>
          </w:p>
        </w:tc>
      </w:tr>
      <w:tr w:rsidR="00D301CA" w:rsidRPr="0002540B" w:rsidTr="00D245BA">
        <w:tc>
          <w:tcPr>
            <w:tcW w:w="1054" w:type="pct"/>
          </w:tcPr>
          <w:p w:rsidR="00D301CA" w:rsidRPr="00A8119A" w:rsidRDefault="00D301CA" w:rsidP="00D245BA">
            <w:pPr>
              <w:spacing w:line="240" w:lineRule="auto"/>
              <w:rPr>
                <w:sz w:val="16"/>
                <w:szCs w:val="16"/>
              </w:rPr>
            </w:pPr>
            <w:r>
              <w:rPr>
                <w:sz w:val="16"/>
                <w:szCs w:val="16"/>
              </w:rPr>
              <w:t>Domácnosti vydaly v 1. polovině roku meziročně více především za předměty dlouhodobé spotřeby</w:t>
            </w:r>
          </w:p>
        </w:tc>
        <w:tc>
          <w:tcPr>
            <w:tcW w:w="143" w:type="pct"/>
          </w:tcPr>
          <w:p w:rsidR="00D301CA" w:rsidRPr="000672C7" w:rsidRDefault="00D301CA" w:rsidP="00D245BA">
            <w:pPr>
              <w:pStyle w:val="Textpoznpodarou"/>
              <w:jc w:val="both"/>
            </w:pPr>
          </w:p>
        </w:tc>
        <w:tc>
          <w:tcPr>
            <w:tcW w:w="3803" w:type="pct"/>
          </w:tcPr>
          <w:p w:rsidR="00D301CA" w:rsidRPr="005D504B" w:rsidRDefault="00D301CA" w:rsidP="00D245BA">
            <w:pPr>
              <w:pStyle w:val="Textpoznpodarou"/>
              <w:jc w:val="both"/>
              <w:rPr>
                <w:spacing w:val="-2"/>
              </w:rPr>
            </w:pPr>
            <w:r w:rsidRPr="005D504B">
              <w:rPr>
                <w:spacing w:val="-2"/>
              </w:rPr>
              <w:t>Z členění výdajů na konečnou spotřebu domácností podle trvanlivosti je patrné, že domácnosti v  1. polovině roku 2015 posilovaly především nákupy předmětů dlouhodobé spotřeby.</w:t>
            </w:r>
            <w:r w:rsidRPr="005D504B">
              <w:rPr>
                <w:rStyle w:val="Znakapoznpodarou"/>
                <w:spacing w:val="-2"/>
              </w:rPr>
              <w:footnoteReference w:id="5"/>
            </w:r>
            <w:r w:rsidRPr="005D504B">
              <w:rPr>
                <w:spacing w:val="-2"/>
              </w:rPr>
              <w:t xml:space="preserve"> V 1. čtvrtletí jich pořídily o 9,0 % více než před rokem, ve 2. kvartále o 8,7 %. Navyšovaly ale i výdaje za předměty střednědobé spotřeby (+3,8 %, +5,7 %) a krátkodobé spotřeby (+2,3 %, +2,7 %). Váhově významné výdaje za služby narůstaly taktéž, spíše ale jen střídm</w:t>
            </w:r>
            <w:r w:rsidR="00F55605">
              <w:rPr>
                <w:spacing w:val="-2"/>
              </w:rPr>
              <w:t>ě</w:t>
            </w:r>
            <w:r w:rsidRPr="005D504B">
              <w:rPr>
                <w:spacing w:val="-2"/>
              </w:rPr>
              <w:t xml:space="preserve"> (+1,4 %, +1,8 %).</w:t>
            </w:r>
          </w:p>
          <w:p w:rsidR="00D301CA" w:rsidRPr="00B30125" w:rsidRDefault="00D301CA" w:rsidP="00D245BA">
            <w:pPr>
              <w:pStyle w:val="Textpoznpodarou"/>
              <w:jc w:val="both"/>
              <w:rPr>
                <w:spacing w:val="-2"/>
                <w:sz w:val="18"/>
                <w:szCs w:val="18"/>
              </w:rPr>
            </w:pPr>
          </w:p>
        </w:tc>
      </w:tr>
      <w:tr w:rsidR="00D301CA" w:rsidRPr="0002540B" w:rsidTr="00D245BA">
        <w:tc>
          <w:tcPr>
            <w:tcW w:w="1054" w:type="pct"/>
          </w:tcPr>
          <w:p w:rsidR="00D301CA" w:rsidRPr="0002540B" w:rsidRDefault="00D301CA" w:rsidP="00D245BA">
            <w:pPr>
              <w:spacing w:line="240" w:lineRule="auto"/>
              <w:rPr>
                <w:sz w:val="16"/>
                <w:szCs w:val="16"/>
              </w:rPr>
            </w:pPr>
            <w:r>
              <w:rPr>
                <w:sz w:val="16"/>
                <w:szCs w:val="16"/>
              </w:rPr>
              <w:t>Fiskální politika i nadále expanzivní</w:t>
            </w:r>
          </w:p>
        </w:tc>
        <w:tc>
          <w:tcPr>
            <w:tcW w:w="143" w:type="pct"/>
          </w:tcPr>
          <w:p w:rsidR="00D301CA" w:rsidRPr="0002540B" w:rsidRDefault="00D301CA" w:rsidP="00D245BA">
            <w:pPr>
              <w:pStyle w:val="Textpoznpodarou"/>
              <w:jc w:val="both"/>
            </w:pPr>
          </w:p>
        </w:tc>
        <w:tc>
          <w:tcPr>
            <w:tcW w:w="3803" w:type="pct"/>
          </w:tcPr>
          <w:p w:rsidR="00D301CA" w:rsidRPr="005D504B" w:rsidRDefault="00D301CA" w:rsidP="00D245BA">
            <w:pPr>
              <w:pStyle w:val="Textpoznpodarou"/>
              <w:jc w:val="both"/>
            </w:pPr>
            <w:r w:rsidRPr="005D504B">
              <w:t>Fiskální politika setrvává expanzivní a projevuje se nejen ve vyšší investiční aktivitě vládních institucí, ale také v poměrně stabilních přírůstcích výdajů na konečnou spotřebu. Zatímco v posledním čtvrtletí roku 2014 byly výdaje na konečnou spotřebu vládních institucí meziročně vyšší o 2,7 %, v 1. a 2. čtvrtletí letošního roku převyšovaly tyto výdaje loňskou úroveň o 2,6 % a o 2,5 %.</w:t>
            </w:r>
          </w:p>
          <w:p w:rsidR="00D301CA" w:rsidRPr="00B30125" w:rsidRDefault="00D301CA" w:rsidP="00D245BA">
            <w:pPr>
              <w:pStyle w:val="Textpoznpodarou"/>
              <w:jc w:val="both"/>
              <w:rPr>
                <w:sz w:val="16"/>
                <w:szCs w:val="16"/>
              </w:rPr>
            </w:pPr>
          </w:p>
        </w:tc>
      </w:tr>
      <w:tr w:rsidR="00D301CA" w:rsidRPr="0002540B" w:rsidTr="00D245BA">
        <w:tc>
          <w:tcPr>
            <w:tcW w:w="1054" w:type="pct"/>
          </w:tcPr>
          <w:p w:rsidR="00D301CA" w:rsidRPr="0002540B" w:rsidRDefault="00D301CA" w:rsidP="00D245BA">
            <w:pPr>
              <w:spacing w:line="240" w:lineRule="auto"/>
              <w:rPr>
                <w:sz w:val="16"/>
                <w:szCs w:val="16"/>
              </w:rPr>
            </w:pPr>
            <w:r>
              <w:rPr>
                <w:sz w:val="16"/>
                <w:szCs w:val="16"/>
              </w:rPr>
              <w:t>Investice vzrostly ve 2. čtvrtletí 2015 meziročně o 5,9 %, ….</w:t>
            </w:r>
          </w:p>
        </w:tc>
        <w:tc>
          <w:tcPr>
            <w:tcW w:w="143" w:type="pct"/>
          </w:tcPr>
          <w:p w:rsidR="00D301CA" w:rsidRPr="0002540B" w:rsidRDefault="00D301CA" w:rsidP="00D245BA">
            <w:pPr>
              <w:pStyle w:val="Textpoznpodarou"/>
              <w:jc w:val="both"/>
            </w:pPr>
          </w:p>
        </w:tc>
        <w:tc>
          <w:tcPr>
            <w:tcW w:w="3803" w:type="pct"/>
          </w:tcPr>
          <w:p w:rsidR="00D301CA" w:rsidRPr="00EB2C4A" w:rsidRDefault="00D301CA" w:rsidP="00D245BA">
            <w:pPr>
              <w:pStyle w:val="Textpoznpodarou"/>
              <w:jc w:val="both"/>
            </w:pPr>
            <w:r w:rsidRPr="00EB2C4A">
              <w:t xml:space="preserve">Jedním ze dvou hlavních zdrojů růstu české ekonomiky ve 2. čtvrtletí 2015 byly investice. V meziročním srovnání stouply o 5,9 %, nejdynamičtěji od počátku roku 2008. </w:t>
            </w:r>
            <w:r w:rsidRPr="00EB2C4A">
              <w:rPr>
                <w:spacing w:val="-2"/>
              </w:rPr>
              <w:t>Původ tohoto růstu spočíval především ve vysokém přírůstku investic mezi 1. a 2. čtvrtletím (+3,5 %), nikoliv v nízké srovnávací základně.</w:t>
            </w:r>
          </w:p>
          <w:p w:rsidR="00D301CA" w:rsidRPr="00B30125" w:rsidRDefault="00D301CA" w:rsidP="00D245BA">
            <w:pPr>
              <w:pStyle w:val="Textpoznpodarou"/>
              <w:jc w:val="both"/>
              <w:rPr>
                <w:spacing w:val="-4"/>
                <w:sz w:val="18"/>
                <w:szCs w:val="18"/>
              </w:rPr>
            </w:pPr>
          </w:p>
        </w:tc>
      </w:tr>
      <w:tr w:rsidR="00D301CA" w:rsidRPr="0002540B" w:rsidTr="00D245BA">
        <w:tc>
          <w:tcPr>
            <w:tcW w:w="1054" w:type="pct"/>
          </w:tcPr>
          <w:p w:rsidR="00D301CA" w:rsidRPr="0002540B" w:rsidRDefault="00D301CA" w:rsidP="00D245BA">
            <w:pPr>
              <w:spacing w:line="240" w:lineRule="auto"/>
              <w:rPr>
                <w:sz w:val="16"/>
                <w:szCs w:val="16"/>
              </w:rPr>
            </w:pPr>
            <w:r>
              <w:rPr>
                <w:sz w:val="16"/>
                <w:szCs w:val="16"/>
              </w:rPr>
              <w:t>…jednalo se však z velké části o důsledek mimořádných vlivů. Zatímco na straně vládních institucí šlo o dočerpávání peněz z fondů EU, v případě nefinančních podniků o mimořádně vysoký růst zisků v loňském roce</w:t>
            </w:r>
          </w:p>
        </w:tc>
        <w:tc>
          <w:tcPr>
            <w:tcW w:w="143" w:type="pct"/>
          </w:tcPr>
          <w:p w:rsidR="00D301CA" w:rsidRPr="0002540B" w:rsidRDefault="00D301CA" w:rsidP="00D245BA">
            <w:pPr>
              <w:pStyle w:val="Textpoznpodarou"/>
              <w:jc w:val="both"/>
            </w:pPr>
          </w:p>
        </w:tc>
        <w:tc>
          <w:tcPr>
            <w:tcW w:w="3803" w:type="pct"/>
          </w:tcPr>
          <w:p w:rsidR="00D301CA" w:rsidRDefault="00D301CA" w:rsidP="00D245BA">
            <w:pPr>
              <w:pStyle w:val="Textpoznpodarou"/>
              <w:jc w:val="both"/>
              <w:rPr>
                <w:spacing w:val="-2"/>
              </w:rPr>
            </w:pPr>
            <w:r w:rsidRPr="00EB2C4A">
              <w:t xml:space="preserve">Přestože údaje o investicích jednotlivých institucionálních sektorů nejsou prozatím dostupné, data ve věcném členění naznačují, že za velmi vysokým meziročním růstem investic ve 2. čtvrtletí stály zejména vládní instituce (jež se snažily dočerpat alokované prostředky z fondů Evropské unie) a nefinanční podniky (které v loňském roce dosáhly mimořádně vysokých zisků a s posilující důvěrou </w:t>
            </w:r>
            <w:r w:rsidRPr="00EB2C4A">
              <w:rPr>
                <w:spacing w:val="-2"/>
              </w:rPr>
              <w:t>v další ekonomický vývoj je začaly ve větším rozsahu využívat na investiční účely).</w:t>
            </w:r>
          </w:p>
          <w:p w:rsidR="00D301CA" w:rsidRPr="00B30125" w:rsidRDefault="00D301CA" w:rsidP="00D245BA">
            <w:pPr>
              <w:pStyle w:val="Textpoznpodarou"/>
              <w:jc w:val="both"/>
              <w:rPr>
                <w:spacing w:val="-2"/>
                <w:sz w:val="16"/>
                <w:szCs w:val="16"/>
              </w:rPr>
            </w:pPr>
          </w:p>
          <w:p w:rsidR="00D301CA" w:rsidRPr="00E61BE0" w:rsidRDefault="00D301CA" w:rsidP="00D245BA">
            <w:pPr>
              <w:pStyle w:val="Textpoznpodarou"/>
              <w:jc w:val="both"/>
            </w:pPr>
            <w:r w:rsidRPr="00E61BE0">
              <w:t>Investice do budov a staveb stouply ve 2. kvartále meziročně o 13,2 %,</w:t>
            </w:r>
            <w:r w:rsidRPr="00E61BE0">
              <w:rPr>
                <w:rStyle w:val="Znakapoznpodarou"/>
              </w:rPr>
              <w:footnoteReference w:id="6"/>
            </w:r>
            <w:r w:rsidRPr="00E61BE0">
              <w:t xml:space="preserve"> vůbec nejrychleji na dostupné časové řadě od roku 1997. Přírůstek investic do dopravních prostředků a zařízení se v porovnání s počátkem roku zmenšil (zůstal ale mohutný, +10,4 %), růst investic do ICT, strojů a zařízení naopak zrychlil (z +1,0 % v 1. čtvrtletí na +2,5 %). Do produktů duševního vlastnictví se investovalo méně než před rokem (-1,5 %), podobně jako tomu bylo v 1. čtvrtletí a ve dvou letech předchozích. Rostoucí příjmy domácností ve spojení se stále nízkými úrokovými sazbami z úvěrů na bydlení se i nadále pozitivně promítaly v investicích do staveb pro bydlení (meziročně +3,4 %). </w:t>
            </w:r>
          </w:p>
          <w:p w:rsidR="00D301CA" w:rsidRPr="00B30125" w:rsidRDefault="00D301CA" w:rsidP="00D245BA">
            <w:pPr>
              <w:pStyle w:val="Textpoznpodarou"/>
              <w:jc w:val="both"/>
              <w:rPr>
                <w:sz w:val="18"/>
                <w:szCs w:val="18"/>
              </w:rPr>
            </w:pPr>
          </w:p>
        </w:tc>
      </w:tr>
      <w:tr w:rsidR="00D301CA" w:rsidRPr="0002540B" w:rsidTr="00D245BA">
        <w:tc>
          <w:tcPr>
            <w:tcW w:w="1054" w:type="pct"/>
          </w:tcPr>
          <w:p w:rsidR="00D301CA" w:rsidRPr="0002540B" w:rsidRDefault="00D301CA" w:rsidP="00D245BA">
            <w:pPr>
              <w:spacing w:line="240" w:lineRule="auto"/>
              <w:rPr>
                <w:sz w:val="16"/>
                <w:szCs w:val="16"/>
              </w:rPr>
            </w:pPr>
            <w:r>
              <w:rPr>
                <w:sz w:val="16"/>
                <w:szCs w:val="16"/>
              </w:rPr>
              <w:t>Změna zásob i nadále pozitivní, nemění se příliš ale ani její struktura – rostou zásoby materiálu a nedokončené výroby</w:t>
            </w:r>
          </w:p>
        </w:tc>
        <w:tc>
          <w:tcPr>
            <w:tcW w:w="143" w:type="pct"/>
          </w:tcPr>
          <w:p w:rsidR="00D301CA" w:rsidRPr="0002540B" w:rsidRDefault="00D301CA" w:rsidP="00D245BA">
            <w:pPr>
              <w:pStyle w:val="Textpoznpodarou"/>
              <w:jc w:val="both"/>
            </w:pPr>
          </w:p>
        </w:tc>
        <w:tc>
          <w:tcPr>
            <w:tcW w:w="3803" w:type="pct"/>
          </w:tcPr>
          <w:p w:rsidR="00D301CA" w:rsidRPr="00EB2C4A" w:rsidRDefault="00D301CA" w:rsidP="00D245BA">
            <w:pPr>
              <w:pStyle w:val="Textpoznpodarou"/>
              <w:jc w:val="both"/>
              <w:rPr>
                <w:spacing w:val="-2"/>
              </w:rPr>
            </w:pPr>
            <w:r w:rsidRPr="00EB2C4A">
              <w:rPr>
                <w:spacing w:val="-2"/>
              </w:rPr>
              <w:t xml:space="preserve">V průběhu 1. čtvrtletí roku 2015 narostla hodnota zásob na skladech nominálně o 14,2 mld. korun, a </w:t>
            </w:r>
            <w:r>
              <w:rPr>
                <w:spacing w:val="-2"/>
              </w:rPr>
              <w:t>protože</w:t>
            </w:r>
            <w:r w:rsidRPr="00EB2C4A">
              <w:rPr>
                <w:spacing w:val="-2"/>
              </w:rPr>
              <w:t xml:space="preserve"> ve stejném období loňského roku jejich hodnota o 7,9 mld. klesla, staly se zásoby hlavním faktorem růstu české ekonomiky. Ve 2. čtvrtletí 2015 hodnota zásob narůstala dále (jejich hodnota se zvětšila o 11,9 mld. korun), jelikož ale už i v loňském 2. čtvrtletí byla změna zásob pozitivní (+5,8 mld.), jejich růstový efekt výrazně oslabil.</w:t>
            </w:r>
          </w:p>
          <w:p w:rsidR="00D301CA" w:rsidRPr="00B30125" w:rsidRDefault="00D301CA" w:rsidP="00D245BA">
            <w:pPr>
              <w:pStyle w:val="Textpoznpodarou"/>
              <w:jc w:val="both"/>
              <w:rPr>
                <w:spacing w:val="-2"/>
                <w:sz w:val="18"/>
                <w:szCs w:val="18"/>
              </w:rPr>
            </w:pPr>
          </w:p>
        </w:tc>
      </w:tr>
      <w:tr w:rsidR="00D301CA" w:rsidRPr="0002540B" w:rsidTr="00D245BA">
        <w:tc>
          <w:tcPr>
            <w:tcW w:w="1054" w:type="pct"/>
          </w:tcPr>
          <w:p w:rsidR="00D301CA" w:rsidRPr="0030760B" w:rsidRDefault="00D301CA" w:rsidP="00D245BA">
            <w:pPr>
              <w:spacing w:line="240" w:lineRule="auto"/>
              <w:rPr>
                <w:sz w:val="16"/>
                <w:szCs w:val="16"/>
              </w:rPr>
            </w:pPr>
            <w:r>
              <w:rPr>
                <w:sz w:val="16"/>
                <w:szCs w:val="16"/>
              </w:rPr>
              <w:t>Meziroční přírůstek vývozu zboží a služeb z ČR dále zpomalil</w:t>
            </w:r>
          </w:p>
        </w:tc>
        <w:tc>
          <w:tcPr>
            <w:tcW w:w="143" w:type="pct"/>
          </w:tcPr>
          <w:p w:rsidR="00D301CA" w:rsidRPr="0002540B" w:rsidRDefault="00D301CA" w:rsidP="00D245BA">
            <w:pPr>
              <w:pStyle w:val="Textpoznpodarou"/>
              <w:jc w:val="both"/>
            </w:pPr>
          </w:p>
        </w:tc>
        <w:tc>
          <w:tcPr>
            <w:tcW w:w="3803" w:type="pct"/>
          </w:tcPr>
          <w:p w:rsidR="00D301CA" w:rsidRPr="0095089A" w:rsidRDefault="00D301CA" w:rsidP="00D245BA">
            <w:pPr>
              <w:pStyle w:val="Textpoznpodarou"/>
              <w:jc w:val="both"/>
              <w:rPr>
                <w:color w:val="FF0000"/>
              </w:rPr>
            </w:pPr>
            <w:r w:rsidRPr="004109EC">
              <w:t xml:space="preserve">Hospodářský růst zemí </w:t>
            </w:r>
            <w:proofErr w:type="spellStart"/>
            <w:r w:rsidRPr="004109EC">
              <w:t>eurozóny</w:t>
            </w:r>
            <w:proofErr w:type="spellEnd"/>
            <w:r w:rsidRPr="004109EC">
              <w:t xml:space="preserve"> zvolna sílí, v dynamice vývozu zboží a služeb z tuzemska se však neprojevuje. Naopak, přírůstky českého vývozu kontinuálně slábnou. Zatímco ještě v 1. čtvrtletí 2014 byl vývoz</w:t>
            </w:r>
            <w:r>
              <w:t xml:space="preserve"> dle údajů národních účtů</w:t>
            </w:r>
            <w:r w:rsidRPr="004109EC">
              <w:t xml:space="preserve"> meziročně vyšší o 11,7 %, ve </w:t>
            </w:r>
            <w:r w:rsidRPr="004109EC">
              <w:rPr>
                <w:spacing w:val="-4"/>
              </w:rPr>
              <w:t>2. čtvrtletí letošního roku už „pouze“ o rovných 7 %. I</w:t>
            </w:r>
            <w:r>
              <w:rPr>
                <w:spacing w:val="-4"/>
              </w:rPr>
              <w:t> </w:t>
            </w:r>
            <w:r w:rsidRPr="004109EC">
              <w:rPr>
                <w:spacing w:val="-4"/>
              </w:rPr>
              <w:t>přesto je ovšem možné vnímat</w:t>
            </w:r>
            <w:r w:rsidRPr="004109EC">
              <w:t xml:space="preserve"> výsledek o přírůstku vývozu z ČR ve 2. čtvrtletí jako příznivý, neboť například vývoz z Německa stoupl „jen“ o 6,4 %.</w:t>
            </w:r>
          </w:p>
        </w:tc>
      </w:tr>
      <w:tr w:rsidR="00D301CA" w:rsidRPr="0002540B" w:rsidTr="00D245BA">
        <w:tc>
          <w:tcPr>
            <w:tcW w:w="1054" w:type="pct"/>
          </w:tcPr>
          <w:p w:rsidR="00D301CA" w:rsidRDefault="00D301CA" w:rsidP="00D245BA">
            <w:pPr>
              <w:spacing w:line="240" w:lineRule="auto"/>
              <w:rPr>
                <w:sz w:val="16"/>
                <w:szCs w:val="16"/>
              </w:rPr>
            </w:pPr>
            <w:r>
              <w:rPr>
                <w:sz w:val="16"/>
                <w:szCs w:val="16"/>
              </w:rPr>
              <w:lastRenderedPageBreak/>
              <w:t>Přebytek zahraničního obchodu ve 2. čtvrtletí 2015 vyšší než před rokem (+2,0 mld. korun nominálně) díky „službám“</w:t>
            </w:r>
          </w:p>
        </w:tc>
        <w:tc>
          <w:tcPr>
            <w:tcW w:w="143" w:type="pct"/>
          </w:tcPr>
          <w:p w:rsidR="00D301CA" w:rsidRPr="0002540B" w:rsidRDefault="00D301CA" w:rsidP="00D245BA">
            <w:pPr>
              <w:pStyle w:val="Textpoznpodarou"/>
              <w:jc w:val="both"/>
            </w:pPr>
          </w:p>
        </w:tc>
        <w:tc>
          <w:tcPr>
            <w:tcW w:w="3803" w:type="pct"/>
          </w:tcPr>
          <w:p w:rsidR="00D301CA" w:rsidRPr="00EB2C4A" w:rsidRDefault="00D301CA" w:rsidP="00D245BA">
            <w:pPr>
              <w:pStyle w:val="Textpoznpodarou"/>
              <w:jc w:val="both"/>
            </w:pPr>
            <w:r w:rsidRPr="00EB2C4A">
              <w:t xml:space="preserve">Přebytek zahraničního obchodu se zbožím a službami v nominálním vyjádření se ve 2. čtvrtletí 2015 zvětšil meziročně o 2,0 mld. korun. Zdrojem tohoto růstu nebyl překvapivě obchod se zbožím (přebytek ve zboží se </w:t>
            </w:r>
            <w:r>
              <w:t>zmenšil</w:t>
            </w:r>
            <w:r w:rsidRPr="00EB2C4A">
              <w:t xml:space="preserve"> o 4,1 mld.), ale obchod se službami (+6,1 mld.). </w:t>
            </w:r>
            <w:r>
              <w:t>Jak ukazují údaje platební bilance,</w:t>
            </w:r>
            <w:r w:rsidRPr="00EB2C4A">
              <w:t xml:space="preserve"> </w:t>
            </w:r>
            <w:r>
              <w:t>k nárůstu přebytku obchodu se službami došlo především díky zlepšení bilance</w:t>
            </w:r>
            <w:r w:rsidRPr="00EB2C4A">
              <w:t xml:space="preserve"> </w:t>
            </w:r>
            <w:r>
              <w:t>finančních služeb a služeb souvisejících s dopravou. Bilance cestovního ruchu se navzdory tomu, že v ČR byly pořádány velké sportovní akce, zhoršila.</w:t>
            </w:r>
          </w:p>
          <w:p w:rsidR="00D301CA" w:rsidRPr="00B30125" w:rsidRDefault="00D301CA" w:rsidP="00D245BA">
            <w:pPr>
              <w:pStyle w:val="Textpoznpodarou"/>
              <w:jc w:val="both"/>
              <w:rPr>
                <w:spacing w:val="-4"/>
                <w:sz w:val="16"/>
                <w:szCs w:val="16"/>
              </w:rPr>
            </w:pPr>
          </w:p>
        </w:tc>
      </w:tr>
      <w:tr w:rsidR="00D301CA" w:rsidRPr="0002540B" w:rsidTr="00D245BA">
        <w:tc>
          <w:tcPr>
            <w:tcW w:w="1054" w:type="pct"/>
          </w:tcPr>
          <w:p w:rsidR="00D301CA" w:rsidRDefault="00D301CA" w:rsidP="00D245BA">
            <w:pPr>
              <w:spacing w:line="240" w:lineRule="auto"/>
              <w:rPr>
                <w:sz w:val="16"/>
                <w:szCs w:val="16"/>
              </w:rPr>
            </w:pPr>
            <w:r>
              <w:rPr>
                <w:sz w:val="16"/>
                <w:szCs w:val="16"/>
              </w:rPr>
              <w:t>Růst ekonomiky z hlediska strany nabídky rozprostřen v celku rovnoměrně</w:t>
            </w:r>
          </w:p>
        </w:tc>
        <w:tc>
          <w:tcPr>
            <w:tcW w:w="143" w:type="pct"/>
          </w:tcPr>
          <w:p w:rsidR="00D301CA" w:rsidRPr="0002540B" w:rsidRDefault="00D301CA" w:rsidP="00D245BA">
            <w:pPr>
              <w:pStyle w:val="Textpoznpodarou"/>
              <w:jc w:val="both"/>
            </w:pPr>
          </w:p>
        </w:tc>
        <w:tc>
          <w:tcPr>
            <w:tcW w:w="3803" w:type="pct"/>
          </w:tcPr>
          <w:p w:rsidR="00D301CA" w:rsidRPr="00EB2C4A" w:rsidRDefault="00D301CA" w:rsidP="00D245BA">
            <w:pPr>
              <w:pStyle w:val="Textpoznpodarou"/>
              <w:jc w:val="both"/>
            </w:pPr>
            <w:r w:rsidRPr="00EB2C4A">
              <w:t>Na růstu</w:t>
            </w:r>
            <w:r>
              <w:t xml:space="preserve"> celkové</w:t>
            </w:r>
            <w:r w:rsidRPr="00EB2C4A">
              <w:t xml:space="preserve"> hrubé přidané hodnoty ve 2. čtvrtletí 2015 (+3,8 % meziročně) se </w:t>
            </w:r>
            <w:r w:rsidRPr="002E4A67">
              <w:rPr>
                <w:spacing w:val="-2"/>
              </w:rPr>
              <w:t xml:space="preserve">z velké části podílel zpracovatelský průmysl (+1,8 </w:t>
            </w:r>
            <w:proofErr w:type="spellStart"/>
            <w:r w:rsidRPr="002E4A67">
              <w:rPr>
                <w:spacing w:val="-2"/>
              </w:rPr>
              <w:t>pb</w:t>
            </w:r>
            <w:proofErr w:type="spellEnd"/>
            <w:r w:rsidRPr="002E4A67">
              <w:rPr>
                <w:spacing w:val="-2"/>
              </w:rPr>
              <w:t>.), stejnou měrou na něm participovaly ale i objemově významné služby. Z nich se na zvýšení výkonu české ekonomiky podílely pozitivně všechny sledované skupiny odvětví, zejména však odvětví zahrnující obchod, dopravu, ubytování a pohostinství (+0,5</w:t>
            </w:r>
            <w:r>
              <w:rPr>
                <w:spacing w:val="-2"/>
              </w:rPr>
              <w:t> </w:t>
            </w:r>
            <w:proofErr w:type="spellStart"/>
            <w:r w:rsidRPr="00EB2C4A">
              <w:t>pb</w:t>
            </w:r>
            <w:proofErr w:type="spellEnd"/>
            <w:r w:rsidRPr="00EB2C4A">
              <w:t>.) a</w:t>
            </w:r>
            <w:r>
              <w:t> </w:t>
            </w:r>
            <w:r w:rsidRPr="00EB2C4A">
              <w:t>odvětví sdružující profesní, vědecké, technické a administrativní činnosti (+0,4</w:t>
            </w:r>
            <w:r>
              <w:t> </w:t>
            </w:r>
            <w:proofErr w:type="spellStart"/>
            <w:r w:rsidRPr="00EB2C4A">
              <w:t>pb</w:t>
            </w:r>
            <w:proofErr w:type="spellEnd"/>
            <w:r w:rsidRPr="00EB2C4A">
              <w:t>.). Stavebnictví – jehož výkon byl p</w:t>
            </w:r>
            <w:r>
              <w:t>říznivě</w:t>
            </w:r>
            <w:r w:rsidRPr="00EB2C4A">
              <w:t xml:space="preserve"> ovlivněn především vysokou poptávkou</w:t>
            </w:r>
            <w:r>
              <w:t xml:space="preserve"> po stavebních činnostech</w:t>
            </w:r>
            <w:r w:rsidRPr="00EB2C4A">
              <w:t xml:space="preserve"> ze strany veřejných zadavatelů – se na růstu celkové hrubé přidané hodnoty podílelo +0,2 </w:t>
            </w:r>
            <w:proofErr w:type="spellStart"/>
            <w:r w:rsidRPr="00EB2C4A">
              <w:t>pb</w:t>
            </w:r>
            <w:proofErr w:type="spellEnd"/>
            <w:r w:rsidRPr="00EB2C4A">
              <w:t xml:space="preserve">., zemědělství, lesnictví a rybářství v úhrnu pak +0,1 </w:t>
            </w:r>
            <w:proofErr w:type="spellStart"/>
            <w:r w:rsidRPr="00EB2C4A">
              <w:t>pb</w:t>
            </w:r>
            <w:proofErr w:type="spellEnd"/>
            <w:r w:rsidRPr="00EB2C4A">
              <w:t xml:space="preserve">. Růst </w:t>
            </w:r>
            <w:r>
              <w:t>ekonomiky</w:t>
            </w:r>
            <w:r w:rsidRPr="00EB2C4A">
              <w:t xml:space="preserve"> byl „přibrzďován“ pouze </w:t>
            </w:r>
            <w:r>
              <w:t>poklesem v segmentu</w:t>
            </w:r>
            <w:r w:rsidRPr="00EB2C4A">
              <w:t xml:space="preserve"> </w:t>
            </w:r>
            <w:r>
              <w:t>tvořeném</w:t>
            </w:r>
            <w:r w:rsidRPr="00EB2C4A">
              <w:t xml:space="preserve"> těžbou a</w:t>
            </w:r>
            <w:r>
              <w:t xml:space="preserve"> dobýváním, energetikou,</w:t>
            </w:r>
            <w:r w:rsidRPr="00EB2C4A">
              <w:t xml:space="preserve"> zásobováním vodou (-0,1 </w:t>
            </w:r>
            <w:proofErr w:type="spellStart"/>
            <w:r w:rsidRPr="00EB2C4A">
              <w:t>pb</w:t>
            </w:r>
            <w:proofErr w:type="spellEnd"/>
            <w:r w:rsidRPr="00EB2C4A">
              <w:t>.).</w:t>
            </w:r>
          </w:p>
        </w:tc>
      </w:tr>
    </w:tbl>
    <w:p w:rsidR="00D301CA" w:rsidRPr="008A4EE8" w:rsidRDefault="00D301CA" w:rsidP="00D301CA">
      <w:pPr>
        <w:rPr>
          <w:sz w:val="16"/>
          <w:szCs w:val="16"/>
          <w:lang w:eastAsia="ar-SA"/>
        </w:rPr>
      </w:pPr>
    </w:p>
    <w:tbl>
      <w:tblPr>
        <w:tblW w:w="5000" w:type="pct"/>
        <w:tblLook w:val="04A0"/>
      </w:tblPr>
      <w:tblGrid>
        <w:gridCol w:w="1057"/>
        <w:gridCol w:w="3870"/>
        <w:gridCol w:w="621"/>
        <w:gridCol w:w="4306"/>
      </w:tblGrid>
      <w:tr w:rsidR="00D301CA" w:rsidRPr="0002540B" w:rsidTr="00D301CA">
        <w:tc>
          <w:tcPr>
            <w:tcW w:w="536" w:type="pct"/>
          </w:tcPr>
          <w:p w:rsidR="00D301CA" w:rsidRPr="006F08A1" w:rsidRDefault="00D301CA" w:rsidP="00D245BA">
            <w:pPr>
              <w:pStyle w:val="Textpoznpodarou"/>
              <w:rPr>
                <w:lang w:eastAsia="en-US"/>
              </w:rPr>
            </w:pPr>
            <w:r w:rsidRPr="006F08A1">
              <w:rPr>
                <w:lang w:eastAsia="en-US"/>
              </w:rPr>
              <w:t>Graf č. 1</w:t>
            </w:r>
          </w:p>
        </w:tc>
        <w:tc>
          <w:tcPr>
            <w:tcW w:w="1965" w:type="pct"/>
          </w:tcPr>
          <w:p w:rsidR="00D301CA" w:rsidRPr="006F08A1" w:rsidRDefault="00D301CA" w:rsidP="00D245BA">
            <w:pPr>
              <w:pStyle w:val="Textpoznpodarou"/>
              <w:rPr>
                <w:lang w:eastAsia="en-US"/>
              </w:rPr>
            </w:pPr>
            <w:r w:rsidRPr="00D301CA">
              <w:rPr>
                <w:b/>
                <w:lang w:eastAsia="en-US"/>
              </w:rPr>
              <w:t xml:space="preserve">HDP </w:t>
            </w:r>
            <w:r w:rsidRPr="006F08A1">
              <w:rPr>
                <w:lang w:eastAsia="en-US"/>
              </w:rPr>
              <w:t>(stálé ceny, očištěno o sezónní a kalendářní vlivy, v %)</w:t>
            </w:r>
          </w:p>
        </w:tc>
        <w:tc>
          <w:tcPr>
            <w:tcW w:w="315" w:type="pct"/>
          </w:tcPr>
          <w:p w:rsidR="00D301CA" w:rsidRPr="0002540B" w:rsidRDefault="00D301CA" w:rsidP="00D245BA">
            <w:pPr>
              <w:pStyle w:val="Textpoznpodarou"/>
              <w:rPr>
                <w:lang w:eastAsia="en-US"/>
              </w:rPr>
            </w:pPr>
            <w:r w:rsidRPr="0002540B">
              <w:rPr>
                <w:lang w:eastAsia="en-US"/>
              </w:rPr>
              <w:t>Graf č. 2</w:t>
            </w:r>
          </w:p>
        </w:tc>
        <w:tc>
          <w:tcPr>
            <w:tcW w:w="2185" w:type="pct"/>
          </w:tcPr>
          <w:p w:rsidR="00D301CA" w:rsidRPr="00D301CA" w:rsidRDefault="00D301CA" w:rsidP="00D245BA">
            <w:pPr>
              <w:pStyle w:val="Textpoznpodarou"/>
              <w:rPr>
                <w:spacing w:val="-2"/>
                <w:lang w:eastAsia="en-US"/>
              </w:rPr>
            </w:pPr>
            <w:r w:rsidRPr="00D301CA">
              <w:rPr>
                <w:b/>
                <w:spacing w:val="-2"/>
                <w:lang w:eastAsia="en-US"/>
              </w:rPr>
              <w:t xml:space="preserve">HDP </w:t>
            </w:r>
            <w:r w:rsidRPr="00D301CA">
              <w:rPr>
                <w:spacing w:val="-2"/>
                <w:lang w:eastAsia="en-US"/>
              </w:rPr>
              <w:t xml:space="preserve">(stálé ceny, očištěno o sezónní a kalendářní vlivy, y/y v %, pravá osa) </w:t>
            </w:r>
            <w:r w:rsidRPr="00D301CA">
              <w:rPr>
                <w:b/>
                <w:spacing w:val="-2"/>
                <w:lang w:eastAsia="en-US"/>
              </w:rPr>
              <w:t>a indikátory důvěry</w:t>
            </w:r>
            <w:r w:rsidRPr="00D301CA">
              <w:rPr>
                <w:spacing w:val="-2"/>
                <w:lang w:eastAsia="en-US"/>
              </w:rPr>
              <w:t xml:space="preserve"> (2005=100, levá osa)</w:t>
            </w:r>
          </w:p>
        </w:tc>
      </w:tr>
      <w:tr w:rsidR="00D301CA" w:rsidRPr="0002540B" w:rsidTr="00D301CA">
        <w:tc>
          <w:tcPr>
            <w:tcW w:w="2501" w:type="pct"/>
            <w:gridSpan w:val="2"/>
          </w:tcPr>
          <w:p w:rsidR="00D301CA" w:rsidRPr="0002540B" w:rsidRDefault="00A17754" w:rsidP="00D301CA">
            <w:pPr>
              <w:pStyle w:val="Textpoznpodarou"/>
              <w:jc w:val="both"/>
              <w:rPr>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87.5pt;visibility:visible;mso-wrap-style:square">
                  <v:imagedata r:id="rId12" o:title=""/>
                </v:shape>
              </w:pict>
            </w:r>
          </w:p>
        </w:tc>
        <w:tc>
          <w:tcPr>
            <w:tcW w:w="2499" w:type="pct"/>
            <w:gridSpan w:val="2"/>
          </w:tcPr>
          <w:p w:rsidR="00D301CA" w:rsidRPr="0002540B" w:rsidRDefault="00A17754" w:rsidP="00D301CA">
            <w:pPr>
              <w:pStyle w:val="Textpoznpodarou"/>
              <w:jc w:val="both"/>
              <w:rPr>
                <w:lang w:eastAsia="en-US"/>
              </w:rPr>
            </w:pPr>
            <w:r>
              <w:rPr>
                <w:noProof/>
              </w:rPr>
              <w:pict>
                <v:shape id="obrázek 3" o:spid="_x0000_i1026" type="#_x0000_t75" style="width:237pt;height:187.5pt;visibility:visible;mso-wrap-style:square">
                  <v:imagedata r:id="rId13" o:title=""/>
                </v:shape>
              </w:pict>
            </w:r>
          </w:p>
        </w:tc>
      </w:tr>
      <w:tr w:rsidR="00D301CA" w:rsidRPr="0002540B" w:rsidTr="00D301CA">
        <w:tc>
          <w:tcPr>
            <w:tcW w:w="5000" w:type="pct"/>
            <w:gridSpan w:val="4"/>
          </w:tcPr>
          <w:p w:rsidR="00D301CA" w:rsidRPr="00D301CA" w:rsidRDefault="00D301CA" w:rsidP="00D301CA">
            <w:pPr>
              <w:pStyle w:val="Textpoznpodarou"/>
              <w:jc w:val="right"/>
              <w:rPr>
                <w:sz w:val="18"/>
                <w:szCs w:val="18"/>
                <w:lang w:eastAsia="en-US"/>
              </w:rPr>
            </w:pPr>
            <w:r w:rsidRPr="00D301CA">
              <w:rPr>
                <w:sz w:val="18"/>
                <w:szCs w:val="18"/>
                <w:lang w:eastAsia="en-US"/>
              </w:rPr>
              <w:t xml:space="preserve">Zdroj: ČSÚ, </w:t>
            </w:r>
            <w:proofErr w:type="spellStart"/>
            <w:r w:rsidRPr="00D301CA">
              <w:rPr>
                <w:sz w:val="18"/>
                <w:szCs w:val="18"/>
                <w:lang w:eastAsia="en-US"/>
              </w:rPr>
              <w:t>Eurostat</w:t>
            </w:r>
            <w:proofErr w:type="spellEnd"/>
          </w:p>
        </w:tc>
      </w:tr>
    </w:tbl>
    <w:p w:rsidR="00D301CA" w:rsidRPr="008A4EE8" w:rsidRDefault="00D301CA" w:rsidP="00D301CA">
      <w:pPr>
        <w:rPr>
          <w:sz w:val="18"/>
          <w:szCs w:val="18"/>
          <w:lang w:eastAsia="ar-SA"/>
        </w:rPr>
      </w:pPr>
    </w:p>
    <w:tbl>
      <w:tblPr>
        <w:tblW w:w="5000" w:type="pct"/>
        <w:tblLook w:val="04A0"/>
      </w:tblPr>
      <w:tblGrid>
        <w:gridCol w:w="630"/>
        <w:gridCol w:w="4288"/>
        <w:gridCol w:w="1008"/>
        <w:gridCol w:w="1395"/>
        <w:gridCol w:w="2533"/>
      </w:tblGrid>
      <w:tr w:rsidR="00D301CA" w:rsidRPr="0002540B" w:rsidTr="00D301CA">
        <w:tc>
          <w:tcPr>
            <w:tcW w:w="319" w:type="pct"/>
          </w:tcPr>
          <w:p w:rsidR="00D301CA" w:rsidRPr="0002540B" w:rsidRDefault="00D301CA" w:rsidP="00D245BA">
            <w:pPr>
              <w:pStyle w:val="Textpoznpodarou"/>
              <w:rPr>
                <w:lang w:eastAsia="en-US"/>
              </w:rPr>
            </w:pPr>
            <w:r w:rsidRPr="0002540B">
              <w:rPr>
                <w:lang w:eastAsia="en-US"/>
              </w:rPr>
              <w:t>Graf č. 3</w:t>
            </w:r>
          </w:p>
        </w:tc>
        <w:tc>
          <w:tcPr>
            <w:tcW w:w="2178" w:type="pct"/>
          </w:tcPr>
          <w:p w:rsidR="00D301CA" w:rsidRPr="00D301CA" w:rsidRDefault="00D301CA" w:rsidP="00D245BA">
            <w:pPr>
              <w:pStyle w:val="Textpoznpodarou"/>
              <w:rPr>
                <w:spacing w:val="-6"/>
                <w:lang w:eastAsia="en-US"/>
              </w:rPr>
            </w:pPr>
            <w:r w:rsidRPr="00D301CA">
              <w:rPr>
                <w:b/>
                <w:spacing w:val="-6"/>
                <w:lang w:eastAsia="en-US"/>
              </w:rPr>
              <w:t>Příspěvky výdajových složek ke změně HDP*</w:t>
            </w:r>
            <w:r w:rsidRPr="00D301CA">
              <w:rPr>
                <w:spacing w:val="-6"/>
                <w:lang w:eastAsia="en-US"/>
              </w:rPr>
              <w:t xml:space="preserve"> (stálé ceny, y/y, příspěvky v </w:t>
            </w:r>
            <w:proofErr w:type="spellStart"/>
            <w:r w:rsidRPr="00D301CA">
              <w:rPr>
                <w:spacing w:val="-6"/>
                <w:lang w:eastAsia="en-US"/>
              </w:rPr>
              <w:t>pb</w:t>
            </w:r>
            <w:proofErr w:type="spellEnd"/>
            <w:r w:rsidRPr="00D301CA">
              <w:rPr>
                <w:spacing w:val="-6"/>
                <w:lang w:eastAsia="en-US"/>
              </w:rPr>
              <w:t>., HDP v %)</w:t>
            </w:r>
          </w:p>
        </w:tc>
        <w:tc>
          <w:tcPr>
            <w:tcW w:w="511" w:type="pct"/>
          </w:tcPr>
          <w:p w:rsidR="00D301CA" w:rsidRPr="0002540B" w:rsidRDefault="00D301CA" w:rsidP="00D245BA">
            <w:pPr>
              <w:pStyle w:val="Textpoznpodarou"/>
              <w:rPr>
                <w:lang w:eastAsia="en-US"/>
              </w:rPr>
            </w:pPr>
            <w:r w:rsidRPr="0002540B">
              <w:rPr>
                <w:lang w:eastAsia="en-US"/>
              </w:rPr>
              <w:t>Graf č. 4</w:t>
            </w:r>
          </w:p>
        </w:tc>
        <w:tc>
          <w:tcPr>
            <w:tcW w:w="1992" w:type="pct"/>
            <w:gridSpan w:val="2"/>
          </w:tcPr>
          <w:p w:rsidR="00D301CA" w:rsidRPr="0002540B" w:rsidRDefault="00D301CA" w:rsidP="00D245BA">
            <w:pPr>
              <w:pStyle w:val="Textpoznpodarou"/>
              <w:rPr>
                <w:lang w:eastAsia="en-US"/>
              </w:rPr>
            </w:pPr>
            <w:r w:rsidRPr="00D301CA">
              <w:rPr>
                <w:b/>
                <w:lang w:eastAsia="en-US"/>
              </w:rPr>
              <w:t>Příspěvky odvětví ke změně HPH</w:t>
            </w:r>
            <w:r w:rsidRPr="0002540B">
              <w:rPr>
                <w:lang w:eastAsia="en-US"/>
              </w:rPr>
              <w:t xml:space="preserve"> (stálé ceny, y/y, příspěvky v </w:t>
            </w:r>
            <w:proofErr w:type="spellStart"/>
            <w:r w:rsidRPr="0002540B">
              <w:rPr>
                <w:lang w:eastAsia="en-US"/>
              </w:rPr>
              <w:t>pb</w:t>
            </w:r>
            <w:proofErr w:type="spellEnd"/>
            <w:r w:rsidRPr="0002540B">
              <w:rPr>
                <w:lang w:eastAsia="en-US"/>
              </w:rPr>
              <w:t>., HPH v %)</w:t>
            </w:r>
          </w:p>
        </w:tc>
      </w:tr>
      <w:tr w:rsidR="00D301CA" w:rsidRPr="0002540B" w:rsidTr="00D301CA">
        <w:tc>
          <w:tcPr>
            <w:tcW w:w="2497" w:type="pct"/>
            <w:gridSpan w:val="2"/>
          </w:tcPr>
          <w:p w:rsidR="00D301CA" w:rsidRPr="00D301CA" w:rsidRDefault="00A17754" w:rsidP="00D301CA">
            <w:pPr>
              <w:pStyle w:val="Textpoznpodarou"/>
              <w:jc w:val="both"/>
              <w:rPr>
                <w:sz w:val="22"/>
                <w:lang w:eastAsia="en-US"/>
              </w:rPr>
            </w:pPr>
            <w:r w:rsidRPr="00A17754">
              <w:rPr>
                <w:noProof/>
                <w:sz w:val="22"/>
              </w:rPr>
              <w:pict>
                <v:shape id="obrázek 2" o:spid="_x0000_i1027" type="#_x0000_t75" style="width:237pt;height:187.5pt;visibility:visible;mso-wrap-style:square">
                  <v:imagedata r:id="rId14" o:title=""/>
                </v:shape>
              </w:pict>
            </w:r>
          </w:p>
        </w:tc>
        <w:tc>
          <w:tcPr>
            <w:tcW w:w="2503" w:type="pct"/>
            <w:gridSpan w:val="3"/>
          </w:tcPr>
          <w:p w:rsidR="00D301CA" w:rsidRPr="00D301CA" w:rsidRDefault="00A17754" w:rsidP="00D301CA">
            <w:pPr>
              <w:pStyle w:val="Textpoznpodarou"/>
              <w:jc w:val="both"/>
              <w:rPr>
                <w:sz w:val="22"/>
                <w:lang w:eastAsia="en-US"/>
              </w:rPr>
            </w:pPr>
            <w:r w:rsidRPr="00A17754">
              <w:rPr>
                <w:noProof/>
                <w:sz w:val="22"/>
              </w:rPr>
              <w:pict>
                <v:shape id="obrázek 5" o:spid="_x0000_i1028" type="#_x0000_t75" style="width:237.75pt;height:187.5pt;visibility:visible;mso-wrap-style:square">
                  <v:imagedata r:id="rId15" o:title=""/>
                </v:shape>
              </w:pict>
            </w:r>
          </w:p>
        </w:tc>
      </w:tr>
      <w:tr w:rsidR="00D301CA" w:rsidRPr="0002540B" w:rsidTr="00D301CA">
        <w:tc>
          <w:tcPr>
            <w:tcW w:w="3715" w:type="pct"/>
            <w:gridSpan w:val="4"/>
          </w:tcPr>
          <w:p w:rsidR="00D301CA" w:rsidRPr="00D301CA" w:rsidRDefault="00D301CA" w:rsidP="00D245BA">
            <w:pPr>
              <w:pStyle w:val="Textpoznpodarou"/>
              <w:rPr>
                <w:sz w:val="18"/>
                <w:szCs w:val="18"/>
                <w:lang w:eastAsia="en-US"/>
              </w:rPr>
            </w:pPr>
            <w:r w:rsidRPr="00D301CA">
              <w:rPr>
                <w:sz w:val="18"/>
                <w:szCs w:val="18"/>
                <w:lang w:eastAsia="en-US"/>
              </w:rPr>
              <w:t>*příspěvky ke změně HDP bez vyloučení dovozu pro konečné užití</w:t>
            </w:r>
          </w:p>
        </w:tc>
        <w:tc>
          <w:tcPr>
            <w:tcW w:w="1285" w:type="pct"/>
          </w:tcPr>
          <w:p w:rsidR="00D301CA" w:rsidRPr="00D301CA" w:rsidRDefault="00D301CA" w:rsidP="00D301CA">
            <w:pPr>
              <w:pStyle w:val="Textpoznpodarou"/>
              <w:jc w:val="right"/>
              <w:rPr>
                <w:sz w:val="18"/>
                <w:szCs w:val="18"/>
                <w:lang w:eastAsia="en-US"/>
              </w:rPr>
            </w:pPr>
            <w:r w:rsidRPr="00D301CA">
              <w:rPr>
                <w:sz w:val="18"/>
                <w:szCs w:val="18"/>
                <w:lang w:eastAsia="en-US"/>
              </w:rPr>
              <w:t>Zdroj: ČSÚ</w:t>
            </w:r>
          </w:p>
        </w:tc>
      </w:tr>
    </w:tbl>
    <w:p w:rsidR="00D301CA" w:rsidRDefault="00D301CA" w:rsidP="00D301CA">
      <w:pPr>
        <w:rPr>
          <w:lang w:eastAsia="ar-SA"/>
        </w:rPr>
      </w:pPr>
    </w:p>
    <w:p w:rsidR="00576A3E" w:rsidRPr="00F4591F" w:rsidRDefault="00576A3E" w:rsidP="00FC3C84">
      <w:pPr>
        <w:pStyle w:val="Nadpis1"/>
        <w:numPr>
          <w:ilvl w:val="0"/>
          <w:numId w:val="3"/>
        </w:numPr>
        <w:jc w:val="both"/>
      </w:pPr>
      <w:bookmarkStart w:id="5" w:name="_Toc430335384"/>
      <w:r>
        <w:lastRenderedPageBreak/>
        <w:t>Výkonnost odvětví</w:t>
      </w:r>
      <w:bookmarkEnd w:id="5"/>
    </w:p>
    <w:tbl>
      <w:tblPr>
        <w:tblW w:w="5000" w:type="pct"/>
        <w:tblCellMar>
          <w:left w:w="28" w:type="dxa"/>
          <w:right w:w="28" w:type="dxa"/>
        </w:tblCellMar>
        <w:tblLook w:val="04A0"/>
      </w:tblPr>
      <w:tblGrid>
        <w:gridCol w:w="2115"/>
        <w:gridCol w:w="283"/>
        <w:gridCol w:w="7296"/>
      </w:tblGrid>
      <w:tr w:rsidR="00DC3790" w:rsidTr="00DC3790">
        <w:tc>
          <w:tcPr>
            <w:tcW w:w="1091" w:type="pct"/>
          </w:tcPr>
          <w:p w:rsidR="00DC3790" w:rsidRDefault="00DC3790" w:rsidP="00DC3790">
            <w:pPr>
              <w:spacing w:line="240" w:lineRule="auto"/>
              <w:rPr>
                <w:color w:val="0D0D0D" w:themeColor="text1" w:themeTint="F2"/>
                <w:sz w:val="16"/>
                <w:szCs w:val="16"/>
              </w:rPr>
            </w:pPr>
            <w:r w:rsidRPr="00D340F6">
              <w:rPr>
                <w:color w:val="0D0D0D" w:themeColor="text1" w:themeTint="F2"/>
                <w:sz w:val="16"/>
                <w:szCs w:val="16"/>
              </w:rPr>
              <w:t>Dynamika HPH zrychlila meziročně na nejvyšší úroveň od vrcholu konjunktury</w:t>
            </w:r>
          </w:p>
          <w:p w:rsidR="00DC3790" w:rsidRDefault="00DC3790" w:rsidP="00DC3790">
            <w:pPr>
              <w:spacing w:line="240" w:lineRule="auto"/>
              <w:rPr>
                <w:color w:val="0D0D0D" w:themeColor="text1" w:themeTint="F2"/>
                <w:sz w:val="16"/>
                <w:szCs w:val="16"/>
              </w:rPr>
            </w:pPr>
          </w:p>
          <w:p w:rsidR="00DC3790" w:rsidRDefault="00DC3790" w:rsidP="00DC3790">
            <w:pPr>
              <w:spacing w:line="240" w:lineRule="auto"/>
              <w:rPr>
                <w:color w:val="0D0D0D" w:themeColor="text1" w:themeTint="F2"/>
                <w:sz w:val="16"/>
                <w:szCs w:val="16"/>
              </w:rPr>
            </w:pPr>
          </w:p>
          <w:p w:rsidR="00DC3790" w:rsidRPr="00D340F6" w:rsidRDefault="00DC3790" w:rsidP="00DC3790">
            <w:pPr>
              <w:spacing w:line="240" w:lineRule="auto"/>
              <w:rPr>
                <w:color w:val="0D0D0D" w:themeColor="text1" w:themeTint="F2"/>
                <w:sz w:val="16"/>
                <w:szCs w:val="16"/>
              </w:rPr>
            </w:pPr>
            <w:r>
              <w:rPr>
                <w:color w:val="0D0D0D" w:themeColor="text1" w:themeTint="F2"/>
                <w:sz w:val="16"/>
                <w:szCs w:val="16"/>
              </w:rPr>
              <w:t>Růst přidané hodnoty v ČR nadále táhne zejména zpracovatelský průmysl, v celé EU seskupení odvětví o</w:t>
            </w:r>
            <w:r w:rsidRPr="00F5731D">
              <w:rPr>
                <w:color w:val="0D0D0D" w:themeColor="text1" w:themeTint="F2"/>
                <w:sz w:val="16"/>
                <w:szCs w:val="16"/>
              </w:rPr>
              <w:t>bchod, doprava, ubytování a pohostinství</w:t>
            </w:r>
          </w:p>
        </w:tc>
        <w:tc>
          <w:tcPr>
            <w:tcW w:w="146" w:type="pct"/>
          </w:tcPr>
          <w:p w:rsidR="00DC3790" w:rsidRDefault="00DC3790" w:rsidP="00DC3790">
            <w:pPr>
              <w:pStyle w:val="Textpoznpodarou"/>
              <w:jc w:val="both"/>
            </w:pPr>
          </w:p>
        </w:tc>
        <w:tc>
          <w:tcPr>
            <w:tcW w:w="3763" w:type="pct"/>
          </w:tcPr>
          <w:p w:rsidR="00DC3790" w:rsidRPr="00AC6CFE" w:rsidRDefault="00DC3790" w:rsidP="00DC3790">
            <w:pPr>
              <w:pStyle w:val="Textpoznpodarou"/>
              <w:jc w:val="both"/>
              <w:rPr>
                <w:spacing w:val="-4"/>
              </w:rPr>
            </w:pPr>
            <w:r w:rsidRPr="00F55605">
              <w:rPr>
                <w:color w:val="0D0D0D" w:themeColor="text1" w:themeTint="F2"/>
                <w:spacing w:val="-4"/>
              </w:rPr>
              <w:t>B</w:t>
            </w:r>
            <w:r w:rsidRPr="00C44C26">
              <w:rPr>
                <w:color w:val="0D0D0D" w:themeColor="text1" w:themeTint="F2"/>
                <w:spacing w:val="-4"/>
              </w:rPr>
              <w:t>ěhem 1. pololetí 2015</w:t>
            </w:r>
            <w:r>
              <w:rPr>
                <w:color w:val="0D0D0D" w:themeColor="text1" w:themeTint="F2"/>
                <w:spacing w:val="-4"/>
              </w:rPr>
              <w:t xml:space="preserve"> se potvrdilo, že oživování tuzemské ekonomiky má stále pevnější základy. Sezónně očištěná hrubá přidaná hodnota (HPH) pokračovala v </w:t>
            </w:r>
            <w:proofErr w:type="spellStart"/>
            <w:r>
              <w:rPr>
                <w:color w:val="0D0D0D" w:themeColor="text1" w:themeTint="F2"/>
                <w:spacing w:val="-4"/>
              </w:rPr>
              <w:t>mezikvartálním</w:t>
            </w:r>
            <w:proofErr w:type="spellEnd"/>
            <w:r>
              <w:rPr>
                <w:color w:val="0D0D0D" w:themeColor="text1" w:themeTint="F2"/>
                <w:spacing w:val="-4"/>
              </w:rPr>
              <w:t xml:space="preserve"> růstu již podeváté v řadě. Meziroční dynamika HPH zrychlovala nepřetržitě od poloviny roku 2013. Zatímco na sklonku loňského roku a v 1. letošním čtvrtletí se HPH shodně zvyšovala o 3,4 %, ve 2. čtvrtletí 2015 již o 3,8 % (nejrychlejší tempo od první poloviny roku 2008).</w:t>
            </w:r>
            <w:r>
              <w:rPr>
                <w:spacing w:val="-4"/>
              </w:rPr>
              <w:t xml:space="preserve"> Za zrychlováním dynamiky HPH stál jak stále sílící zpracovatelský průmysl (v obou letošních čtvrtletích přispěl k přidané hodnotě v celé ekonomice podobným dílem – bezmála polovinou), tak i rovnoměrné rozložení meziročního růstu HPH do ostatních odvětví (v obou letošních čtvrtletích zaznamenalo příznivý vývoj všech deset hlavních odvětvových uskupení, což neplatilo ani v době vrcholící konjunktury). </w:t>
            </w:r>
          </w:p>
          <w:p w:rsidR="00DC3790" w:rsidRPr="006D142E" w:rsidRDefault="00DC3790" w:rsidP="00DC3790">
            <w:pPr>
              <w:pStyle w:val="Textpoznpodarou"/>
              <w:jc w:val="both"/>
              <w:rPr>
                <w:spacing w:val="-4"/>
                <w:sz w:val="16"/>
                <w:szCs w:val="16"/>
              </w:rPr>
            </w:pPr>
          </w:p>
        </w:tc>
      </w:tr>
      <w:tr w:rsidR="00DC3790" w:rsidTr="00DC3790">
        <w:tc>
          <w:tcPr>
            <w:tcW w:w="1091" w:type="pct"/>
          </w:tcPr>
          <w:p w:rsidR="00DC3790" w:rsidRPr="000A4ACC" w:rsidRDefault="00DC3790" w:rsidP="00DC3790">
            <w:pPr>
              <w:spacing w:line="240" w:lineRule="auto"/>
              <w:rPr>
                <w:spacing w:val="-2"/>
                <w:sz w:val="16"/>
                <w:szCs w:val="16"/>
              </w:rPr>
            </w:pPr>
            <w:r>
              <w:rPr>
                <w:spacing w:val="-2"/>
                <w:sz w:val="16"/>
                <w:szCs w:val="16"/>
              </w:rPr>
              <w:t xml:space="preserve">Obnovení důvěry v ekonomiku i nepolevující příliv zakázek v klíčových odvětvích vedly v 1. polovině roku k nejrychlejšímu meziročnímu růstu počtu pracovníků v celé ekonomice po roce 2008 </w:t>
            </w:r>
          </w:p>
        </w:tc>
        <w:tc>
          <w:tcPr>
            <w:tcW w:w="146" w:type="pct"/>
          </w:tcPr>
          <w:p w:rsidR="00DC3790" w:rsidRDefault="00DC3790" w:rsidP="00DC3790">
            <w:pPr>
              <w:pStyle w:val="Textpoznpodarou"/>
              <w:jc w:val="both"/>
            </w:pPr>
          </w:p>
        </w:tc>
        <w:tc>
          <w:tcPr>
            <w:tcW w:w="3763" w:type="pct"/>
          </w:tcPr>
          <w:p w:rsidR="00DC3790" w:rsidRDefault="00DC3790" w:rsidP="00DC3790">
            <w:pPr>
              <w:pStyle w:val="Textpoznpodarou"/>
              <w:jc w:val="both"/>
              <w:rPr>
                <w:spacing w:val="-4"/>
              </w:rPr>
            </w:pPr>
            <w:r>
              <w:rPr>
                <w:spacing w:val="-4"/>
              </w:rPr>
              <w:t>Přidaná hodnota v převážně exportně orientovaném zpracovatelském průmyslu za celé 1. pololetí meziročně sílila o 6,4 % (v 2. čtvrtletí dokonce o 7 %)</w:t>
            </w:r>
            <w:r w:rsidR="00F55605">
              <w:rPr>
                <w:spacing w:val="-4"/>
              </w:rPr>
              <w:t>,</w:t>
            </w:r>
            <w:r>
              <w:rPr>
                <w:spacing w:val="-4"/>
              </w:rPr>
              <w:t xml:space="preserve"> a tedy rostla (podobně jako v předchozím roce) téměř dvojnásobným tempem jako v celé ekonomice. Přetrvávající vysoká poptávka v zahraničí i tuzemsku se v průmyslu postupně promítá i do počtu zaměstnanců (v 1.</w:t>
            </w:r>
            <w:r w:rsidR="00F55605">
              <w:rPr>
                <w:spacing w:val="-4"/>
              </w:rPr>
              <w:t xml:space="preserve"> </w:t>
            </w:r>
            <w:r>
              <w:rPr>
                <w:spacing w:val="-4"/>
              </w:rPr>
              <w:t>i 2.</w:t>
            </w:r>
            <w:r w:rsidR="00F55605">
              <w:rPr>
                <w:spacing w:val="-4"/>
              </w:rPr>
              <w:t xml:space="preserve"> </w:t>
            </w:r>
            <w:r>
              <w:rPr>
                <w:spacing w:val="-4"/>
              </w:rPr>
              <w:t>čtvrtletí meziročn</w:t>
            </w:r>
            <w:r w:rsidR="00F55605">
              <w:rPr>
                <w:spacing w:val="-4"/>
              </w:rPr>
              <w:t xml:space="preserve">ě +2,7 %), když podniky patrně </w:t>
            </w:r>
            <w:r>
              <w:rPr>
                <w:spacing w:val="-4"/>
              </w:rPr>
              <w:t>začaly ve větší m</w:t>
            </w:r>
            <w:r w:rsidR="003736B5">
              <w:rPr>
                <w:spacing w:val="-4"/>
              </w:rPr>
              <w:t>í</w:t>
            </w:r>
            <w:r>
              <w:rPr>
                <w:spacing w:val="-4"/>
              </w:rPr>
              <w:t xml:space="preserve">ře převádět agenturní pracovníky (kteří jim vykrývali výkyvy v poptávce v „nejistých časech“) mezi své kmenové zaměstnance. </w:t>
            </w:r>
          </w:p>
          <w:p w:rsidR="00DC3790" w:rsidRPr="006D142E" w:rsidRDefault="00DC3790" w:rsidP="00DC3790">
            <w:pPr>
              <w:pStyle w:val="Textpoznpodarou"/>
              <w:jc w:val="both"/>
              <w:rPr>
                <w:spacing w:val="-4"/>
                <w:sz w:val="16"/>
                <w:szCs w:val="16"/>
              </w:rPr>
            </w:pPr>
          </w:p>
        </w:tc>
      </w:tr>
      <w:tr w:rsidR="00DC3790" w:rsidTr="00DC3790">
        <w:tc>
          <w:tcPr>
            <w:tcW w:w="1091" w:type="pct"/>
          </w:tcPr>
          <w:p w:rsidR="00DC3790" w:rsidRPr="00DA1318" w:rsidRDefault="00DC3790" w:rsidP="00DC3790">
            <w:pPr>
              <w:spacing w:line="240" w:lineRule="auto"/>
              <w:rPr>
                <w:sz w:val="16"/>
                <w:szCs w:val="16"/>
              </w:rPr>
            </w:pPr>
            <w:r>
              <w:rPr>
                <w:sz w:val="16"/>
                <w:szCs w:val="16"/>
              </w:rPr>
              <w:t xml:space="preserve">Vleklý pokles zaměstnanců ve stavebnictví se dle pojetí národních účtů ve 2. čtvrtletí zastavil, úbytek </w:t>
            </w:r>
            <w:proofErr w:type="spellStart"/>
            <w:r>
              <w:rPr>
                <w:sz w:val="16"/>
                <w:szCs w:val="16"/>
              </w:rPr>
              <w:t>sebezaměst</w:t>
            </w:r>
            <w:proofErr w:type="spellEnd"/>
            <w:r>
              <w:rPr>
                <w:sz w:val="16"/>
                <w:szCs w:val="16"/>
              </w:rPr>
              <w:t>-</w:t>
            </w:r>
            <w:proofErr w:type="spellStart"/>
            <w:r>
              <w:rPr>
                <w:sz w:val="16"/>
                <w:szCs w:val="16"/>
              </w:rPr>
              <w:t>naných</w:t>
            </w:r>
            <w:proofErr w:type="spellEnd"/>
            <w:r>
              <w:rPr>
                <w:sz w:val="16"/>
                <w:szCs w:val="16"/>
              </w:rPr>
              <w:t xml:space="preserve"> se naopak prohloubil</w:t>
            </w:r>
          </w:p>
        </w:tc>
        <w:tc>
          <w:tcPr>
            <w:tcW w:w="146" w:type="pct"/>
          </w:tcPr>
          <w:p w:rsidR="00DC3790" w:rsidRDefault="00DC3790" w:rsidP="00DC3790">
            <w:pPr>
              <w:pStyle w:val="Textpoznpodarou"/>
              <w:jc w:val="both"/>
              <w:rPr>
                <w:spacing w:val="-2"/>
              </w:rPr>
            </w:pPr>
          </w:p>
        </w:tc>
        <w:tc>
          <w:tcPr>
            <w:tcW w:w="3763" w:type="pct"/>
          </w:tcPr>
          <w:p w:rsidR="00DC3790" w:rsidRPr="00AC6CFE" w:rsidRDefault="00DC3790" w:rsidP="00DC3790">
            <w:pPr>
              <w:pStyle w:val="Textpoznpodarou"/>
              <w:jc w:val="both"/>
              <w:rPr>
                <w:spacing w:val="-4"/>
              </w:rPr>
            </w:pPr>
            <w:r>
              <w:rPr>
                <w:spacing w:val="-4"/>
              </w:rPr>
              <w:t>Dařilo se i stavebnictví, byť dynamika jeho HPH byla v</w:t>
            </w:r>
            <w:r w:rsidR="00F55605">
              <w:rPr>
                <w:spacing w:val="-4"/>
              </w:rPr>
              <w:t> </w:t>
            </w:r>
            <w:r>
              <w:rPr>
                <w:spacing w:val="-4"/>
              </w:rPr>
              <w:t>1</w:t>
            </w:r>
            <w:r w:rsidR="00F55605">
              <w:rPr>
                <w:spacing w:val="-4"/>
              </w:rPr>
              <w:t xml:space="preserve">. </w:t>
            </w:r>
            <w:r>
              <w:rPr>
                <w:spacing w:val="-4"/>
              </w:rPr>
              <w:t xml:space="preserve">pololetí 2015 (+1,8 %) oproti prudkému loňskému oživení poloviční. Poprvé od konce roku 2009 se zastavil meziroční pokles stavu zaměstnanců (v pojetí národních účtů), počet jimi odpracovaných hodin (2,5 %) rostl ve 2. čtvrtletí nejvíce za posledních pět let. </w:t>
            </w:r>
          </w:p>
          <w:p w:rsidR="00DC3790" w:rsidRPr="006D142E" w:rsidRDefault="00DC3790" w:rsidP="00DC3790">
            <w:pPr>
              <w:pStyle w:val="Textpoznpodarou"/>
              <w:jc w:val="both"/>
              <w:rPr>
                <w:spacing w:val="-4"/>
                <w:sz w:val="16"/>
                <w:szCs w:val="16"/>
              </w:rPr>
            </w:pPr>
          </w:p>
        </w:tc>
      </w:tr>
      <w:tr w:rsidR="00DC3790" w:rsidTr="00DC3790">
        <w:tc>
          <w:tcPr>
            <w:tcW w:w="1091" w:type="pct"/>
          </w:tcPr>
          <w:p w:rsidR="00DC3790" w:rsidRPr="00903634" w:rsidRDefault="00DC3790" w:rsidP="00DC3790">
            <w:pPr>
              <w:spacing w:line="240" w:lineRule="auto"/>
              <w:rPr>
                <w:spacing w:val="-2"/>
                <w:sz w:val="16"/>
                <w:szCs w:val="16"/>
              </w:rPr>
            </w:pPr>
            <w:r>
              <w:rPr>
                <w:spacing w:val="-2"/>
                <w:sz w:val="16"/>
                <w:szCs w:val="16"/>
              </w:rPr>
              <w:t xml:space="preserve">V seskupení </w:t>
            </w:r>
            <w:r w:rsidRPr="00903634">
              <w:rPr>
                <w:spacing w:val="-2"/>
                <w:sz w:val="16"/>
                <w:szCs w:val="16"/>
              </w:rPr>
              <w:t>odvětví obchod, doprava, ubytov</w:t>
            </w:r>
            <w:r>
              <w:rPr>
                <w:spacing w:val="-2"/>
                <w:sz w:val="16"/>
                <w:szCs w:val="16"/>
              </w:rPr>
              <w:t xml:space="preserve">ání </w:t>
            </w:r>
            <w:r w:rsidRPr="00903634">
              <w:rPr>
                <w:spacing w:val="-2"/>
                <w:sz w:val="16"/>
                <w:szCs w:val="16"/>
              </w:rPr>
              <w:t>a pohostinství</w:t>
            </w:r>
            <w:r>
              <w:rPr>
                <w:spacing w:val="-2"/>
                <w:sz w:val="16"/>
                <w:szCs w:val="16"/>
              </w:rPr>
              <w:t xml:space="preserve"> – nejvyšší růst HPH i zaměstnanosti za posledních pět, resp. šest let</w:t>
            </w:r>
          </w:p>
          <w:p w:rsidR="00DC3790" w:rsidRDefault="00DC3790" w:rsidP="00DC3790">
            <w:pPr>
              <w:spacing w:line="240" w:lineRule="auto"/>
              <w:rPr>
                <w:sz w:val="16"/>
                <w:szCs w:val="16"/>
              </w:rPr>
            </w:pPr>
          </w:p>
          <w:p w:rsidR="00DC3790" w:rsidRDefault="00DC3790" w:rsidP="00DC3790">
            <w:pPr>
              <w:spacing w:line="240" w:lineRule="auto"/>
              <w:rPr>
                <w:sz w:val="16"/>
                <w:szCs w:val="16"/>
              </w:rPr>
            </w:pPr>
          </w:p>
          <w:p w:rsidR="00DC3790" w:rsidRDefault="00DC3790" w:rsidP="00DC3790">
            <w:pPr>
              <w:spacing w:line="240" w:lineRule="auto"/>
              <w:rPr>
                <w:sz w:val="16"/>
                <w:szCs w:val="16"/>
              </w:rPr>
            </w:pPr>
          </w:p>
          <w:p w:rsidR="00DC3790" w:rsidRDefault="00DC3790" w:rsidP="00DC3790">
            <w:pPr>
              <w:spacing w:line="240" w:lineRule="auto"/>
              <w:rPr>
                <w:sz w:val="16"/>
                <w:szCs w:val="16"/>
              </w:rPr>
            </w:pPr>
          </w:p>
          <w:p w:rsidR="00DC3790" w:rsidRDefault="00DC3790" w:rsidP="00DC3790">
            <w:pPr>
              <w:spacing w:line="240" w:lineRule="auto"/>
              <w:rPr>
                <w:sz w:val="16"/>
                <w:szCs w:val="16"/>
              </w:rPr>
            </w:pPr>
            <w:r>
              <w:rPr>
                <w:sz w:val="16"/>
                <w:szCs w:val="16"/>
              </w:rPr>
              <w:t xml:space="preserve">Přetrvává vysoká poptávka po informačních a komunikačních činnostech a také </w:t>
            </w:r>
            <w:r w:rsidRPr="00034E4E">
              <w:rPr>
                <w:sz w:val="16"/>
                <w:szCs w:val="16"/>
              </w:rPr>
              <w:t>profesních, vědeckých, technických a administrativních činnoste</w:t>
            </w:r>
            <w:r>
              <w:rPr>
                <w:sz w:val="16"/>
                <w:szCs w:val="16"/>
              </w:rPr>
              <w:t>ch</w:t>
            </w:r>
          </w:p>
          <w:p w:rsidR="00DC3790" w:rsidRPr="000F401E" w:rsidRDefault="00DC3790" w:rsidP="00DC3790">
            <w:pPr>
              <w:spacing w:line="240" w:lineRule="auto"/>
              <w:rPr>
                <w:sz w:val="16"/>
                <w:szCs w:val="16"/>
              </w:rPr>
            </w:pPr>
          </w:p>
        </w:tc>
        <w:tc>
          <w:tcPr>
            <w:tcW w:w="146" w:type="pct"/>
          </w:tcPr>
          <w:p w:rsidR="00DC3790" w:rsidRDefault="00DC3790" w:rsidP="00DC3790">
            <w:pPr>
              <w:pStyle w:val="Textpoznpodarou"/>
              <w:jc w:val="both"/>
              <w:rPr>
                <w:spacing w:val="-2"/>
              </w:rPr>
            </w:pPr>
          </w:p>
        </w:tc>
        <w:tc>
          <w:tcPr>
            <w:tcW w:w="3763" w:type="pct"/>
          </w:tcPr>
          <w:p w:rsidR="00DC3790" w:rsidRDefault="00DC3790" w:rsidP="00DC3790">
            <w:pPr>
              <w:pStyle w:val="Textpoznpodarou"/>
              <w:jc w:val="both"/>
              <w:rPr>
                <w:color w:val="0D0D0D" w:themeColor="text1" w:themeTint="F2"/>
                <w:spacing w:val="-4"/>
              </w:rPr>
            </w:pPr>
            <w:r w:rsidRPr="00733FE6">
              <w:rPr>
                <w:color w:val="0D0D0D" w:themeColor="text1" w:themeTint="F2"/>
                <w:spacing w:val="-4"/>
              </w:rPr>
              <w:t>Na úspěšný loňský rok navázalo i odvětví zemědělství, lesnictví a rybářství, což se odrazilo i</w:t>
            </w:r>
            <w:r>
              <w:rPr>
                <w:color w:val="0D0D0D" w:themeColor="text1" w:themeTint="F2"/>
                <w:spacing w:val="-4"/>
              </w:rPr>
              <w:t xml:space="preserve"> v mírném růstu zaměstnanosti</w:t>
            </w:r>
            <w:r w:rsidRPr="00733FE6">
              <w:rPr>
                <w:color w:val="0D0D0D" w:themeColor="text1" w:themeTint="F2"/>
                <w:spacing w:val="-4"/>
              </w:rPr>
              <w:t xml:space="preserve"> (</w:t>
            </w:r>
            <w:r>
              <w:rPr>
                <w:color w:val="0D0D0D" w:themeColor="text1" w:themeTint="F2"/>
                <w:spacing w:val="-4"/>
              </w:rPr>
              <w:t>na rozdíl od většiny ostatních odvětví šlo o pracovníky</w:t>
            </w:r>
            <w:r w:rsidRPr="00733FE6">
              <w:rPr>
                <w:color w:val="0D0D0D" w:themeColor="text1" w:themeTint="F2"/>
                <w:spacing w:val="-4"/>
              </w:rPr>
              <w:t xml:space="preserve"> mimo zaměstnanecký segment</w:t>
            </w:r>
            <w:r w:rsidRPr="00903634">
              <w:rPr>
                <w:color w:val="0D0D0D" w:themeColor="text1" w:themeTint="F2"/>
                <w:spacing w:val="-4"/>
              </w:rPr>
              <w:t>). Díky</w:t>
            </w:r>
            <w:r w:rsidRPr="0061469D">
              <w:rPr>
                <w:color w:val="0D0D0D" w:themeColor="text1" w:themeTint="F2"/>
                <w:spacing w:val="-4"/>
              </w:rPr>
              <w:t xml:space="preserve"> své váze i postupně sílící dynamice (1. pololetí +2,8 %) přispěly k růstu </w:t>
            </w:r>
            <w:r>
              <w:rPr>
                <w:color w:val="0D0D0D" w:themeColor="text1" w:themeTint="F2"/>
                <w:spacing w:val="-4"/>
              </w:rPr>
              <w:t>celkové HPH</w:t>
            </w:r>
            <w:r w:rsidRPr="0061469D">
              <w:rPr>
                <w:color w:val="0D0D0D" w:themeColor="text1" w:themeTint="F2"/>
                <w:spacing w:val="-4"/>
              </w:rPr>
              <w:t xml:space="preserve"> z terciární sféry v úhrnu nejvíce odvětví obchod, doprava, ubytování a pohostinství, které těžily z pozitivních nálad spotřebitelů i růstu příjezdů domácích i zahraničních hostů.</w:t>
            </w:r>
            <w:r>
              <w:rPr>
                <w:color w:val="0D0D0D" w:themeColor="text1" w:themeTint="F2"/>
                <w:spacing w:val="-4"/>
              </w:rPr>
              <w:t xml:space="preserve"> Ze služeb se však vedle informačních a komunikačních činností nejvíce dařilo dlouhodobě rostoucím </w:t>
            </w:r>
            <w:r w:rsidRPr="007E6983">
              <w:rPr>
                <w:color w:val="0D0D0D" w:themeColor="text1" w:themeTint="F2"/>
                <w:spacing w:val="-4"/>
              </w:rPr>
              <w:t xml:space="preserve">profesním, vědeckým, technickým a administrativním činnostem, </w:t>
            </w:r>
            <w:r>
              <w:rPr>
                <w:color w:val="0D0D0D" w:themeColor="text1" w:themeTint="F2"/>
                <w:spacing w:val="-4"/>
              </w:rPr>
              <w:t xml:space="preserve">a to </w:t>
            </w:r>
            <w:r w:rsidRPr="007E6983">
              <w:rPr>
                <w:color w:val="0D0D0D" w:themeColor="text1" w:themeTint="F2"/>
                <w:spacing w:val="-4"/>
              </w:rPr>
              <w:t xml:space="preserve">vlivem neustávající poptávky po agenturních pracovnících, ale i </w:t>
            </w:r>
            <w:r>
              <w:rPr>
                <w:color w:val="0D0D0D" w:themeColor="text1" w:themeTint="F2"/>
                <w:spacing w:val="-4"/>
              </w:rPr>
              <w:t xml:space="preserve">nedávném </w:t>
            </w:r>
            <w:r w:rsidR="00F55605">
              <w:rPr>
                <w:color w:val="0D0D0D" w:themeColor="text1" w:themeTint="F2"/>
                <w:spacing w:val="-4"/>
              </w:rPr>
              <w:t>oživení</w:t>
            </w:r>
            <w:r w:rsidRPr="007E6983">
              <w:rPr>
                <w:color w:val="0D0D0D" w:themeColor="text1" w:themeTint="F2"/>
                <w:spacing w:val="-4"/>
              </w:rPr>
              <w:t xml:space="preserve"> něk</w:t>
            </w:r>
            <w:r>
              <w:rPr>
                <w:color w:val="0D0D0D" w:themeColor="text1" w:themeTint="F2"/>
                <w:spacing w:val="-4"/>
              </w:rPr>
              <w:t>terých specializovaných oborů</w:t>
            </w:r>
            <w:r w:rsidRPr="007E6983">
              <w:rPr>
                <w:color w:val="0D0D0D" w:themeColor="text1" w:themeTint="F2"/>
                <w:spacing w:val="-4"/>
              </w:rPr>
              <w:t xml:space="preserve"> (architektonické a inženýrské činnosti).</w:t>
            </w:r>
            <w:r>
              <w:rPr>
                <w:color w:val="0D0D0D" w:themeColor="text1" w:themeTint="F2"/>
                <w:spacing w:val="-4"/>
              </w:rPr>
              <w:t xml:space="preserve"> Více než 5% růst HPH si v 1.</w:t>
            </w:r>
            <w:r w:rsidR="00F55605">
              <w:rPr>
                <w:color w:val="0D0D0D" w:themeColor="text1" w:themeTint="F2"/>
                <w:spacing w:val="-4"/>
              </w:rPr>
              <w:t xml:space="preserve"> pololetí připsal také finanční</w:t>
            </w:r>
            <w:r>
              <w:rPr>
                <w:color w:val="0D0D0D" w:themeColor="text1" w:themeTint="F2"/>
                <w:spacing w:val="-4"/>
              </w:rPr>
              <w:t xml:space="preserve"> sektor, s</w:t>
            </w:r>
            <w:r w:rsidRPr="00AA06F7">
              <w:rPr>
                <w:color w:val="0D0D0D" w:themeColor="text1" w:themeTint="F2"/>
                <w:spacing w:val="-4"/>
              </w:rPr>
              <w:t xml:space="preserve">ílící nákladové tlaky si zde však </w:t>
            </w:r>
            <w:r>
              <w:rPr>
                <w:color w:val="0D0D0D" w:themeColor="text1" w:themeTint="F2"/>
                <w:spacing w:val="-4"/>
              </w:rPr>
              <w:t xml:space="preserve">v posledních dvou letech </w:t>
            </w:r>
            <w:r w:rsidRPr="00AA06F7">
              <w:rPr>
                <w:color w:val="0D0D0D" w:themeColor="text1" w:themeTint="F2"/>
                <w:spacing w:val="-4"/>
              </w:rPr>
              <w:t>vybraly s</w:t>
            </w:r>
            <w:r>
              <w:rPr>
                <w:color w:val="0D0D0D" w:themeColor="text1" w:themeTint="F2"/>
                <w:spacing w:val="-4"/>
              </w:rPr>
              <w:t xml:space="preserve">vou daň v podobě nižšího počtu pracovníků. Podstatně skromněji vzrostla přidaná hodnota ve veřejných službách (2 %), přesto šlo o nejvyšší tempo po roce 2008. Přispěly k tomu pozvolna rostoucí zaměstnanost i plošné navýšení platových tarifů na konci </w:t>
            </w:r>
            <w:r w:rsidRPr="00903634">
              <w:rPr>
                <w:color w:val="0D0D0D" w:themeColor="text1" w:themeTint="F2"/>
                <w:spacing w:val="-4"/>
              </w:rPr>
              <w:t>roku</w:t>
            </w:r>
            <w:r>
              <w:rPr>
                <w:color w:val="0D0D0D" w:themeColor="text1" w:themeTint="F2"/>
                <w:spacing w:val="-4"/>
              </w:rPr>
              <w:t xml:space="preserve"> 2014.</w:t>
            </w:r>
          </w:p>
          <w:p w:rsidR="00DC3790" w:rsidRPr="00733FE6" w:rsidRDefault="00DC3790" w:rsidP="00DC3790">
            <w:pPr>
              <w:pStyle w:val="Textpoznpodarou"/>
              <w:jc w:val="both"/>
              <w:rPr>
                <w:color w:val="0D0D0D" w:themeColor="text1" w:themeTint="F2"/>
                <w:spacing w:val="-4"/>
                <w:sz w:val="16"/>
                <w:szCs w:val="16"/>
              </w:rPr>
            </w:pPr>
          </w:p>
        </w:tc>
      </w:tr>
      <w:tr w:rsidR="00DC3790" w:rsidTr="00DC3790">
        <w:trPr>
          <w:cantSplit/>
          <w:trHeight w:val="203"/>
        </w:trPr>
        <w:tc>
          <w:tcPr>
            <w:tcW w:w="1091" w:type="pct"/>
          </w:tcPr>
          <w:p w:rsidR="00DC3790" w:rsidRPr="00F3262E" w:rsidRDefault="00DC3790" w:rsidP="00DC3790">
            <w:pPr>
              <w:spacing w:line="240" w:lineRule="auto"/>
              <w:rPr>
                <w:color w:val="000000" w:themeColor="text1"/>
                <w:spacing w:val="-2"/>
                <w:sz w:val="16"/>
                <w:szCs w:val="16"/>
              </w:rPr>
            </w:pPr>
            <w:r w:rsidRPr="00F3262E">
              <w:rPr>
                <w:color w:val="000000" w:themeColor="text1"/>
                <w:spacing w:val="-2"/>
                <w:sz w:val="16"/>
                <w:szCs w:val="16"/>
              </w:rPr>
              <w:t>Průmysl, jehož produkce již na sklonku loňského roku překonala předkrizovou úroveň, si i během roku 2015 dosud udržuje vysoká loňská</w:t>
            </w:r>
          </w:p>
          <w:p w:rsidR="00DC3790" w:rsidRPr="00F3262E" w:rsidRDefault="00DC3790" w:rsidP="00DC3790">
            <w:pPr>
              <w:spacing w:line="240" w:lineRule="auto"/>
              <w:rPr>
                <w:color w:val="000000" w:themeColor="text1"/>
                <w:sz w:val="16"/>
                <w:szCs w:val="16"/>
              </w:rPr>
            </w:pPr>
            <w:r w:rsidRPr="00F3262E">
              <w:rPr>
                <w:color w:val="000000" w:themeColor="text1"/>
                <w:spacing w:val="-2"/>
                <w:sz w:val="16"/>
                <w:szCs w:val="16"/>
              </w:rPr>
              <w:t>růstová tempa</w:t>
            </w:r>
          </w:p>
        </w:tc>
        <w:tc>
          <w:tcPr>
            <w:tcW w:w="146" w:type="pct"/>
          </w:tcPr>
          <w:p w:rsidR="00DC3790" w:rsidRPr="00F3262E" w:rsidRDefault="00DC3790" w:rsidP="00DC3790">
            <w:pPr>
              <w:pStyle w:val="Textpoznpodarou"/>
              <w:jc w:val="both"/>
              <w:rPr>
                <w:color w:val="000000" w:themeColor="text1"/>
                <w:spacing w:val="-2"/>
              </w:rPr>
            </w:pPr>
          </w:p>
        </w:tc>
        <w:tc>
          <w:tcPr>
            <w:tcW w:w="3763" w:type="pct"/>
          </w:tcPr>
          <w:p w:rsidR="00DC3790" w:rsidRPr="00EC76CC" w:rsidRDefault="00DC3790" w:rsidP="00DC3790">
            <w:pPr>
              <w:pStyle w:val="Textpoznpodarou"/>
              <w:jc w:val="both"/>
              <w:rPr>
                <w:color w:val="000000" w:themeColor="text1"/>
                <w:spacing w:val="-4"/>
              </w:rPr>
            </w:pPr>
            <w:r w:rsidRPr="00EC76CC">
              <w:rPr>
                <w:color w:val="000000" w:themeColor="text1"/>
                <w:spacing w:val="-4"/>
              </w:rPr>
              <w:t>Výkon průmyslu</w:t>
            </w:r>
            <w:r w:rsidRPr="00EC76CC">
              <w:rPr>
                <w:color w:val="000000" w:themeColor="text1"/>
                <w:vertAlign w:val="superscript"/>
              </w:rPr>
              <w:footnoteReference w:id="7"/>
            </w:r>
            <w:r w:rsidRPr="00EC76CC">
              <w:rPr>
                <w:color w:val="000000" w:themeColor="text1"/>
                <w:spacing w:val="-4"/>
              </w:rPr>
              <w:t xml:space="preserve"> (dle indexu průmyslové produkce v reálném vyjádření) plně navázal na úspěšný předchozí rok, v 1. pololetí meziročně posílil </w:t>
            </w:r>
            <w:r w:rsidR="003736B5">
              <w:rPr>
                <w:color w:val="000000" w:themeColor="text1"/>
                <w:spacing w:val="-4"/>
              </w:rPr>
              <w:t>o 5</w:t>
            </w:r>
            <w:r w:rsidRPr="00EC76CC">
              <w:rPr>
                <w:color w:val="000000" w:themeColor="text1"/>
                <w:spacing w:val="-4"/>
              </w:rPr>
              <w:t xml:space="preserve"> %. Stabilní vysoká růstová tempa si udržuje zásluhou dominantního zpracovatelského průmyslu profitujícího především z dosud silné domácí i zahraniční poptávky po dopravních prostředcích a jejich komponent</w:t>
            </w:r>
            <w:r w:rsidR="00F55605">
              <w:rPr>
                <w:color w:val="000000" w:themeColor="text1"/>
                <w:spacing w:val="-4"/>
              </w:rPr>
              <w:t>ech</w:t>
            </w:r>
            <w:r w:rsidRPr="00EC76CC">
              <w:rPr>
                <w:color w:val="000000" w:themeColor="text1"/>
                <w:spacing w:val="-4"/>
              </w:rPr>
              <w:t xml:space="preserve">. </w:t>
            </w:r>
          </w:p>
          <w:p w:rsidR="00DC3790" w:rsidRPr="00EC76CC" w:rsidRDefault="00DC3790" w:rsidP="00DC3790">
            <w:pPr>
              <w:pStyle w:val="Textpoznpodarou"/>
              <w:jc w:val="both"/>
              <w:rPr>
                <w:color w:val="000000" w:themeColor="text1"/>
                <w:spacing w:val="-4"/>
                <w:sz w:val="16"/>
                <w:szCs w:val="16"/>
              </w:rPr>
            </w:pPr>
          </w:p>
        </w:tc>
      </w:tr>
      <w:tr w:rsidR="00DC3790" w:rsidTr="00DC3790">
        <w:trPr>
          <w:cantSplit/>
          <w:trHeight w:val="250"/>
        </w:trPr>
        <w:tc>
          <w:tcPr>
            <w:tcW w:w="1091" w:type="pct"/>
          </w:tcPr>
          <w:p w:rsidR="00707D43" w:rsidRDefault="00DC3790" w:rsidP="00DC3790">
            <w:pPr>
              <w:spacing w:line="240" w:lineRule="auto"/>
              <w:rPr>
                <w:color w:val="000000" w:themeColor="text1"/>
                <w:sz w:val="16"/>
                <w:szCs w:val="16"/>
              </w:rPr>
            </w:pPr>
            <w:r w:rsidRPr="00C548DF">
              <w:rPr>
                <w:color w:val="000000" w:themeColor="text1"/>
                <w:sz w:val="16"/>
                <w:szCs w:val="16"/>
              </w:rPr>
              <w:t xml:space="preserve">Po několika letech oživení </w:t>
            </w:r>
          </w:p>
          <w:p w:rsidR="00DC3790" w:rsidRPr="00C548DF" w:rsidRDefault="00DC3790" w:rsidP="00DC3790">
            <w:pPr>
              <w:spacing w:line="240" w:lineRule="auto"/>
              <w:rPr>
                <w:color w:val="000000" w:themeColor="text1"/>
                <w:sz w:val="16"/>
                <w:szCs w:val="16"/>
              </w:rPr>
            </w:pPr>
            <w:r w:rsidRPr="00C548DF">
              <w:rPr>
                <w:color w:val="000000" w:themeColor="text1"/>
                <w:sz w:val="16"/>
                <w:szCs w:val="16"/>
              </w:rPr>
              <w:t>i v drtivé větš</w:t>
            </w:r>
            <w:r w:rsidR="00707D43">
              <w:rPr>
                <w:color w:val="000000" w:themeColor="text1"/>
                <w:sz w:val="16"/>
                <w:szCs w:val="16"/>
              </w:rPr>
              <w:t>ině menších průmyslových oborů</w:t>
            </w:r>
            <w:r w:rsidRPr="00C548DF">
              <w:rPr>
                <w:color w:val="000000" w:themeColor="text1"/>
                <w:sz w:val="16"/>
                <w:szCs w:val="16"/>
              </w:rPr>
              <w:t xml:space="preserve">, naopak pokračující dlouhodobý útlum </w:t>
            </w:r>
          </w:p>
          <w:p w:rsidR="00DC3790" w:rsidRPr="000F401E" w:rsidRDefault="00DC3790" w:rsidP="00DC3790">
            <w:pPr>
              <w:spacing w:line="240" w:lineRule="auto"/>
              <w:rPr>
                <w:sz w:val="16"/>
                <w:szCs w:val="16"/>
              </w:rPr>
            </w:pPr>
            <w:r w:rsidRPr="00C548DF">
              <w:rPr>
                <w:color w:val="000000" w:themeColor="text1"/>
                <w:sz w:val="16"/>
                <w:szCs w:val="16"/>
              </w:rPr>
              <w:t>těžebních aktivit</w:t>
            </w:r>
          </w:p>
        </w:tc>
        <w:tc>
          <w:tcPr>
            <w:tcW w:w="146" w:type="pct"/>
          </w:tcPr>
          <w:p w:rsidR="00DC3790" w:rsidRPr="005A16AE" w:rsidRDefault="00DC3790" w:rsidP="00DC3790">
            <w:pPr>
              <w:rPr>
                <w:color w:val="000000" w:themeColor="text1"/>
                <w:szCs w:val="16"/>
              </w:rPr>
            </w:pPr>
          </w:p>
        </w:tc>
        <w:tc>
          <w:tcPr>
            <w:tcW w:w="3763" w:type="pct"/>
          </w:tcPr>
          <w:p w:rsidR="00DC3790" w:rsidRPr="005A16AE" w:rsidRDefault="00DC3790" w:rsidP="00F55605">
            <w:pPr>
              <w:pStyle w:val="Textpoznpodarou"/>
              <w:jc w:val="both"/>
              <w:rPr>
                <w:color w:val="000000" w:themeColor="text1"/>
                <w:spacing w:val="-4"/>
                <w:sz w:val="16"/>
                <w:szCs w:val="16"/>
              </w:rPr>
            </w:pPr>
            <w:r w:rsidRPr="005A16AE">
              <w:rPr>
                <w:color w:val="000000" w:themeColor="text1"/>
                <w:spacing w:val="-4"/>
              </w:rPr>
              <w:t xml:space="preserve">Meziročně vyšší produkce </w:t>
            </w:r>
            <w:r>
              <w:rPr>
                <w:color w:val="000000" w:themeColor="text1"/>
                <w:spacing w:val="-4"/>
              </w:rPr>
              <w:t>letos</w:t>
            </w:r>
            <w:r w:rsidRPr="005A16AE">
              <w:rPr>
                <w:color w:val="000000" w:themeColor="text1"/>
                <w:spacing w:val="-4"/>
              </w:rPr>
              <w:t xml:space="preserve"> dosáhly </w:t>
            </w:r>
            <w:r>
              <w:rPr>
                <w:color w:val="000000" w:themeColor="text1"/>
                <w:spacing w:val="-4"/>
              </w:rPr>
              <w:t>prakticky všechny dílčí průmyslové obory. Platilo to i o některých menších</w:t>
            </w:r>
            <w:r w:rsidR="00F55605">
              <w:rPr>
                <w:color w:val="000000" w:themeColor="text1"/>
                <w:spacing w:val="-4"/>
              </w:rPr>
              <w:t>,</w:t>
            </w:r>
            <w:r>
              <w:rPr>
                <w:color w:val="000000" w:themeColor="text1"/>
                <w:spacing w:val="-4"/>
              </w:rPr>
              <w:t xml:space="preserve"> dlouhodobě spíše útlumových odvětvích. Šlo především o oděvnictví, jehož téměř 9% růst v 1. pololetí byl nejvyšší za posledních deset let, a také </w:t>
            </w:r>
            <w:r w:rsidRPr="003339D5">
              <w:rPr>
                <w:color w:val="000000" w:themeColor="text1"/>
                <w:spacing w:val="-4"/>
              </w:rPr>
              <w:t>k</w:t>
            </w:r>
            <w:r>
              <w:rPr>
                <w:color w:val="000000" w:themeColor="text1"/>
                <w:spacing w:val="-4"/>
              </w:rPr>
              <w:t xml:space="preserve">ožedělný průmysl, </w:t>
            </w:r>
            <w:r w:rsidRPr="003339D5">
              <w:rPr>
                <w:color w:val="000000" w:themeColor="text1"/>
                <w:spacing w:val="-4"/>
              </w:rPr>
              <w:t>jenž dlouhodobého růstového rekordu dosáhl již v pos</w:t>
            </w:r>
            <w:r>
              <w:rPr>
                <w:color w:val="000000" w:themeColor="text1"/>
                <w:spacing w:val="-4"/>
              </w:rPr>
              <w:t xml:space="preserve">ledním čtvrtletí 2014. Oživení v textilním průmyslu či výrobě nábytku trvá již bezmála dva roky. Produkce </w:t>
            </w:r>
            <w:r w:rsidRPr="00FF0B9C">
              <w:rPr>
                <w:color w:val="000000" w:themeColor="text1"/>
                <w:spacing w:val="-4"/>
              </w:rPr>
              <w:t xml:space="preserve">v 1. pololetí akcelerovala v papírenském průmyslu (+9 %), jenž při dvouciferném růstu zahraničních zakázek docílil nejvyšší dynamiky produkce v nepřerušené desetileté řadě. </w:t>
            </w:r>
            <w:r>
              <w:rPr>
                <w:color w:val="000000" w:themeColor="text1"/>
                <w:spacing w:val="-4"/>
              </w:rPr>
              <w:t>Produkce letos klesala jen</w:t>
            </w:r>
            <w:r w:rsidR="00F55605">
              <w:rPr>
                <w:color w:val="000000" w:themeColor="text1"/>
                <w:spacing w:val="-4"/>
              </w:rPr>
              <w:t xml:space="preserve"> v</w:t>
            </w:r>
            <w:r>
              <w:rPr>
                <w:color w:val="000000" w:themeColor="text1"/>
                <w:spacing w:val="-4"/>
              </w:rPr>
              <w:t xml:space="preserve"> tiskárenství či </w:t>
            </w:r>
            <w:r w:rsidRPr="009921B9">
              <w:rPr>
                <w:color w:val="000000" w:themeColor="text1"/>
                <w:spacing w:val="-4"/>
              </w:rPr>
              <w:t xml:space="preserve">dřevozpracujícím průmyslu a zejména </w:t>
            </w:r>
            <w:r w:rsidR="00707D43">
              <w:rPr>
                <w:color w:val="000000" w:themeColor="text1"/>
                <w:spacing w:val="-4"/>
              </w:rPr>
              <w:t>v těžbě a dobývání (meziročně -7</w:t>
            </w:r>
            <w:r w:rsidRPr="009921B9">
              <w:rPr>
                <w:color w:val="000000" w:themeColor="text1"/>
                <w:spacing w:val="-4"/>
              </w:rPr>
              <w:t xml:space="preserve"> %, </w:t>
            </w:r>
            <w:r>
              <w:rPr>
                <w:color w:val="000000" w:themeColor="text1"/>
                <w:spacing w:val="-4"/>
              </w:rPr>
              <w:t xml:space="preserve">za sedm let </w:t>
            </w:r>
            <w:r w:rsidRPr="009921B9">
              <w:rPr>
                <w:color w:val="000000" w:themeColor="text1"/>
                <w:spacing w:val="-4"/>
              </w:rPr>
              <w:t>o </w:t>
            </w:r>
            <w:r>
              <w:rPr>
                <w:color w:val="000000" w:themeColor="text1"/>
                <w:spacing w:val="-4"/>
              </w:rPr>
              <w:t>téměř</w:t>
            </w:r>
            <w:r w:rsidRPr="009921B9">
              <w:rPr>
                <w:color w:val="000000" w:themeColor="text1"/>
                <w:spacing w:val="-4"/>
              </w:rPr>
              <w:t xml:space="preserve"> čt</w:t>
            </w:r>
            <w:r>
              <w:rPr>
                <w:color w:val="000000" w:themeColor="text1"/>
                <w:spacing w:val="-4"/>
              </w:rPr>
              <w:t>vrtinu), především vlivem dlouhodobé</w:t>
            </w:r>
            <w:r w:rsidRPr="009921B9">
              <w:rPr>
                <w:color w:val="000000" w:themeColor="text1"/>
                <w:spacing w:val="-4"/>
              </w:rPr>
              <w:t xml:space="preserve"> redukce těžby černého uhlí.</w:t>
            </w:r>
          </w:p>
        </w:tc>
      </w:tr>
      <w:tr w:rsidR="00DC3790" w:rsidTr="00DC3790">
        <w:trPr>
          <w:cantSplit/>
          <w:trHeight w:val="295"/>
        </w:trPr>
        <w:tc>
          <w:tcPr>
            <w:tcW w:w="1091" w:type="pct"/>
          </w:tcPr>
          <w:p w:rsidR="00DC3790" w:rsidRPr="000521BB" w:rsidRDefault="00DC3790" w:rsidP="00DC3790">
            <w:pPr>
              <w:spacing w:line="240" w:lineRule="auto"/>
              <w:rPr>
                <w:color w:val="000000" w:themeColor="text1"/>
                <w:sz w:val="16"/>
                <w:szCs w:val="16"/>
              </w:rPr>
            </w:pPr>
            <w:r w:rsidRPr="000521BB">
              <w:rPr>
                <w:color w:val="000000" w:themeColor="text1"/>
                <w:sz w:val="16"/>
                <w:szCs w:val="16"/>
              </w:rPr>
              <w:lastRenderedPageBreak/>
              <w:t xml:space="preserve">Výroba dopravních prostředků přispěla k meziročnímu růstu celého průmyslu téměř třetinou, společně s nejbližšími návaznými obory </w:t>
            </w:r>
          </w:p>
          <w:p w:rsidR="00DC3790" w:rsidRPr="000521BB" w:rsidRDefault="00DC3790" w:rsidP="00DC3790">
            <w:pPr>
              <w:spacing w:line="240" w:lineRule="auto"/>
              <w:rPr>
                <w:color w:val="000000" w:themeColor="text1"/>
                <w:sz w:val="16"/>
                <w:szCs w:val="16"/>
              </w:rPr>
            </w:pPr>
            <w:r w:rsidRPr="000521BB">
              <w:rPr>
                <w:color w:val="000000" w:themeColor="text1"/>
                <w:sz w:val="16"/>
                <w:szCs w:val="16"/>
              </w:rPr>
              <w:t>více než polovinou</w:t>
            </w:r>
          </w:p>
          <w:p w:rsidR="00DC3790" w:rsidRPr="000521BB" w:rsidRDefault="00DC3790" w:rsidP="00DC3790">
            <w:pPr>
              <w:spacing w:line="240" w:lineRule="auto"/>
              <w:rPr>
                <w:color w:val="000000" w:themeColor="text1"/>
                <w:sz w:val="16"/>
                <w:szCs w:val="16"/>
              </w:rPr>
            </w:pPr>
          </w:p>
          <w:p w:rsidR="00DC3790" w:rsidRPr="000521BB" w:rsidRDefault="00DC3790" w:rsidP="00DC3790">
            <w:pPr>
              <w:spacing w:line="240" w:lineRule="auto"/>
              <w:rPr>
                <w:color w:val="000000" w:themeColor="text1"/>
                <w:sz w:val="16"/>
                <w:szCs w:val="16"/>
              </w:rPr>
            </w:pPr>
          </w:p>
          <w:p w:rsidR="00DC3790" w:rsidRPr="000F401E" w:rsidRDefault="00DC3790" w:rsidP="00DC3790">
            <w:pPr>
              <w:spacing w:line="240" w:lineRule="auto"/>
              <w:rPr>
                <w:sz w:val="16"/>
                <w:szCs w:val="16"/>
              </w:rPr>
            </w:pPr>
          </w:p>
        </w:tc>
        <w:tc>
          <w:tcPr>
            <w:tcW w:w="146" w:type="pct"/>
          </w:tcPr>
          <w:p w:rsidR="00DC3790" w:rsidRPr="005A16AE" w:rsidRDefault="00DC3790" w:rsidP="00DC3790">
            <w:pPr>
              <w:rPr>
                <w:color w:val="000000" w:themeColor="text1"/>
                <w:szCs w:val="16"/>
              </w:rPr>
            </w:pPr>
          </w:p>
        </w:tc>
        <w:tc>
          <w:tcPr>
            <w:tcW w:w="3763" w:type="pct"/>
          </w:tcPr>
          <w:p w:rsidR="00DC3790" w:rsidRPr="00AE56D0" w:rsidRDefault="00DC3790" w:rsidP="00DC3790">
            <w:pPr>
              <w:pStyle w:val="Textpoznpodarou"/>
              <w:jc w:val="both"/>
              <w:rPr>
                <w:color w:val="000000" w:themeColor="text1"/>
                <w:spacing w:val="-4"/>
              </w:rPr>
            </w:pPr>
            <w:r w:rsidRPr="00AE56D0">
              <w:rPr>
                <w:color w:val="000000" w:themeColor="text1"/>
                <w:spacing w:val="-4"/>
              </w:rPr>
              <w:t>Nejvýznamnějším přispěvatelem k meziročnímu růstu v celém průmyslu</w:t>
            </w:r>
            <w:r>
              <w:rPr>
                <w:color w:val="000000" w:themeColor="text1"/>
                <w:spacing w:val="-4"/>
              </w:rPr>
              <w:t xml:space="preserve"> stále zůstává výroba motorových vozidel, byť její dominantní role v porovnání s loňským rokem mírně oslabila (v 1. pololetí 2015 se zasloužila o růst produkce zhruba z třetiny). Osmin</w:t>
            </w:r>
            <w:r w:rsidRPr="00912CD7">
              <w:rPr>
                <w:color w:val="000000" w:themeColor="text1"/>
                <w:spacing w:val="-4"/>
              </w:rPr>
              <w:t xml:space="preserve">u shodně přidaly i jednotlivé hlavní subdodavatelské obory – gumárenství a </w:t>
            </w:r>
            <w:proofErr w:type="spellStart"/>
            <w:r w:rsidRPr="00912CD7">
              <w:rPr>
                <w:color w:val="000000" w:themeColor="text1"/>
                <w:spacing w:val="-4"/>
              </w:rPr>
              <w:t>plastikářství</w:t>
            </w:r>
            <w:proofErr w:type="spellEnd"/>
            <w:r>
              <w:rPr>
                <w:color w:val="000000" w:themeColor="text1"/>
                <w:spacing w:val="-4"/>
              </w:rPr>
              <w:t xml:space="preserve"> a též </w:t>
            </w:r>
            <w:r w:rsidRPr="00912CD7">
              <w:rPr>
                <w:color w:val="000000" w:themeColor="text1"/>
                <w:spacing w:val="-4"/>
              </w:rPr>
              <w:t xml:space="preserve">výroba elektrických zařízení. </w:t>
            </w:r>
            <w:r>
              <w:rPr>
                <w:color w:val="000000" w:themeColor="text1"/>
                <w:spacing w:val="-4"/>
              </w:rPr>
              <w:t>Důležitý</w:t>
            </w:r>
            <w:r w:rsidRPr="00912CD7">
              <w:rPr>
                <w:color w:val="000000" w:themeColor="text1"/>
                <w:spacing w:val="-4"/>
              </w:rPr>
              <w:t xml:space="preserve"> byl </w:t>
            </w:r>
            <w:r>
              <w:rPr>
                <w:color w:val="000000" w:themeColor="text1"/>
                <w:spacing w:val="-4"/>
              </w:rPr>
              <w:t>navzdory relativně mírn</w:t>
            </w:r>
            <w:r w:rsidR="00707D43">
              <w:rPr>
                <w:color w:val="000000" w:themeColor="text1"/>
                <w:spacing w:val="-4"/>
              </w:rPr>
              <w:t>ému růstu (3,9 %) také příspěvek váho</w:t>
            </w:r>
            <w:r w:rsidRPr="00912CD7">
              <w:rPr>
                <w:color w:val="000000" w:themeColor="text1"/>
                <w:spacing w:val="-4"/>
              </w:rPr>
              <w:t>vě významného strojírenství</w:t>
            </w:r>
            <w:r>
              <w:rPr>
                <w:color w:val="000000" w:themeColor="text1"/>
                <w:spacing w:val="-4"/>
              </w:rPr>
              <w:t xml:space="preserve">. Ještě skromnější dynamiku produkce zaznamenaly hutnictví a slévárenství a také chemický průmysl, které </w:t>
            </w:r>
            <w:r w:rsidR="00F55605">
              <w:rPr>
                <w:color w:val="000000" w:themeColor="text1"/>
                <w:spacing w:val="-4"/>
              </w:rPr>
              <w:t>„</w:t>
            </w:r>
            <w:r>
              <w:rPr>
                <w:color w:val="000000" w:themeColor="text1"/>
                <w:spacing w:val="-4"/>
              </w:rPr>
              <w:t>držel na uzdě</w:t>
            </w:r>
            <w:r w:rsidR="00F55605">
              <w:rPr>
                <w:color w:val="000000" w:themeColor="text1"/>
                <w:spacing w:val="-4"/>
              </w:rPr>
              <w:t>“</w:t>
            </w:r>
            <w:r>
              <w:rPr>
                <w:color w:val="000000" w:themeColor="text1"/>
                <w:spacing w:val="-4"/>
              </w:rPr>
              <w:t xml:space="preserve"> nedostatek zakázek, zejména z tuzemska. Rychleji než většina zpracovatelských oborů nadále roste výrazně </w:t>
            </w:r>
            <w:proofErr w:type="spellStart"/>
            <w:r>
              <w:rPr>
                <w:color w:val="000000" w:themeColor="text1"/>
                <w:spacing w:val="-4"/>
              </w:rPr>
              <w:t>procyklicky</w:t>
            </w:r>
            <w:proofErr w:type="spellEnd"/>
            <w:r>
              <w:rPr>
                <w:color w:val="000000" w:themeColor="text1"/>
                <w:spacing w:val="-4"/>
              </w:rPr>
              <w:t xml:space="preserve"> orientované odvětví výroby</w:t>
            </w:r>
            <w:r w:rsidRPr="00161533">
              <w:rPr>
                <w:color w:val="000000" w:themeColor="text1"/>
                <w:spacing w:val="-4"/>
              </w:rPr>
              <w:t xml:space="preserve"> počíta</w:t>
            </w:r>
            <w:r>
              <w:rPr>
                <w:color w:val="000000" w:themeColor="text1"/>
                <w:spacing w:val="-4"/>
              </w:rPr>
              <w:t xml:space="preserve">čů, elektronických a optických </w:t>
            </w:r>
            <w:r w:rsidRPr="00161533">
              <w:rPr>
                <w:color w:val="000000" w:themeColor="text1"/>
                <w:spacing w:val="-4"/>
              </w:rPr>
              <w:t>přístrojů</w:t>
            </w:r>
            <w:r>
              <w:rPr>
                <w:color w:val="000000" w:themeColor="text1"/>
                <w:spacing w:val="-4"/>
              </w:rPr>
              <w:t>, které dosud těží ze silné zásoby zakázek z loňského roku.</w:t>
            </w:r>
          </w:p>
          <w:p w:rsidR="00DC3790" w:rsidRPr="00BB1CFD" w:rsidRDefault="00DC3790" w:rsidP="00DC3790">
            <w:pPr>
              <w:pStyle w:val="Textpoznpodarou"/>
              <w:jc w:val="both"/>
              <w:rPr>
                <w:color w:val="000000" w:themeColor="text1"/>
                <w:spacing w:val="-4"/>
                <w:sz w:val="14"/>
                <w:szCs w:val="14"/>
              </w:rPr>
            </w:pPr>
          </w:p>
        </w:tc>
      </w:tr>
      <w:tr w:rsidR="00DC3790" w:rsidTr="00DC3790">
        <w:tc>
          <w:tcPr>
            <w:tcW w:w="1091" w:type="pct"/>
          </w:tcPr>
          <w:p w:rsidR="00DC3790" w:rsidRPr="00B0586F" w:rsidRDefault="00DC3790" w:rsidP="00DC3790">
            <w:pPr>
              <w:spacing w:line="240" w:lineRule="auto"/>
              <w:rPr>
                <w:color w:val="000000" w:themeColor="text1"/>
                <w:sz w:val="16"/>
                <w:szCs w:val="16"/>
              </w:rPr>
            </w:pPr>
            <w:r w:rsidRPr="00B0586F">
              <w:rPr>
                <w:color w:val="000000" w:themeColor="text1"/>
                <w:sz w:val="16"/>
                <w:szCs w:val="16"/>
              </w:rPr>
              <w:t>Hodnota nových zakázek byla i přes silnější loňskou základnu stále znatelně meziročně vyšší</w:t>
            </w:r>
            <w:r>
              <w:rPr>
                <w:color w:val="000000" w:themeColor="text1"/>
                <w:sz w:val="16"/>
                <w:szCs w:val="16"/>
              </w:rPr>
              <w:t xml:space="preserve">, nejvíce </w:t>
            </w:r>
            <w:r w:rsidRPr="00B0586F">
              <w:rPr>
                <w:color w:val="000000" w:themeColor="text1"/>
                <w:sz w:val="16"/>
                <w:szCs w:val="16"/>
              </w:rPr>
              <w:t xml:space="preserve">nových zakázek </w:t>
            </w:r>
            <w:r>
              <w:rPr>
                <w:color w:val="000000" w:themeColor="text1"/>
                <w:sz w:val="16"/>
                <w:szCs w:val="16"/>
              </w:rPr>
              <w:t>měli v 1.</w:t>
            </w:r>
            <w:r w:rsidR="00F55605">
              <w:rPr>
                <w:color w:val="000000" w:themeColor="text1"/>
                <w:sz w:val="16"/>
                <w:szCs w:val="16"/>
              </w:rPr>
              <w:t> p</w:t>
            </w:r>
            <w:r>
              <w:rPr>
                <w:color w:val="000000" w:themeColor="text1"/>
                <w:sz w:val="16"/>
                <w:szCs w:val="16"/>
              </w:rPr>
              <w:t>ololetí výrobci kolejových vozidel, zejména díky objednávkám z</w:t>
            </w:r>
            <w:r w:rsidR="00F55605">
              <w:rPr>
                <w:color w:val="000000" w:themeColor="text1"/>
                <w:sz w:val="16"/>
                <w:szCs w:val="16"/>
              </w:rPr>
              <w:t> </w:t>
            </w:r>
            <w:r>
              <w:rPr>
                <w:color w:val="000000" w:themeColor="text1"/>
                <w:sz w:val="16"/>
                <w:szCs w:val="16"/>
              </w:rPr>
              <w:t>tuzemska</w:t>
            </w:r>
          </w:p>
          <w:p w:rsidR="00DC3790" w:rsidRDefault="00DC3790" w:rsidP="00DC3790">
            <w:pPr>
              <w:spacing w:line="240" w:lineRule="auto"/>
              <w:rPr>
                <w:sz w:val="16"/>
                <w:szCs w:val="16"/>
              </w:rPr>
            </w:pPr>
          </w:p>
        </w:tc>
        <w:tc>
          <w:tcPr>
            <w:tcW w:w="146" w:type="pct"/>
          </w:tcPr>
          <w:p w:rsidR="00DC3790" w:rsidRPr="005A16AE" w:rsidRDefault="00DC3790" w:rsidP="00DC3790">
            <w:pPr>
              <w:rPr>
                <w:color w:val="000000" w:themeColor="text1"/>
                <w:sz w:val="16"/>
                <w:szCs w:val="16"/>
              </w:rPr>
            </w:pPr>
          </w:p>
        </w:tc>
        <w:tc>
          <w:tcPr>
            <w:tcW w:w="3763" w:type="pct"/>
          </w:tcPr>
          <w:p w:rsidR="00DC3790" w:rsidRPr="00D13397" w:rsidRDefault="00DC3790" w:rsidP="00DC3790">
            <w:pPr>
              <w:pStyle w:val="Textpoznpodarou"/>
              <w:jc w:val="both"/>
              <w:rPr>
                <w:color w:val="000000" w:themeColor="text1"/>
                <w:spacing w:val="-4"/>
              </w:rPr>
            </w:pPr>
            <w:r w:rsidRPr="00D13397">
              <w:rPr>
                <w:color w:val="000000" w:themeColor="text1"/>
                <w:spacing w:val="-4"/>
              </w:rPr>
              <w:t xml:space="preserve">Příznivé krátkodobé vyhlídky průmyslu dokládá </w:t>
            </w:r>
            <w:r>
              <w:rPr>
                <w:color w:val="000000" w:themeColor="text1"/>
                <w:spacing w:val="-4"/>
              </w:rPr>
              <w:t>přetrvávající meziroční růst</w:t>
            </w:r>
            <w:r w:rsidRPr="00D13397">
              <w:rPr>
                <w:color w:val="000000" w:themeColor="text1"/>
                <w:spacing w:val="-4"/>
              </w:rPr>
              <w:t xml:space="preserve"> zahraničních zakázek </w:t>
            </w:r>
            <w:r>
              <w:rPr>
                <w:color w:val="000000" w:themeColor="text1"/>
                <w:spacing w:val="-4"/>
              </w:rPr>
              <w:t>(9,8 % a 4,8 % v 1.</w:t>
            </w:r>
            <w:r w:rsidR="00F55605">
              <w:rPr>
                <w:color w:val="000000" w:themeColor="text1"/>
                <w:spacing w:val="-4"/>
              </w:rPr>
              <w:t>,</w:t>
            </w:r>
            <w:r>
              <w:rPr>
                <w:color w:val="000000" w:themeColor="text1"/>
                <w:spacing w:val="-4"/>
              </w:rPr>
              <w:t xml:space="preserve"> resp. 2. čtvrtletí), z</w:t>
            </w:r>
            <w:r w:rsidRPr="005761F2">
              <w:rPr>
                <w:color w:val="000000" w:themeColor="text1"/>
                <w:spacing w:val="-4"/>
              </w:rPr>
              <w:t xml:space="preserve"> významnějších odvětví klesla poptávka jen v hutnictví </w:t>
            </w:r>
            <w:r>
              <w:rPr>
                <w:color w:val="000000" w:themeColor="text1"/>
                <w:spacing w:val="-4"/>
              </w:rPr>
              <w:t>a</w:t>
            </w:r>
            <w:r w:rsidRPr="005761F2">
              <w:rPr>
                <w:color w:val="000000" w:themeColor="text1"/>
                <w:spacing w:val="-4"/>
              </w:rPr>
              <w:t xml:space="preserve"> slévárenství a také v chemickém průmyslu.</w:t>
            </w:r>
            <w:r>
              <w:rPr>
                <w:color w:val="000000" w:themeColor="text1"/>
                <w:spacing w:val="-4"/>
              </w:rPr>
              <w:t xml:space="preserve"> Přetrvává</w:t>
            </w:r>
            <w:r w:rsidRPr="00D13397">
              <w:rPr>
                <w:color w:val="000000" w:themeColor="text1"/>
                <w:spacing w:val="-4"/>
              </w:rPr>
              <w:t xml:space="preserve"> mírně pozitivní důvěra podnikatelů v odvětví</w:t>
            </w:r>
            <w:r>
              <w:rPr>
                <w:color w:val="000000" w:themeColor="text1"/>
                <w:spacing w:val="-4"/>
              </w:rPr>
              <w:t xml:space="preserve"> (salda indikátorů důvěry v srpnu</w:t>
            </w:r>
            <w:r w:rsidRPr="00D13397">
              <w:rPr>
                <w:color w:val="000000" w:themeColor="text1"/>
                <w:spacing w:val="-4"/>
              </w:rPr>
              <w:t xml:space="preserve"> 2015 se sice nacházela pod úrovní přelomu let 2010 a 2011,</w:t>
            </w:r>
            <w:r>
              <w:rPr>
                <w:color w:val="000000" w:themeColor="text1"/>
                <w:spacing w:val="-4"/>
              </w:rPr>
              <w:t xml:space="preserve"> byla však stabilní</w:t>
            </w:r>
            <w:r w:rsidRPr="00D13397">
              <w:rPr>
                <w:color w:val="000000" w:themeColor="text1"/>
                <w:spacing w:val="-4"/>
              </w:rPr>
              <w:t xml:space="preserve"> více než dvacet měsíců v řadě).</w:t>
            </w:r>
            <w:r>
              <w:rPr>
                <w:color w:val="000000" w:themeColor="text1"/>
                <w:spacing w:val="-4"/>
              </w:rPr>
              <w:t xml:space="preserve"> Jako bariéru růstu uvádělo dle sezónně očištěných údajů na počátku roku 2014 téměř 58 % průmyslových podniků, o rok a půl později již méně než polovina z nich. Zároveň mírně roste i podíl podniků, který</w:t>
            </w:r>
            <w:r w:rsidR="00F55605">
              <w:rPr>
                <w:color w:val="000000" w:themeColor="text1"/>
                <w:spacing w:val="-4"/>
              </w:rPr>
              <w:t>m</w:t>
            </w:r>
            <w:r>
              <w:rPr>
                <w:color w:val="000000" w:themeColor="text1"/>
                <w:spacing w:val="-4"/>
              </w:rPr>
              <w:t xml:space="preserve"> brání v růstu nedostatek pracovní síly. Otázky nad udržitelností vysokých temp průmyslové produkce by mohl vzbuzovat pokles nových zahraničních zakázek u výrobců motorových vozidel (-0,3 % v 2. čtvrtletí, po </w:t>
            </w:r>
            <w:proofErr w:type="gramStart"/>
            <w:r>
              <w:rPr>
                <w:color w:val="000000" w:themeColor="text1"/>
                <w:spacing w:val="-4"/>
              </w:rPr>
              <w:t>15%</w:t>
            </w:r>
            <w:proofErr w:type="gramEnd"/>
            <w:r>
              <w:rPr>
                <w:color w:val="000000" w:themeColor="text1"/>
                <w:spacing w:val="-4"/>
              </w:rPr>
              <w:t xml:space="preserve"> růstu v 1. čtvrtletí). Dosud nejaktuálnější červencové údaje (+11 %, proti silné loňské základně) však tuto hypotézu nepotvrzují. P</w:t>
            </w:r>
            <w:r w:rsidRPr="00D46F47">
              <w:rPr>
                <w:color w:val="000000" w:themeColor="text1"/>
                <w:spacing w:val="-4"/>
              </w:rPr>
              <w:t>řízn</w:t>
            </w:r>
            <w:r>
              <w:rPr>
                <w:color w:val="000000" w:themeColor="text1"/>
                <w:spacing w:val="-4"/>
              </w:rPr>
              <w:t>ivý vývoj zahraniční i domácí poptávky</w:t>
            </w:r>
            <w:r w:rsidRPr="00D46F47">
              <w:rPr>
                <w:color w:val="000000" w:themeColor="text1"/>
                <w:spacing w:val="-4"/>
              </w:rPr>
              <w:t xml:space="preserve"> se </w:t>
            </w:r>
            <w:r>
              <w:rPr>
                <w:color w:val="000000" w:themeColor="text1"/>
                <w:spacing w:val="-4"/>
              </w:rPr>
              <w:t>v celém průmyslu promítá</w:t>
            </w:r>
            <w:r w:rsidRPr="00D46F47">
              <w:rPr>
                <w:color w:val="000000" w:themeColor="text1"/>
                <w:spacing w:val="-4"/>
              </w:rPr>
              <w:t xml:space="preserve"> do sílících růstových temp zaměstnanosti i mezd</w:t>
            </w:r>
            <w:r w:rsidR="00F55605">
              <w:rPr>
                <w:color w:val="000000" w:themeColor="text1"/>
                <w:spacing w:val="-4"/>
              </w:rPr>
              <w:t xml:space="preserve"> (ve 2. čtvrtletí </w:t>
            </w:r>
            <w:r>
              <w:rPr>
                <w:color w:val="000000" w:themeColor="text1"/>
                <w:spacing w:val="-4"/>
              </w:rPr>
              <w:t>ubylo meziročně pracovníků jen v energetice, těžebním i dřevozpracujícím průmyslu).</w:t>
            </w:r>
          </w:p>
          <w:p w:rsidR="00DC3790" w:rsidRPr="00BB1CFD" w:rsidRDefault="00DC3790" w:rsidP="00DC3790">
            <w:pPr>
              <w:pStyle w:val="Textpoznpodarou"/>
              <w:jc w:val="both"/>
              <w:rPr>
                <w:color w:val="000000" w:themeColor="text1"/>
                <w:spacing w:val="-4"/>
                <w:sz w:val="14"/>
                <w:szCs w:val="14"/>
              </w:rPr>
            </w:pPr>
          </w:p>
        </w:tc>
      </w:tr>
      <w:tr w:rsidR="00DC3790" w:rsidTr="00DC3790">
        <w:tc>
          <w:tcPr>
            <w:tcW w:w="1091" w:type="pct"/>
          </w:tcPr>
          <w:p w:rsidR="00DC3790" w:rsidRPr="000630F6" w:rsidRDefault="00DC3790" w:rsidP="00DC3790">
            <w:pPr>
              <w:spacing w:line="240" w:lineRule="auto"/>
              <w:rPr>
                <w:color w:val="000000" w:themeColor="text1"/>
                <w:sz w:val="16"/>
                <w:szCs w:val="16"/>
              </w:rPr>
            </w:pPr>
            <w:r w:rsidRPr="000630F6">
              <w:rPr>
                <w:color w:val="000000" w:themeColor="text1"/>
                <w:sz w:val="16"/>
                <w:szCs w:val="16"/>
              </w:rPr>
              <w:t>ČR patří dlouhodobě k zemím s nejvyšší dynamikou růstu průmyslové produkce v EU, především zásluhou odvětví vyrábějících investiční produkty</w:t>
            </w:r>
          </w:p>
        </w:tc>
        <w:tc>
          <w:tcPr>
            <w:tcW w:w="146" w:type="pct"/>
          </w:tcPr>
          <w:p w:rsidR="00DC3790" w:rsidRPr="005A16AE" w:rsidRDefault="00DC3790" w:rsidP="00DC3790">
            <w:pPr>
              <w:rPr>
                <w:color w:val="000000" w:themeColor="text1"/>
                <w:sz w:val="16"/>
                <w:szCs w:val="16"/>
              </w:rPr>
            </w:pPr>
          </w:p>
        </w:tc>
        <w:tc>
          <w:tcPr>
            <w:tcW w:w="3763" w:type="pct"/>
          </w:tcPr>
          <w:p w:rsidR="00DC3790" w:rsidRDefault="00DC3790" w:rsidP="00DC3790">
            <w:pPr>
              <w:pStyle w:val="Textpoznpodarou"/>
              <w:jc w:val="both"/>
              <w:rPr>
                <w:color w:val="000000" w:themeColor="text1"/>
                <w:spacing w:val="-4"/>
              </w:rPr>
            </w:pPr>
            <w:r w:rsidRPr="00EB1821">
              <w:rPr>
                <w:color w:val="000000" w:themeColor="text1"/>
                <w:spacing w:val="-4"/>
              </w:rPr>
              <w:t>Průmysl v</w:t>
            </w:r>
            <w:r>
              <w:rPr>
                <w:color w:val="000000" w:themeColor="text1"/>
                <w:spacing w:val="-4"/>
              </w:rPr>
              <w:t> </w:t>
            </w:r>
            <w:r w:rsidRPr="00EB1821">
              <w:rPr>
                <w:color w:val="000000" w:themeColor="text1"/>
                <w:spacing w:val="-4"/>
              </w:rPr>
              <w:t>ČR</w:t>
            </w:r>
            <w:r>
              <w:rPr>
                <w:color w:val="000000" w:themeColor="text1"/>
                <w:spacing w:val="-4"/>
              </w:rPr>
              <w:t>, podobně jako ve většině středoevropských zemí,</w:t>
            </w:r>
            <w:r w:rsidRPr="00EB1821">
              <w:rPr>
                <w:color w:val="000000" w:themeColor="text1"/>
                <w:spacing w:val="-4"/>
              </w:rPr>
              <w:t xml:space="preserve"> svými růstovými</w:t>
            </w:r>
            <w:r>
              <w:rPr>
                <w:color w:val="000000" w:themeColor="text1"/>
                <w:spacing w:val="-4"/>
              </w:rPr>
              <w:t xml:space="preserve"> tempy dlouhodobě převyšuje</w:t>
            </w:r>
            <w:r w:rsidRPr="00EB1821">
              <w:rPr>
                <w:color w:val="000000" w:themeColor="text1"/>
                <w:spacing w:val="-4"/>
              </w:rPr>
              <w:t xml:space="preserve"> </w:t>
            </w:r>
            <w:proofErr w:type="spellStart"/>
            <w:r>
              <w:rPr>
                <w:color w:val="000000" w:themeColor="text1"/>
                <w:spacing w:val="-4"/>
              </w:rPr>
              <w:t>eurozónu</w:t>
            </w:r>
            <w:proofErr w:type="spellEnd"/>
            <w:r w:rsidRPr="00EB1821">
              <w:rPr>
                <w:color w:val="000000" w:themeColor="text1"/>
                <w:spacing w:val="-4"/>
              </w:rPr>
              <w:t xml:space="preserve"> i celou EU.</w:t>
            </w:r>
            <w:r>
              <w:rPr>
                <w:color w:val="000000" w:themeColor="text1"/>
                <w:spacing w:val="-4"/>
              </w:rPr>
              <w:t xml:space="preserve"> V 1. pololetí 2015 rostl meziročně nejvíce v Irsku (+17 %), dynamiku v ČR mírně předčily již jen Maďarsko, Slovinsko a Malta (5 až 7 %). V</w:t>
            </w:r>
            <w:r w:rsidR="00707D43">
              <w:rPr>
                <w:color w:val="000000" w:themeColor="text1"/>
                <w:spacing w:val="-4"/>
              </w:rPr>
              <w:t> EU (2,4 %) podobně jako v ČR (7,5</w:t>
            </w:r>
            <w:r>
              <w:rPr>
                <w:color w:val="000000" w:themeColor="text1"/>
                <w:spacing w:val="-4"/>
              </w:rPr>
              <w:t xml:space="preserve"> %) nejvíce posílil</w:t>
            </w:r>
            <w:r w:rsidR="00F55605">
              <w:rPr>
                <w:color w:val="000000" w:themeColor="text1"/>
                <w:spacing w:val="-4"/>
              </w:rPr>
              <w:t>a</w:t>
            </w:r>
            <w:r>
              <w:rPr>
                <w:color w:val="000000" w:themeColor="text1"/>
                <w:spacing w:val="-4"/>
              </w:rPr>
              <w:t xml:space="preserve"> odvětví zaměřená</w:t>
            </w:r>
            <w:r w:rsidR="00F55605">
              <w:rPr>
                <w:color w:val="000000" w:themeColor="text1"/>
                <w:spacing w:val="-4"/>
              </w:rPr>
              <w:t xml:space="preserve"> na</w:t>
            </w:r>
            <w:r>
              <w:rPr>
                <w:color w:val="000000" w:themeColor="text1"/>
                <w:spacing w:val="-4"/>
              </w:rPr>
              <w:t xml:space="preserve"> produkci výrobků investiční povahy. Úroveň průmyslové</w:t>
            </w:r>
            <w:r w:rsidRPr="00A253FB">
              <w:rPr>
                <w:color w:val="000000" w:themeColor="text1"/>
                <w:spacing w:val="-4"/>
              </w:rPr>
              <w:t xml:space="preserve"> produkce z 1.</w:t>
            </w:r>
            <w:r w:rsidR="00F55605">
              <w:rPr>
                <w:color w:val="000000" w:themeColor="text1"/>
                <w:spacing w:val="-4"/>
              </w:rPr>
              <w:t> </w:t>
            </w:r>
            <w:r w:rsidRPr="00A253FB">
              <w:rPr>
                <w:color w:val="000000" w:themeColor="text1"/>
                <w:spacing w:val="-4"/>
              </w:rPr>
              <w:t>pololetí</w:t>
            </w:r>
            <w:r>
              <w:rPr>
                <w:color w:val="000000" w:themeColor="text1"/>
                <w:spacing w:val="-4"/>
              </w:rPr>
              <w:t xml:space="preserve"> roku 2008</w:t>
            </w:r>
            <w:r w:rsidRPr="00A253FB">
              <w:rPr>
                <w:color w:val="000000" w:themeColor="text1"/>
                <w:spacing w:val="-4"/>
              </w:rPr>
              <w:t xml:space="preserve"> dosud překonal</w:t>
            </w:r>
            <w:r>
              <w:rPr>
                <w:color w:val="000000" w:themeColor="text1"/>
                <w:spacing w:val="-4"/>
              </w:rPr>
              <w:t>o jedenáct</w:t>
            </w:r>
            <w:r w:rsidRPr="00A253FB">
              <w:rPr>
                <w:color w:val="000000" w:themeColor="text1"/>
                <w:spacing w:val="-4"/>
              </w:rPr>
              <w:t xml:space="preserve"> zemí EU</w:t>
            </w:r>
            <w:r>
              <w:rPr>
                <w:color w:val="000000" w:themeColor="text1"/>
                <w:spacing w:val="-4"/>
              </w:rPr>
              <w:t xml:space="preserve"> – vedle většiny konvergujících ekonomik (vč. ČR) také Irsko (o třetinu) a těšně též Rakousko a Belgie. Zatímco v Německu produkce stagnovala, Itálie, Španělsko, Řecko, ale také Finsko letos dosahovaly reálně pouze tří čtvrtin úrovně z vrcholu konjunktury.</w:t>
            </w:r>
          </w:p>
          <w:p w:rsidR="00DC3790" w:rsidRPr="00BB1CFD" w:rsidRDefault="00DC3790" w:rsidP="00DC3790">
            <w:pPr>
              <w:pStyle w:val="Textpoznpodarou"/>
              <w:jc w:val="both"/>
              <w:rPr>
                <w:color w:val="000000" w:themeColor="text1"/>
                <w:spacing w:val="-4"/>
                <w:sz w:val="14"/>
                <w:szCs w:val="14"/>
              </w:rPr>
            </w:pPr>
          </w:p>
        </w:tc>
      </w:tr>
      <w:tr w:rsidR="00DC3790" w:rsidTr="00DC3790">
        <w:trPr>
          <w:trHeight w:val="269"/>
        </w:trPr>
        <w:tc>
          <w:tcPr>
            <w:tcW w:w="1091" w:type="pct"/>
          </w:tcPr>
          <w:p w:rsidR="00DC3790" w:rsidRDefault="00DC3790" w:rsidP="00DC3790">
            <w:pPr>
              <w:spacing w:line="240" w:lineRule="auto"/>
              <w:rPr>
                <w:sz w:val="16"/>
                <w:szCs w:val="16"/>
              </w:rPr>
            </w:pPr>
            <w:r>
              <w:rPr>
                <w:sz w:val="16"/>
                <w:szCs w:val="16"/>
              </w:rPr>
              <w:t>Vysok</w:t>
            </w:r>
            <w:r w:rsidR="00F55605">
              <w:rPr>
                <w:sz w:val="16"/>
                <w:szCs w:val="16"/>
              </w:rPr>
              <w:t>á</w:t>
            </w:r>
            <w:r>
              <w:rPr>
                <w:sz w:val="16"/>
                <w:szCs w:val="16"/>
              </w:rPr>
              <w:t xml:space="preserve"> stavební produkce navzdory velmi vysoké loňské základně</w:t>
            </w:r>
          </w:p>
          <w:p w:rsidR="00DC3790" w:rsidRDefault="00DC3790" w:rsidP="00DC3790">
            <w:pPr>
              <w:spacing w:line="240" w:lineRule="auto"/>
              <w:rPr>
                <w:sz w:val="16"/>
                <w:szCs w:val="16"/>
              </w:rPr>
            </w:pPr>
          </w:p>
          <w:p w:rsidR="00DC3790" w:rsidRDefault="00DC3790" w:rsidP="00DC3790">
            <w:pPr>
              <w:spacing w:line="240" w:lineRule="auto"/>
              <w:rPr>
                <w:sz w:val="16"/>
                <w:szCs w:val="16"/>
              </w:rPr>
            </w:pPr>
          </w:p>
          <w:p w:rsidR="00DC3790" w:rsidRDefault="00DC3790" w:rsidP="00DC3790">
            <w:pPr>
              <w:spacing w:line="240" w:lineRule="auto"/>
              <w:rPr>
                <w:sz w:val="16"/>
                <w:szCs w:val="16"/>
              </w:rPr>
            </w:pPr>
            <w:r>
              <w:rPr>
                <w:sz w:val="16"/>
                <w:szCs w:val="16"/>
              </w:rPr>
              <w:t>Produkce inženýrského stavitelství, sycená tlakem na rychlou realizaci staveb v souvislosti s končícím programovacím období</w:t>
            </w:r>
            <w:r w:rsidR="00507040">
              <w:rPr>
                <w:sz w:val="16"/>
                <w:szCs w:val="16"/>
              </w:rPr>
              <w:t>m</w:t>
            </w:r>
            <w:r>
              <w:rPr>
                <w:sz w:val="16"/>
                <w:szCs w:val="16"/>
              </w:rPr>
              <w:t xml:space="preserve"> EU, ve 2. čtvrtletí meziročně přidala téměř 24 % </w:t>
            </w:r>
          </w:p>
        </w:tc>
        <w:tc>
          <w:tcPr>
            <w:tcW w:w="146" w:type="pct"/>
          </w:tcPr>
          <w:p w:rsidR="00DC3790" w:rsidRPr="00636F97" w:rsidRDefault="00DC3790" w:rsidP="00DC3790">
            <w:pPr>
              <w:rPr>
                <w:spacing w:val="-4"/>
                <w:szCs w:val="20"/>
              </w:rPr>
            </w:pPr>
          </w:p>
        </w:tc>
        <w:tc>
          <w:tcPr>
            <w:tcW w:w="3763" w:type="pct"/>
          </w:tcPr>
          <w:p w:rsidR="00DC3790" w:rsidRPr="00C548DF" w:rsidRDefault="00DC3790" w:rsidP="00DC3790">
            <w:pPr>
              <w:pStyle w:val="Textpoznpodarou"/>
              <w:jc w:val="both"/>
              <w:rPr>
                <w:color w:val="000000" w:themeColor="text1"/>
                <w:spacing w:val="-4"/>
              </w:rPr>
            </w:pPr>
            <w:r>
              <w:rPr>
                <w:spacing w:val="-4"/>
              </w:rPr>
              <w:t xml:space="preserve">Stavebnictví v posledních dvou letech těží nejen z celkového oživení ekonomiky a teplotně nadprůměrných zimních období, ale především z akcelerace veřejných investic do dopravních staveb. </w:t>
            </w:r>
            <w:r w:rsidRPr="001952FA">
              <w:rPr>
                <w:spacing w:val="-4"/>
              </w:rPr>
              <w:t xml:space="preserve">Stavební produkce </w:t>
            </w:r>
            <w:r>
              <w:rPr>
                <w:spacing w:val="-4"/>
              </w:rPr>
              <w:t xml:space="preserve">letos </w:t>
            </w:r>
            <w:r w:rsidRPr="001952FA">
              <w:rPr>
                <w:spacing w:val="-4"/>
              </w:rPr>
              <w:t xml:space="preserve">meziročně </w:t>
            </w:r>
            <w:r>
              <w:rPr>
                <w:spacing w:val="-4"/>
              </w:rPr>
              <w:t>zrychlovala (ze 7,7 % v 1. čtvrtletí na rovných 10 % ve 2. čtvrtletí). V úhrnu za celé pololetí dosáhlo stavebnictví druhého nejlepšího výsledku od počátku roku 2007. Podílelo se na tom především inženýrské stavitelství, které v 1. a následně i 2. čtvrtletí docílilo nejlepšího výsledku od poloviny roku 2009. Ve stínu tak zůstalo váhově dominantní pozemní stavitelství (v 1. pololetí posílilo o necelých 5 %), je</w:t>
            </w:r>
            <w:r w:rsidR="00F55605">
              <w:rPr>
                <w:spacing w:val="-4"/>
              </w:rPr>
              <w:t>muž ve</w:t>
            </w:r>
            <w:r>
              <w:rPr>
                <w:spacing w:val="-4"/>
              </w:rPr>
              <w:t xml:space="preserve"> </w:t>
            </w:r>
            <w:proofErr w:type="gramStart"/>
            <w:r>
              <w:rPr>
                <w:spacing w:val="-4"/>
              </w:rPr>
              <w:t>většímu</w:t>
            </w:r>
            <w:proofErr w:type="gramEnd"/>
            <w:r>
              <w:rPr>
                <w:spacing w:val="-4"/>
              </w:rPr>
              <w:t xml:space="preserve"> rozletu bránil také dosud „vlažný rozjezd“ bytové výstavby</w:t>
            </w:r>
            <w:r w:rsidRPr="00C548DF">
              <w:rPr>
                <w:color w:val="000000" w:themeColor="text1"/>
                <w:spacing w:val="-4"/>
              </w:rPr>
              <w:t>. Navzdory nedávnému oživení však zůstává produkce stavebnictví i ve 2. čtvrtletí o osminu pod úrovní stejného období roku 2008.</w:t>
            </w:r>
          </w:p>
          <w:p w:rsidR="00DC3790" w:rsidRPr="00BB1CFD" w:rsidRDefault="00DC3790" w:rsidP="00DC3790">
            <w:pPr>
              <w:pStyle w:val="Textpoznpodarou"/>
              <w:jc w:val="both"/>
              <w:rPr>
                <w:spacing w:val="-4"/>
                <w:sz w:val="14"/>
                <w:szCs w:val="14"/>
              </w:rPr>
            </w:pPr>
          </w:p>
        </w:tc>
      </w:tr>
      <w:tr w:rsidR="00DC3790" w:rsidTr="00DC3790">
        <w:tc>
          <w:tcPr>
            <w:tcW w:w="1091" w:type="pct"/>
          </w:tcPr>
          <w:p w:rsidR="00DC3790" w:rsidRPr="000F401E" w:rsidRDefault="00DC3790" w:rsidP="00DC3790">
            <w:pPr>
              <w:spacing w:line="240" w:lineRule="auto"/>
              <w:rPr>
                <w:sz w:val="16"/>
                <w:szCs w:val="16"/>
              </w:rPr>
            </w:pPr>
            <w:r>
              <w:rPr>
                <w:sz w:val="16"/>
                <w:szCs w:val="16"/>
              </w:rPr>
              <w:t>Celková zásoba dosud nerealizovaných zakázek (po šesti čtvrtletích růstu) meziročně ve 2. čtvrtletí 2015 opět nižší</w:t>
            </w:r>
          </w:p>
        </w:tc>
        <w:tc>
          <w:tcPr>
            <w:tcW w:w="146" w:type="pct"/>
          </w:tcPr>
          <w:p w:rsidR="00DC3790" w:rsidRDefault="00DC3790" w:rsidP="00DC3790">
            <w:pPr>
              <w:rPr>
                <w:szCs w:val="16"/>
              </w:rPr>
            </w:pPr>
          </w:p>
        </w:tc>
        <w:tc>
          <w:tcPr>
            <w:tcW w:w="3763" w:type="pct"/>
          </w:tcPr>
          <w:p w:rsidR="00DC3790" w:rsidRPr="004D4929" w:rsidRDefault="00DC3790" w:rsidP="00BB1CFD">
            <w:pPr>
              <w:pStyle w:val="Textpoznpodarou"/>
              <w:jc w:val="both"/>
              <w:rPr>
                <w:spacing w:val="-4"/>
                <w:sz w:val="16"/>
                <w:szCs w:val="16"/>
              </w:rPr>
            </w:pPr>
            <w:r w:rsidRPr="00BB1CFD">
              <w:rPr>
                <w:spacing w:val="-6"/>
              </w:rPr>
              <w:t xml:space="preserve">Stavebnictví těžilo v 1. pololetí především z vysoké zásoby loňských nových zakázek na inženýrské stavby (v hodnotě 117 mld. korun, nejvyšší po roce 2008). Nové zakázky stavebních podniků (s 50 a více zaměstnanci) byly letos meziročně vyšší jen o 2,8 %, a to pouze zásluhou pozemního stavitelství (+11 %), u inženýrských staveb se již mírně snížily. To v kombinaci s vlivem intenzivní realizace vysokého objemu loňských objednávek vedlo již na konci 2. čtvrtletí 2015 k poklesu hodnoty všech dosud </w:t>
            </w:r>
            <w:r w:rsidRPr="00BB1CFD">
              <w:rPr>
                <w:color w:val="000000" w:themeColor="text1"/>
                <w:spacing w:val="-6"/>
              </w:rPr>
              <w:t xml:space="preserve">nerealizovaných zakázek (meziročně o 7,7 %). Po pěti čtvrtletích se snížila i celková zásoba objednávek od veřejného sektoru (-1,4 %), hlubší redukce nastala u soukromé tuzemské poptávky (-5,3 %), jakož i zásoby práce ze zahraničí (která na přelomu let 2012 a 2013 dokázala částečně kompenzovat propad tuzemských zakázek). Průměrná hodnota jedné nově uzavřené zakázky meziročně stagnovala (v 1. pololetí 2015 činila </w:t>
            </w:r>
            <w:r w:rsidR="00BB1CFD" w:rsidRPr="00BB1CFD">
              <w:rPr>
                <w:color w:val="000000" w:themeColor="text1"/>
                <w:spacing w:val="-6"/>
              </w:rPr>
              <w:t>4</w:t>
            </w:r>
            <w:r w:rsidR="00BB1CFD">
              <w:rPr>
                <w:color w:val="000000" w:themeColor="text1"/>
                <w:spacing w:val="-6"/>
              </w:rPr>
              <w:t> </w:t>
            </w:r>
            <w:r w:rsidR="00BB1CFD" w:rsidRPr="00BB1CFD">
              <w:rPr>
                <w:color w:val="000000" w:themeColor="text1"/>
                <w:spacing w:val="-6"/>
              </w:rPr>
              <w:t>mil. korun).</w:t>
            </w:r>
            <w:r w:rsidRPr="00BB1CFD">
              <w:rPr>
                <w:color w:val="000000" w:themeColor="text1"/>
                <w:spacing w:val="-6"/>
              </w:rPr>
              <w:t xml:space="preserve"> Orientační hodnota na jedno vydané stavební povolení mírně klesla, vyšší</w:t>
            </w:r>
            <w:r w:rsidR="00BB1CFD">
              <w:rPr>
                <w:color w:val="000000" w:themeColor="text1"/>
                <w:spacing w:val="-6"/>
              </w:rPr>
              <w:t> </w:t>
            </w:r>
            <w:r w:rsidRPr="00BB1CFD">
              <w:rPr>
                <w:color w:val="000000" w:themeColor="text1"/>
                <w:spacing w:val="-6"/>
              </w:rPr>
              <w:t xml:space="preserve">však byla u změn dokončených staveb (3,2 mil. korun, před dvěma lety 2,4 mil. korun), u kterých se projevoval vliv větších projektů </w:t>
            </w:r>
            <w:r w:rsidR="00BB1CFD" w:rsidRPr="00BB1CFD">
              <w:rPr>
                <w:color w:val="000000" w:themeColor="text1"/>
                <w:spacing w:val="-6"/>
              </w:rPr>
              <w:t>financovaných z EU</w:t>
            </w:r>
            <w:r w:rsidRPr="00BB1CFD">
              <w:rPr>
                <w:color w:val="000000" w:themeColor="text1"/>
                <w:spacing w:val="-6"/>
              </w:rPr>
              <w:t xml:space="preserve">. </w:t>
            </w:r>
          </w:p>
        </w:tc>
      </w:tr>
      <w:tr w:rsidR="00DC3790" w:rsidTr="00DC3790">
        <w:tc>
          <w:tcPr>
            <w:tcW w:w="1091" w:type="pct"/>
          </w:tcPr>
          <w:p w:rsidR="00DC3790" w:rsidRPr="000F401E" w:rsidRDefault="00DC3790" w:rsidP="00DC3790">
            <w:pPr>
              <w:spacing w:line="240" w:lineRule="auto"/>
              <w:rPr>
                <w:sz w:val="16"/>
                <w:szCs w:val="16"/>
              </w:rPr>
            </w:pPr>
            <w:r>
              <w:rPr>
                <w:sz w:val="16"/>
                <w:szCs w:val="16"/>
              </w:rPr>
              <w:lastRenderedPageBreak/>
              <w:t>Zlepšení konjunkturálních ukazatelů ve stavebnictví, stabilizace zaměstnanosti</w:t>
            </w:r>
          </w:p>
        </w:tc>
        <w:tc>
          <w:tcPr>
            <w:tcW w:w="146" w:type="pct"/>
          </w:tcPr>
          <w:p w:rsidR="00DC3790" w:rsidRDefault="00DC3790" w:rsidP="00DC3790">
            <w:pPr>
              <w:pStyle w:val="Textpoznpodarou"/>
              <w:jc w:val="both"/>
            </w:pPr>
          </w:p>
        </w:tc>
        <w:tc>
          <w:tcPr>
            <w:tcW w:w="3763" w:type="pct"/>
          </w:tcPr>
          <w:p w:rsidR="00DC3790" w:rsidRDefault="00DC3790" w:rsidP="00DC3790">
            <w:pPr>
              <w:pStyle w:val="Textpoznpodarou"/>
              <w:jc w:val="both"/>
              <w:rPr>
                <w:color w:val="000000" w:themeColor="text1"/>
                <w:spacing w:val="-4"/>
              </w:rPr>
            </w:pPr>
            <w:r w:rsidRPr="00123FDC">
              <w:rPr>
                <w:color w:val="000000" w:themeColor="text1"/>
                <w:spacing w:val="-4"/>
              </w:rPr>
              <w:t>Souhrnné saldo důvěry podnikatelů ve stavebnictví se v trendu z</w:t>
            </w:r>
            <w:r>
              <w:rPr>
                <w:color w:val="000000" w:themeColor="text1"/>
                <w:spacing w:val="-4"/>
              </w:rPr>
              <w:t>lepšuje již od konce roku 2013 a v </w:t>
            </w:r>
            <w:r w:rsidRPr="00123FDC">
              <w:rPr>
                <w:color w:val="000000" w:themeColor="text1"/>
                <w:spacing w:val="-4"/>
              </w:rPr>
              <w:t>2. čtvrtletí 2015 nejvýše od počátku roku 2009</w:t>
            </w:r>
            <w:r>
              <w:rPr>
                <w:color w:val="000000" w:themeColor="text1"/>
                <w:spacing w:val="-4"/>
              </w:rPr>
              <w:t xml:space="preserve">. </w:t>
            </w:r>
            <w:r w:rsidRPr="005B4111">
              <w:rPr>
                <w:color w:val="000000" w:themeColor="text1"/>
                <w:spacing w:val="-4"/>
              </w:rPr>
              <w:t>Oproti srpnu 2014 se snížila negativní krátkodobá očekávání u poptávky i stavební činnosti, zároveň se zlepšily pozitivní výhledy</w:t>
            </w:r>
            <w:r>
              <w:rPr>
                <w:color w:val="000000" w:themeColor="text1"/>
                <w:spacing w:val="-4"/>
              </w:rPr>
              <w:t xml:space="preserve"> u zaměstnanosti, a to zejména u velkých podniků (v příštích třech měsících očekává růst počtu zaměstnanců čtvrtina podniků s více </w:t>
            </w:r>
            <w:r w:rsidR="00F55605">
              <w:rPr>
                <w:color w:val="000000" w:themeColor="text1"/>
                <w:spacing w:val="-4"/>
              </w:rPr>
              <w:t>než</w:t>
            </w:r>
            <w:r>
              <w:rPr>
                <w:color w:val="000000" w:themeColor="text1"/>
                <w:spacing w:val="-4"/>
              </w:rPr>
              <w:t xml:space="preserve"> 1 tis. zaměstnanců, v srpnu 2014 ale žádný z těchto podniků). Po šesti nepříznivých letech tak došlo letos ve stavebnictví ke stabilizaci zaměstnanosti, když p</w:t>
            </w:r>
            <w:r w:rsidRPr="00480D82">
              <w:rPr>
                <w:color w:val="000000" w:themeColor="text1"/>
                <w:spacing w:val="-4"/>
              </w:rPr>
              <w:t>růměrný evidenční počet zaměstnanců</w:t>
            </w:r>
            <w:r>
              <w:rPr>
                <w:color w:val="000000" w:themeColor="text1"/>
                <w:spacing w:val="-4"/>
              </w:rPr>
              <w:t xml:space="preserve"> se meziročně snížil jen v řádu promile. V úhrnu za posledních sedm let ubylo v evidenčním počtu 60 tis. zaměstnanců. </w:t>
            </w:r>
            <w:r w:rsidRPr="00C01BF8">
              <w:rPr>
                <w:color w:val="000000" w:themeColor="text1"/>
                <w:spacing w:val="-4"/>
              </w:rPr>
              <w:t>Nedostatečnou poptávku přesto považovalo v</w:t>
            </w:r>
            <w:r>
              <w:rPr>
                <w:color w:val="000000" w:themeColor="text1"/>
                <w:spacing w:val="-4"/>
              </w:rPr>
              <w:t xml:space="preserve"> srpnu</w:t>
            </w:r>
            <w:r w:rsidRPr="00C01BF8">
              <w:rPr>
                <w:color w:val="000000" w:themeColor="text1"/>
                <w:spacing w:val="-4"/>
              </w:rPr>
              <w:t xml:space="preserve"> 2015 za bariéru vyšší produkce 59</w:t>
            </w:r>
            <w:r>
              <w:rPr>
                <w:color w:val="000000" w:themeColor="text1"/>
                <w:spacing w:val="-4"/>
              </w:rPr>
              <w:t xml:space="preserve"> % podniků (v celé EU 41</w:t>
            </w:r>
            <w:r w:rsidRPr="00C01BF8">
              <w:rPr>
                <w:color w:val="000000" w:themeColor="text1"/>
                <w:spacing w:val="-4"/>
              </w:rPr>
              <w:t xml:space="preserve"> %), před rokem </w:t>
            </w:r>
            <w:r>
              <w:rPr>
                <w:color w:val="000000" w:themeColor="text1"/>
                <w:spacing w:val="-4"/>
              </w:rPr>
              <w:t>více než tři čtvrtiny</w:t>
            </w:r>
            <w:r w:rsidRPr="00C01BF8">
              <w:rPr>
                <w:color w:val="000000" w:themeColor="text1"/>
                <w:spacing w:val="-4"/>
              </w:rPr>
              <w:t xml:space="preserve"> %.</w:t>
            </w:r>
            <w:r>
              <w:rPr>
                <w:color w:val="000000" w:themeColor="text1"/>
                <w:spacing w:val="-4"/>
              </w:rPr>
              <w:t xml:space="preserve"> Podíl podniků, jimž v růstu brání nedostatek pracovní síly, se během června 2015 zvýšil na 8,5 %, což bylo nejvíce od roku 2008.</w:t>
            </w:r>
          </w:p>
          <w:p w:rsidR="00DC3790" w:rsidRPr="00CB7710" w:rsidRDefault="00DC3790" w:rsidP="00DC3790">
            <w:pPr>
              <w:pStyle w:val="Textpoznpodarou"/>
              <w:jc w:val="both"/>
              <w:rPr>
                <w:color w:val="000000" w:themeColor="text1"/>
                <w:spacing w:val="-4"/>
                <w:sz w:val="16"/>
                <w:szCs w:val="16"/>
              </w:rPr>
            </w:pPr>
          </w:p>
        </w:tc>
      </w:tr>
      <w:tr w:rsidR="00DC3790" w:rsidTr="00BB1CFD">
        <w:tc>
          <w:tcPr>
            <w:tcW w:w="1091" w:type="pct"/>
          </w:tcPr>
          <w:p w:rsidR="00DC3790" w:rsidRDefault="00DC3790" w:rsidP="00DC3790">
            <w:pPr>
              <w:spacing w:line="240" w:lineRule="auto"/>
              <w:rPr>
                <w:sz w:val="16"/>
                <w:szCs w:val="16"/>
              </w:rPr>
            </w:pPr>
            <w:r>
              <w:rPr>
                <w:sz w:val="16"/>
                <w:szCs w:val="16"/>
              </w:rPr>
              <w:t>Mírné oživení zahajované i dokončované bytové výstavby</w:t>
            </w:r>
          </w:p>
          <w:p w:rsidR="00DC3790" w:rsidRDefault="00DC3790" w:rsidP="00DC3790">
            <w:pPr>
              <w:spacing w:line="240" w:lineRule="auto"/>
              <w:rPr>
                <w:sz w:val="16"/>
                <w:szCs w:val="16"/>
              </w:rPr>
            </w:pPr>
          </w:p>
          <w:p w:rsidR="00DC3790" w:rsidRDefault="00DC3790" w:rsidP="00DC3790">
            <w:pPr>
              <w:spacing w:line="240" w:lineRule="auto"/>
              <w:rPr>
                <w:sz w:val="16"/>
                <w:szCs w:val="16"/>
              </w:rPr>
            </w:pPr>
          </w:p>
          <w:p w:rsidR="00DC3790" w:rsidRDefault="00DC3790" w:rsidP="00DC3790">
            <w:pPr>
              <w:spacing w:line="240" w:lineRule="auto"/>
              <w:rPr>
                <w:sz w:val="16"/>
                <w:szCs w:val="16"/>
              </w:rPr>
            </w:pPr>
            <w:r>
              <w:rPr>
                <w:sz w:val="16"/>
                <w:szCs w:val="16"/>
              </w:rPr>
              <w:t>Proti 1. pololetí 2008 bylo letos dokončených bytů téměř o 30 % méně, zahájených pak o 40 % méně (u bytových domů dokonce o více než polovinu)</w:t>
            </w:r>
          </w:p>
        </w:tc>
        <w:tc>
          <w:tcPr>
            <w:tcW w:w="146" w:type="pct"/>
          </w:tcPr>
          <w:p w:rsidR="00DC3790" w:rsidRDefault="00DC3790" w:rsidP="00DC3790">
            <w:pPr>
              <w:pStyle w:val="Textpoznpodarou"/>
              <w:jc w:val="both"/>
              <w:rPr>
                <w:spacing w:val="-2"/>
              </w:rPr>
            </w:pPr>
          </w:p>
        </w:tc>
        <w:tc>
          <w:tcPr>
            <w:tcW w:w="3763" w:type="pct"/>
          </w:tcPr>
          <w:p w:rsidR="00DC3790" w:rsidRPr="00AA2C15" w:rsidRDefault="00DC3790" w:rsidP="00DC3790">
            <w:pPr>
              <w:pStyle w:val="Textpoznpodarou"/>
              <w:jc w:val="both"/>
              <w:rPr>
                <w:color w:val="000000" w:themeColor="text1"/>
                <w:spacing w:val="-4"/>
              </w:rPr>
            </w:pPr>
            <w:r>
              <w:rPr>
                <w:color w:val="000000" w:themeColor="text1"/>
                <w:spacing w:val="-4"/>
              </w:rPr>
              <w:t>Současné trendy na t</w:t>
            </w:r>
            <w:r w:rsidRPr="00AA2C15">
              <w:rPr>
                <w:color w:val="000000" w:themeColor="text1"/>
                <w:spacing w:val="-4"/>
              </w:rPr>
              <w:t>rh</w:t>
            </w:r>
            <w:r>
              <w:rPr>
                <w:color w:val="000000" w:themeColor="text1"/>
                <w:spacing w:val="-4"/>
              </w:rPr>
              <w:t>u</w:t>
            </w:r>
            <w:r w:rsidRPr="00AA2C15">
              <w:rPr>
                <w:color w:val="000000" w:themeColor="text1"/>
                <w:spacing w:val="-4"/>
              </w:rPr>
              <w:t xml:space="preserve"> s byty </w:t>
            </w:r>
            <w:r>
              <w:rPr>
                <w:color w:val="000000" w:themeColor="text1"/>
                <w:spacing w:val="-4"/>
              </w:rPr>
              <w:t>probíhají v kontextu rostoucí kupní síly i převažujícího pozitivního naladění domácností, zlepšujícího se trhu</w:t>
            </w:r>
            <w:r w:rsidRPr="00AA2C15">
              <w:rPr>
                <w:color w:val="000000" w:themeColor="text1"/>
                <w:spacing w:val="-4"/>
              </w:rPr>
              <w:t xml:space="preserve"> práce, </w:t>
            </w:r>
            <w:r>
              <w:rPr>
                <w:color w:val="000000" w:themeColor="text1"/>
                <w:spacing w:val="-4"/>
              </w:rPr>
              <w:t xml:space="preserve">obratu v </w:t>
            </w:r>
            <w:r w:rsidR="00F55605">
              <w:rPr>
                <w:color w:val="000000" w:themeColor="text1"/>
                <w:spacing w:val="-4"/>
              </w:rPr>
              <w:t>historicky nízkých úrokových sazbách</w:t>
            </w:r>
            <w:r w:rsidRPr="00AA2C15">
              <w:rPr>
                <w:color w:val="000000" w:themeColor="text1"/>
                <w:spacing w:val="-4"/>
              </w:rPr>
              <w:t xml:space="preserve"> hypoték, </w:t>
            </w:r>
            <w:r>
              <w:rPr>
                <w:color w:val="000000" w:themeColor="text1"/>
                <w:spacing w:val="-4"/>
              </w:rPr>
              <w:t xml:space="preserve">postupného růstu nabídkových cen bytů v Praze i ostatních regionech, </w:t>
            </w:r>
            <w:r w:rsidRPr="00AA2C15">
              <w:rPr>
                <w:color w:val="000000" w:themeColor="text1"/>
                <w:spacing w:val="-4"/>
              </w:rPr>
              <w:t xml:space="preserve">ale </w:t>
            </w:r>
            <w:r>
              <w:rPr>
                <w:color w:val="000000" w:themeColor="text1"/>
                <w:spacing w:val="-4"/>
              </w:rPr>
              <w:t>také stále</w:t>
            </w:r>
            <w:r w:rsidR="00507040">
              <w:rPr>
                <w:color w:val="000000" w:themeColor="text1"/>
                <w:spacing w:val="-4"/>
              </w:rPr>
              <w:t xml:space="preserve"> přetrvávajícího vysokého počtu</w:t>
            </w:r>
            <w:r w:rsidRPr="00AA2C15">
              <w:rPr>
                <w:color w:val="000000" w:themeColor="text1"/>
                <w:spacing w:val="-4"/>
              </w:rPr>
              <w:t xml:space="preserve"> volných bytů postavených v době konjunktury</w:t>
            </w:r>
            <w:r>
              <w:rPr>
                <w:color w:val="000000" w:themeColor="text1"/>
                <w:spacing w:val="-4"/>
              </w:rPr>
              <w:t xml:space="preserve">. </w:t>
            </w:r>
            <w:r w:rsidRPr="006B6D80">
              <w:rPr>
                <w:color w:val="000000" w:themeColor="text1"/>
                <w:spacing w:val="-4"/>
              </w:rPr>
              <w:t>Počet zahájených bytů v 1. pololetí (12,9 tis.) meziročně vzrostl o necelých 7 % (</w:t>
            </w:r>
            <w:r>
              <w:rPr>
                <w:color w:val="000000" w:themeColor="text1"/>
                <w:spacing w:val="-4"/>
              </w:rPr>
              <w:t xml:space="preserve">proti </w:t>
            </w:r>
            <w:r w:rsidRPr="006B6D80">
              <w:rPr>
                <w:color w:val="000000" w:themeColor="text1"/>
                <w:spacing w:val="-4"/>
              </w:rPr>
              <w:t>extrémně nízké předloňské hodnotě o šestinu).</w:t>
            </w:r>
            <w:r>
              <w:rPr>
                <w:color w:val="000000" w:themeColor="text1"/>
                <w:spacing w:val="-4"/>
              </w:rPr>
              <w:t xml:space="preserve"> Růst se týkal všech druhů</w:t>
            </w:r>
            <w:r w:rsidRPr="006B6D80">
              <w:rPr>
                <w:color w:val="000000" w:themeColor="text1"/>
                <w:spacing w:val="-4"/>
              </w:rPr>
              <w:t xml:space="preserve"> staveb vyjma nástaveb k rodinným domům, jichž </w:t>
            </w:r>
            <w:r>
              <w:rPr>
                <w:color w:val="000000" w:themeColor="text1"/>
                <w:spacing w:val="-4"/>
              </w:rPr>
              <w:t xml:space="preserve">bylo zahájeno nejméně od poloviny 90. let. Na Prahu a Středočeský kraj připadalo téměř 42 % zahájených bytů, nejvíce od roku 2005. Počet dokončených bytů se </w:t>
            </w:r>
            <w:r w:rsidR="00F55605">
              <w:rPr>
                <w:color w:val="000000" w:themeColor="text1"/>
                <w:spacing w:val="-4"/>
              </w:rPr>
              <w:t>„</w:t>
            </w:r>
            <w:r>
              <w:rPr>
                <w:color w:val="000000" w:themeColor="text1"/>
                <w:spacing w:val="-4"/>
              </w:rPr>
              <w:t>odrazil ode dna</w:t>
            </w:r>
            <w:r w:rsidR="00F55605">
              <w:rPr>
                <w:color w:val="000000" w:themeColor="text1"/>
                <w:spacing w:val="-4"/>
              </w:rPr>
              <w:t>“</w:t>
            </w:r>
            <w:r>
              <w:rPr>
                <w:color w:val="000000" w:themeColor="text1"/>
                <w:spacing w:val="-4"/>
              </w:rPr>
              <w:t xml:space="preserve"> (meziročně +11 %), téměř výhradně zásluhou bytových domů, kterých se v rámci 1. pololetí letos dokončilo nejvíce z</w:t>
            </w:r>
            <w:r w:rsidR="00507040">
              <w:rPr>
                <w:color w:val="000000" w:themeColor="text1"/>
                <w:spacing w:val="-4"/>
              </w:rPr>
              <w:t>a</w:t>
            </w:r>
            <w:r>
              <w:rPr>
                <w:color w:val="000000" w:themeColor="text1"/>
                <w:spacing w:val="-4"/>
              </w:rPr>
              <w:t xml:space="preserve"> posledních pět let.  </w:t>
            </w:r>
          </w:p>
          <w:p w:rsidR="00DC3790" w:rsidRPr="00130599" w:rsidRDefault="00DC3790" w:rsidP="00DC3790">
            <w:pPr>
              <w:pStyle w:val="Textpoznpodarou"/>
              <w:jc w:val="both"/>
              <w:rPr>
                <w:spacing w:val="-4"/>
                <w:sz w:val="16"/>
                <w:szCs w:val="16"/>
              </w:rPr>
            </w:pPr>
          </w:p>
        </w:tc>
      </w:tr>
      <w:tr w:rsidR="00DC3790" w:rsidTr="00BB1CFD">
        <w:tc>
          <w:tcPr>
            <w:tcW w:w="1091" w:type="pct"/>
          </w:tcPr>
          <w:p w:rsidR="00DC3790" w:rsidRPr="0032604E" w:rsidRDefault="00DC3790" w:rsidP="00DC3790">
            <w:pPr>
              <w:spacing w:line="240" w:lineRule="auto"/>
              <w:rPr>
                <w:color w:val="000000" w:themeColor="text1"/>
                <w:sz w:val="16"/>
                <w:szCs w:val="16"/>
              </w:rPr>
            </w:pPr>
            <w:r w:rsidRPr="0032604E">
              <w:rPr>
                <w:color w:val="000000" w:themeColor="text1"/>
                <w:sz w:val="16"/>
                <w:szCs w:val="16"/>
              </w:rPr>
              <w:t>Tržby ve službách zrychlily dynamiku (při současném poklesu cen), meziročně rostly nejvíce za posledních sedm let</w:t>
            </w:r>
          </w:p>
        </w:tc>
        <w:tc>
          <w:tcPr>
            <w:tcW w:w="146" w:type="pct"/>
          </w:tcPr>
          <w:p w:rsidR="00DC3790" w:rsidRDefault="00DC3790" w:rsidP="00DC3790">
            <w:pPr>
              <w:pStyle w:val="Textpoznpodarou"/>
              <w:jc w:val="both"/>
              <w:rPr>
                <w:spacing w:val="-2"/>
              </w:rPr>
            </w:pPr>
          </w:p>
        </w:tc>
        <w:tc>
          <w:tcPr>
            <w:tcW w:w="3763" w:type="pct"/>
          </w:tcPr>
          <w:p w:rsidR="00DC3790" w:rsidRPr="00764D95" w:rsidRDefault="00DC3790" w:rsidP="00DC3790">
            <w:pPr>
              <w:pStyle w:val="Textpoznpodarou"/>
              <w:jc w:val="both"/>
              <w:rPr>
                <w:spacing w:val="-4"/>
              </w:rPr>
            </w:pPr>
            <w:r w:rsidRPr="00764D95">
              <w:rPr>
                <w:spacing w:val="-4"/>
              </w:rPr>
              <w:t xml:space="preserve">Ve službách </w:t>
            </w:r>
            <w:r>
              <w:rPr>
                <w:spacing w:val="-4"/>
              </w:rPr>
              <w:t xml:space="preserve">vlivem jejich značné vnitřní různorodosti se oživení ekonomiky projevovalo s jistým </w:t>
            </w:r>
            <w:r w:rsidRPr="001E0AEC">
              <w:rPr>
                <w:color w:val="000000" w:themeColor="text1"/>
                <w:spacing w:val="-4"/>
              </w:rPr>
              <w:t>zpožděním. Tržby ve vybraných službách</w:t>
            </w:r>
            <w:r w:rsidRPr="001E0AEC">
              <w:rPr>
                <w:color w:val="000000" w:themeColor="text1"/>
                <w:spacing w:val="-4"/>
                <w:vertAlign w:val="superscript"/>
              </w:rPr>
              <w:footnoteReference w:id="8"/>
            </w:r>
            <w:r w:rsidRPr="001E0AEC">
              <w:rPr>
                <w:color w:val="000000" w:themeColor="text1"/>
                <w:spacing w:val="-4"/>
              </w:rPr>
              <w:t xml:space="preserve"> zaznamenaly klíčový obrat až s počátkem roku 2015. Zatímco ještě v posledním loňském čtvrtletí meziročně mírn</w:t>
            </w:r>
            <w:r w:rsidR="00F55605">
              <w:rPr>
                <w:color w:val="000000" w:themeColor="text1"/>
                <w:spacing w:val="-4"/>
              </w:rPr>
              <w:t>ě</w:t>
            </w:r>
            <w:r w:rsidRPr="001E0AEC">
              <w:rPr>
                <w:color w:val="000000" w:themeColor="text1"/>
                <w:spacing w:val="-4"/>
              </w:rPr>
              <w:t xml:space="preserve"> oslabily (o 0,7 %), na počátku letošního roku tempo tržeb prudce zrychlilo (na 3 %, nejvíce od konce roku 2007), podobné růstové tempo si služby </w:t>
            </w:r>
            <w:r>
              <w:rPr>
                <w:color w:val="000000" w:themeColor="text1"/>
                <w:spacing w:val="-4"/>
              </w:rPr>
              <w:t xml:space="preserve">udržely </w:t>
            </w:r>
            <w:r w:rsidRPr="001E0AEC">
              <w:rPr>
                <w:color w:val="000000" w:themeColor="text1"/>
                <w:spacing w:val="-4"/>
              </w:rPr>
              <w:t>i v následujícím čtvrtletí.</w:t>
            </w:r>
            <w:r>
              <w:rPr>
                <w:color w:val="000000" w:themeColor="text1"/>
                <w:spacing w:val="-4"/>
              </w:rPr>
              <w:t xml:space="preserve"> Významné oživení služeb probíhalo letos netradičně při současném poklesu cen, a to především v </w:t>
            </w:r>
            <w:r w:rsidRPr="00A649E2">
              <w:rPr>
                <w:color w:val="000000" w:themeColor="text1"/>
                <w:spacing w:val="-4"/>
              </w:rPr>
              <w:t>letecké dopravě či skladování (v důsledku prudkého poklesu cen ropy na světových trzích), ale i v telekomunikacích (kde je pokles cen dlouhodobějším jevem) a také u pracovních agentur (</w:t>
            </w:r>
            <w:r>
              <w:rPr>
                <w:color w:val="000000" w:themeColor="text1"/>
                <w:spacing w:val="-4"/>
              </w:rPr>
              <w:t>z</w:t>
            </w:r>
            <w:r w:rsidRPr="00A649E2">
              <w:rPr>
                <w:color w:val="000000" w:themeColor="text1"/>
                <w:spacing w:val="-4"/>
              </w:rPr>
              <w:t>de ovšem ceny v předchozích dvou letech naopak citelně rostly).</w:t>
            </w:r>
          </w:p>
          <w:p w:rsidR="00DC3790" w:rsidRPr="006D142E" w:rsidRDefault="00DC3790" w:rsidP="00DC3790">
            <w:pPr>
              <w:pStyle w:val="Textpoznpodarou"/>
              <w:jc w:val="both"/>
              <w:rPr>
                <w:spacing w:val="-4"/>
                <w:sz w:val="16"/>
                <w:szCs w:val="16"/>
              </w:rPr>
            </w:pPr>
          </w:p>
        </w:tc>
      </w:tr>
      <w:tr w:rsidR="00DC3790" w:rsidTr="00BB1CFD">
        <w:tc>
          <w:tcPr>
            <w:tcW w:w="1091" w:type="pct"/>
          </w:tcPr>
          <w:p w:rsidR="00DC3790" w:rsidRDefault="00DC3790" w:rsidP="00DC3790">
            <w:pPr>
              <w:spacing w:line="240" w:lineRule="auto"/>
              <w:rPr>
                <w:sz w:val="16"/>
                <w:szCs w:val="16"/>
              </w:rPr>
            </w:pPr>
            <w:r w:rsidRPr="00367CB0">
              <w:rPr>
                <w:sz w:val="16"/>
                <w:szCs w:val="16"/>
              </w:rPr>
              <w:t>Profesní, vědecké a technické činnosti táhly vzhůru zejména architektonické a inženýrské činnosti</w:t>
            </w:r>
          </w:p>
          <w:p w:rsidR="00DC3790" w:rsidRDefault="00DC3790" w:rsidP="00DC3790">
            <w:pPr>
              <w:spacing w:line="240" w:lineRule="auto"/>
              <w:rPr>
                <w:sz w:val="16"/>
                <w:szCs w:val="16"/>
              </w:rPr>
            </w:pPr>
          </w:p>
          <w:p w:rsidR="00DC3790" w:rsidRDefault="00DC3790" w:rsidP="00DC3790">
            <w:pPr>
              <w:spacing w:line="240" w:lineRule="auto"/>
              <w:rPr>
                <w:sz w:val="16"/>
                <w:szCs w:val="16"/>
              </w:rPr>
            </w:pPr>
          </w:p>
          <w:p w:rsidR="00DC3790" w:rsidRPr="00367CB0" w:rsidRDefault="00DC3790" w:rsidP="00DC3790">
            <w:pPr>
              <w:spacing w:line="240" w:lineRule="auto"/>
              <w:rPr>
                <w:sz w:val="16"/>
                <w:szCs w:val="16"/>
              </w:rPr>
            </w:pPr>
            <w:r>
              <w:rPr>
                <w:sz w:val="16"/>
                <w:szCs w:val="16"/>
              </w:rPr>
              <w:t xml:space="preserve">Rekordním výsledkům ubytování a pohostinství ve 2. čtvrtletí pomohlo </w:t>
            </w:r>
            <w:proofErr w:type="gramStart"/>
            <w:r>
              <w:rPr>
                <w:sz w:val="16"/>
                <w:szCs w:val="16"/>
              </w:rPr>
              <w:t>pořád</w:t>
            </w:r>
            <w:r w:rsidR="00F55605">
              <w:rPr>
                <w:sz w:val="16"/>
                <w:szCs w:val="16"/>
              </w:rPr>
              <w:t>a</w:t>
            </w:r>
            <w:r>
              <w:rPr>
                <w:sz w:val="16"/>
                <w:szCs w:val="16"/>
              </w:rPr>
              <w:t>ní</w:t>
            </w:r>
            <w:proofErr w:type="gramEnd"/>
            <w:r>
              <w:rPr>
                <w:sz w:val="16"/>
                <w:szCs w:val="16"/>
              </w:rPr>
              <w:t xml:space="preserve"> sportovních i kulturních aktivit</w:t>
            </w:r>
          </w:p>
          <w:p w:rsidR="00DC3790" w:rsidRPr="0032604E" w:rsidRDefault="00DC3790" w:rsidP="00DC3790">
            <w:pPr>
              <w:spacing w:line="240" w:lineRule="auto"/>
              <w:rPr>
                <w:color w:val="000000" w:themeColor="text1"/>
                <w:sz w:val="16"/>
                <w:szCs w:val="16"/>
              </w:rPr>
            </w:pPr>
          </w:p>
        </w:tc>
        <w:tc>
          <w:tcPr>
            <w:tcW w:w="146" w:type="pct"/>
          </w:tcPr>
          <w:p w:rsidR="00DC3790" w:rsidRDefault="00DC3790" w:rsidP="00DC3790">
            <w:pPr>
              <w:pStyle w:val="Textpoznpodarou"/>
              <w:jc w:val="both"/>
              <w:rPr>
                <w:spacing w:val="-2"/>
              </w:rPr>
            </w:pPr>
          </w:p>
        </w:tc>
        <w:tc>
          <w:tcPr>
            <w:tcW w:w="3763" w:type="pct"/>
          </w:tcPr>
          <w:p w:rsidR="00DC3790" w:rsidRDefault="00DC3790" w:rsidP="00DC3790">
            <w:pPr>
              <w:pStyle w:val="Textpoznpodarou"/>
              <w:jc w:val="both"/>
              <w:rPr>
                <w:spacing w:val="-4"/>
              </w:rPr>
            </w:pPr>
            <w:r>
              <w:rPr>
                <w:spacing w:val="-4"/>
              </w:rPr>
              <w:t>Tržby v dopravě a skladování, které v podmínkách ČR obvykle reagují na ekonomický cyklus poměrně pružně, v 1. pololetí 2015 reálně meziročně stagnovaly. Váhově významná pozemní a potrubní doprava (+4,1 %) stačila kompenzovat niž</w:t>
            </w:r>
            <w:r w:rsidR="00707D43">
              <w:rPr>
                <w:spacing w:val="-4"/>
              </w:rPr>
              <w:t>ší tržby v letecké dopravě (-2,1</w:t>
            </w:r>
            <w:r>
              <w:rPr>
                <w:spacing w:val="-4"/>
              </w:rPr>
              <w:t xml:space="preserve"> %) a zejména skladování (-4,8 %), jehož vývoj byl významně ovlivněn vysokou meziroční základnou. </w:t>
            </w:r>
            <w:r w:rsidR="00F55605">
              <w:rPr>
                <w:spacing w:val="-4"/>
              </w:rPr>
              <w:t>K</w:t>
            </w:r>
            <w:r>
              <w:rPr>
                <w:spacing w:val="-4"/>
              </w:rPr>
              <w:t> obratu ve službách významně přispěly p</w:t>
            </w:r>
            <w:r w:rsidRPr="002B161C">
              <w:rPr>
                <w:spacing w:val="-4"/>
              </w:rPr>
              <w:t xml:space="preserve">rofesní, vědecké a </w:t>
            </w:r>
            <w:r w:rsidRPr="00367CB0">
              <w:rPr>
                <w:color w:val="000000" w:themeColor="text1"/>
                <w:spacing w:val="-4"/>
              </w:rPr>
              <w:t>technické činnosti, kde na počátku roku vzrostly tržby poprvé po jedenácti čtvrtletích a</w:t>
            </w:r>
            <w:r w:rsidR="00707D43">
              <w:rPr>
                <w:color w:val="000000" w:themeColor="text1"/>
                <w:spacing w:val="-4"/>
              </w:rPr>
              <w:t xml:space="preserve"> za celé 1. pololetí přidaly 3,6</w:t>
            </w:r>
            <w:r w:rsidRPr="00367CB0">
              <w:rPr>
                <w:color w:val="000000" w:themeColor="text1"/>
                <w:spacing w:val="-4"/>
              </w:rPr>
              <w:t xml:space="preserve"> % (nejvíce od konce roku 2007). Na vlně silné</w:t>
            </w:r>
            <w:r w:rsidR="003736B5">
              <w:rPr>
                <w:color w:val="000000" w:themeColor="text1"/>
                <w:spacing w:val="-4"/>
              </w:rPr>
              <w:t>ho</w:t>
            </w:r>
            <w:r w:rsidRPr="00367CB0">
              <w:rPr>
                <w:color w:val="000000" w:themeColor="text1"/>
                <w:spacing w:val="-4"/>
              </w:rPr>
              <w:t xml:space="preserve"> růstu stavebnictví se dařilo především činnostem souvisejícím s projektováním.</w:t>
            </w:r>
            <w:r w:rsidRPr="00E42D2E">
              <w:rPr>
                <w:color w:val="FF0000"/>
                <w:spacing w:val="-4"/>
              </w:rPr>
              <w:t xml:space="preserve"> </w:t>
            </w:r>
            <w:r w:rsidRPr="004963E7">
              <w:rPr>
                <w:color w:val="000000" w:themeColor="text1"/>
                <w:spacing w:val="-4"/>
              </w:rPr>
              <w:t>Tržby administrativních a podpůrných činností (+6,3 %) táhly t</w:t>
            </w:r>
            <w:r w:rsidR="00707D43">
              <w:rPr>
                <w:color w:val="000000" w:themeColor="text1"/>
                <w:spacing w:val="-4"/>
              </w:rPr>
              <w:t>radičně pracovní agentury (+19,3</w:t>
            </w:r>
            <w:r w:rsidRPr="004963E7">
              <w:rPr>
                <w:color w:val="000000" w:themeColor="text1"/>
                <w:spacing w:val="-4"/>
              </w:rPr>
              <w:t xml:space="preserve"> %, nepřetržitý růst po 21 čtvrtletí v řadě), v dlouhodobém útlumu pokr</w:t>
            </w:r>
            <w:r w:rsidR="00707D43">
              <w:rPr>
                <w:color w:val="000000" w:themeColor="text1"/>
                <w:spacing w:val="-4"/>
              </w:rPr>
              <w:t>ačovaly cestovní kanceláře (-6,6</w:t>
            </w:r>
            <w:r w:rsidRPr="004963E7">
              <w:rPr>
                <w:color w:val="000000" w:themeColor="text1"/>
                <w:spacing w:val="-4"/>
              </w:rPr>
              <w:t xml:space="preserve"> %), od jejichž služeb mohly část zákazníků odradit i rostoucí ceny zahraničních dovolených.</w:t>
            </w:r>
            <w:r>
              <w:rPr>
                <w:color w:val="000000" w:themeColor="text1"/>
                <w:spacing w:val="-4"/>
              </w:rPr>
              <w:t xml:space="preserve"> Naopak již dvacet čtvrtletí</w:t>
            </w:r>
            <w:r w:rsidR="00F55605">
              <w:rPr>
                <w:color w:val="000000" w:themeColor="text1"/>
                <w:spacing w:val="-4"/>
              </w:rPr>
              <w:t xml:space="preserve"> v</w:t>
            </w:r>
            <w:r>
              <w:rPr>
                <w:color w:val="000000" w:themeColor="text1"/>
                <w:spacing w:val="-4"/>
              </w:rPr>
              <w:t xml:space="preserve"> řadě rostly tržby ubytovatelů, ve 2. čtvrtletí zrychlily meziročně o desetinu. Rekordně utržili ve stejném období i v pohostinství a stravování (+5,2 %, nejvíce od 4. čtvrtletí 2005). Nejvyššího růstu od vrcholu konjunktury dosáhly v 1. pololetí (+5,1 %) také </w:t>
            </w:r>
            <w:r w:rsidRPr="0032604E">
              <w:rPr>
                <w:color w:val="000000" w:themeColor="text1"/>
                <w:spacing w:val="-4"/>
              </w:rPr>
              <w:t>informační a komunikační činnosti.</w:t>
            </w:r>
          </w:p>
          <w:p w:rsidR="00DC3790" w:rsidRPr="00C6308B" w:rsidRDefault="00DC3790" w:rsidP="00DC3790">
            <w:pPr>
              <w:pStyle w:val="Textpoznpodarou"/>
              <w:jc w:val="both"/>
              <w:rPr>
                <w:spacing w:val="-4"/>
                <w:sz w:val="16"/>
                <w:szCs w:val="16"/>
              </w:rPr>
            </w:pPr>
          </w:p>
        </w:tc>
      </w:tr>
      <w:tr w:rsidR="00BB1CFD" w:rsidTr="00BB1CFD">
        <w:tc>
          <w:tcPr>
            <w:tcW w:w="1091" w:type="pct"/>
          </w:tcPr>
          <w:p w:rsidR="00BB1CFD" w:rsidRDefault="00BB1CFD" w:rsidP="00BB1CFD">
            <w:pPr>
              <w:spacing w:line="240" w:lineRule="auto"/>
              <w:rPr>
                <w:color w:val="000000" w:themeColor="text1"/>
                <w:sz w:val="16"/>
                <w:szCs w:val="16"/>
              </w:rPr>
            </w:pPr>
            <w:r w:rsidRPr="00390A05">
              <w:rPr>
                <w:color w:val="000000" w:themeColor="text1"/>
                <w:sz w:val="16"/>
                <w:szCs w:val="16"/>
              </w:rPr>
              <w:t>Maloobchodní tržby (bez motoristického segmentu) vzrostly meziročně nejvíce za posledních sedm let</w:t>
            </w:r>
          </w:p>
          <w:p w:rsidR="00707D43" w:rsidRDefault="00707D43" w:rsidP="00BB1CFD">
            <w:pPr>
              <w:spacing w:line="240" w:lineRule="auto"/>
              <w:rPr>
                <w:color w:val="000000" w:themeColor="text1"/>
                <w:sz w:val="16"/>
                <w:szCs w:val="16"/>
              </w:rPr>
            </w:pPr>
          </w:p>
          <w:p w:rsidR="00707D43" w:rsidRDefault="00707D43" w:rsidP="00BB1CFD">
            <w:pPr>
              <w:spacing w:line="240" w:lineRule="auto"/>
              <w:rPr>
                <w:color w:val="000000" w:themeColor="text1"/>
                <w:sz w:val="16"/>
                <w:szCs w:val="16"/>
              </w:rPr>
            </w:pPr>
          </w:p>
          <w:p w:rsidR="00707D43" w:rsidRDefault="00707D43" w:rsidP="00BB1CFD">
            <w:pPr>
              <w:spacing w:line="240" w:lineRule="auto"/>
              <w:rPr>
                <w:color w:val="000000" w:themeColor="text1"/>
                <w:sz w:val="16"/>
                <w:szCs w:val="16"/>
              </w:rPr>
            </w:pPr>
          </w:p>
          <w:p w:rsidR="00707D43" w:rsidRDefault="00707D43" w:rsidP="00BB1CFD">
            <w:pPr>
              <w:spacing w:line="240" w:lineRule="auto"/>
              <w:rPr>
                <w:spacing w:val="-2"/>
                <w:sz w:val="16"/>
                <w:szCs w:val="16"/>
              </w:rPr>
            </w:pPr>
          </w:p>
          <w:p w:rsidR="00BB1CFD" w:rsidRDefault="00BB1CFD" w:rsidP="00BB1CFD">
            <w:pPr>
              <w:spacing w:line="240" w:lineRule="auto"/>
              <w:rPr>
                <w:spacing w:val="-2"/>
                <w:sz w:val="16"/>
                <w:szCs w:val="16"/>
              </w:rPr>
            </w:pPr>
          </w:p>
          <w:p w:rsidR="00BB1CFD" w:rsidRPr="00C548DF" w:rsidRDefault="00BB1CFD" w:rsidP="00BB1CFD">
            <w:pPr>
              <w:spacing w:line="240" w:lineRule="auto"/>
              <w:rPr>
                <w:color w:val="000000" w:themeColor="text1"/>
                <w:sz w:val="16"/>
                <w:szCs w:val="16"/>
              </w:rPr>
            </w:pPr>
            <w:r w:rsidRPr="00C548DF">
              <w:rPr>
                <w:color w:val="000000" w:themeColor="text1"/>
                <w:sz w:val="16"/>
                <w:szCs w:val="16"/>
              </w:rPr>
              <w:lastRenderedPageBreak/>
              <w:t xml:space="preserve">Vyšší tržby za zboží ve specializovaných prodejnách ve všech hlavních sortimentních skupinách  </w:t>
            </w:r>
          </w:p>
          <w:p w:rsidR="00BB1CFD" w:rsidRPr="00C548DF" w:rsidRDefault="00BB1CFD" w:rsidP="00BB1CFD">
            <w:pPr>
              <w:spacing w:line="240" w:lineRule="auto"/>
              <w:rPr>
                <w:color w:val="000000" w:themeColor="text1"/>
                <w:sz w:val="16"/>
                <w:szCs w:val="16"/>
              </w:rPr>
            </w:pPr>
          </w:p>
          <w:p w:rsidR="00BB1CFD" w:rsidRPr="00C548DF" w:rsidRDefault="00BB1CFD" w:rsidP="00BB1CFD">
            <w:pPr>
              <w:spacing w:line="240" w:lineRule="auto"/>
              <w:rPr>
                <w:color w:val="000000" w:themeColor="text1"/>
                <w:sz w:val="16"/>
                <w:szCs w:val="16"/>
              </w:rPr>
            </w:pPr>
          </w:p>
          <w:p w:rsidR="00BB1CFD" w:rsidRPr="00C548DF" w:rsidRDefault="00BB1CFD" w:rsidP="00BB1CFD">
            <w:pPr>
              <w:spacing w:line="240" w:lineRule="auto"/>
              <w:rPr>
                <w:color w:val="000000" w:themeColor="text1"/>
                <w:sz w:val="16"/>
                <w:szCs w:val="16"/>
              </w:rPr>
            </w:pPr>
          </w:p>
          <w:p w:rsidR="00BB1CFD" w:rsidRPr="00C548DF" w:rsidRDefault="00BB1CFD" w:rsidP="00BB1CFD">
            <w:pPr>
              <w:spacing w:line="240" w:lineRule="auto"/>
              <w:rPr>
                <w:color w:val="000000" w:themeColor="text1"/>
                <w:sz w:val="16"/>
                <w:szCs w:val="16"/>
              </w:rPr>
            </w:pPr>
            <w:r w:rsidRPr="00C548DF">
              <w:rPr>
                <w:color w:val="000000" w:themeColor="text1"/>
                <w:sz w:val="16"/>
                <w:szCs w:val="16"/>
              </w:rPr>
              <w:t>Růst tržeb za potravinářské zboží v ČR</w:t>
            </w:r>
            <w:r w:rsidRPr="00C548DF">
              <w:rPr>
                <w:rStyle w:val="Znakapoznpodarou"/>
                <w:color w:val="000000" w:themeColor="text1"/>
                <w:sz w:val="16"/>
                <w:szCs w:val="16"/>
              </w:rPr>
              <w:footnoteReference w:id="9"/>
            </w:r>
            <w:r w:rsidRPr="00C548DF">
              <w:rPr>
                <w:color w:val="000000" w:themeColor="text1"/>
                <w:sz w:val="16"/>
                <w:szCs w:val="16"/>
              </w:rPr>
              <w:t xml:space="preserve"> byl v 1.</w:t>
            </w:r>
            <w:r w:rsidR="00F55605">
              <w:rPr>
                <w:color w:val="000000" w:themeColor="text1"/>
                <w:sz w:val="16"/>
                <w:szCs w:val="16"/>
              </w:rPr>
              <w:t xml:space="preserve"> </w:t>
            </w:r>
            <w:r w:rsidRPr="00C548DF">
              <w:rPr>
                <w:color w:val="000000" w:themeColor="text1"/>
                <w:sz w:val="16"/>
                <w:szCs w:val="16"/>
              </w:rPr>
              <w:t xml:space="preserve">pololetí pátý nejvyšší z celé EU, u </w:t>
            </w:r>
            <w:proofErr w:type="spellStart"/>
            <w:r w:rsidRPr="00C548DF">
              <w:rPr>
                <w:color w:val="000000" w:themeColor="text1"/>
                <w:sz w:val="16"/>
                <w:szCs w:val="16"/>
              </w:rPr>
              <w:t>nepotravinářského</w:t>
            </w:r>
            <w:proofErr w:type="spellEnd"/>
            <w:r w:rsidRPr="00C548DF">
              <w:rPr>
                <w:color w:val="000000" w:themeColor="text1"/>
                <w:sz w:val="16"/>
                <w:szCs w:val="16"/>
              </w:rPr>
              <w:t xml:space="preserve"> zboží šestý nejvyšší</w:t>
            </w:r>
            <w:r>
              <w:rPr>
                <w:color w:val="000000" w:themeColor="text1"/>
                <w:sz w:val="16"/>
                <w:szCs w:val="16"/>
              </w:rPr>
              <w:t>, u PHM devátý nejvyšší</w:t>
            </w:r>
          </w:p>
          <w:p w:rsidR="00BB1CFD" w:rsidRPr="00367CB0" w:rsidRDefault="00BB1CFD" w:rsidP="00DC3790">
            <w:pPr>
              <w:spacing w:line="240" w:lineRule="auto"/>
              <w:rPr>
                <w:sz w:val="16"/>
                <w:szCs w:val="16"/>
              </w:rPr>
            </w:pPr>
          </w:p>
        </w:tc>
        <w:tc>
          <w:tcPr>
            <w:tcW w:w="146" w:type="pct"/>
          </w:tcPr>
          <w:p w:rsidR="00BB1CFD" w:rsidRDefault="00BB1CFD" w:rsidP="00DC3790">
            <w:pPr>
              <w:pStyle w:val="Textpoznpodarou"/>
              <w:jc w:val="both"/>
              <w:rPr>
                <w:spacing w:val="-2"/>
              </w:rPr>
            </w:pPr>
          </w:p>
        </w:tc>
        <w:tc>
          <w:tcPr>
            <w:tcW w:w="3763" w:type="pct"/>
          </w:tcPr>
          <w:p w:rsidR="00BB1CFD" w:rsidRDefault="00BB1CFD" w:rsidP="00F55605">
            <w:pPr>
              <w:pStyle w:val="Textpoznpodarou"/>
              <w:jc w:val="both"/>
              <w:rPr>
                <w:spacing w:val="-4"/>
              </w:rPr>
            </w:pPr>
            <w:r>
              <w:rPr>
                <w:color w:val="000000" w:themeColor="text1"/>
                <w:spacing w:val="-4"/>
              </w:rPr>
              <w:t xml:space="preserve">Obnovení růstu ekonomiky </w:t>
            </w:r>
            <w:r w:rsidRPr="006E080E">
              <w:rPr>
                <w:color w:val="000000" w:themeColor="text1"/>
                <w:spacing w:val="-4"/>
              </w:rPr>
              <w:t>zvolna následované postupným zlepšením situace na trhu práce (s dopadem do vyšších disponibilních příjmů domácností) se promítlo do indikátoru spotřebitelské důvěry</w:t>
            </w:r>
            <w:r>
              <w:rPr>
                <w:color w:val="000000" w:themeColor="text1"/>
                <w:spacing w:val="-4"/>
              </w:rPr>
              <w:t xml:space="preserve"> (</w:t>
            </w:r>
            <w:r w:rsidRPr="006E080E">
              <w:rPr>
                <w:color w:val="000000" w:themeColor="text1"/>
                <w:spacing w:val="-4"/>
              </w:rPr>
              <w:t xml:space="preserve">na počátku roku </w:t>
            </w:r>
            <w:r>
              <w:rPr>
                <w:color w:val="000000" w:themeColor="text1"/>
                <w:spacing w:val="-4"/>
              </w:rPr>
              <w:t xml:space="preserve">2015 </w:t>
            </w:r>
            <w:r w:rsidR="00F55605">
              <w:rPr>
                <w:color w:val="000000" w:themeColor="text1"/>
                <w:spacing w:val="-4"/>
              </w:rPr>
              <w:t xml:space="preserve">se </w:t>
            </w:r>
            <w:r w:rsidRPr="006E080E">
              <w:rPr>
                <w:color w:val="000000" w:themeColor="text1"/>
                <w:spacing w:val="-4"/>
              </w:rPr>
              <w:t>nacházel nejvýše od března 2007</w:t>
            </w:r>
            <w:r>
              <w:rPr>
                <w:color w:val="000000" w:themeColor="text1"/>
                <w:spacing w:val="-4"/>
              </w:rPr>
              <w:t xml:space="preserve">). </w:t>
            </w:r>
            <w:r w:rsidRPr="004722CB">
              <w:rPr>
                <w:color w:val="000000" w:themeColor="text1"/>
                <w:spacing w:val="-4"/>
              </w:rPr>
              <w:t>Růst maloobchodních tržeb (CZ-NACE 47) na počátku roku zrychlil na 6,4 % (v posledním čtvrtletí 2014 činil 3,5 %), silnou meziroční dynamiku si podržel i ve 2. čtvrtletí (</w:t>
            </w:r>
            <w:r>
              <w:rPr>
                <w:color w:val="000000" w:themeColor="text1"/>
                <w:spacing w:val="-4"/>
              </w:rPr>
              <w:t xml:space="preserve">5,7 %). V obou případech šlo o pátou největší hodnotu v EU, v 1. pololetí dosáhlo nejlepších výsledků Polsko (+8,1 %), na úrovni ČR se nacházelo </w:t>
            </w:r>
            <w:r>
              <w:rPr>
                <w:color w:val="000000" w:themeColor="text1"/>
                <w:spacing w:val="-4"/>
              </w:rPr>
              <w:lastRenderedPageBreak/>
              <w:t>Maďarsko či Irsko, blízko ní Velká Británie (+4,5 %), skrom</w:t>
            </w:r>
            <w:r w:rsidR="00707D43">
              <w:rPr>
                <w:color w:val="000000" w:themeColor="text1"/>
                <w:spacing w:val="-4"/>
              </w:rPr>
              <w:t>něji rostly tržby v Německu (2,7</w:t>
            </w:r>
            <w:r>
              <w:rPr>
                <w:color w:val="000000" w:themeColor="text1"/>
                <w:spacing w:val="-4"/>
              </w:rPr>
              <w:t xml:space="preserve"> %) či Slovensku (1 %). Rychleji reagoval na oživení ekonomiky motoristický segment</w:t>
            </w:r>
            <w:r w:rsidRPr="004722CB">
              <w:rPr>
                <w:color w:val="000000" w:themeColor="text1"/>
                <w:spacing w:val="-4"/>
              </w:rPr>
              <w:t xml:space="preserve"> tržeb </w:t>
            </w:r>
            <w:r>
              <w:rPr>
                <w:color w:val="000000" w:themeColor="text1"/>
                <w:spacing w:val="-4"/>
              </w:rPr>
              <w:t xml:space="preserve">(CZ-NACE 45), který v 1. pololetí rostl o osminu (podobně jako </w:t>
            </w:r>
            <w:r w:rsidRPr="00C700BE">
              <w:rPr>
                <w:color w:val="000000" w:themeColor="text1"/>
                <w:spacing w:val="-4"/>
              </w:rPr>
              <w:t xml:space="preserve">loni). </w:t>
            </w:r>
            <w:r w:rsidR="00707D43">
              <w:rPr>
                <w:color w:val="000000" w:themeColor="text1"/>
                <w:spacing w:val="-4"/>
              </w:rPr>
              <w:t>Samotný</w:t>
            </w:r>
            <w:r w:rsidRPr="00C700BE">
              <w:rPr>
                <w:color w:val="000000" w:themeColor="text1"/>
                <w:spacing w:val="-4"/>
              </w:rPr>
              <w:t xml:space="preserve"> </w:t>
            </w:r>
            <w:r w:rsidR="00707D43">
              <w:rPr>
                <w:color w:val="000000" w:themeColor="text1"/>
                <w:spacing w:val="-4"/>
              </w:rPr>
              <w:t>maloobchod (CZ-NACE 47)</w:t>
            </w:r>
            <w:r w:rsidRPr="003B163B">
              <w:rPr>
                <w:color w:val="000000" w:themeColor="text1"/>
                <w:spacing w:val="-4"/>
              </w:rPr>
              <w:t xml:space="preserve"> táhl váhově nejvýznamnější prodej </w:t>
            </w:r>
            <w:proofErr w:type="spellStart"/>
            <w:r w:rsidRPr="003B163B">
              <w:rPr>
                <w:color w:val="000000" w:themeColor="text1"/>
                <w:spacing w:val="-4"/>
              </w:rPr>
              <w:t>nepotravinářského</w:t>
            </w:r>
            <w:proofErr w:type="spellEnd"/>
            <w:r w:rsidRPr="003B163B">
              <w:rPr>
                <w:color w:val="000000" w:themeColor="text1"/>
                <w:spacing w:val="-4"/>
              </w:rPr>
              <w:t xml:space="preserve"> zboží (ve 2. čtvrtletí 8,1 %), kde pokles cen dlouhodobě pomáhal hlavně prodejům počítačových a</w:t>
            </w:r>
            <w:r>
              <w:rPr>
                <w:color w:val="000000" w:themeColor="text1"/>
                <w:spacing w:val="-4"/>
              </w:rPr>
              <w:t xml:space="preserve"> komunikačních zařízení (o </w:t>
            </w:r>
            <w:r w:rsidRPr="003B163B">
              <w:rPr>
                <w:color w:val="000000" w:themeColor="text1"/>
                <w:spacing w:val="-4"/>
              </w:rPr>
              <w:t>8,2 %). Tržby se ale zvyšovaly ve všech ostatních specializovaných prodejnách, zejména za výrobky pro kulturu a rekreaci (ze 7,3</w:t>
            </w:r>
            <w:r w:rsidR="00F55605">
              <w:rPr>
                <w:color w:val="000000" w:themeColor="text1"/>
                <w:spacing w:val="-4"/>
              </w:rPr>
              <w:t xml:space="preserve"> %</w:t>
            </w:r>
            <w:r w:rsidRPr="003B163B">
              <w:rPr>
                <w:color w:val="000000" w:themeColor="text1"/>
                <w:spacing w:val="-4"/>
              </w:rPr>
              <w:t xml:space="preserve"> v 1. čtvrtletí na 13,1 % ve 2</w:t>
            </w:r>
            <w:r w:rsidR="00F55605">
              <w:rPr>
                <w:color w:val="000000" w:themeColor="text1"/>
                <w:spacing w:val="-4"/>
              </w:rPr>
              <w:t>.</w:t>
            </w:r>
            <w:r w:rsidRPr="003B163B">
              <w:rPr>
                <w:color w:val="000000" w:themeColor="text1"/>
                <w:spacing w:val="-4"/>
              </w:rPr>
              <w:t xml:space="preserve"> čtvrtletí).</w:t>
            </w:r>
            <w:r w:rsidRPr="00E42D2E">
              <w:rPr>
                <w:color w:val="FF0000"/>
                <w:spacing w:val="-4"/>
              </w:rPr>
              <w:t xml:space="preserve"> </w:t>
            </w:r>
            <w:r w:rsidRPr="00360276">
              <w:rPr>
                <w:color w:val="000000" w:themeColor="text1"/>
                <w:spacing w:val="-4"/>
              </w:rPr>
              <w:t>Růst tržeb za potravinářské zboží byl i přes „skromnější“ dynamiku (v 1. pololetí +3,4 %) také nejvyšší v „</w:t>
            </w:r>
            <w:proofErr w:type="spellStart"/>
            <w:r w:rsidRPr="00360276">
              <w:rPr>
                <w:color w:val="000000" w:themeColor="text1"/>
                <w:spacing w:val="-4"/>
              </w:rPr>
              <w:t>pokrizovém</w:t>
            </w:r>
            <w:proofErr w:type="spellEnd"/>
            <w:r w:rsidRPr="00360276">
              <w:rPr>
                <w:color w:val="000000" w:themeColor="text1"/>
                <w:spacing w:val="-4"/>
              </w:rPr>
              <w:t>“ období (a podobně jako v úhrnu za rok 2014 zároveň také vyšší než v EU).</w:t>
            </w:r>
            <w:r w:rsidRPr="00E42D2E">
              <w:rPr>
                <w:color w:val="FF0000"/>
                <w:spacing w:val="-4"/>
              </w:rPr>
              <w:t xml:space="preserve"> </w:t>
            </w:r>
            <w:r w:rsidRPr="00360276">
              <w:rPr>
                <w:color w:val="000000" w:themeColor="text1"/>
                <w:spacing w:val="-4"/>
              </w:rPr>
              <w:t xml:space="preserve">Na rozdíl od </w:t>
            </w:r>
            <w:r w:rsidRPr="00A61D24">
              <w:rPr>
                <w:color w:val="000000" w:themeColor="text1"/>
                <w:spacing w:val="-4"/>
              </w:rPr>
              <w:t>předchozích let s touto dynamikou tržeb stačili držet krok i prodejci potravin ve specializovaných prodejnách. Tržby u čerpacích stanic od loňského prosince akcelerovaly, za 1. pololetí meziročně vzrostly o téměř 8 %. Vyšší poptávku stimuloval zejména velmi příznivý cenový vývoj PHM (i v kontextu sousedních zemí).</w:t>
            </w:r>
          </w:p>
        </w:tc>
      </w:tr>
    </w:tbl>
    <w:p w:rsidR="00DC3790" w:rsidRDefault="00DC3790" w:rsidP="006D142E">
      <w:pPr>
        <w:pStyle w:val="Textpoznpodarou"/>
        <w:jc w:val="both"/>
        <w:rPr>
          <w:sz w:val="16"/>
          <w:szCs w:val="16"/>
        </w:rPr>
      </w:pPr>
    </w:p>
    <w:tbl>
      <w:tblPr>
        <w:tblW w:w="5059" w:type="pct"/>
        <w:tblCellMar>
          <w:left w:w="28" w:type="dxa"/>
          <w:right w:w="28" w:type="dxa"/>
        </w:tblCellMar>
        <w:tblLook w:val="04A0"/>
      </w:tblPr>
      <w:tblGrid>
        <w:gridCol w:w="737"/>
        <w:gridCol w:w="4200"/>
        <w:gridCol w:w="761"/>
        <w:gridCol w:w="4110"/>
      </w:tblGrid>
      <w:tr w:rsidR="00DC3790" w:rsidTr="00DC3790">
        <w:tc>
          <w:tcPr>
            <w:tcW w:w="376" w:type="pct"/>
          </w:tcPr>
          <w:p w:rsidR="00DC3790" w:rsidRDefault="00DC3790" w:rsidP="00DC3790">
            <w:pPr>
              <w:spacing w:line="240" w:lineRule="auto"/>
            </w:pPr>
            <w:r>
              <w:t>Graf č. 5</w:t>
            </w:r>
          </w:p>
        </w:tc>
        <w:tc>
          <w:tcPr>
            <w:tcW w:w="2141" w:type="pct"/>
          </w:tcPr>
          <w:p w:rsidR="00DC3790" w:rsidRPr="001D04BA" w:rsidRDefault="00DC3790" w:rsidP="00DC3790">
            <w:pPr>
              <w:pStyle w:val="Textpoznpodarou"/>
              <w:rPr>
                <w:b/>
              </w:rPr>
            </w:pPr>
            <w:r w:rsidRPr="001D04BA">
              <w:rPr>
                <w:b/>
              </w:rPr>
              <w:t>Produkce v průmyslu a</w:t>
            </w:r>
            <w:r w:rsidR="006B6B3B">
              <w:rPr>
                <w:b/>
              </w:rPr>
              <w:t xml:space="preserve"> ve</w:t>
            </w:r>
            <w:r w:rsidRPr="001D04BA">
              <w:rPr>
                <w:b/>
              </w:rPr>
              <w:t xml:space="preserve"> vyb</w:t>
            </w:r>
            <w:r w:rsidR="00F55605">
              <w:rPr>
                <w:b/>
              </w:rPr>
              <w:t>raných zpracovatelských odvětvích</w:t>
            </w:r>
          </w:p>
          <w:p w:rsidR="00DC3790" w:rsidRDefault="00DC3790" w:rsidP="00DC3790">
            <w:pPr>
              <w:pStyle w:val="Textpoznpodarou"/>
              <w:rPr>
                <w:b/>
              </w:rPr>
            </w:pPr>
            <w:r w:rsidRPr="001D04BA">
              <w:t>(reálně, y/y, v %)</w:t>
            </w:r>
          </w:p>
        </w:tc>
        <w:tc>
          <w:tcPr>
            <w:tcW w:w="388" w:type="pct"/>
          </w:tcPr>
          <w:p w:rsidR="00DC3790" w:rsidRDefault="00DC3790" w:rsidP="00DC3790">
            <w:pPr>
              <w:spacing w:line="240" w:lineRule="auto"/>
            </w:pPr>
            <w:r>
              <w:t>Graf č. 6</w:t>
            </w:r>
          </w:p>
        </w:tc>
        <w:tc>
          <w:tcPr>
            <w:tcW w:w="2095" w:type="pct"/>
          </w:tcPr>
          <w:p w:rsidR="00DC3790" w:rsidRDefault="00DC3790" w:rsidP="00DC3790">
            <w:pPr>
              <w:spacing w:line="240" w:lineRule="auto"/>
              <w:rPr>
                <w:b/>
              </w:rPr>
            </w:pPr>
            <w:r w:rsidRPr="004B22DA">
              <w:rPr>
                <w:b/>
                <w:spacing w:val="-2"/>
              </w:rPr>
              <w:t>Nové zakázky v automobilovém průmyslu</w:t>
            </w:r>
            <w:r>
              <w:rPr>
                <w:b/>
              </w:rPr>
              <w:t xml:space="preserve">, v průmyslu </w:t>
            </w:r>
            <w:proofErr w:type="gramStart"/>
            <w:r>
              <w:rPr>
                <w:b/>
              </w:rPr>
              <w:t xml:space="preserve">celkem </w:t>
            </w:r>
            <w:r>
              <w:rPr>
                <w:bCs/>
              </w:rPr>
              <w:t>(</w:t>
            </w:r>
            <w:proofErr w:type="spellStart"/>
            <w:r>
              <w:rPr>
                <w:bCs/>
              </w:rPr>
              <w:t>b.c</w:t>
            </w:r>
            <w:proofErr w:type="spellEnd"/>
            <w:r>
              <w:rPr>
                <w:bCs/>
              </w:rPr>
              <w:t>.</w:t>
            </w:r>
            <w:proofErr w:type="gramEnd"/>
            <w:r>
              <w:rPr>
                <w:bCs/>
              </w:rPr>
              <w:t xml:space="preserve">, y/y, v %) </w:t>
            </w:r>
            <w:r w:rsidRPr="004B22DA">
              <w:t>a</w:t>
            </w:r>
            <w:r>
              <w:rPr>
                <w:b/>
              </w:rPr>
              <w:t xml:space="preserve"> saldo indikátoru důvěry v průmyslu </w:t>
            </w:r>
            <w:r w:rsidRPr="00C1711F">
              <w:t>(pravá osa)</w:t>
            </w:r>
          </w:p>
        </w:tc>
      </w:tr>
      <w:tr w:rsidR="00DC3790" w:rsidTr="00DC3790">
        <w:tc>
          <w:tcPr>
            <w:tcW w:w="2517" w:type="pct"/>
            <w:gridSpan w:val="2"/>
          </w:tcPr>
          <w:p w:rsidR="00DC3790" w:rsidRDefault="00F365BF" w:rsidP="00DC3790">
            <w:pPr>
              <w:pStyle w:val="Textpoznpodarou"/>
              <w:jc w:val="both"/>
            </w:pPr>
            <w:r>
              <w:pict>
                <v:shape id="_x0000_i1029" type="#_x0000_t75" style="width:243pt;height:199.5pt">
                  <v:imagedata r:id="rId16" o:title=""/>
                </v:shape>
              </w:pict>
            </w:r>
          </w:p>
        </w:tc>
        <w:tc>
          <w:tcPr>
            <w:tcW w:w="2483" w:type="pct"/>
            <w:gridSpan w:val="2"/>
          </w:tcPr>
          <w:p w:rsidR="00DC3790" w:rsidRDefault="00F365BF" w:rsidP="00DC3790">
            <w:pPr>
              <w:pStyle w:val="Textpoznpodarou"/>
              <w:jc w:val="both"/>
            </w:pPr>
            <w:r>
              <w:pict>
                <v:shape id="_x0000_i1030" type="#_x0000_t75" style="width:237.75pt;height:199.5pt">
                  <v:imagedata r:id="rId17" o:title=""/>
                </v:shape>
              </w:pict>
            </w:r>
          </w:p>
        </w:tc>
      </w:tr>
      <w:tr w:rsidR="00DC3790" w:rsidTr="00DC3790">
        <w:tc>
          <w:tcPr>
            <w:tcW w:w="5000" w:type="pct"/>
            <w:gridSpan w:val="4"/>
          </w:tcPr>
          <w:p w:rsidR="00DC3790" w:rsidRDefault="00DC3790" w:rsidP="00DC3790">
            <w:pPr>
              <w:pStyle w:val="Textpoznpodarou"/>
              <w:jc w:val="right"/>
              <w:rPr>
                <w:sz w:val="18"/>
                <w:szCs w:val="18"/>
              </w:rPr>
            </w:pPr>
            <w:r>
              <w:rPr>
                <w:rFonts w:cs="Arial"/>
                <w:sz w:val="18"/>
                <w:szCs w:val="18"/>
              </w:rPr>
              <w:t>Zdroj: ČSÚ</w:t>
            </w:r>
          </w:p>
        </w:tc>
      </w:tr>
    </w:tbl>
    <w:p w:rsidR="00DC3790" w:rsidRDefault="00DC3790" w:rsidP="006D142E">
      <w:pPr>
        <w:pStyle w:val="Textpoznpodarou"/>
        <w:jc w:val="both"/>
        <w:rPr>
          <w:sz w:val="16"/>
          <w:szCs w:val="16"/>
        </w:rPr>
      </w:pPr>
    </w:p>
    <w:tbl>
      <w:tblPr>
        <w:tblW w:w="5117" w:type="pct"/>
        <w:tblCellMar>
          <w:left w:w="28" w:type="dxa"/>
          <w:right w:w="28" w:type="dxa"/>
        </w:tblCellMar>
        <w:tblLook w:val="04A0"/>
      </w:tblPr>
      <w:tblGrid>
        <w:gridCol w:w="736"/>
        <w:gridCol w:w="4181"/>
        <w:gridCol w:w="44"/>
        <w:gridCol w:w="738"/>
        <w:gridCol w:w="4222"/>
      </w:tblGrid>
      <w:tr w:rsidR="00DC3790" w:rsidTr="00BB1CFD">
        <w:tc>
          <w:tcPr>
            <w:tcW w:w="371" w:type="pct"/>
          </w:tcPr>
          <w:p w:rsidR="00DC3790" w:rsidRDefault="00DC3790" w:rsidP="00DC3790">
            <w:pPr>
              <w:spacing w:line="240" w:lineRule="auto"/>
            </w:pPr>
            <w:r>
              <w:t>Graf č. 7</w:t>
            </w:r>
          </w:p>
        </w:tc>
        <w:tc>
          <w:tcPr>
            <w:tcW w:w="2107" w:type="pct"/>
          </w:tcPr>
          <w:p w:rsidR="00DC3790" w:rsidRDefault="00DC3790" w:rsidP="00DC3790">
            <w:pPr>
              <w:spacing w:line="240" w:lineRule="auto"/>
              <w:rPr>
                <w:b/>
              </w:rPr>
            </w:pPr>
            <w:r>
              <w:rPr>
                <w:b/>
              </w:rPr>
              <w:t xml:space="preserve">Stavební produkce, hodnota nových zakázek </w:t>
            </w:r>
            <w:r>
              <w:rPr>
                <w:bCs/>
              </w:rPr>
              <w:t xml:space="preserve">(y/y, v %) </w:t>
            </w:r>
            <w:r w:rsidRPr="004B22DA">
              <w:t>a</w:t>
            </w:r>
            <w:r>
              <w:rPr>
                <w:b/>
              </w:rPr>
              <w:t xml:space="preserve"> saldo indikátoru důvěry ve stavebnictví </w:t>
            </w:r>
            <w:r w:rsidRPr="00C1711F">
              <w:t>(pravá osa)</w:t>
            </w:r>
          </w:p>
        </w:tc>
        <w:tc>
          <w:tcPr>
            <w:tcW w:w="394" w:type="pct"/>
            <w:gridSpan w:val="2"/>
          </w:tcPr>
          <w:p w:rsidR="00DC3790" w:rsidRDefault="00DC3790" w:rsidP="00DC3790">
            <w:pPr>
              <w:spacing w:line="240" w:lineRule="auto"/>
            </w:pPr>
            <w:r>
              <w:t>Graf č. 8</w:t>
            </w:r>
          </w:p>
        </w:tc>
        <w:tc>
          <w:tcPr>
            <w:tcW w:w="2128" w:type="pct"/>
          </w:tcPr>
          <w:p w:rsidR="00DC3790" w:rsidRDefault="00DC3790" w:rsidP="00DC3790">
            <w:pPr>
              <w:spacing w:line="240" w:lineRule="auto"/>
              <w:rPr>
                <w:b/>
              </w:rPr>
            </w:pPr>
            <w:r>
              <w:rPr>
                <w:b/>
              </w:rPr>
              <w:t xml:space="preserve">Tržby v maloobchodě vč. motoristického segmentu </w:t>
            </w:r>
            <w:r>
              <w:rPr>
                <w:bCs/>
              </w:rPr>
              <w:t xml:space="preserve">(reálně, y/y v %) </w:t>
            </w:r>
            <w:r>
              <w:rPr>
                <w:b/>
              </w:rPr>
              <w:t xml:space="preserve">saldo indikátoru důvěry spotřebitelů </w:t>
            </w:r>
            <w:r w:rsidRPr="00C1711F">
              <w:t>(pravá osa)</w:t>
            </w:r>
          </w:p>
        </w:tc>
      </w:tr>
      <w:tr w:rsidR="00DC3790" w:rsidTr="00BB1CFD">
        <w:tc>
          <w:tcPr>
            <w:tcW w:w="2478" w:type="pct"/>
            <w:gridSpan w:val="2"/>
          </w:tcPr>
          <w:p w:rsidR="00DC3790" w:rsidRDefault="00F365BF" w:rsidP="00DC3790">
            <w:pPr>
              <w:pStyle w:val="Textpoznpodarou"/>
              <w:jc w:val="both"/>
            </w:pPr>
            <w:r>
              <w:pict>
                <v:shape id="_x0000_i1031" type="#_x0000_t75" style="width:241.5pt;height:195.75pt">
                  <v:imagedata r:id="rId18" o:title=""/>
                </v:shape>
              </w:pict>
            </w:r>
          </w:p>
        </w:tc>
        <w:tc>
          <w:tcPr>
            <w:tcW w:w="2522" w:type="pct"/>
            <w:gridSpan w:val="3"/>
          </w:tcPr>
          <w:p w:rsidR="00DC3790" w:rsidRDefault="00F365BF" w:rsidP="00DC3790">
            <w:pPr>
              <w:pStyle w:val="Textpoznpodarou"/>
              <w:jc w:val="both"/>
            </w:pPr>
            <w:r>
              <w:pict>
                <v:shape id="_x0000_i1032" type="#_x0000_t75" style="width:243pt;height:195.75pt">
                  <v:imagedata r:id="rId19" o:title=""/>
                </v:shape>
              </w:pict>
            </w:r>
          </w:p>
        </w:tc>
      </w:tr>
      <w:tr w:rsidR="00DC3790" w:rsidTr="00BB1CFD">
        <w:trPr>
          <w:trHeight w:val="58"/>
        </w:trPr>
        <w:tc>
          <w:tcPr>
            <w:tcW w:w="2500" w:type="pct"/>
            <w:gridSpan w:val="3"/>
          </w:tcPr>
          <w:p w:rsidR="00DC3790" w:rsidRDefault="00DC3790" w:rsidP="00DC3790">
            <w:pPr>
              <w:pStyle w:val="Zhlav"/>
              <w:jc w:val="right"/>
              <w:rPr>
                <w:rFonts w:ascii="Arial" w:eastAsia="Times New Roman" w:hAnsi="Arial" w:cs="Arial"/>
                <w:sz w:val="18"/>
                <w:szCs w:val="18"/>
              </w:rPr>
            </w:pPr>
          </w:p>
        </w:tc>
        <w:tc>
          <w:tcPr>
            <w:tcW w:w="2500" w:type="pct"/>
            <w:gridSpan w:val="2"/>
          </w:tcPr>
          <w:p w:rsidR="00DC3790" w:rsidRDefault="00DC3790" w:rsidP="00DC3790">
            <w:pPr>
              <w:pStyle w:val="Zhlav"/>
              <w:spacing w:line="240" w:lineRule="auto"/>
              <w:rPr>
                <w:rFonts w:ascii="Arial" w:eastAsia="Times New Roman" w:hAnsi="Arial" w:cs="Arial"/>
                <w:sz w:val="18"/>
                <w:szCs w:val="18"/>
              </w:rPr>
            </w:pPr>
            <w:r>
              <w:rPr>
                <w:rFonts w:ascii="Arial" w:eastAsia="Times New Roman" w:hAnsi="Arial" w:cs="Arial"/>
                <w:sz w:val="18"/>
                <w:szCs w:val="18"/>
              </w:rPr>
              <w:t>*Motoristický segment zahrnuje obchod, opravy a údržbu</w:t>
            </w:r>
            <w:r w:rsidRPr="005601BA">
              <w:rPr>
                <w:rFonts w:ascii="Arial" w:eastAsia="Times New Roman" w:hAnsi="Arial" w:cs="Arial"/>
                <w:sz w:val="18"/>
                <w:szCs w:val="18"/>
              </w:rPr>
              <w:t xml:space="preserve"> motorových </w:t>
            </w:r>
            <w:proofErr w:type="gramStart"/>
            <w:r w:rsidRPr="005601BA">
              <w:rPr>
                <w:rFonts w:ascii="Arial" w:eastAsia="Times New Roman" w:hAnsi="Arial" w:cs="Arial"/>
                <w:sz w:val="18"/>
                <w:szCs w:val="18"/>
              </w:rPr>
              <w:t>vozidel</w:t>
            </w:r>
            <w:r w:rsidR="00BB1CFD" w:rsidRPr="000F401E">
              <w:rPr>
                <w:rFonts w:ascii="Arial" w:hAnsi="Arial" w:cs="Arial"/>
                <w:sz w:val="18"/>
                <w:szCs w:val="18"/>
                <w:lang w:eastAsia="cs-CZ"/>
              </w:rPr>
              <w:t xml:space="preserve"> </w:t>
            </w:r>
            <w:r w:rsidR="00BB1CFD">
              <w:rPr>
                <w:rFonts w:ascii="Arial" w:hAnsi="Arial" w:cs="Arial"/>
                <w:sz w:val="18"/>
                <w:szCs w:val="18"/>
                <w:lang w:eastAsia="cs-CZ"/>
              </w:rPr>
              <w:t xml:space="preserve">                                               </w:t>
            </w:r>
            <w:r w:rsidR="00BB1CFD" w:rsidRPr="000F401E">
              <w:rPr>
                <w:rFonts w:ascii="Arial" w:hAnsi="Arial" w:cs="Arial"/>
                <w:sz w:val="18"/>
                <w:szCs w:val="18"/>
                <w:lang w:eastAsia="cs-CZ"/>
              </w:rPr>
              <w:t>Zdroj</w:t>
            </w:r>
            <w:proofErr w:type="gramEnd"/>
            <w:r w:rsidR="00BB1CFD" w:rsidRPr="000F401E">
              <w:rPr>
                <w:rFonts w:ascii="Arial" w:hAnsi="Arial" w:cs="Arial"/>
                <w:sz w:val="18"/>
                <w:szCs w:val="18"/>
                <w:lang w:eastAsia="cs-CZ"/>
              </w:rPr>
              <w:t>: ČSÚ</w:t>
            </w:r>
          </w:p>
        </w:tc>
      </w:tr>
    </w:tbl>
    <w:p w:rsidR="00576A3E" w:rsidRDefault="00576A3E" w:rsidP="00FC3C84">
      <w:pPr>
        <w:pStyle w:val="Nadpis1"/>
        <w:numPr>
          <w:ilvl w:val="0"/>
          <w:numId w:val="3"/>
        </w:numPr>
        <w:jc w:val="both"/>
      </w:pPr>
      <w:bookmarkStart w:id="6" w:name="_Toc430335385"/>
      <w:r>
        <w:lastRenderedPageBreak/>
        <w:t>Vnější ekonomické vztahy</w:t>
      </w:r>
      <w:bookmarkEnd w:id="6"/>
    </w:p>
    <w:tbl>
      <w:tblPr>
        <w:tblW w:w="5087" w:type="pct"/>
        <w:tblInd w:w="-84" w:type="dxa"/>
        <w:tblCellMar>
          <w:left w:w="28" w:type="dxa"/>
          <w:right w:w="28" w:type="dxa"/>
        </w:tblCellMar>
        <w:tblLook w:val="00A0"/>
      </w:tblPr>
      <w:tblGrid>
        <w:gridCol w:w="42"/>
        <w:gridCol w:w="937"/>
        <w:gridCol w:w="1101"/>
        <w:gridCol w:w="272"/>
        <w:gridCol w:w="2454"/>
        <w:gridCol w:w="1016"/>
        <w:gridCol w:w="3998"/>
        <w:gridCol w:w="43"/>
      </w:tblGrid>
      <w:tr w:rsidR="002E0DB9" w:rsidRPr="006B2EFD" w:rsidTr="003D3EC4">
        <w:trPr>
          <w:gridBefore w:val="1"/>
          <w:gridAfter w:val="1"/>
          <w:wBefore w:w="21" w:type="pct"/>
          <w:wAfter w:w="22" w:type="pct"/>
        </w:trPr>
        <w:tc>
          <w:tcPr>
            <w:tcW w:w="1033" w:type="pct"/>
            <w:gridSpan w:val="2"/>
          </w:tcPr>
          <w:p w:rsidR="002E0DB9" w:rsidRPr="00602D1D" w:rsidRDefault="002E0DB9" w:rsidP="003D3EC4">
            <w:pPr>
              <w:spacing w:line="240" w:lineRule="auto"/>
              <w:rPr>
                <w:color w:val="000000"/>
                <w:sz w:val="16"/>
                <w:szCs w:val="16"/>
              </w:rPr>
            </w:pPr>
            <w:r>
              <w:rPr>
                <w:color w:val="000000"/>
                <w:sz w:val="16"/>
                <w:szCs w:val="16"/>
              </w:rPr>
              <w:t xml:space="preserve">Další zlepšení vnější rovnováhy jak rekordním přebytkem běžného účtu platební bilance, tak vzájemným započtením přebytků a deficitů v jejích dalších složkách </w:t>
            </w:r>
          </w:p>
        </w:tc>
        <w:tc>
          <w:tcPr>
            <w:tcW w:w="138" w:type="pct"/>
          </w:tcPr>
          <w:p w:rsidR="002E0DB9" w:rsidRDefault="002E0DB9" w:rsidP="003D3EC4">
            <w:pPr>
              <w:pStyle w:val="Textpoznpodarou"/>
              <w:jc w:val="both"/>
            </w:pPr>
          </w:p>
        </w:tc>
        <w:tc>
          <w:tcPr>
            <w:tcW w:w="3786" w:type="pct"/>
            <w:gridSpan w:val="3"/>
          </w:tcPr>
          <w:p w:rsidR="002E0DB9" w:rsidRDefault="002E0DB9" w:rsidP="003D3EC4">
            <w:pPr>
              <w:pStyle w:val="Textpoznpodarou"/>
              <w:jc w:val="both"/>
              <w:rPr>
                <w:color w:val="000000"/>
                <w:spacing w:val="-2"/>
              </w:rPr>
            </w:pPr>
            <w:r>
              <w:rPr>
                <w:color w:val="000000"/>
                <w:spacing w:val="-2"/>
              </w:rPr>
              <w:t>Silný růst české ekonomiky v prvních dvou čtvrtletích 2015 byl doprovázen dalším zlepšením její vnější rovnováhy</w:t>
            </w:r>
            <w:r w:rsidR="005079F8">
              <w:rPr>
                <w:color w:val="000000"/>
                <w:spacing w:val="-2"/>
              </w:rPr>
              <w:t xml:space="preserve"> – </w:t>
            </w:r>
            <w:r>
              <w:rPr>
                <w:color w:val="000000"/>
                <w:spacing w:val="-2"/>
              </w:rPr>
              <w:t>pololetní výsledek vnějších ekonomických vztahů byl ve znamení rekordního přebytku běžného účtu platební bilance ve výši 95,8 mld. korun, což představovalo 4,4 % nominálního HDP a 1,5 % v </w:t>
            </w:r>
            <w:proofErr w:type="spellStart"/>
            <w:r>
              <w:rPr>
                <w:color w:val="000000"/>
                <w:spacing w:val="-2"/>
              </w:rPr>
              <w:t>anualizovaném</w:t>
            </w:r>
            <w:proofErr w:type="spellEnd"/>
            <w:r>
              <w:rPr>
                <w:color w:val="000000"/>
                <w:spacing w:val="-2"/>
              </w:rPr>
              <w:t xml:space="preserve"> vyjádření. Spolu s přebytkem na kapitál</w:t>
            </w:r>
            <w:r w:rsidR="00F365BF">
              <w:rPr>
                <w:color w:val="000000"/>
                <w:spacing w:val="-2"/>
              </w:rPr>
              <w:t>ovém</w:t>
            </w:r>
            <w:r>
              <w:rPr>
                <w:color w:val="000000"/>
                <w:spacing w:val="-2"/>
              </w:rPr>
              <w:t xml:space="preserve"> účtu tak mohl být „</w:t>
            </w:r>
            <w:proofErr w:type="spellStart"/>
            <w:r>
              <w:rPr>
                <w:color w:val="000000"/>
                <w:spacing w:val="-2"/>
              </w:rPr>
              <w:t>ufinancovatelný</w:t>
            </w:r>
            <w:proofErr w:type="spellEnd"/>
            <w:r>
              <w:rPr>
                <w:color w:val="000000"/>
                <w:spacing w:val="-2"/>
              </w:rPr>
              <w:t xml:space="preserve">“ hluboký deficit na účtu finančním způsobený především růstem devizových rezerv. </w:t>
            </w:r>
          </w:p>
          <w:p w:rsidR="002E0DB9" w:rsidRPr="006B2EFD" w:rsidRDefault="002E0DB9" w:rsidP="003D3EC4">
            <w:pPr>
              <w:pStyle w:val="Textpoznpodarou"/>
              <w:jc w:val="both"/>
              <w:rPr>
                <w:color w:val="000000"/>
                <w:spacing w:val="-2"/>
                <w:sz w:val="12"/>
                <w:szCs w:val="12"/>
              </w:rPr>
            </w:pPr>
          </w:p>
        </w:tc>
      </w:tr>
      <w:tr w:rsidR="002E0DB9" w:rsidTr="003D3EC4">
        <w:trPr>
          <w:gridBefore w:val="1"/>
          <w:gridAfter w:val="1"/>
          <w:wBefore w:w="21" w:type="pct"/>
          <w:wAfter w:w="22" w:type="pct"/>
        </w:trPr>
        <w:tc>
          <w:tcPr>
            <w:tcW w:w="1033" w:type="pct"/>
            <w:gridSpan w:val="2"/>
          </w:tcPr>
          <w:p w:rsidR="002E0DB9" w:rsidRDefault="002E0DB9" w:rsidP="003D3EC4">
            <w:pPr>
              <w:spacing w:line="240" w:lineRule="auto"/>
              <w:rPr>
                <w:color w:val="000000"/>
                <w:sz w:val="16"/>
                <w:szCs w:val="16"/>
              </w:rPr>
            </w:pPr>
            <w:r>
              <w:rPr>
                <w:color w:val="000000"/>
                <w:sz w:val="16"/>
                <w:szCs w:val="16"/>
              </w:rPr>
              <w:t>Samotné 2. čtvrtletí historicky poprvé s přebytkem běžného účtu vlivem nižšího odlivu prvotních důchodů…,</w:t>
            </w:r>
          </w:p>
        </w:tc>
        <w:tc>
          <w:tcPr>
            <w:tcW w:w="138" w:type="pct"/>
          </w:tcPr>
          <w:p w:rsidR="002E0DB9" w:rsidRDefault="002E0DB9" w:rsidP="003D3EC4">
            <w:pPr>
              <w:pStyle w:val="Textpoznpodarou"/>
              <w:jc w:val="both"/>
            </w:pPr>
          </w:p>
        </w:tc>
        <w:tc>
          <w:tcPr>
            <w:tcW w:w="3786" w:type="pct"/>
            <w:gridSpan w:val="3"/>
          </w:tcPr>
          <w:p w:rsidR="002E0DB9" w:rsidRDefault="002E0DB9" w:rsidP="003D3EC4">
            <w:pPr>
              <w:pStyle w:val="Textpoznpodarou"/>
              <w:jc w:val="both"/>
              <w:rPr>
                <w:color w:val="000000"/>
                <w:spacing w:val="-2"/>
              </w:rPr>
            </w:pPr>
            <w:r>
              <w:rPr>
                <w:color w:val="000000"/>
                <w:spacing w:val="-2"/>
              </w:rPr>
              <w:t>Pololetní příjmy běžného účtu přesahovaly jeho výdaje sice již čtvrtý rok v řadě, ovšem poprvé se objevil p</w:t>
            </w:r>
            <w:r w:rsidR="005079F8">
              <w:rPr>
                <w:color w:val="000000"/>
                <w:spacing w:val="-2"/>
              </w:rPr>
              <w:t>řebytek v samotném 2. čtvrtletí</w:t>
            </w:r>
            <w:r>
              <w:rPr>
                <w:color w:val="000000"/>
                <w:spacing w:val="-2"/>
              </w:rPr>
              <w:t xml:space="preserve"> (3,1 mld. korun). To bývá schodkové hlavně vlivem odlivu prvotních důchodů (především dividend) patrného zejména ve druhých čtvrtletích (po rozhodnutích valných hromad firem pod zahraniční kontrolou). K tomu však podle dat ke konci června 2015 došlo v podstatně menší míře, když čistý odliv prvotních důchodů (-96,7 mld. korun) byl jen asi na třech čtvrtinách srovnatelné úrovně roku 2014. Navíc při faktickém zachování přebytku v obchodech se zbožím a službami v meziročním srovnání (182 mld. korun, když bilance služeb s 39,8 mld. zůstala fakticky na úrovni průměrného pololetního přebytku za předchozích pět let) a významném zlepšení salda druhotných důchodů (především díky vývoji v 1. čtvrtletí činil pololetní přebytek 10,6 mld. proti -2,8 mld. korun srovnatelného období 2014) dosáhlo v úhrnu převýšení příjmů běžného účtu platební bilance nad jeho výdaji historicky nejlepšího pololetního výsledku.</w:t>
            </w:r>
          </w:p>
          <w:p w:rsidR="002E0DB9" w:rsidRDefault="002E0DB9" w:rsidP="003D3EC4">
            <w:pPr>
              <w:pStyle w:val="Textpoznpodarou"/>
              <w:jc w:val="both"/>
              <w:rPr>
                <w:color w:val="000000"/>
                <w:spacing w:val="-2"/>
              </w:rPr>
            </w:pPr>
            <w:r>
              <w:rPr>
                <w:color w:val="000000"/>
                <w:spacing w:val="-2"/>
              </w:rPr>
              <w:t xml:space="preserve">  </w:t>
            </w:r>
          </w:p>
        </w:tc>
      </w:tr>
      <w:tr w:rsidR="002E0DB9" w:rsidTr="003D3EC4">
        <w:trPr>
          <w:gridBefore w:val="1"/>
          <w:gridAfter w:val="1"/>
          <w:wBefore w:w="21" w:type="pct"/>
          <w:wAfter w:w="22" w:type="pct"/>
        </w:trPr>
        <w:tc>
          <w:tcPr>
            <w:tcW w:w="1033" w:type="pct"/>
            <w:gridSpan w:val="2"/>
          </w:tcPr>
          <w:p w:rsidR="002E0DB9" w:rsidRDefault="002E0DB9" w:rsidP="003D3EC4">
            <w:pPr>
              <w:spacing w:line="240" w:lineRule="auto"/>
              <w:rPr>
                <w:color w:val="000000"/>
                <w:sz w:val="16"/>
                <w:szCs w:val="16"/>
              </w:rPr>
            </w:pPr>
            <w:r>
              <w:rPr>
                <w:color w:val="000000"/>
                <w:sz w:val="16"/>
                <w:szCs w:val="16"/>
              </w:rPr>
              <w:t>… kdy z ČR odešlo za pololetí na dividendách méně než ve stejném období 2014, mírně nižší však byly i reinvestované zisky</w:t>
            </w:r>
          </w:p>
        </w:tc>
        <w:tc>
          <w:tcPr>
            <w:tcW w:w="138" w:type="pct"/>
          </w:tcPr>
          <w:p w:rsidR="002E0DB9" w:rsidRDefault="002E0DB9" w:rsidP="003D3EC4">
            <w:pPr>
              <w:pStyle w:val="Textpoznpodarou"/>
              <w:jc w:val="both"/>
            </w:pPr>
          </w:p>
        </w:tc>
        <w:tc>
          <w:tcPr>
            <w:tcW w:w="3786" w:type="pct"/>
            <w:gridSpan w:val="3"/>
          </w:tcPr>
          <w:p w:rsidR="002E0DB9" w:rsidRDefault="002E0DB9" w:rsidP="003D3EC4">
            <w:pPr>
              <w:pStyle w:val="Textpoznpodarou"/>
              <w:jc w:val="both"/>
              <w:rPr>
                <w:color w:val="000000"/>
                <w:spacing w:val="-2"/>
              </w:rPr>
            </w:pPr>
            <w:r>
              <w:rPr>
                <w:color w:val="000000"/>
                <w:spacing w:val="-2"/>
              </w:rPr>
              <w:t>Odliv prvotních důchodů v čistém vyjádření v úhrnných saldech úroků, dividend a reinvestovaných zisků činil za 1. pololetí 140,1 mld. korun, což byl sice mírně lepší výsledek ve srovnání se stejným obdobím 2014 (155,9 mld. korun), ale horší ve srovnání s ročním průměrem předchozích pěti let (128,7 mld. korun). Příčinou pozitivní meziroční změny byl nižší odliv dividend do mateřských zemí zahraničních investorů, kteří zde však také zanechali meziročně méně zisků k reinvesticím (50</w:t>
            </w:r>
            <w:r w:rsidR="005079F8">
              <w:rPr>
                <w:color w:val="000000"/>
                <w:spacing w:val="-2"/>
              </w:rPr>
              <w:t> </w:t>
            </w:r>
            <w:r>
              <w:rPr>
                <w:color w:val="000000"/>
                <w:spacing w:val="-2"/>
              </w:rPr>
              <w:t xml:space="preserve">mld. korun). </w:t>
            </w:r>
          </w:p>
          <w:p w:rsidR="002E0DB9" w:rsidRDefault="002E0DB9" w:rsidP="003D3EC4">
            <w:pPr>
              <w:pStyle w:val="Textpoznpodarou"/>
              <w:jc w:val="both"/>
              <w:rPr>
                <w:color w:val="000000"/>
                <w:spacing w:val="-2"/>
              </w:rPr>
            </w:pPr>
          </w:p>
        </w:tc>
      </w:tr>
      <w:tr w:rsidR="002E0DB9" w:rsidTr="003D3EC4">
        <w:trPr>
          <w:gridBefore w:val="1"/>
          <w:gridAfter w:val="1"/>
          <w:wBefore w:w="21" w:type="pct"/>
          <w:wAfter w:w="22" w:type="pct"/>
        </w:trPr>
        <w:tc>
          <w:tcPr>
            <w:tcW w:w="1033" w:type="pct"/>
            <w:gridSpan w:val="2"/>
          </w:tcPr>
          <w:p w:rsidR="002E0DB9" w:rsidRDefault="002E0DB9" w:rsidP="003D3EC4">
            <w:pPr>
              <w:spacing w:line="240" w:lineRule="auto"/>
              <w:rPr>
                <w:color w:val="000000"/>
                <w:sz w:val="16"/>
                <w:szCs w:val="16"/>
              </w:rPr>
            </w:pPr>
            <w:r>
              <w:rPr>
                <w:color w:val="000000"/>
                <w:sz w:val="16"/>
                <w:szCs w:val="16"/>
              </w:rPr>
              <w:t>Výrazný deficit finančního účtu ….</w:t>
            </w:r>
          </w:p>
        </w:tc>
        <w:tc>
          <w:tcPr>
            <w:tcW w:w="138" w:type="pct"/>
          </w:tcPr>
          <w:p w:rsidR="002E0DB9" w:rsidRDefault="002E0DB9" w:rsidP="003D3EC4">
            <w:pPr>
              <w:pStyle w:val="Textpoznpodarou"/>
              <w:jc w:val="both"/>
            </w:pPr>
          </w:p>
        </w:tc>
        <w:tc>
          <w:tcPr>
            <w:tcW w:w="3786" w:type="pct"/>
            <w:gridSpan w:val="3"/>
          </w:tcPr>
          <w:p w:rsidR="002E0DB9" w:rsidRDefault="002E0DB9" w:rsidP="003D3EC4">
            <w:pPr>
              <w:pStyle w:val="Textpoznpodarou"/>
              <w:jc w:val="both"/>
              <w:rPr>
                <w:color w:val="000000"/>
                <w:spacing w:val="-2"/>
              </w:rPr>
            </w:pPr>
            <w:r>
              <w:rPr>
                <w:color w:val="000000"/>
                <w:spacing w:val="-2"/>
              </w:rPr>
              <w:t>Silný přítok peněz z rozpočtu Evropské unie posílil kladné saldo na kapitálovém účtu platební bilance na rekordních 83,3 mld. korun, takže spolu s výsledkem běžného účtu činil přebytek 179,2 mld. korun. Tato úroveň převýšila však jen velmi mírně výrazný odliv peněz, zaznamenaný na finančním účtu pla</w:t>
            </w:r>
            <w:r w:rsidR="005079F8">
              <w:rPr>
                <w:color w:val="000000"/>
                <w:spacing w:val="-2"/>
              </w:rPr>
              <w:t>tební bilance (-174,6 mld.</w:t>
            </w:r>
            <w:r>
              <w:rPr>
                <w:color w:val="000000"/>
                <w:spacing w:val="-2"/>
              </w:rPr>
              <w:t xml:space="preserve">).   </w:t>
            </w:r>
          </w:p>
          <w:p w:rsidR="002E0DB9" w:rsidRDefault="002E0DB9" w:rsidP="003D3EC4">
            <w:pPr>
              <w:pStyle w:val="Textpoznpodarou"/>
              <w:jc w:val="both"/>
              <w:rPr>
                <w:color w:val="000000"/>
                <w:spacing w:val="-2"/>
              </w:rPr>
            </w:pPr>
          </w:p>
        </w:tc>
      </w:tr>
      <w:tr w:rsidR="002E0DB9" w:rsidTr="003D3EC4">
        <w:trPr>
          <w:gridBefore w:val="1"/>
          <w:gridAfter w:val="1"/>
          <w:wBefore w:w="21" w:type="pct"/>
          <w:wAfter w:w="22" w:type="pct"/>
        </w:trPr>
        <w:tc>
          <w:tcPr>
            <w:tcW w:w="1033" w:type="pct"/>
            <w:gridSpan w:val="2"/>
          </w:tcPr>
          <w:p w:rsidR="002E0DB9" w:rsidRDefault="002E0DB9" w:rsidP="003D3EC4">
            <w:pPr>
              <w:spacing w:line="240" w:lineRule="auto"/>
              <w:rPr>
                <w:color w:val="000000"/>
                <w:sz w:val="16"/>
                <w:szCs w:val="16"/>
              </w:rPr>
            </w:pPr>
            <w:r>
              <w:rPr>
                <w:color w:val="000000"/>
                <w:sz w:val="16"/>
                <w:szCs w:val="16"/>
              </w:rPr>
              <w:t xml:space="preserve">… ovlivněn nejen čistým odlivem peněz z ČR jak u přímých, portfoliových i ostatních investic, ale především výrazným posílením devizových rezerv </w:t>
            </w:r>
          </w:p>
          <w:p w:rsidR="002E0DB9" w:rsidRDefault="002E0DB9" w:rsidP="003D3EC4">
            <w:pPr>
              <w:spacing w:line="240" w:lineRule="auto"/>
              <w:rPr>
                <w:color w:val="000000"/>
                <w:sz w:val="16"/>
                <w:szCs w:val="16"/>
              </w:rPr>
            </w:pPr>
          </w:p>
          <w:p w:rsidR="002E0DB9" w:rsidRDefault="002E0DB9" w:rsidP="003D3EC4">
            <w:pPr>
              <w:spacing w:line="240" w:lineRule="auto"/>
              <w:rPr>
                <w:color w:val="000000"/>
                <w:sz w:val="16"/>
                <w:szCs w:val="16"/>
              </w:rPr>
            </w:pPr>
          </w:p>
        </w:tc>
        <w:tc>
          <w:tcPr>
            <w:tcW w:w="138" w:type="pct"/>
          </w:tcPr>
          <w:p w:rsidR="002E0DB9" w:rsidRDefault="002E0DB9" w:rsidP="003D3EC4">
            <w:pPr>
              <w:pStyle w:val="Textpoznpodarou"/>
              <w:jc w:val="both"/>
            </w:pPr>
          </w:p>
        </w:tc>
        <w:tc>
          <w:tcPr>
            <w:tcW w:w="3786" w:type="pct"/>
            <w:gridSpan w:val="3"/>
          </w:tcPr>
          <w:p w:rsidR="002E0DB9" w:rsidRPr="007552BB" w:rsidRDefault="002E0DB9" w:rsidP="003D3EC4">
            <w:pPr>
              <w:pStyle w:val="Textpoznpodarou"/>
              <w:jc w:val="both"/>
              <w:rPr>
                <w:color w:val="000000"/>
                <w:spacing w:val="-4"/>
              </w:rPr>
            </w:pPr>
            <w:r w:rsidRPr="007552BB">
              <w:rPr>
                <w:color w:val="000000"/>
                <w:spacing w:val="-4"/>
              </w:rPr>
              <w:t xml:space="preserve">Nepříznivý vývoj ve 2. čtvrtletí </w:t>
            </w:r>
            <w:r w:rsidR="005079F8" w:rsidRPr="007552BB">
              <w:rPr>
                <w:color w:val="000000"/>
                <w:spacing w:val="-4"/>
              </w:rPr>
              <w:t>–</w:t>
            </w:r>
            <w:r w:rsidRPr="007552BB">
              <w:rPr>
                <w:color w:val="000000"/>
                <w:spacing w:val="-4"/>
              </w:rPr>
              <w:t xml:space="preserve"> zahraniční investoři v ČR i tuzemské subjekty v cizině své přímé investice „stahovali“ </w:t>
            </w:r>
            <w:r w:rsidR="005079F8" w:rsidRPr="007552BB">
              <w:rPr>
                <w:color w:val="000000"/>
                <w:spacing w:val="-4"/>
              </w:rPr>
              <w:t>–</w:t>
            </w:r>
            <w:r w:rsidRPr="007552BB">
              <w:rPr>
                <w:color w:val="000000"/>
                <w:spacing w:val="-4"/>
              </w:rPr>
              <w:t xml:space="preserve"> vyústil za pololetí v čistý odliv přímých investic z ČR (1,7 mld. korun). Spolu s čistým odlivem investic portfoliových (48,6 mld.)</w:t>
            </w:r>
            <w:r w:rsidR="007F500D" w:rsidRPr="007552BB">
              <w:rPr>
                <w:color w:val="000000"/>
                <w:spacing w:val="-4"/>
              </w:rPr>
              <w:t xml:space="preserve"> i ostatních investic (1,3 mld.</w:t>
            </w:r>
            <w:r w:rsidRPr="007552BB">
              <w:rPr>
                <w:color w:val="000000"/>
                <w:spacing w:val="-4"/>
              </w:rPr>
              <w:t xml:space="preserve">), avšak především výrazným růstem devizových rezerv (119,3 mld. korun) vykázal celý finanční účet výrazně deficitní výsledek ve </w:t>
            </w:r>
            <w:r w:rsidR="007552BB" w:rsidRPr="007552BB">
              <w:rPr>
                <w:color w:val="000000"/>
                <w:spacing w:val="-4"/>
              </w:rPr>
              <w:t xml:space="preserve">zmíněné </w:t>
            </w:r>
            <w:r w:rsidRPr="007552BB">
              <w:rPr>
                <w:color w:val="000000"/>
                <w:spacing w:val="-4"/>
              </w:rPr>
              <w:t>výši -174,6 mld</w:t>
            </w:r>
            <w:r w:rsidR="005079F8" w:rsidRPr="007552BB">
              <w:rPr>
                <w:color w:val="000000"/>
                <w:spacing w:val="-4"/>
              </w:rPr>
              <w:t>. korun. (</w:t>
            </w:r>
            <w:r w:rsidRPr="007552BB">
              <w:rPr>
                <w:color w:val="000000"/>
                <w:spacing w:val="-4"/>
              </w:rPr>
              <w:t>Devizové rezervy jsou do finančního účtu zahrnovány nově pod</w:t>
            </w:r>
            <w:r w:rsidR="005079F8" w:rsidRPr="007552BB">
              <w:rPr>
                <w:color w:val="000000"/>
                <w:spacing w:val="-4"/>
              </w:rPr>
              <w:t>le 6. Manuálu platební bilance, BPM6</w:t>
            </w:r>
            <w:r w:rsidRPr="007552BB">
              <w:rPr>
                <w:color w:val="000000"/>
                <w:spacing w:val="-4"/>
              </w:rPr>
              <w:t>, v p</w:t>
            </w:r>
            <w:r w:rsidR="005079F8" w:rsidRPr="007552BB">
              <w:rPr>
                <w:color w:val="000000"/>
                <w:spacing w:val="-4"/>
              </w:rPr>
              <w:t>ředchozí verzi stály samostatně)</w:t>
            </w:r>
            <w:r w:rsidRPr="007552BB">
              <w:rPr>
                <w:color w:val="000000"/>
                <w:spacing w:val="-4"/>
              </w:rPr>
              <w:t>.</w:t>
            </w:r>
          </w:p>
          <w:p w:rsidR="002E0DB9" w:rsidRDefault="002E0DB9" w:rsidP="003D3EC4">
            <w:pPr>
              <w:pStyle w:val="Textpoznpodarou"/>
              <w:jc w:val="both"/>
              <w:rPr>
                <w:color w:val="000000"/>
                <w:spacing w:val="-2"/>
              </w:rPr>
            </w:pPr>
            <w:r>
              <w:rPr>
                <w:color w:val="000000"/>
                <w:spacing w:val="-2"/>
              </w:rPr>
              <w:t xml:space="preserve">  </w:t>
            </w:r>
          </w:p>
        </w:tc>
      </w:tr>
      <w:tr w:rsidR="002E0DB9" w:rsidRPr="006D142E" w:rsidTr="003D3EC4">
        <w:trPr>
          <w:gridBefore w:val="1"/>
          <w:gridAfter w:val="1"/>
          <w:wBefore w:w="21" w:type="pct"/>
          <w:wAfter w:w="22" w:type="pct"/>
        </w:trPr>
        <w:tc>
          <w:tcPr>
            <w:tcW w:w="1033" w:type="pct"/>
            <w:gridSpan w:val="2"/>
          </w:tcPr>
          <w:p w:rsidR="002E0DB9" w:rsidRDefault="002E0DB9" w:rsidP="003D3EC4">
            <w:pPr>
              <w:spacing w:line="240" w:lineRule="auto"/>
              <w:rPr>
                <w:color w:val="000000"/>
                <w:sz w:val="16"/>
                <w:szCs w:val="16"/>
              </w:rPr>
            </w:pPr>
            <w:r>
              <w:rPr>
                <w:color w:val="000000"/>
                <w:sz w:val="16"/>
                <w:szCs w:val="16"/>
              </w:rPr>
              <w:t>Tempo růstu dovozu i vývozu zpomalilo i vlivem srovnávací základny;</w:t>
            </w:r>
          </w:p>
          <w:p w:rsidR="002E0DB9" w:rsidRPr="00602D1D" w:rsidRDefault="002E0DB9" w:rsidP="003D3EC4">
            <w:pPr>
              <w:spacing w:line="240" w:lineRule="auto"/>
              <w:rPr>
                <w:color w:val="000000"/>
                <w:sz w:val="16"/>
                <w:szCs w:val="16"/>
              </w:rPr>
            </w:pPr>
            <w:r>
              <w:rPr>
                <w:color w:val="000000"/>
                <w:sz w:val="16"/>
                <w:szCs w:val="16"/>
              </w:rPr>
              <w:t xml:space="preserve">podíl čtyř nejsilnějších produktových položek, tj. aut a dílů, PC a elektroniky, elektrických zařízení a ostatních strojů a zařízení na celkových </w:t>
            </w:r>
            <w:proofErr w:type="gramStart"/>
            <w:r>
              <w:rPr>
                <w:color w:val="000000"/>
                <w:sz w:val="16"/>
                <w:szCs w:val="16"/>
              </w:rPr>
              <w:t>exportech  z ČR</w:t>
            </w:r>
            <w:proofErr w:type="gramEnd"/>
            <w:r>
              <w:rPr>
                <w:color w:val="000000"/>
                <w:sz w:val="16"/>
                <w:szCs w:val="16"/>
              </w:rPr>
              <w:t xml:space="preserve"> dále narostl na 52,2 %…</w:t>
            </w:r>
          </w:p>
          <w:p w:rsidR="002E0DB9" w:rsidRPr="00602D1D" w:rsidRDefault="002E0DB9" w:rsidP="003D3EC4">
            <w:pPr>
              <w:spacing w:line="240" w:lineRule="auto"/>
              <w:rPr>
                <w:color w:val="000000"/>
                <w:sz w:val="16"/>
                <w:szCs w:val="16"/>
              </w:rPr>
            </w:pPr>
            <w:r w:rsidRPr="00602D1D">
              <w:rPr>
                <w:color w:val="000000"/>
                <w:sz w:val="16"/>
                <w:szCs w:val="16"/>
              </w:rPr>
              <w:t xml:space="preserve"> </w:t>
            </w:r>
          </w:p>
        </w:tc>
        <w:tc>
          <w:tcPr>
            <w:tcW w:w="138" w:type="pct"/>
          </w:tcPr>
          <w:p w:rsidR="002E0DB9" w:rsidRDefault="002E0DB9" w:rsidP="003D3EC4">
            <w:pPr>
              <w:pStyle w:val="Textpoznpodarou"/>
              <w:jc w:val="both"/>
            </w:pPr>
          </w:p>
        </w:tc>
        <w:tc>
          <w:tcPr>
            <w:tcW w:w="3786" w:type="pct"/>
            <w:gridSpan w:val="3"/>
          </w:tcPr>
          <w:p w:rsidR="002E0DB9" w:rsidRDefault="002E0DB9" w:rsidP="003D3EC4">
            <w:pPr>
              <w:pStyle w:val="Textpoznpodarou"/>
              <w:jc w:val="both"/>
              <w:rPr>
                <w:color w:val="000000"/>
                <w:spacing w:val="-2"/>
              </w:rPr>
            </w:pPr>
            <w:r>
              <w:rPr>
                <w:color w:val="000000"/>
                <w:spacing w:val="-2"/>
              </w:rPr>
              <w:t xml:space="preserve">Podle dat o zahraničním obchodě se zbožím v národním pojetí tempo exportu z ČR v nominálním vyjádření meziročně zpomalilo na +7,4 % </w:t>
            </w:r>
            <w:r w:rsidR="005079F8">
              <w:rPr>
                <w:color w:val="000000"/>
                <w:spacing w:val="-2"/>
              </w:rPr>
              <w:t>–</w:t>
            </w:r>
            <w:r>
              <w:rPr>
                <w:color w:val="000000"/>
                <w:spacing w:val="-2"/>
              </w:rPr>
              <w:t xml:space="preserve"> ve stejném období 2014 bylo s +15,4 % více než dvojnásobné, ale ovlivněné slabou srovnávací základnou (její vliv v opačném směru působil i v 1. pololetí 2015). Na přírůstku exportu o 115,6 mld. korun se ze dvou pětin podílel vý</w:t>
            </w:r>
            <w:r w:rsidR="005079F8">
              <w:rPr>
                <w:color w:val="000000"/>
                <w:spacing w:val="-2"/>
              </w:rPr>
              <w:t xml:space="preserve">voz aut a jejich dílů. </w:t>
            </w:r>
            <w:r>
              <w:rPr>
                <w:color w:val="000000"/>
                <w:spacing w:val="-2"/>
              </w:rPr>
              <w:t>Ten také posílil svůj podíl ve struktuře celkových exportů z ČR na téměř čtvrtinu (24,2 % oproti 23 % ve stejném období 2014). Bylo to dáno tím, že ze čtyř hlavních produktových skupin, představujících více než polovinu českých vývozů, byla dynamika exportu aut nejsilnější (+12,9 %), i když podstatně nižší než před rokem (+27,6 %).</w:t>
            </w:r>
          </w:p>
          <w:p w:rsidR="002E0DB9" w:rsidRDefault="002E0DB9" w:rsidP="003D3EC4">
            <w:pPr>
              <w:pStyle w:val="Textpoznpodarou"/>
              <w:jc w:val="both"/>
              <w:rPr>
                <w:color w:val="000000"/>
                <w:spacing w:val="-2"/>
              </w:rPr>
            </w:pPr>
            <w:r>
              <w:rPr>
                <w:color w:val="000000"/>
                <w:spacing w:val="-2"/>
              </w:rPr>
              <w:t xml:space="preserve"> </w:t>
            </w:r>
          </w:p>
          <w:p w:rsidR="002E0DB9" w:rsidRDefault="002E0DB9" w:rsidP="003D3EC4">
            <w:pPr>
              <w:pStyle w:val="Textpoznpodarou"/>
              <w:jc w:val="both"/>
              <w:rPr>
                <w:color w:val="000000"/>
                <w:spacing w:val="-2"/>
              </w:rPr>
            </w:pPr>
            <w:r>
              <w:rPr>
                <w:color w:val="000000"/>
                <w:spacing w:val="-2"/>
              </w:rPr>
              <w:t>Vývoz zbylých nejsilnějš</w:t>
            </w:r>
            <w:r w:rsidR="005079F8">
              <w:rPr>
                <w:color w:val="000000"/>
                <w:spacing w:val="-2"/>
              </w:rPr>
              <w:t>ích</w:t>
            </w:r>
            <w:r>
              <w:rPr>
                <w:color w:val="000000"/>
                <w:spacing w:val="-2"/>
              </w:rPr>
              <w:t xml:space="preserve"> exportních produktů rostl tempem nižším než průměrným – export PC a elektroniky stoupl o 7,2 % na 154 mld., elektrických zařízení o 6,4 % na 138 mld. a ostatních strojů a zařízení o 3,5 % na 179 mld. korun. Spolu s exportem aut a dílů ve výši 408 mld. korun tak tyto čtyři produktové položky zvýšily svůj podíl na úhrnných exportech z ČR na 52,2 % z 51,5 % zaznamenaných v pololetí 2014. </w:t>
            </w:r>
          </w:p>
          <w:p w:rsidR="002E0DB9" w:rsidRPr="00B357E9" w:rsidRDefault="002E0DB9" w:rsidP="003D3EC4">
            <w:pPr>
              <w:pStyle w:val="Textpoznpodarou"/>
              <w:jc w:val="both"/>
              <w:rPr>
                <w:color w:val="000000"/>
                <w:spacing w:val="-2"/>
                <w:sz w:val="12"/>
                <w:szCs w:val="12"/>
              </w:rPr>
            </w:pPr>
          </w:p>
          <w:p w:rsidR="002E0DB9" w:rsidRDefault="002E0DB9" w:rsidP="003D3EC4">
            <w:pPr>
              <w:pStyle w:val="Textpoznpodarou"/>
              <w:jc w:val="both"/>
              <w:rPr>
                <w:color w:val="000000"/>
                <w:spacing w:val="-2"/>
              </w:rPr>
            </w:pPr>
            <w:r>
              <w:rPr>
                <w:color w:val="000000"/>
                <w:spacing w:val="-2"/>
              </w:rPr>
              <w:t xml:space="preserve">„Zbytek“ českého exportu tak co do podílu oslabil, přestože tempem vyšším než </w:t>
            </w:r>
            <w:r>
              <w:rPr>
                <w:color w:val="000000"/>
                <w:spacing w:val="-2"/>
              </w:rPr>
              <w:lastRenderedPageBreak/>
              <w:t xml:space="preserve">průměrným vzrostl vývoz 12 ze 40 produktových položek (významněji např. papírenské </w:t>
            </w:r>
            <w:r w:rsidRPr="006D142E">
              <w:rPr>
                <w:color w:val="000000"/>
                <w:spacing w:val="-4"/>
              </w:rPr>
              <w:t>výrobk</w:t>
            </w:r>
            <w:r>
              <w:rPr>
                <w:color w:val="000000"/>
                <w:spacing w:val="-4"/>
              </w:rPr>
              <w:t>y</w:t>
            </w:r>
            <w:r w:rsidRPr="006D142E">
              <w:rPr>
                <w:color w:val="000000"/>
                <w:spacing w:val="-4"/>
              </w:rPr>
              <w:t>, ostatní dopravní prostředk</w:t>
            </w:r>
            <w:r>
              <w:rPr>
                <w:color w:val="000000"/>
                <w:spacing w:val="-4"/>
              </w:rPr>
              <w:t>y</w:t>
            </w:r>
            <w:r w:rsidRPr="006D142E">
              <w:rPr>
                <w:color w:val="000000"/>
                <w:spacing w:val="-4"/>
              </w:rPr>
              <w:t xml:space="preserve"> a </w:t>
            </w:r>
            <w:r>
              <w:rPr>
                <w:color w:val="000000"/>
                <w:spacing w:val="-4"/>
              </w:rPr>
              <w:t>produkty</w:t>
            </w:r>
            <w:r w:rsidRPr="006D142E">
              <w:rPr>
                <w:color w:val="000000"/>
                <w:spacing w:val="-4"/>
              </w:rPr>
              <w:t xml:space="preserve"> ostatního zpracovatelského průmyslu</w:t>
            </w:r>
            <w:r>
              <w:rPr>
                <w:color w:val="000000"/>
                <w:spacing w:val="-4"/>
              </w:rPr>
              <w:t>)</w:t>
            </w:r>
            <w:r>
              <w:rPr>
                <w:color w:val="000000"/>
                <w:spacing w:val="-2"/>
              </w:rPr>
              <w:t xml:space="preserve">. Naopak meziročně nižší byl export hodnotově důležitých chemických látek (-2,1 %), ale také léků (-0,8 %) nebo textilií (-1,5 %).    </w:t>
            </w:r>
          </w:p>
          <w:p w:rsidR="002E0DB9" w:rsidRPr="006D142E" w:rsidRDefault="002E0DB9" w:rsidP="003D3EC4">
            <w:pPr>
              <w:pStyle w:val="Textpoznpodarou"/>
              <w:jc w:val="both"/>
              <w:rPr>
                <w:color w:val="000000"/>
                <w:spacing w:val="-2"/>
                <w:sz w:val="12"/>
                <w:szCs w:val="12"/>
              </w:rPr>
            </w:pPr>
          </w:p>
        </w:tc>
      </w:tr>
      <w:tr w:rsidR="002E0DB9" w:rsidRPr="000F401E" w:rsidTr="003D3EC4">
        <w:trPr>
          <w:gridBefore w:val="1"/>
          <w:gridAfter w:val="1"/>
          <w:wBefore w:w="21" w:type="pct"/>
          <w:wAfter w:w="22" w:type="pct"/>
        </w:trPr>
        <w:tc>
          <w:tcPr>
            <w:tcW w:w="1033" w:type="pct"/>
            <w:gridSpan w:val="2"/>
          </w:tcPr>
          <w:p w:rsidR="002E0DB9" w:rsidRPr="00602D1D" w:rsidRDefault="002E0DB9" w:rsidP="003D3EC4">
            <w:pPr>
              <w:spacing w:line="240" w:lineRule="auto"/>
              <w:rPr>
                <w:color w:val="000000"/>
                <w:sz w:val="16"/>
                <w:szCs w:val="16"/>
              </w:rPr>
            </w:pPr>
            <w:r>
              <w:rPr>
                <w:color w:val="000000"/>
                <w:sz w:val="16"/>
                <w:szCs w:val="16"/>
              </w:rPr>
              <w:lastRenderedPageBreak/>
              <w:t>Dynamiku importů snižoval dovoz ropy a plynu vlivem poklesu jejich cen na světových trzích, podobně jako u některých dalších surovin…</w:t>
            </w:r>
          </w:p>
        </w:tc>
        <w:tc>
          <w:tcPr>
            <w:tcW w:w="138" w:type="pct"/>
          </w:tcPr>
          <w:p w:rsidR="002E0DB9" w:rsidRPr="00B45D1B" w:rsidRDefault="002E0DB9" w:rsidP="003D3EC4">
            <w:pPr>
              <w:pStyle w:val="Textpoznpodarou"/>
              <w:jc w:val="both"/>
            </w:pPr>
          </w:p>
        </w:tc>
        <w:tc>
          <w:tcPr>
            <w:tcW w:w="3786" w:type="pct"/>
            <w:gridSpan w:val="3"/>
          </w:tcPr>
          <w:p w:rsidR="002E0DB9" w:rsidRDefault="002E0DB9" w:rsidP="003D3EC4">
            <w:pPr>
              <w:pStyle w:val="Textpoznpodarou"/>
              <w:jc w:val="both"/>
              <w:rPr>
                <w:color w:val="000000"/>
                <w:spacing w:val="-2"/>
              </w:rPr>
            </w:pPr>
            <w:r>
              <w:rPr>
                <w:color w:val="000000"/>
                <w:spacing w:val="-2"/>
              </w:rPr>
              <w:t xml:space="preserve">Relativně silnou domácí poptávku dokresluje mírně rychlejší tempo dovozů (+7,6 %) oproti vývozům (+7,4 %). Vlivem meziročního propadu cen ropy na světových trzích klesl hodnotově její import spolu s dovozem zemního plynu o téměř pětinu (-19,8 % tj. o 18 mld. korun). Tentýž důvod přispěl i k oslabení hodnoty dovozů dalších surovin (rudy -32 %, uhlí -3 % anebo dřeva -9 %, jehož import je však, pokud jde o dováženou hodnotu, méně významný). </w:t>
            </w:r>
          </w:p>
          <w:p w:rsidR="002E0DB9" w:rsidRPr="000F401E" w:rsidRDefault="002E0DB9" w:rsidP="003D3EC4">
            <w:pPr>
              <w:pStyle w:val="Textpoznpodarou"/>
              <w:jc w:val="both"/>
              <w:rPr>
                <w:color w:val="000000"/>
                <w:spacing w:val="-2"/>
                <w:sz w:val="16"/>
                <w:szCs w:val="16"/>
              </w:rPr>
            </w:pPr>
          </w:p>
        </w:tc>
      </w:tr>
      <w:tr w:rsidR="002E0DB9" w:rsidTr="003D3EC4">
        <w:trPr>
          <w:gridBefore w:val="1"/>
          <w:gridAfter w:val="1"/>
          <w:wBefore w:w="21" w:type="pct"/>
          <w:wAfter w:w="22" w:type="pct"/>
        </w:trPr>
        <w:tc>
          <w:tcPr>
            <w:tcW w:w="1033" w:type="pct"/>
            <w:gridSpan w:val="2"/>
          </w:tcPr>
          <w:p w:rsidR="002E0DB9" w:rsidRDefault="002E0DB9" w:rsidP="003D3EC4">
            <w:pPr>
              <w:spacing w:line="240" w:lineRule="auto"/>
              <w:rPr>
                <w:color w:val="000000"/>
                <w:sz w:val="16"/>
                <w:szCs w:val="16"/>
              </w:rPr>
            </w:pPr>
            <w:r>
              <w:rPr>
                <w:color w:val="000000"/>
                <w:sz w:val="16"/>
                <w:szCs w:val="16"/>
              </w:rPr>
              <w:t>… dovozy největších produktových položek však rostly tempem nadprůměrným</w:t>
            </w:r>
          </w:p>
        </w:tc>
        <w:tc>
          <w:tcPr>
            <w:tcW w:w="138" w:type="pct"/>
          </w:tcPr>
          <w:p w:rsidR="002E0DB9" w:rsidRPr="00B45D1B" w:rsidRDefault="002E0DB9" w:rsidP="003D3EC4">
            <w:pPr>
              <w:pStyle w:val="Textpoznpodarou"/>
              <w:jc w:val="both"/>
            </w:pPr>
          </w:p>
        </w:tc>
        <w:tc>
          <w:tcPr>
            <w:tcW w:w="3786" w:type="pct"/>
            <w:gridSpan w:val="3"/>
          </w:tcPr>
          <w:p w:rsidR="002E0DB9" w:rsidRPr="00A968F6" w:rsidRDefault="002E0DB9" w:rsidP="003D3EC4">
            <w:pPr>
              <w:pStyle w:val="Textpoznpodarou"/>
              <w:jc w:val="both"/>
              <w:rPr>
                <w:color w:val="000000"/>
                <w:spacing w:val="-2"/>
              </w:rPr>
            </w:pPr>
            <w:r>
              <w:rPr>
                <w:color w:val="000000"/>
                <w:spacing w:val="-2"/>
              </w:rPr>
              <w:t xml:space="preserve">Hlavní importní položky jsou vlivem dovozně-vývozní orientace české ekonomiky co do váhy totožné s hlavními položkami exportů. Jejich dovozy do ČR rostly meziročně tempem vyšším než průměrným, což platilo především pro auta a jejich díly (+14 %). Spolu s PC a elektronikou, elektrickými zařízeními a ostatními stroji se tyto čtyři produktové položky podílely na úhrnných dovozech do ČR v 1. pololetí </w:t>
            </w:r>
            <w:proofErr w:type="gramStart"/>
            <w:r>
              <w:rPr>
                <w:color w:val="000000"/>
                <w:spacing w:val="-2"/>
              </w:rPr>
              <w:t>2015 z  42,4</w:t>
            </w:r>
            <w:proofErr w:type="gramEnd"/>
            <w:r>
              <w:rPr>
                <w:color w:val="000000"/>
                <w:spacing w:val="-2"/>
              </w:rPr>
              <w:t> %,  zatímco ve stejném období předchozího roku z 39,7 %. Růst tohoto podílu rovněž dokládá nynější konjunkturní fázi hospodářského cyklu v České republice.</w:t>
            </w:r>
          </w:p>
          <w:p w:rsidR="002E0DB9" w:rsidRDefault="002E0DB9" w:rsidP="003D3EC4">
            <w:pPr>
              <w:pStyle w:val="Textpoznpodarou"/>
              <w:jc w:val="both"/>
              <w:rPr>
                <w:color w:val="000000"/>
                <w:spacing w:val="-2"/>
              </w:rPr>
            </w:pPr>
          </w:p>
        </w:tc>
      </w:tr>
      <w:tr w:rsidR="002E0DB9" w:rsidTr="003D3EC4">
        <w:trPr>
          <w:gridBefore w:val="1"/>
          <w:gridAfter w:val="1"/>
          <w:wBefore w:w="21" w:type="pct"/>
          <w:wAfter w:w="22" w:type="pct"/>
        </w:trPr>
        <w:tc>
          <w:tcPr>
            <w:tcW w:w="1033" w:type="pct"/>
            <w:gridSpan w:val="2"/>
          </w:tcPr>
          <w:p w:rsidR="002E0DB9" w:rsidRDefault="002E0DB9" w:rsidP="003D3EC4">
            <w:pPr>
              <w:spacing w:line="240" w:lineRule="auto"/>
              <w:rPr>
                <w:color w:val="000000"/>
                <w:sz w:val="16"/>
                <w:szCs w:val="16"/>
              </w:rPr>
            </w:pPr>
            <w:r>
              <w:rPr>
                <w:color w:val="000000"/>
                <w:sz w:val="16"/>
                <w:szCs w:val="16"/>
              </w:rPr>
              <w:t>Přebytek obchodní bilance nominálně nad stomiliardovou hranicí, její zlepšení však nejmenší za předchozích pět let</w:t>
            </w:r>
          </w:p>
        </w:tc>
        <w:tc>
          <w:tcPr>
            <w:tcW w:w="138" w:type="pct"/>
          </w:tcPr>
          <w:p w:rsidR="002E0DB9" w:rsidRPr="00B45D1B" w:rsidRDefault="002E0DB9" w:rsidP="003D3EC4">
            <w:pPr>
              <w:pStyle w:val="Textpoznpodarou"/>
              <w:jc w:val="both"/>
            </w:pPr>
          </w:p>
        </w:tc>
        <w:tc>
          <w:tcPr>
            <w:tcW w:w="3786" w:type="pct"/>
            <w:gridSpan w:val="3"/>
          </w:tcPr>
          <w:p w:rsidR="002E0DB9" w:rsidRDefault="002E0DB9" w:rsidP="003D3EC4">
            <w:pPr>
              <w:pStyle w:val="Textpoznpodarou"/>
              <w:jc w:val="both"/>
              <w:rPr>
                <w:color w:val="000000"/>
                <w:spacing w:val="-2"/>
              </w:rPr>
            </w:pPr>
            <w:r>
              <w:rPr>
                <w:color w:val="000000"/>
                <w:spacing w:val="-2"/>
              </w:rPr>
              <w:t>Převýšení vývozu nad dovozy v národním pojetí</w:t>
            </w:r>
            <w:r w:rsidRPr="00FA2C2A">
              <w:rPr>
                <w:color w:val="000000"/>
                <w:spacing w:val="-6"/>
                <w:vertAlign w:val="superscript"/>
              </w:rPr>
              <w:footnoteReference w:id="10"/>
            </w:r>
            <w:r>
              <w:rPr>
                <w:color w:val="000000"/>
                <w:spacing w:val="-2"/>
              </w:rPr>
              <w:t xml:space="preserve"> překonalo sice za 1. pololetí 2015 poprvé st</w:t>
            </w:r>
            <w:r w:rsidR="003736B5">
              <w:rPr>
                <w:color w:val="000000"/>
                <w:spacing w:val="-2"/>
              </w:rPr>
              <w:t>o</w:t>
            </w:r>
            <w:r>
              <w:rPr>
                <w:color w:val="000000"/>
                <w:spacing w:val="-2"/>
              </w:rPr>
              <w:t xml:space="preserve">miliardovou hranici (102,6 mld. korun), nicméně co se týká meziročního zlepšení obchodní bilance (+4,3 mld. korun), bylo nejslabší za srovnatelná </w:t>
            </w:r>
            <w:proofErr w:type="gramStart"/>
            <w:r>
              <w:rPr>
                <w:color w:val="000000"/>
                <w:spacing w:val="-2"/>
              </w:rPr>
              <w:t>pololetí  předchozích</w:t>
            </w:r>
            <w:proofErr w:type="gramEnd"/>
            <w:r w:rsidR="005079F8">
              <w:rPr>
                <w:color w:val="000000"/>
                <w:spacing w:val="-2"/>
              </w:rPr>
              <w:t xml:space="preserve"> </w:t>
            </w:r>
            <w:r>
              <w:rPr>
                <w:color w:val="000000"/>
                <w:spacing w:val="-2"/>
              </w:rPr>
              <w:t xml:space="preserve">pěti let (od roku 2011 se obchodní bilance zlepšovala každý rok v průměru o 16,6 mld. korun). I to je důvodem, proč výkonová bilance přispěla v 1. pololetí 2015 k přebytku běžného účtu platební bilance jen nepatrně.      </w:t>
            </w:r>
          </w:p>
          <w:p w:rsidR="002E0DB9" w:rsidRDefault="002E0DB9" w:rsidP="003D3EC4">
            <w:pPr>
              <w:pStyle w:val="Textpoznpodarou"/>
              <w:jc w:val="both"/>
              <w:rPr>
                <w:color w:val="000000"/>
                <w:spacing w:val="-2"/>
              </w:rPr>
            </w:pPr>
          </w:p>
        </w:tc>
      </w:tr>
      <w:tr w:rsidR="002E0DB9" w:rsidRPr="006B2EFD" w:rsidTr="003D3EC4">
        <w:trPr>
          <w:gridBefore w:val="1"/>
          <w:gridAfter w:val="1"/>
          <w:wBefore w:w="21" w:type="pct"/>
          <w:wAfter w:w="22" w:type="pct"/>
        </w:trPr>
        <w:tc>
          <w:tcPr>
            <w:tcW w:w="1033" w:type="pct"/>
            <w:gridSpan w:val="2"/>
          </w:tcPr>
          <w:p w:rsidR="002E0DB9" w:rsidRPr="00602D1D" w:rsidRDefault="002E0DB9" w:rsidP="003D3EC4">
            <w:pPr>
              <w:spacing w:line="240" w:lineRule="auto"/>
              <w:rPr>
                <w:color w:val="000000"/>
                <w:sz w:val="16"/>
                <w:szCs w:val="16"/>
              </w:rPr>
            </w:pPr>
            <w:proofErr w:type="gramStart"/>
            <w:r>
              <w:rPr>
                <w:color w:val="000000"/>
                <w:sz w:val="16"/>
                <w:szCs w:val="16"/>
              </w:rPr>
              <w:t>Export  do</w:t>
            </w:r>
            <w:proofErr w:type="gramEnd"/>
            <w:r>
              <w:rPr>
                <w:color w:val="000000"/>
                <w:sz w:val="16"/>
                <w:szCs w:val="16"/>
              </w:rPr>
              <w:t xml:space="preserve"> EU a </w:t>
            </w:r>
            <w:proofErr w:type="spellStart"/>
            <w:r>
              <w:rPr>
                <w:color w:val="000000"/>
                <w:sz w:val="16"/>
                <w:szCs w:val="16"/>
              </w:rPr>
              <w:t>eurozóny</w:t>
            </w:r>
            <w:proofErr w:type="spellEnd"/>
            <w:r>
              <w:rPr>
                <w:color w:val="000000"/>
                <w:sz w:val="16"/>
                <w:szCs w:val="16"/>
              </w:rPr>
              <w:t xml:space="preserve"> vedl k posílení těchto teritorií podle podílu na celkových exportech, neevropské trhy „ztrácely“</w:t>
            </w:r>
          </w:p>
        </w:tc>
        <w:tc>
          <w:tcPr>
            <w:tcW w:w="138" w:type="pct"/>
          </w:tcPr>
          <w:p w:rsidR="002E0DB9" w:rsidRPr="00CA6508" w:rsidRDefault="002E0DB9" w:rsidP="003D3EC4">
            <w:pPr>
              <w:pStyle w:val="Textpoznpodarou"/>
              <w:jc w:val="both"/>
              <w:rPr>
                <w:i/>
              </w:rPr>
            </w:pPr>
          </w:p>
        </w:tc>
        <w:tc>
          <w:tcPr>
            <w:tcW w:w="3786" w:type="pct"/>
            <w:gridSpan w:val="3"/>
          </w:tcPr>
          <w:p w:rsidR="002E0DB9" w:rsidRPr="00A968F6" w:rsidRDefault="002E0DB9" w:rsidP="003D3EC4">
            <w:pPr>
              <w:pStyle w:val="Textpoznpodarou"/>
              <w:jc w:val="both"/>
              <w:rPr>
                <w:color w:val="000000"/>
              </w:rPr>
            </w:pPr>
            <w:r>
              <w:rPr>
                <w:color w:val="000000"/>
              </w:rPr>
              <w:t>Vývoz do hlavní</w:t>
            </w:r>
            <w:r w:rsidR="005079F8">
              <w:rPr>
                <w:color w:val="000000"/>
              </w:rPr>
              <w:t>ch</w:t>
            </w:r>
            <w:r>
              <w:rPr>
                <w:color w:val="000000"/>
              </w:rPr>
              <w:t xml:space="preserve"> cílových destinací exportu z ČR stoupl meziročně v 1. pololetí o 8,4 % shodně v případě EU 28, </w:t>
            </w:r>
            <w:proofErr w:type="spellStart"/>
            <w:r>
              <w:rPr>
                <w:color w:val="000000"/>
              </w:rPr>
              <w:t>eurozóny</w:t>
            </w:r>
            <w:proofErr w:type="spellEnd"/>
            <w:r>
              <w:rPr>
                <w:color w:val="000000"/>
              </w:rPr>
              <w:t xml:space="preserve">, Německa a Polska. To proti stejnému období 2014 dále zvýšilo podíl českých exportů na unijní trh o 0,7 </w:t>
            </w:r>
            <w:proofErr w:type="spellStart"/>
            <w:r>
              <w:rPr>
                <w:color w:val="000000"/>
              </w:rPr>
              <w:t>pb</w:t>
            </w:r>
            <w:proofErr w:type="spellEnd"/>
            <w:r>
              <w:rPr>
                <w:color w:val="000000"/>
              </w:rPr>
              <w:t xml:space="preserve">. na 83,9 %, do </w:t>
            </w:r>
            <w:proofErr w:type="spellStart"/>
            <w:r>
              <w:rPr>
                <w:color w:val="000000"/>
              </w:rPr>
              <w:t>eurozóny</w:t>
            </w:r>
            <w:proofErr w:type="spellEnd"/>
            <w:r>
              <w:rPr>
                <w:color w:val="000000"/>
              </w:rPr>
              <w:t xml:space="preserve"> o 0,6 </w:t>
            </w:r>
            <w:proofErr w:type="spellStart"/>
            <w:r>
              <w:rPr>
                <w:color w:val="000000"/>
              </w:rPr>
              <w:t>pb</w:t>
            </w:r>
            <w:proofErr w:type="spellEnd"/>
            <w:r>
              <w:rPr>
                <w:color w:val="000000"/>
              </w:rPr>
              <w:t xml:space="preserve">. na 65,1 %. Podíl teritorií mimo EU klesl </w:t>
            </w:r>
            <w:proofErr w:type="gramStart"/>
            <w:r>
              <w:rPr>
                <w:color w:val="000000"/>
              </w:rPr>
              <w:t>ze</w:t>
            </w:r>
            <w:proofErr w:type="gramEnd"/>
            <w:r>
              <w:rPr>
                <w:color w:val="000000"/>
              </w:rPr>
              <w:t xml:space="preserve"> 16,8 % na 16 % především vlivem meziročního propadu exportů do Ruské federac</w:t>
            </w:r>
            <w:r w:rsidR="005079F8">
              <w:rPr>
                <w:color w:val="000000"/>
              </w:rPr>
              <w:t>e</w:t>
            </w:r>
            <w:r>
              <w:rPr>
                <w:color w:val="000000"/>
              </w:rPr>
              <w:t xml:space="preserve">  o 32,6 % představující hodnotově téměř 17 mld. korun (vliv sankcí a poklesu ruské ekonomiky). Dále klesl i export z ČR do Rakouska (-2,7 %). Zpomalení růstu čínské ekonomiky se zatím v dynamice exportů z ČR neprojevilo (+15,3 % při stále velmi malých objemech obchodů: hodnota 18,2 mld. korun v 1. pololetí představovala jen 1,1 % úhrnných exportů z ČR). K větší diverzifikaci českého exportu především směrem na východní trhy tak i z důvodů změn globálních růstových proporcí zatím nedochází.   </w:t>
            </w:r>
          </w:p>
          <w:p w:rsidR="002E0DB9" w:rsidRPr="006B2EFD" w:rsidRDefault="002E0DB9" w:rsidP="003D3EC4">
            <w:pPr>
              <w:pStyle w:val="Textpoznpodarou"/>
              <w:jc w:val="both"/>
              <w:rPr>
                <w:color w:val="000000"/>
                <w:spacing w:val="-2"/>
                <w:sz w:val="10"/>
                <w:szCs w:val="10"/>
              </w:rPr>
            </w:pPr>
          </w:p>
        </w:tc>
      </w:tr>
      <w:tr w:rsidR="002E0DB9" w:rsidRPr="00EB30B6" w:rsidTr="003D3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496" w:type="pct"/>
            <w:gridSpan w:val="2"/>
            <w:tcBorders>
              <w:top w:val="nil"/>
              <w:left w:val="nil"/>
              <w:bottom w:val="nil"/>
              <w:right w:val="nil"/>
            </w:tcBorders>
          </w:tcPr>
          <w:p w:rsidR="002E0DB9" w:rsidRPr="00666F4B" w:rsidRDefault="002E0DB9" w:rsidP="003D3EC4">
            <w:pPr>
              <w:spacing w:line="240" w:lineRule="auto"/>
              <w:rPr>
                <w:color w:val="000000"/>
                <w:sz w:val="19"/>
                <w:szCs w:val="19"/>
              </w:rPr>
            </w:pPr>
            <w:r w:rsidRPr="00666F4B">
              <w:rPr>
                <w:color w:val="000000"/>
                <w:sz w:val="19"/>
                <w:szCs w:val="19"/>
              </w:rPr>
              <w:t>Graf č. 9</w:t>
            </w:r>
          </w:p>
        </w:tc>
        <w:tc>
          <w:tcPr>
            <w:tcW w:w="1940" w:type="pct"/>
            <w:gridSpan w:val="3"/>
            <w:tcBorders>
              <w:top w:val="nil"/>
              <w:left w:val="nil"/>
              <w:bottom w:val="nil"/>
              <w:right w:val="nil"/>
            </w:tcBorders>
          </w:tcPr>
          <w:p w:rsidR="002E0DB9" w:rsidRPr="00444268" w:rsidRDefault="002E0DB9" w:rsidP="003D3EC4">
            <w:pPr>
              <w:spacing w:line="240" w:lineRule="auto"/>
              <w:rPr>
                <w:b/>
                <w:bCs/>
              </w:rPr>
            </w:pPr>
            <w:r>
              <w:rPr>
                <w:b/>
                <w:bCs/>
              </w:rPr>
              <w:t>Celkový vývoz a dovoz zboží</w:t>
            </w:r>
            <w:r w:rsidRPr="002A35EA">
              <w:rPr>
                <w:bCs/>
              </w:rPr>
              <w:t xml:space="preserve"> (</w:t>
            </w:r>
            <w:r>
              <w:rPr>
                <w:bCs/>
              </w:rPr>
              <w:t xml:space="preserve">y/y v %, </w:t>
            </w:r>
            <w:r>
              <w:rPr>
                <w:bCs/>
                <w:sz w:val="19"/>
                <w:szCs w:val="19"/>
              </w:rPr>
              <w:t>národní</w:t>
            </w:r>
            <w:r w:rsidRPr="00666F4B">
              <w:rPr>
                <w:bCs/>
                <w:sz w:val="19"/>
                <w:szCs w:val="19"/>
              </w:rPr>
              <w:t> pojetí; z běžných cen FOB/ CIF</w:t>
            </w:r>
            <w:r w:rsidRPr="009B4B4B">
              <w:rPr>
                <w:bCs/>
                <w:sz w:val="18"/>
                <w:szCs w:val="18"/>
              </w:rPr>
              <w:t>)</w:t>
            </w:r>
            <w:r>
              <w:rPr>
                <w:b/>
                <w:bCs/>
              </w:rPr>
              <w:t xml:space="preserve"> </w:t>
            </w:r>
          </w:p>
        </w:tc>
        <w:tc>
          <w:tcPr>
            <w:tcW w:w="515" w:type="pct"/>
            <w:tcBorders>
              <w:top w:val="nil"/>
              <w:left w:val="nil"/>
              <w:bottom w:val="nil"/>
              <w:right w:val="nil"/>
            </w:tcBorders>
          </w:tcPr>
          <w:p w:rsidR="002E0DB9" w:rsidRPr="00C3271C" w:rsidRDefault="002E0DB9" w:rsidP="003D3EC4">
            <w:pPr>
              <w:spacing w:line="240" w:lineRule="auto"/>
              <w:rPr>
                <w:color w:val="000000"/>
                <w:sz w:val="19"/>
                <w:szCs w:val="19"/>
              </w:rPr>
            </w:pPr>
            <w:r w:rsidRPr="00C3271C">
              <w:rPr>
                <w:color w:val="000000"/>
                <w:sz w:val="19"/>
                <w:szCs w:val="19"/>
              </w:rPr>
              <w:t>Graf č. 10</w:t>
            </w:r>
          </w:p>
        </w:tc>
        <w:tc>
          <w:tcPr>
            <w:tcW w:w="2049" w:type="pct"/>
            <w:gridSpan w:val="2"/>
            <w:tcBorders>
              <w:top w:val="nil"/>
              <w:left w:val="nil"/>
              <w:bottom w:val="nil"/>
              <w:right w:val="nil"/>
            </w:tcBorders>
          </w:tcPr>
          <w:p w:rsidR="002E0DB9" w:rsidRPr="00EB30B6" w:rsidRDefault="002E0DB9" w:rsidP="003736B5">
            <w:pPr>
              <w:spacing w:line="240" w:lineRule="auto"/>
              <w:rPr>
                <w:bCs/>
              </w:rPr>
            </w:pPr>
            <w:r>
              <w:rPr>
                <w:b/>
                <w:bCs/>
              </w:rPr>
              <w:t xml:space="preserve">Meziroční změna hodnoty vývozů do vybraných zemí </w:t>
            </w:r>
            <w:r w:rsidRPr="00974D5F">
              <w:rPr>
                <w:b/>
                <w:bCs/>
              </w:rPr>
              <w:t xml:space="preserve"> </w:t>
            </w:r>
            <w:r w:rsidR="003736B5">
              <w:rPr>
                <w:bCs/>
                <w:sz w:val="19"/>
                <w:szCs w:val="19"/>
              </w:rPr>
              <w:t>(</w:t>
            </w:r>
            <w:proofErr w:type="spellStart"/>
            <w:r w:rsidR="003736B5">
              <w:rPr>
                <w:bCs/>
                <w:sz w:val="19"/>
                <w:szCs w:val="19"/>
              </w:rPr>
              <w:t>pol</w:t>
            </w:r>
            <w:proofErr w:type="spellEnd"/>
            <w:r w:rsidR="003736B5">
              <w:rPr>
                <w:bCs/>
                <w:sz w:val="19"/>
                <w:szCs w:val="19"/>
              </w:rPr>
              <w:t xml:space="preserve">. </w:t>
            </w:r>
            <w:r w:rsidRPr="005A2194">
              <w:rPr>
                <w:bCs/>
                <w:sz w:val="19"/>
                <w:szCs w:val="19"/>
              </w:rPr>
              <w:t>2015, v %,  nár</w:t>
            </w:r>
            <w:r w:rsidR="003736B5">
              <w:rPr>
                <w:bCs/>
                <w:sz w:val="19"/>
                <w:szCs w:val="19"/>
              </w:rPr>
              <w:t xml:space="preserve">odní </w:t>
            </w:r>
            <w:r w:rsidRPr="005A2194">
              <w:rPr>
                <w:bCs/>
                <w:sz w:val="19"/>
                <w:szCs w:val="19"/>
              </w:rPr>
              <w:t xml:space="preserve">. </w:t>
            </w:r>
            <w:proofErr w:type="gramStart"/>
            <w:r w:rsidRPr="005A2194">
              <w:rPr>
                <w:bCs/>
                <w:sz w:val="19"/>
                <w:szCs w:val="19"/>
              </w:rPr>
              <w:t>pojetí</w:t>
            </w:r>
            <w:proofErr w:type="gramEnd"/>
            <w:r w:rsidRPr="005A2194">
              <w:rPr>
                <w:bCs/>
                <w:sz w:val="19"/>
                <w:szCs w:val="19"/>
              </w:rPr>
              <w:t>)</w:t>
            </w:r>
            <w:r>
              <w:rPr>
                <w:b/>
                <w:bCs/>
              </w:rPr>
              <w:t xml:space="preserve"> </w:t>
            </w:r>
          </w:p>
        </w:tc>
      </w:tr>
      <w:tr w:rsidR="002E0DB9" w:rsidRPr="00862A7A" w:rsidTr="003D3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256"/>
        </w:trPr>
        <w:tc>
          <w:tcPr>
            <w:tcW w:w="2436" w:type="pct"/>
            <w:gridSpan w:val="5"/>
            <w:tcBorders>
              <w:top w:val="nil"/>
              <w:left w:val="nil"/>
              <w:bottom w:val="nil"/>
              <w:right w:val="nil"/>
            </w:tcBorders>
          </w:tcPr>
          <w:p w:rsidR="002E0DB9" w:rsidRPr="00666F4B" w:rsidRDefault="00F365BF" w:rsidP="003D3EC4">
            <w:pPr>
              <w:pStyle w:val="Zhlav"/>
              <w:tabs>
                <w:tab w:val="clear" w:pos="4536"/>
                <w:tab w:val="clear" w:pos="9072"/>
              </w:tabs>
              <w:ind w:right="-275"/>
              <w:rPr>
                <w:rFonts w:ascii="Arial" w:hAnsi="Arial" w:cs="Arial"/>
                <w:sz w:val="20"/>
              </w:rPr>
            </w:pPr>
            <w:r w:rsidRPr="00A17754">
              <w:rPr>
                <w:rFonts w:ascii="Arial" w:hAnsi="Arial" w:cs="Arial"/>
                <w:noProof/>
                <w:sz w:val="20"/>
                <w:lang w:eastAsia="cs-CZ"/>
              </w:rPr>
              <w:pict>
                <v:shape id="Graf 4" o:spid="_x0000_i1033" type="#_x0000_t75" style="width:231.75pt;height:180.75pt;visibility:visible" o:bordertopcolor="this" o:borderbottom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">
                  <v:imagedata r:id="rId20" o:title="" cropbottom="-33f"/>
                  <o:lock v:ext="edit" aspectratio="f"/>
                  <w10:bordertop type="single" width="4"/>
                  <w10:borderbottom type="single" width="4"/>
                </v:shape>
              </w:pict>
            </w:r>
          </w:p>
        </w:tc>
        <w:tc>
          <w:tcPr>
            <w:tcW w:w="2564" w:type="pct"/>
            <w:gridSpan w:val="3"/>
            <w:tcBorders>
              <w:top w:val="nil"/>
              <w:left w:val="nil"/>
              <w:bottom w:val="nil"/>
              <w:right w:val="nil"/>
            </w:tcBorders>
          </w:tcPr>
          <w:p w:rsidR="002E0DB9" w:rsidRPr="00D86DAE" w:rsidRDefault="00F365BF" w:rsidP="003D3EC4">
            <w:pPr>
              <w:pStyle w:val="Zhlav"/>
              <w:tabs>
                <w:tab w:val="clear" w:pos="4536"/>
                <w:tab w:val="clear" w:pos="9072"/>
              </w:tabs>
              <w:spacing w:line="235" w:lineRule="auto"/>
              <w:jc w:val="both"/>
              <w:rPr>
                <w:rFonts w:ascii="Arial" w:hAnsi="Arial" w:cs="Arial"/>
                <w:noProof/>
                <w:sz w:val="20"/>
                <w:lang w:eastAsia="cs-CZ"/>
              </w:rPr>
            </w:pPr>
            <w:r w:rsidRPr="00A17754">
              <w:rPr>
                <w:rFonts w:ascii="Arial" w:hAnsi="Arial" w:cs="Arial"/>
                <w:noProof/>
                <w:sz w:val="20"/>
                <w:lang w:eastAsia="cs-CZ"/>
              </w:rPr>
              <w:pict>
                <v:shape id="Graf 3" o:spid="_x0000_i1034" type="#_x0000_t75" style="width:222.75pt;height:182.25pt;visibility:visible" o:borderleftcolor="this" o:borderbottomcolor="this"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">
                  <v:imagedata r:id="rId21" o:title=""/>
                  <o:lock v:ext="edit" aspectratio="f"/>
                  <w10:borderleft type="single" width="4"/>
                  <w10:borderbottom type="single" width="4"/>
                </v:shape>
              </w:pict>
            </w:r>
          </w:p>
          <w:p w:rsidR="002E0DB9" w:rsidRPr="00862A7A" w:rsidRDefault="002E0DB9" w:rsidP="003D3EC4">
            <w:pPr>
              <w:pStyle w:val="Zhlav"/>
              <w:tabs>
                <w:tab w:val="clear" w:pos="4536"/>
                <w:tab w:val="clear" w:pos="9072"/>
              </w:tabs>
              <w:spacing w:line="235" w:lineRule="auto"/>
              <w:jc w:val="right"/>
              <w:rPr>
                <w:rFonts w:ascii="Arial" w:hAnsi="Arial" w:cs="Arial"/>
                <w:noProof/>
                <w:sz w:val="18"/>
                <w:szCs w:val="18"/>
                <w:lang w:eastAsia="cs-CZ"/>
              </w:rPr>
            </w:pPr>
            <w:r>
              <w:rPr>
                <w:rFonts w:ascii="Arial" w:hAnsi="Arial" w:cs="Arial"/>
                <w:noProof/>
                <w:sz w:val="18"/>
                <w:szCs w:val="18"/>
                <w:lang w:eastAsia="cs-CZ"/>
              </w:rPr>
              <w:t>Zdroj</w:t>
            </w:r>
            <w:r w:rsidRPr="00862A7A">
              <w:rPr>
                <w:rFonts w:ascii="Arial" w:hAnsi="Arial" w:cs="Arial"/>
                <w:noProof/>
                <w:sz w:val="18"/>
                <w:szCs w:val="18"/>
                <w:lang w:eastAsia="cs-CZ"/>
              </w:rPr>
              <w:t>: ČSÚ,</w:t>
            </w:r>
            <w:r w:rsidR="00694930">
              <w:rPr>
                <w:rFonts w:ascii="Arial" w:hAnsi="Arial" w:cs="Arial"/>
                <w:noProof/>
                <w:sz w:val="18"/>
                <w:szCs w:val="18"/>
                <w:lang w:eastAsia="cs-CZ"/>
              </w:rPr>
              <w:t xml:space="preserve"> vlastní vý</w:t>
            </w:r>
            <w:r>
              <w:rPr>
                <w:rFonts w:ascii="Arial" w:hAnsi="Arial" w:cs="Arial"/>
                <w:noProof/>
                <w:sz w:val="18"/>
                <w:szCs w:val="18"/>
                <w:lang w:eastAsia="cs-CZ"/>
              </w:rPr>
              <w:t>počty</w:t>
            </w:r>
          </w:p>
        </w:tc>
      </w:tr>
    </w:tbl>
    <w:p w:rsidR="002E0DB9" w:rsidRPr="002E0DB9" w:rsidRDefault="002E0DB9" w:rsidP="002E0DB9"/>
    <w:p w:rsidR="007D4281" w:rsidRDefault="007D4281" w:rsidP="006D142E">
      <w:pPr>
        <w:pStyle w:val="Nadpis1"/>
        <w:numPr>
          <w:ilvl w:val="0"/>
          <w:numId w:val="3"/>
        </w:numPr>
        <w:jc w:val="both"/>
      </w:pPr>
      <w:bookmarkStart w:id="7" w:name="_Toc430335386"/>
      <w:r>
        <w:lastRenderedPageBreak/>
        <w:t>Ceny</w:t>
      </w:r>
      <w:bookmarkEnd w:id="7"/>
    </w:p>
    <w:tbl>
      <w:tblPr>
        <w:tblW w:w="5000" w:type="pct"/>
        <w:tblLayout w:type="fixed"/>
        <w:tblLook w:val="00A0"/>
      </w:tblPr>
      <w:tblGrid>
        <w:gridCol w:w="2077"/>
        <w:gridCol w:w="282"/>
        <w:gridCol w:w="7495"/>
      </w:tblGrid>
      <w:tr w:rsidR="007C605B" w:rsidRPr="007D44C3" w:rsidTr="00D245BA">
        <w:tc>
          <w:tcPr>
            <w:tcW w:w="1054" w:type="pct"/>
          </w:tcPr>
          <w:p w:rsidR="007C605B" w:rsidRPr="00A533CE" w:rsidRDefault="007C605B" w:rsidP="00D245BA">
            <w:pPr>
              <w:spacing w:line="240" w:lineRule="auto"/>
              <w:rPr>
                <w:color w:val="4F81BD" w:themeColor="accent1"/>
                <w:sz w:val="16"/>
                <w:szCs w:val="16"/>
              </w:rPr>
            </w:pPr>
            <w:r>
              <w:rPr>
                <w:sz w:val="16"/>
                <w:szCs w:val="16"/>
              </w:rPr>
              <w:t>Meziroční r</w:t>
            </w:r>
            <w:r w:rsidRPr="002808E1">
              <w:rPr>
                <w:sz w:val="16"/>
                <w:szCs w:val="16"/>
              </w:rPr>
              <w:t>ůst celkové cenové hladiny v</w:t>
            </w:r>
            <w:r>
              <w:rPr>
                <w:sz w:val="16"/>
                <w:szCs w:val="16"/>
              </w:rPr>
              <w:t xml:space="preserve"> ekonomice s příchodem </w:t>
            </w:r>
            <w:r w:rsidRPr="002808E1">
              <w:rPr>
                <w:sz w:val="16"/>
                <w:szCs w:val="16"/>
              </w:rPr>
              <w:t>2. čtvrtletí 2015</w:t>
            </w:r>
            <w:r>
              <w:rPr>
                <w:sz w:val="16"/>
                <w:szCs w:val="16"/>
              </w:rPr>
              <w:t xml:space="preserve"> dále</w:t>
            </w:r>
            <w:r w:rsidRPr="002808E1">
              <w:rPr>
                <w:sz w:val="16"/>
                <w:szCs w:val="16"/>
              </w:rPr>
              <w:t xml:space="preserve"> zpomalil</w:t>
            </w:r>
          </w:p>
        </w:tc>
        <w:tc>
          <w:tcPr>
            <w:tcW w:w="143" w:type="pct"/>
          </w:tcPr>
          <w:p w:rsidR="007C605B" w:rsidRPr="00A533CE" w:rsidRDefault="007C605B" w:rsidP="00D245BA">
            <w:pPr>
              <w:pStyle w:val="Textpoznpodarou"/>
              <w:jc w:val="both"/>
              <w:rPr>
                <w:color w:val="4F81BD" w:themeColor="accent1"/>
              </w:rPr>
            </w:pPr>
          </w:p>
        </w:tc>
        <w:tc>
          <w:tcPr>
            <w:tcW w:w="3803" w:type="pct"/>
          </w:tcPr>
          <w:p w:rsidR="007C605B" w:rsidRPr="00A533CE" w:rsidRDefault="007C605B" w:rsidP="00D245BA">
            <w:pPr>
              <w:pStyle w:val="Textpoznpodarou"/>
              <w:jc w:val="both"/>
              <w:rPr>
                <w:color w:val="4F81BD" w:themeColor="accent1"/>
              </w:rPr>
            </w:pPr>
            <w:r w:rsidRPr="00F808FD">
              <w:rPr>
                <w:spacing w:val="-2"/>
              </w:rPr>
              <w:t>Celková cenová hladina v ekonomice se ve 2. čtvrtletí 2015 zvýšila dle implicitního deflátoru HDP</w:t>
            </w:r>
            <w:r w:rsidRPr="00F808FD">
              <w:rPr>
                <w:rStyle w:val="Znakapoznpodarou"/>
                <w:spacing w:val="-2"/>
              </w:rPr>
              <w:footnoteReference w:id="11"/>
            </w:r>
            <w:r w:rsidRPr="00F808FD">
              <w:rPr>
                <w:spacing w:val="-2"/>
              </w:rPr>
              <w:t xml:space="preserve"> meziročně o 0,7 %. Vzrostla nejen méně než v 1. čtvrtletí (+1,3 %), ale nejpomaleji od 3. kvartálu 2011</w:t>
            </w:r>
            <w:r>
              <w:rPr>
                <w:spacing w:val="-2"/>
              </w:rPr>
              <w:t xml:space="preserve"> (kdy se snížila o 0,1 %)</w:t>
            </w:r>
            <w:r w:rsidRPr="00F808FD">
              <w:rPr>
                <w:spacing w:val="-2"/>
              </w:rPr>
              <w:t>. Co se týče jednotlivých složek HDP, ceny</w:t>
            </w:r>
            <w:r w:rsidRPr="00F808FD">
              <w:t xml:space="preserve"> investic (tvorba hrubého fixního kapitálu) vzrostly meziročně o 1,6 %, ceny zboží a služeb</w:t>
            </w:r>
            <w:r>
              <w:t xml:space="preserve"> – za něž vynakládají prostředky vládní instituce –</w:t>
            </w:r>
            <w:r w:rsidRPr="00F808FD">
              <w:t xml:space="preserve"> stouply o 1,2 </w:t>
            </w:r>
            <w:r w:rsidRPr="002808E1">
              <w:t>%. Ceny produ</w:t>
            </w:r>
            <w:r>
              <w:t>ktů, jež nakupují domácnosti</w:t>
            </w:r>
            <w:r w:rsidRPr="002808E1">
              <w:t>, narostly jen mírně (+0,4</w:t>
            </w:r>
            <w:r>
              <w:t> </w:t>
            </w:r>
            <w:r w:rsidRPr="002808E1">
              <w:t xml:space="preserve">%). </w:t>
            </w:r>
            <w:r w:rsidRPr="00585564">
              <w:rPr>
                <w:spacing w:val="-2"/>
              </w:rPr>
              <w:t>Zatímco směnné relace v zahraničním obchodě se službami dosáhly stejně jako v předchozím čtvrtletí pozitivních hodnot (100,4 %) a působily ve směru růstu celkové cenové hladiny, směnné relace v zahraničním obchodě se zbožím byly poprvé za poslední dva a půl roku negativní (99,7 %) a její růst zpomalovaly.</w:t>
            </w:r>
          </w:p>
          <w:p w:rsidR="007C605B" w:rsidRPr="00A533CE" w:rsidRDefault="007C605B" w:rsidP="00D245BA">
            <w:pPr>
              <w:pStyle w:val="Textpoznpodarou"/>
              <w:jc w:val="both"/>
              <w:rPr>
                <w:color w:val="4F81BD" w:themeColor="accent1"/>
                <w:spacing w:val="-4"/>
              </w:rPr>
            </w:pPr>
          </w:p>
        </w:tc>
      </w:tr>
      <w:tr w:rsidR="007C605B" w:rsidRPr="007D44C3" w:rsidTr="00D245BA">
        <w:tc>
          <w:tcPr>
            <w:tcW w:w="1054" w:type="pct"/>
          </w:tcPr>
          <w:p w:rsidR="007C605B" w:rsidRPr="00B45AF2" w:rsidRDefault="007C605B" w:rsidP="00D245BA">
            <w:pPr>
              <w:spacing w:line="240" w:lineRule="auto"/>
              <w:rPr>
                <w:sz w:val="16"/>
                <w:szCs w:val="16"/>
              </w:rPr>
            </w:pPr>
            <w:r>
              <w:rPr>
                <w:sz w:val="16"/>
                <w:szCs w:val="16"/>
              </w:rPr>
              <w:t>Míra inflace, vyjádřená meziroční změnou indexu spotřebitelských cen, vzrostla z +0,1 % v 1. čtvrtletí 2015 na +0,7 % ve 2. kvartále. Inflační trend však zůstává stále nejistý</w:t>
            </w:r>
          </w:p>
        </w:tc>
        <w:tc>
          <w:tcPr>
            <w:tcW w:w="143" w:type="pct"/>
          </w:tcPr>
          <w:p w:rsidR="007C605B" w:rsidRPr="00B45AF2" w:rsidRDefault="007C605B" w:rsidP="00D245BA">
            <w:pPr>
              <w:pStyle w:val="Textpoznpodarou"/>
              <w:jc w:val="both"/>
            </w:pPr>
          </w:p>
        </w:tc>
        <w:tc>
          <w:tcPr>
            <w:tcW w:w="3803" w:type="pct"/>
          </w:tcPr>
          <w:p w:rsidR="007C605B" w:rsidRPr="00137FFD" w:rsidRDefault="007C605B" w:rsidP="00D245BA">
            <w:pPr>
              <w:pStyle w:val="Textpoznpodarou"/>
              <w:jc w:val="both"/>
            </w:pPr>
            <w:r w:rsidRPr="00137FFD">
              <w:t>Meziroční růst indexu spotřebitelských cen, který se na počátku letošního roku pohyboval jen velmi mírně nad nulovou hranicí, v dalších měsících zrychlil a vzdálil se „nebezpečné zóně deflace“. Jestliže v úhrnu za celé 1. čtvrtletí 2015 ceny pro spotřebitele vzrostly meziročně pouze o 0,1 %, ve 2. kvartále byly vyšší již o 0,7 %. Jak ukazují poslední dostupné údaje o vývoji indexu z prázdninových měsíců, inflační trend však zůstává nadále nejistý. Meziroční přírůstek spotřebitelských cen </w:t>
            </w:r>
            <w:r w:rsidRPr="003663B7">
              <w:t>se opět snížil – v červenci klesl na +0,5 % a v srpnu na +0,3 %. Hrozba deflace</w:t>
            </w:r>
            <w:r w:rsidRPr="00137FFD">
              <w:t>, která se nad českou ekonomikou vznášela především na počátku roku, tak ještě zažehnána nebyla.</w:t>
            </w:r>
          </w:p>
          <w:p w:rsidR="007C605B" w:rsidRPr="00137FFD" w:rsidRDefault="007C605B" w:rsidP="00D245BA">
            <w:pPr>
              <w:pStyle w:val="Textpoznpodarou"/>
              <w:jc w:val="both"/>
            </w:pPr>
          </w:p>
        </w:tc>
      </w:tr>
      <w:tr w:rsidR="007C605B" w:rsidRPr="007D44C3" w:rsidTr="00D245BA">
        <w:tc>
          <w:tcPr>
            <w:tcW w:w="1054" w:type="pct"/>
          </w:tcPr>
          <w:p w:rsidR="007C605B" w:rsidRPr="00B45AF2" w:rsidRDefault="007C605B" w:rsidP="00D245BA">
            <w:pPr>
              <w:spacing w:line="240" w:lineRule="auto"/>
              <w:rPr>
                <w:sz w:val="16"/>
                <w:szCs w:val="16"/>
              </w:rPr>
            </w:pPr>
            <w:r>
              <w:rPr>
                <w:sz w:val="16"/>
                <w:szCs w:val="16"/>
              </w:rPr>
              <w:t>Lze soudit, že hlavním rizikem dalšího vývoje inflace je cena ropy – v květnu letošního roku se barel ropy Brent obchodoval v průměru za 64,1 amerických dolarů</w:t>
            </w:r>
            <w:r w:rsidRPr="00E12824">
              <w:rPr>
                <w:sz w:val="16"/>
                <w:szCs w:val="16"/>
              </w:rPr>
              <w:t>, do srpna se však jeho cena snížila na 46,6</w:t>
            </w:r>
            <w:r>
              <w:rPr>
                <w:sz w:val="16"/>
                <w:szCs w:val="16"/>
              </w:rPr>
              <w:t> dolarů</w:t>
            </w:r>
          </w:p>
        </w:tc>
        <w:tc>
          <w:tcPr>
            <w:tcW w:w="143" w:type="pct"/>
          </w:tcPr>
          <w:p w:rsidR="007C605B" w:rsidRPr="00B45AF2" w:rsidRDefault="007C605B" w:rsidP="00D245BA">
            <w:pPr>
              <w:pStyle w:val="Textpoznpodarou"/>
              <w:jc w:val="both"/>
            </w:pPr>
          </w:p>
        </w:tc>
        <w:tc>
          <w:tcPr>
            <w:tcW w:w="3803" w:type="pct"/>
          </w:tcPr>
          <w:p w:rsidR="007C605B" w:rsidRPr="00137FFD" w:rsidRDefault="007C605B" w:rsidP="00D245BA">
            <w:pPr>
              <w:pStyle w:val="Textpoznpodarou"/>
              <w:jc w:val="both"/>
            </w:pPr>
            <w:r w:rsidRPr="00137FFD">
              <w:t xml:space="preserve">Za hlavní riziko, které se s dalším vývojem inflace v ČR pojí, lze považovat cenu ropy na světových komoditních trzích. Zatímco v květnu 2015 se barel ropy Brent obchodoval </w:t>
            </w:r>
            <w:r w:rsidRPr="00E12824">
              <w:t xml:space="preserve">v průměru za 64,1 </w:t>
            </w:r>
            <w:r>
              <w:t>amerických dolarů</w:t>
            </w:r>
            <w:r w:rsidRPr="00E12824">
              <w:t xml:space="preserve"> a v meziročním srovnání byla jeho cena nižší o 41,5 %, v srpnu jeho cena dosahovala už pouze 46,6 </w:t>
            </w:r>
            <w:r>
              <w:t>dolarů</w:t>
            </w:r>
            <w:r w:rsidRPr="00E12824">
              <w:t xml:space="preserve"> a</w:t>
            </w:r>
            <w:r>
              <w:t> </w:t>
            </w:r>
            <w:r w:rsidRPr="00E12824">
              <w:t xml:space="preserve">proti stejnému měsíci roku 2014 byla nižší o 54,2 %. Rizikem inflačního vývoje je však i prohlubující </w:t>
            </w:r>
            <w:r w:rsidR="007D42F5">
              <w:t xml:space="preserve">se </w:t>
            </w:r>
            <w:r w:rsidRPr="00E12824">
              <w:t>pokles cen živočišné výroby (který přes výrobní řetězec zasahuje ceny potravin),</w:t>
            </w:r>
            <w:r w:rsidRPr="00137FFD">
              <w:t xml:space="preserve"> ale také pokračující deflace ve zpracovatelském průmyslu</w:t>
            </w:r>
            <w:r>
              <w:t xml:space="preserve"> v </w:t>
            </w:r>
            <w:proofErr w:type="spellStart"/>
            <w:r>
              <w:t>eurozóně</w:t>
            </w:r>
            <w:proofErr w:type="spellEnd"/>
            <w:r w:rsidRPr="00137FFD">
              <w:t xml:space="preserve"> </w:t>
            </w:r>
            <w:r>
              <w:t>(</w:t>
            </w:r>
            <w:r w:rsidRPr="00137FFD">
              <w:t>která má na inflaci v České republice dopad zprostředkovaný, a to skrze ceny dovozu</w:t>
            </w:r>
            <w:r>
              <w:t>)</w:t>
            </w:r>
            <w:r w:rsidRPr="00137FFD">
              <w:t>.</w:t>
            </w:r>
          </w:p>
          <w:p w:rsidR="007C605B" w:rsidRPr="00137FFD" w:rsidRDefault="007C605B" w:rsidP="00D245BA">
            <w:pPr>
              <w:pStyle w:val="Textpoznpodarou"/>
              <w:jc w:val="both"/>
            </w:pPr>
          </w:p>
        </w:tc>
      </w:tr>
      <w:tr w:rsidR="007C605B" w:rsidRPr="007D44C3" w:rsidTr="00D245BA">
        <w:tc>
          <w:tcPr>
            <w:tcW w:w="1054" w:type="pct"/>
          </w:tcPr>
          <w:p w:rsidR="007C605B" w:rsidRPr="00B45AF2" w:rsidRDefault="007C605B" w:rsidP="00D245BA">
            <w:pPr>
              <w:spacing w:line="240" w:lineRule="auto"/>
              <w:rPr>
                <w:sz w:val="16"/>
                <w:szCs w:val="16"/>
              </w:rPr>
            </w:pPr>
            <w:r>
              <w:rPr>
                <w:sz w:val="16"/>
                <w:szCs w:val="16"/>
              </w:rPr>
              <w:t>Změna ve vývoji cen zeleniny a ovoce, zvýšení spotřební daně z cigaret a dočasný růst ceny ropy. To jsou tři klíčové faktory stojící za vyšším meziročním růstem cen pro spotřebitele ve 2. čtvrtletí</w:t>
            </w:r>
          </w:p>
        </w:tc>
        <w:tc>
          <w:tcPr>
            <w:tcW w:w="143" w:type="pct"/>
          </w:tcPr>
          <w:p w:rsidR="007C605B" w:rsidRPr="00B45AF2" w:rsidRDefault="007C605B" w:rsidP="00D245BA">
            <w:pPr>
              <w:pStyle w:val="Textpoznpodarou"/>
              <w:jc w:val="both"/>
            </w:pPr>
          </w:p>
        </w:tc>
        <w:tc>
          <w:tcPr>
            <w:tcW w:w="3803" w:type="pct"/>
          </w:tcPr>
          <w:p w:rsidR="007C605B" w:rsidRPr="00B45AF2" w:rsidRDefault="007C605B" w:rsidP="00D245BA">
            <w:pPr>
              <w:pStyle w:val="Textpoznpodarou"/>
              <w:jc w:val="both"/>
            </w:pPr>
            <w:r w:rsidRPr="00B45AF2">
              <w:t>Vyšší míra inflace ve 2. čtvrtletí 2015 v porovnání s 1. kvartálem roku byla dána třemi klíčovými faktory. Zaprvé, změnil se vývoj cen zeleniny</w:t>
            </w:r>
            <w:r>
              <w:t xml:space="preserve"> a ovoce</w:t>
            </w:r>
            <w:r w:rsidRPr="00B45AF2">
              <w:t xml:space="preserve">. Jestliže </w:t>
            </w:r>
            <w:r w:rsidRPr="00D303DC">
              <w:rPr>
                <w:spacing w:val="-2"/>
              </w:rPr>
              <w:t>v prvních třech měsících roku byla zelenina meziročně levnější v průměru o 10,5 %</w:t>
            </w:r>
            <w:r w:rsidRPr="00B45AF2">
              <w:t xml:space="preserve"> a </w:t>
            </w:r>
            <w:r>
              <w:t>ovoce</w:t>
            </w:r>
            <w:r w:rsidRPr="00B45AF2">
              <w:t xml:space="preserve"> </w:t>
            </w:r>
            <w:r>
              <w:t>o 6,4</w:t>
            </w:r>
            <w:r w:rsidRPr="00B45AF2">
              <w:t xml:space="preserve"> %, ve 2. čtvrtletí již ceny </w:t>
            </w:r>
            <w:r>
              <w:t>zeleniny</w:t>
            </w:r>
            <w:r w:rsidRPr="00B45AF2">
              <w:t xml:space="preserve"> stouply</w:t>
            </w:r>
            <w:r>
              <w:t xml:space="preserve"> (+6,0 %)</w:t>
            </w:r>
            <w:r w:rsidRPr="00B45AF2">
              <w:t xml:space="preserve"> a ceny </w:t>
            </w:r>
            <w:r>
              <w:t>ovoce taktéž (+4,2</w:t>
            </w:r>
            <w:r w:rsidRPr="00B45AF2">
              <w:t xml:space="preserve"> %). Zadruhé, </w:t>
            </w:r>
            <w:r>
              <w:t>k 1. 12. 2014</w:t>
            </w:r>
            <w:r w:rsidRPr="00B45AF2">
              <w:t xml:space="preserve"> došlo ke zvýšení spotřební daně</w:t>
            </w:r>
            <w:r>
              <w:t> </w:t>
            </w:r>
            <w:r w:rsidRPr="00B45AF2">
              <w:t>z cigaret. S tím, jak byly zásoby cigaret se staršími kolky rozprodávány (směly se prodávat jen do konce února) a nahrazovány novými, narůstala i cena</w:t>
            </w:r>
            <w:r>
              <w:t xml:space="preserve"> cigaret</w:t>
            </w:r>
            <w:r w:rsidRPr="00B45AF2">
              <w:t xml:space="preserve"> (v úhrnu </w:t>
            </w:r>
            <w:r w:rsidRPr="00C34425">
              <w:rPr>
                <w:spacing w:val="-2"/>
              </w:rPr>
              <w:t xml:space="preserve">za celé 1. čtvrtletí 2015 byla položka „tabák“ v meziročním srovnání dražší o 5,5 %, </w:t>
            </w:r>
            <w:r w:rsidRPr="00B45AF2">
              <w:t>ve 2. kvartále ale už o 8,8 %). Zatřetí, v první polovině roku došlo k</w:t>
            </w:r>
            <w:r>
              <w:t> </w:t>
            </w:r>
            <w:r w:rsidRPr="00B45AF2">
              <w:t>přechodnému obratu ve vývoji ceny ropy. Začala stoupat (cena jednoho barelu</w:t>
            </w:r>
            <w:r>
              <w:t xml:space="preserve"> ropy Brent</w:t>
            </w:r>
            <w:r w:rsidRPr="00B45AF2">
              <w:t xml:space="preserve"> narostla</w:t>
            </w:r>
            <w:r>
              <w:t xml:space="preserve"> z lednových 47,8 amerických dolarů</w:t>
            </w:r>
            <w:r w:rsidRPr="00B45AF2">
              <w:t xml:space="preserve"> na květnových 64,1 </w:t>
            </w:r>
            <w:r>
              <w:t>dolarů</w:t>
            </w:r>
            <w:r w:rsidRPr="00B45AF2">
              <w:t>) a projevila se ve</w:t>
            </w:r>
            <w:r>
              <w:t> </w:t>
            </w:r>
            <w:r w:rsidRPr="00B45AF2">
              <w:t>zmírnění meziročního poklesu cen výdajů za provoz osobních dopravních prostředků z -10,2 % na -7,1 % (výdaje za pohonné hmoty jsou v těchto výdajích zastoupeny více než sedmi desetinami).</w:t>
            </w:r>
          </w:p>
          <w:p w:rsidR="007C605B" w:rsidRPr="00B45AF2" w:rsidRDefault="007C605B" w:rsidP="00D245BA">
            <w:pPr>
              <w:pStyle w:val="Textpoznpodarou"/>
              <w:jc w:val="both"/>
            </w:pPr>
          </w:p>
        </w:tc>
      </w:tr>
      <w:tr w:rsidR="007C605B" w:rsidRPr="007D44C3" w:rsidTr="00D245BA">
        <w:tc>
          <w:tcPr>
            <w:tcW w:w="1054" w:type="pct"/>
          </w:tcPr>
          <w:p w:rsidR="007C605B" w:rsidRPr="00B45AF2" w:rsidRDefault="007C605B" w:rsidP="00D245BA">
            <w:pPr>
              <w:spacing w:line="240" w:lineRule="auto"/>
              <w:rPr>
                <w:sz w:val="16"/>
                <w:szCs w:val="16"/>
              </w:rPr>
            </w:pPr>
            <w:r>
              <w:rPr>
                <w:sz w:val="16"/>
                <w:szCs w:val="16"/>
              </w:rPr>
              <w:t>Příznivější dynamika spotřebitelských cen ve 2. čtvrtletí nejen v ČR, ale i v dalších dvaadvaceti zemích Unie</w:t>
            </w:r>
          </w:p>
        </w:tc>
        <w:tc>
          <w:tcPr>
            <w:tcW w:w="143" w:type="pct"/>
          </w:tcPr>
          <w:p w:rsidR="007C605B" w:rsidRPr="00B45AF2" w:rsidRDefault="007C605B" w:rsidP="00D245BA">
            <w:pPr>
              <w:pStyle w:val="Textpoznpodarou"/>
              <w:jc w:val="both"/>
            </w:pPr>
          </w:p>
        </w:tc>
        <w:tc>
          <w:tcPr>
            <w:tcW w:w="3803" w:type="pct"/>
          </w:tcPr>
          <w:p w:rsidR="007C605B" w:rsidRPr="00B45AF2" w:rsidRDefault="007C605B" w:rsidP="00D245BA">
            <w:pPr>
              <w:pStyle w:val="Textpoznpodarou"/>
              <w:jc w:val="both"/>
            </w:pPr>
            <w:r w:rsidRPr="00B45AF2">
              <w:t xml:space="preserve">Meziroční změna harmonizovaného indexu spotřebitelských cen v ČR stoupla z nuly v 1. čtvrtletí 2015 na +0,7 % ve 2. kvartále. V kontextu zemí Evropské unie se jednalo o </w:t>
            </w:r>
            <w:r>
              <w:t>posun významný</w:t>
            </w:r>
            <w:r w:rsidRPr="00B45AF2">
              <w:t>, nikoliv</w:t>
            </w:r>
            <w:r>
              <w:t xml:space="preserve"> však neobvyklý</w:t>
            </w:r>
            <w:r w:rsidRPr="00B45AF2">
              <w:t>. Příznivější dynamiku spotřebitelských cen ve 2. čtvrtletí 2015 v porovnání s počátkem roku vyk</w:t>
            </w:r>
            <w:r>
              <w:t>azovalo kromě ČR hned dvacet dva</w:t>
            </w:r>
            <w:r w:rsidRPr="00B45AF2">
              <w:t xml:space="preserve"> zemí, </w:t>
            </w:r>
            <w:proofErr w:type="spellStart"/>
            <w:r w:rsidRPr="00B45AF2">
              <w:t>eurozóna</w:t>
            </w:r>
            <w:proofErr w:type="spellEnd"/>
            <w:r w:rsidRPr="00B45AF2">
              <w:t xml:space="preserve"> i Evropská unie jako celek se dokonce vymanily z deflace. Zřejmě se však jednalo pouze o dočasnou záležitost, neboť stejně jako v ČR se na příznivějším vývoji cen podílel obrat ve</w:t>
            </w:r>
            <w:r>
              <w:t> </w:t>
            </w:r>
            <w:r w:rsidRPr="00B45AF2">
              <w:t>vývoji ceny ropy. A ten neměl, jak již bylo ostatně zmíněno, dlouhého trvání.</w:t>
            </w:r>
          </w:p>
          <w:p w:rsidR="007C605B" w:rsidRPr="009C4991" w:rsidRDefault="007C605B" w:rsidP="00D245BA">
            <w:pPr>
              <w:pStyle w:val="Textpoznpodarou"/>
              <w:jc w:val="both"/>
            </w:pPr>
          </w:p>
        </w:tc>
      </w:tr>
      <w:tr w:rsidR="007C605B" w:rsidRPr="007D44C3" w:rsidTr="00D245BA">
        <w:tc>
          <w:tcPr>
            <w:tcW w:w="1054" w:type="pct"/>
          </w:tcPr>
          <w:p w:rsidR="007C605B" w:rsidRDefault="007C605B" w:rsidP="00D245BA">
            <w:pPr>
              <w:spacing w:line="240" w:lineRule="auto"/>
              <w:rPr>
                <w:sz w:val="16"/>
                <w:szCs w:val="16"/>
              </w:rPr>
            </w:pPr>
            <w:r>
              <w:rPr>
                <w:sz w:val="16"/>
                <w:szCs w:val="16"/>
              </w:rPr>
              <w:t>Cena nájemného z bytu stoupá jen pomalu</w:t>
            </w:r>
          </w:p>
        </w:tc>
        <w:tc>
          <w:tcPr>
            <w:tcW w:w="143" w:type="pct"/>
          </w:tcPr>
          <w:p w:rsidR="007C605B" w:rsidRPr="00B45AF2" w:rsidRDefault="007C605B" w:rsidP="00D245BA">
            <w:pPr>
              <w:pStyle w:val="Textpoznpodarou"/>
              <w:jc w:val="both"/>
            </w:pPr>
          </w:p>
        </w:tc>
        <w:tc>
          <w:tcPr>
            <w:tcW w:w="3803" w:type="pct"/>
          </w:tcPr>
          <w:p w:rsidR="007C605B" w:rsidRDefault="007C605B" w:rsidP="00D245BA">
            <w:pPr>
              <w:pStyle w:val="Textpoznpodarou"/>
              <w:jc w:val="both"/>
            </w:pPr>
            <w:r w:rsidRPr="00B45AF2">
              <w:t xml:space="preserve">Nízký růst spotřebitelských cen v Česku je doprovázen i poměrně slabým nárůstem cen nájemného z bytu. Je to logické, vždyť právě dynamika </w:t>
            </w:r>
            <w:r w:rsidRPr="00B45AF2">
              <w:lastRenderedPageBreak/>
              <w:t>spotřebitelských cen bývá v nájemních smlouvách často zakotvena jako referenční veličina, podle které jsou nájmy upravovány. V 1. čtvrtletí 2015 vzrostla cena nájemného z bytu meziročně o 1,0 %, ve 2. kvartále o 1,2 %.</w:t>
            </w:r>
          </w:p>
          <w:p w:rsidR="007C605B" w:rsidRPr="00A533CE" w:rsidRDefault="007C605B" w:rsidP="00D245BA">
            <w:pPr>
              <w:pStyle w:val="Textpoznpodarou"/>
              <w:jc w:val="both"/>
              <w:rPr>
                <w:sz w:val="18"/>
                <w:szCs w:val="18"/>
              </w:rPr>
            </w:pPr>
          </w:p>
        </w:tc>
      </w:tr>
      <w:tr w:rsidR="007C605B" w:rsidRPr="007D44C3" w:rsidTr="00D245BA">
        <w:tc>
          <w:tcPr>
            <w:tcW w:w="1054" w:type="pct"/>
          </w:tcPr>
          <w:p w:rsidR="007C605B" w:rsidRPr="00B45AF2" w:rsidRDefault="007C605B" w:rsidP="00D245BA">
            <w:pPr>
              <w:spacing w:line="240" w:lineRule="auto"/>
              <w:rPr>
                <w:sz w:val="16"/>
                <w:szCs w:val="16"/>
              </w:rPr>
            </w:pPr>
            <w:r>
              <w:rPr>
                <w:sz w:val="16"/>
                <w:szCs w:val="16"/>
              </w:rPr>
              <w:lastRenderedPageBreak/>
              <w:t xml:space="preserve">Meziroční pokles cen průmyslových výrobců pokračoval i ve 2. čtvrtletí 2015. Přestože v trendu deflace prohloubila, … </w:t>
            </w:r>
          </w:p>
        </w:tc>
        <w:tc>
          <w:tcPr>
            <w:tcW w:w="143" w:type="pct"/>
          </w:tcPr>
          <w:p w:rsidR="007C605B" w:rsidRPr="00B45AF2" w:rsidRDefault="007C605B" w:rsidP="00D245BA">
            <w:pPr>
              <w:pStyle w:val="Textpoznpodarou"/>
              <w:jc w:val="both"/>
            </w:pPr>
          </w:p>
        </w:tc>
        <w:tc>
          <w:tcPr>
            <w:tcW w:w="3803" w:type="pct"/>
          </w:tcPr>
          <w:p w:rsidR="007C605B" w:rsidRPr="00B45AF2" w:rsidRDefault="007C605B" w:rsidP="00D245BA">
            <w:pPr>
              <w:pStyle w:val="Textpoznpodarou"/>
              <w:jc w:val="both"/>
            </w:pPr>
            <w:r w:rsidRPr="00B45AF2">
              <w:t>Deflace v průmyslu trvala ve 2. čtvrtletí 2015 již rok a půl. V trendu navíc prohloubila. Zatímco v prvních třech čtvrtletích roku 2014 hloubka meziročního poklesu cen průmyslových výrobců činila vždy jen do jednoho procenta, v posledním čtvrtletí 2014 a v 1. a 2. kvartále letošního roku tuto hranici pravidelně přesahovala. Příčina je nasnadě, v cenách prů</w:t>
            </w:r>
            <w:r>
              <w:t>myslových výrobců se projevovaly nižší ceny</w:t>
            </w:r>
            <w:r w:rsidRPr="00B45AF2">
              <w:t xml:space="preserve"> ropy.</w:t>
            </w:r>
          </w:p>
          <w:p w:rsidR="007C605B" w:rsidRPr="00A533CE" w:rsidRDefault="007C605B" w:rsidP="00D245BA">
            <w:pPr>
              <w:pStyle w:val="Textpoznpodarou"/>
              <w:jc w:val="both"/>
              <w:rPr>
                <w:sz w:val="16"/>
                <w:szCs w:val="16"/>
              </w:rPr>
            </w:pPr>
          </w:p>
        </w:tc>
      </w:tr>
      <w:tr w:rsidR="007C605B" w:rsidRPr="007D44C3" w:rsidTr="00D245BA">
        <w:tc>
          <w:tcPr>
            <w:tcW w:w="1054" w:type="pct"/>
          </w:tcPr>
          <w:p w:rsidR="007C605B" w:rsidRPr="00B45AF2" w:rsidRDefault="007C605B" w:rsidP="00D245BA">
            <w:pPr>
              <w:spacing w:line="240" w:lineRule="auto"/>
              <w:rPr>
                <w:sz w:val="16"/>
                <w:szCs w:val="16"/>
              </w:rPr>
            </w:pPr>
            <w:r>
              <w:rPr>
                <w:sz w:val="16"/>
                <w:szCs w:val="16"/>
              </w:rPr>
              <w:t>…mezi samotným 1. a 2. čtvrtletím se zmírnila</w:t>
            </w:r>
          </w:p>
        </w:tc>
        <w:tc>
          <w:tcPr>
            <w:tcW w:w="143" w:type="pct"/>
          </w:tcPr>
          <w:p w:rsidR="007C605B" w:rsidRPr="00B45AF2" w:rsidRDefault="007C605B" w:rsidP="00D245BA">
            <w:pPr>
              <w:pStyle w:val="Textpoznpodarou"/>
              <w:jc w:val="both"/>
            </w:pPr>
          </w:p>
        </w:tc>
        <w:tc>
          <w:tcPr>
            <w:tcW w:w="3803" w:type="pct"/>
          </w:tcPr>
          <w:p w:rsidR="007C605B" w:rsidRPr="00B45AF2" w:rsidRDefault="007C605B" w:rsidP="00D245BA">
            <w:pPr>
              <w:pStyle w:val="Textpoznpodarou"/>
              <w:jc w:val="both"/>
            </w:pPr>
            <w:r w:rsidRPr="00B45AF2">
              <w:t>Navzdory trendovému prohloubení deflace průmyslových výrobců byla mezi 1. a 2. čtvrtletím 2015 patrná změna k lepšímu. Jestliže v</w:t>
            </w:r>
            <w:r>
              <w:t> 1. čtvrtletí letošního</w:t>
            </w:r>
            <w:r w:rsidRPr="00B45AF2">
              <w:t xml:space="preserve"> roku ceny průmyslových výrobců klesly v meziročním srovnání o 3,3 %, ve 2. kvartále se hloubka poklesu zmenšila o procentn</w:t>
            </w:r>
            <w:r>
              <w:t xml:space="preserve">í bod na -2,3 %. Šlo především o </w:t>
            </w:r>
            <w:r w:rsidRPr="00B45AF2">
              <w:t xml:space="preserve">důsledek dočasného obratu ve vývoji ceny ropy, který zmírnil deflaci v segmentu výrobců koksu a rafinovaných ropných produktů a v případě producentů chemických látek a výrobků. Nepatrně se na </w:t>
            </w:r>
            <w:r>
              <w:t>menší</w:t>
            </w:r>
            <w:r w:rsidRPr="00B45AF2">
              <w:t xml:space="preserve"> deflaci</w:t>
            </w:r>
            <w:r>
              <w:t xml:space="preserve"> průmyslových výrobců</w:t>
            </w:r>
            <w:r w:rsidRPr="00B45AF2">
              <w:t xml:space="preserve"> podílel i vývoj cen producentů nápojů</w:t>
            </w:r>
            <w:r>
              <w:t xml:space="preserve"> (ceny přešly z deflace v růst)</w:t>
            </w:r>
            <w:r w:rsidRPr="00B45AF2">
              <w:t>.</w:t>
            </w:r>
          </w:p>
          <w:p w:rsidR="007C605B" w:rsidRPr="00A533CE" w:rsidRDefault="007C605B" w:rsidP="00D245BA">
            <w:pPr>
              <w:pStyle w:val="Textpoznpodarou"/>
              <w:jc w:val="both"/>
              <w:rPr>
                <w:sz w:val="16"/>
                <w:szCs w:val="16"/>
              </w:rPr>
            </w:pPr>
          </w:p>
        </w:tc>
      </w:tr>
      <w:tr w:rsidR="007C605B" w:rsidRPr="007D44C3" w:rsidTr="00D245BA">
        <w:tc>
          <w:tcPr>
            <w:tcW w:w="1054" w:type="pct"/>
          </w:tcPr>
          <w:p w:rsidR="007C605B" w:rsidRPr="00590317" w:rsidRDefault="007C605B" w:rsidP="00D245BA">
            <w:pPr>
              <w:spacing w:line="240" w:lineRule="auto"/>
              <w:rPr>
                <w:sz w:val="16"/>
                <w:szCs w:val="16"/>
              </w:rPr>
            </w:pPr>
            <w:r w:rsidRPr="00590317">
              <w:rPr>
                <w:sz w:val="16"/>
                <w:szCs w:val="16"/>
              </w:rPr>
              <w:t xml:space="preserve">Útlum růstu cen výrobců dopravních prostředků od konce loňského roku důsledkem </w:t>
            </w:r>
            <w:r>
              <w:rPr>
                <w:sz w:val="16"/>
                <w:szCs w:val="16"/>
              </w:rPr>
              <w:t>vyprchání efektů oslabení koruny k euru</w:t>
            </w:r>
          </w:p>
        </w:tc>
        <w:tc>
          <w:tcPr>
            <w:tcW w:w="143" w:type="pct"/>
          </w:tcPr>
          <w:p w:rsidR="007C605B" w:rsidRPr="00B45AF2" w:rsidRDefault="007C605B" w:rsidP="00D245BA">
            <w:pPr>
              <w:pStyle w:val="Textpoznpodarou"/>
              <w:jc w:val="both"/>
            </w:pPr>
          </w:p>
        </w:tc>
        <w:tc>
          <w:tcPr>
            <w:tcW w:w="3803" w:type="pct"/>
          </w:tcPr>
          <w:p w:rsidR="007C605B" w:rsidRPr="00B45AF2" w:rsidRDefault="007C605B" w:rsidP="00D245BA">
            <w:pPr>
              <w:pStyle w:val="Textpoznpodarou"/>
              <w:jc w:val="both"/>
            </w:pPr>
            <w:r w:rsidRPr="00B45AF2">
              <w:t>Oslabení koruny k euru, ke kterému došlo v závěru roku 2013</w:t>
            </w:r>
            <w:r>
              <w:t xml:space="preserve"> (v posledním čtvrtletí 2013 ztrácela koruna k euru vlivem devizové intervence České národní banky meziročně v průměru 5,9 %)</w:t>
            </w:r>
            <w:r w:rsidRPr="00B45AF2">
              <w:t xml:space="preserve">, výrazně navýšilo dynamiku cen výrobců dopravních prostředků (tyto </w:t>
            </w:r>
            <w:r>
              <w:t>produkty</w:t>
            </w:r>
            <w:r w:rsidRPr="00B45AF2">
              <w:t xml:space="preserve"> se ve velké míře obchodují v eurech, tudíž změna kurzu koruny k euru má na ceny – jež jsou denominovány v korunách – výrazný dopad). Na konci roku 2014, kdy efekty slabší koruny vyprchaly, </w:t>
            </w:r>
            <w:r>
              <w:t>zmenšily se</w:t>
            </w:r>
            <w:r w:rsidRPr="00B45AF2">
              <w:t xml:space="preserve"> logicky i přírůstky cen </w:t>
            </w:r>
            <w:r>
              <w:t>výrobců dopravních prostředků</w:t>
            </w:r>
            <w:r w:rsidRPr="00B45AF2">
              <w:t>. Letošní dynamika cen je tak slabá. V 1. čtvrtletí ceny</w:t>
            </w:r>
            <w:r>
              <w:t xml:space="preserve"> výrobců</w:t>
            </w:r>
            <w:r w:rsidRPr="00B45AF2">
              <w:t xml:space="preserve"> dopravních prostředků stouply meziročně pouze o</w:t>
            </w:r>
            <w:r>
              <w:t> </w:t>
            </w:r>
            <w:r w:rsidRPr="00B45AF2">
              <w:t>0,7</w:t>
            </w:r>
            <w:r>
              <w:t> </w:t>
            </w:r>
            <w:r w:rsidRPr="00B45AF2">
              <w:t>%, ve 2. čtvrtletí dokonce o 0,1 % klesly.</w:t>
            </w:r>
          </w:p>
          <w:p w:rsidR="007C605B" w:rsidRPr="00A533CE" w:rsidRDefault="007C605B" w:rsidP="00D245BA">
            <w:pPr>
              <w:pStyle w:val="Textpoznpodarou"/>
              <w:jc w:val="both"/>
              <w:rPr>
                <w:sz w:val="18"/>
                <w:szCs w:val="18"/>
              </w:rPr>
            </w:pPr>
          </w:p>
        </w:tc>
      </w:tr>
      <w:tr w:rsidR="007C605B" w:rsidRPr="007D44C3" w:rsidTr="00D245BA">
        <w:tc>
          <w:tcPr>
            <w:tcW w:w="1054" w:type="pct"/>
          </w:tcPr>
          <w:p w:rsidR="007C605B" w:rsidRPr="00B45AF2" w:rsidRDefault="007C605B" w:rsidP="00D245BA">
            <w:pPr>
              <w:spacing w:line="240" w:lineRule="auto"/>
              <w:rPr>
                <w:sz w:val="16"/>
                <w:szCs w:val="16"/>
              </w:rPr>
            </w:pPr>
            <w:r>
              <w:rPr>
                <w:sz w:val="16"/>
                <w:szCs w:val="16"/>
              </w:rPr>
              <w:t>Nadbytek mléka na trhu stlačuje jeho ceny. Zatímco v 1. čtvrtletí byly v meziročním srovnání nižší o 10,5 %, ve 2. kvartále již o 16,6 %</w:t>
            </w:r>
          </w:p>
        </w:tc>
        <w:tc>
          <w:tcPr>
            <w:tcW w:w="143" w:type="pct"/>
          </w:tcPr>
          <w:p w:rsidR="007C605B" w:rsidRPr="00B45AF2" w:rsidRDefault="007C605B" w:rsidP="00D245BA">
            <w:pPr>
              <w:pStyle w:val="Textpoznpodarou"/>
              <w:jc w:val="both"/>
            </w:pPr>
          </w:p>
        </w:tc>
        <w:tc>
          <w:tcPr>
            <w:tcW w:w="3803" w:type="pct"/>
          </w:tcPr>
          <w:p w:rsidR="007C605B" w:rsidRPr="00AD7ADC" w:rsidRDefault="007C605B" w:rsidP="00D245BA">
            <w:pPr>
              <w:pStyle w:val="Textpoznpodarou"/>
              <w:jc w:val="both"/>
              <w:rPr>
                <w:spacing w:val="-2"/>
              </w:rPr>
            </w:pPr>
            <w:r w:rsidRPr="00AD7ADC">
              <w:rPr>
                <w:spacing w:val="-2"/>
              </w:rPr>
              <w:t>Ceny zemědělských výrobců stále klesají, v 1. i 2. čtvrtletí byly meziročně nižší zhruba o desetinu (-9,3 %</w:t>
            </w:r>
            <w:r w:rsidRPr="00AD7ADC">
              <w:rPr>
                <w:spacing w:val="-2"/>
                <w:lang w:val="en-US"/>
              </w:rPr>
              <w:t>;</w:t>
            </w:r>
            <w:r w:rsidRPr="00AD7ADC">
              <w:rPr>
                <w:spacing w:val="-2"/>
              </w:rPr>
              <w:t xml:space="preserve"> -10,9 %). Za nižší ceny než před rokem se vykupovala především rostlinná výroba (-11,0</w:t>
            </w:r>
            <w:r>
              <w:rPr>
                <w:spacing w:val="-2"/>
              </w:rPr>
              <w:t xml:space="preserve"> %</w:t>
            </w:r>
            <w:r w:rsidRPr="00AD7ADC">
              <w:rPr>
                <w:spacing w:val="-2"/>
                <w:lang w:val="en-US"/>
              </w:rPr>
              <w:t>;</w:t>
            </w:r>
            <w:r w:rsidRPr="00AD7ADC">
              <w:rPr>
                <w:spacing w:val="-2"/>
              </w:rPr>
              <w:t xml:space="preserve"> -11,6 %), zrychlování poklesu cen však bylo patrné hlavně u živočišné výroby (z -7,6 % na -10,3 %). Jednalo se o důsledek nadbytku mléka v Evropě, v němž se promítaly restrikce na dovoz zemědělských produktů a potravin do Ruské federace, nelze ale vyloučit, že k nadbytku mléka na trhu přispělo i zrušení mléčných kvót (vstoupilo v platnost na počátku dubna 2015).</w:t>
            </w:r>
          </w:p>
          <w:p w:rsidR="007C605B" w:rsidRPr="00A533CE" w:rsidRDefault="007C605B" w:rsidP="00D245BA">
            <w:pPr>
              <w:pStyle w:val="Textpoznpodarou"/>
              <w:jc w:val="both"/>
              <w:rPr>
                <w:sz w:val="18"/>
                <w:szCs w:val="18"/>
              </w:rPr>
            </w:pPr>
          </w:p>
        </w:tc>
      </w:tr>
      <w:tr w:rsidR="007C605B" w:rsidRPr="007D44C3" w:rsidTr="00D245BA">
        <w:tc>
          <w:tcPr>
            <w:tcW w:w="1054" w:type="pct"/>
          </w:tcPr>
          <w:p w:rsidR="007C605B" w:rsidRPr="00B45AF2" w:rsidRDefault="007C605B" w:rsidP="00D245BA">
            <w:pPr>
              <w:spacing w:line="240" w:lineRule="auto"/>
              <w:rPr>
                <w:sz w:val="16"/>
                <w:szCs w:val="16"/>
              </w:rPr>
            </w:pPr>
            <w:r>
              <w:rPr>
                <w:sz w:val="16"/>
                <w:szCs w:val="16"/>
              </w:rPr>
              <w:t>Růst cen stavebních prací zrychluje vlivem vysoké poptávky po stavebních činnostech ze strany veřejných zadavatelů</w:t>
            </w:r>
          </w:p>
        </w:tc>
        <w:tc>
          <w:tcPr>
            <w:tcW w:w="143" w:type="pct"/>
          </w:tcPr>
          <w:p w:rsidR="007C605B" w:rsidRPr="00B45AF2" w:rsidRDefault="007C605B" w:rsidP="00D245BA">
            <w:pPr>
              <w:pStyle w:val="Textpoznpodarou"/>
              <w:jc w:val="both"/>
            </w:pPr>
          </w:p>
        </w:tc>
        <w:tc>
          <w:tcPr>
            <w:tcW w:w="3803" w:type="pct"/>
          </w:tcPr>
          <w:p w:rsidR="007C605B" w:rsidRPr="00AF5109" w:rsidRDefault="007C605B" w:rsidP="00D245BA">
            <w:pPr>
              <w:pStyle w:val="Textpoznpodarou"/>
              <w:jc w:val="both"/>
            </w:pPr>
            <w:r w:rsidRPr="00AF5109">
              <w:t>Posilující poptávka po stavebních činnostech – především ze strany veřejného sektoru, jenž se snaží dočerpat finanční prostředky z fondů Evropské unie – se promítá v nedostatku kapacit stavebních firem a v tlacích na růst cen. Jestliže v úhrnu za celý loňský rok vzrostly ceny stavebních prací meziročně o 0,5 %, v 1. čtvrtletí 2015 jejich růst zrychlil na +1,0 % a ve 2. čtvrtletí dokonce na +1,3 %. Že ceny tlačí vzhůru především vyšší poptávka veřejných zadavatelů, dokládá i vývoj cen podle typu stavebních děl. Zatímco ceny budov stouply v 1. a 2. čtvrtletí 2015 o 0,9 % a 1,1 %, ceny inženýrských děl narostly o 1,1 % a 1,4 % (z inženýrských děl významně rostly především ceny tzv. kolejových drah).</w:t>
            </w:r>
          </w:p>
          <w:p w:rsidR="007C605B" w:rsidRPr="00A533CE" w:rsidRDefault="007C605B" w:rsidP="00D245BA">
            <w:pPr>
              <w:pStyle w:val="Textpoznpodarou"/>
              <w:jc w:val="both"/>
              <w:rPr>
                <w:sz w:val="18"/>
                <w:szCs w:val="18"/>
              </w:rPr>
            </w:pPr>
          </w:p>
        </w:tc>
      </w:tr>
      <w:tr w:rsidR="007C605B" w:rsidRPr="007D44C3" w:rsidTr="00D245BA">
        <w:tc>
          <w:tcPr>
            <w:tcW w:w="1054" w:type="pct"/>
          </w:tcPr>
          <w:p w:rsidR="007C605B" w:rsidRPr="00B45AF2" w:rsidRDefault="007C605B" w:rsidP="00D245BA">
            <w:pPr>
              <w:spacing w:line="240" w:lineRule="auto"/>
              <w:rPr>
                <w:sz w:val="16"/>
                <w:szCs w:val="16"/>
              </w:rPr>
            </w:pPr>
            <w:r>
              <w:rPr>
                <w:sz w:val="16"/>
                <w:szCs w:val="16"/>
              </w:rPr>
              <w:t>Přírůstek cen producentů tržních služeb se ve 2. čtvrtletí 2015 zmenšil na +0,2 % meziročně</w:t>
            </w:r>
          </w:p>
        </w:tc>
        <w:tc>
          <w:tcPr>
            <w:tcW w:w="143" w:type="pct"/>
          </w:tcPr>
          <w:p w:rsidR="007C605B" w:rsidRPr="00B45AF2" w:rsidRDefault="007C605B" w:rsidP="00D245BA">
            <w:pPr>
              <w:pStyle w:val="Textpoznpodarou"/>
              <w:jc w:val="both"/>
            </w:pPr>
          </w:p>
        </w:tc>
        <w:tc>
          <w:tcPr>
            <w:tcW w:w="3803" w:type="pct"/>
          </w:tcPr>
          <w:p w:rsidR="007C605B" w:rsidRPr="000A2CB3" w:rsidRDefault="007C605B" w:rsidP="00D245BA">
            <w:pPr>
              <w:pStyle w:val="Textpoznpodarou"/>
              <w:jc w:val="both"/>
            </w:pPr>
            <w:r w:rsidRPr="000A2CB3">
              <w:t>Dezinflace v případě producentů tržních služeb pokračuje, a to i přesto, že meziroční přírůstek cen se mezi 1. a 2. čtvrtletím zmenšil jen nepatrně (z +0,3 % na +0,2 %). Ceny pozemní a potrubní dopravy klesly ve 2. kvartále o 1,8 %, další významné segmenty si připsaly střídmý cenový růst (architektonické a inženýrské služby</w:t>
            </w:r>
            <w:r w:rsidRPr="000A2CB3">
              <w:rPr>
                <w:lang w:val="en-US"/>
              </w:rPr>
              <w:t>;</w:t>
            </w:r>
            <w:r w:rsidRPr="000A2CB3">
              <w:t xml:space="preserve"> služby v oblasti programování a poradenství; telekomunikační služby). Co se týče váhově relativně málo významných, avšak „ostře sledovaných“ služeb v oblasti zaměstnání (služeb pracovních agentur), cenový pokles v tomto segmentu prohloubil z -2,9 %</w:t>
            </w:r>
            <w:r>
              <w:t xml:space="preserve"> v 1. čtvrtletí</w:t>
            </w:r>
            <w:r w:rsidRPr="000A2CB3">
              <w:t xml:space="preserve"> na -7,3 %</w:t>
            </w:r>
            <w:r>
              <w:t xml:space="preserve"> ve 2. kvartále</w:t>
            </w:r>
            <w:r w:rsidRPr="000A2CB3">
              <w:t xml:space="preserve">. Jakkoli se nabízí, že tento cenový vývoj byl výsledkem příznivé situace českých podniků odrážející se v přesunu agenturních pracovníků do kmenového </w:t>
            </w:r>
            <w:r>
              <w:t>stavu</w:t>
            </w:r>
            <w:r w:rsidRPr="000A2CB3">
              <w:t xml:space="preserve">, údaje podnikových statistik tomu nenasvědčují. </w:t>
            </w:r>
            <w:r w:rsidRPr="003663B7">
              <w:t>Tržby pracovních agentur totiž ve 2. čtvrtletí narostly meziročně reálně zhruba o pětinu.</w:t>
            </w:r>
          </w:p>
          <w:p w:rsidR="007C605B" w:rsidRPr="00A533CE" w:rsidRDefault="007C605B" w:rsidP="00D245BA">
            <w:pPr>
              <w:pStyle w:val="Textpoznpodarou"/>
              <w:jc w:val="both"/>
              <w:rPr>
                <w:spacing w:val="-2"/>
                <w:sz w:val="18"/>
                <w:szCs w:val="18"/>
              </w:rPr>
            </w:pPr>
          </w:p>
        </w:tc>
      </w:tr>
      <w:tr w:rsidR="007C605B" w:rsidRPr="007D44C3" w:rsidTr="00D245BA">
        <w:tc>
          <w:tcPr>
            <w:tcW w:w="1054" w:type="pct"/>
          </w:tcPr>
          <w:p w:rsidR="007C605B" w:rsidRDefault="007C605B" w:rsidP="00D245BA">
            <w:pPr>
              <w:spacing w:line="240" w:lineRule="auto"/>
              <w:rPr>
                <w:sz w:val="16"/>
                <w:szCs w:val="16"/>
              </w:rPr>
            </w:pPr>
            <w:r>
              <w:rPr>
                <w:sz w:val="16"/>
                <w:szCs w:val="16"/>
              </w:rPr>
              <w:t xml:space="preserve">Ceny dovozu zboží, které v 1. čtvrtletí 2015 klesly </w:t>
            </w:r>
            <w:r>
              <w:rPr>
                <w:sz w:val="16"/>
                <w:szCs w:val="16"/>
              </w:rPr>
              <w:lastRenderedPageBreak/>
              <w:t>meziročně o 1,5 %, už ve 2. kvartále stagnovaly, …</w:t>
            </w:r>
          </w:p>
        </w:tc>
        <w:tc>
          <w:tcPr>
            <w:tcW w:w="143" w:type="pct"/>
          </w:tcPr>
          <w:p w:rsidR="007C605B" w:rsidRPr="00B45AF2" w:rsidRDefault="007C605B" w:rsidP="00D245BA">
            <w:pPr>
              <w:pStyle w:val="Textpoznpodarou"/>
              <w:jc w:val="both"/>
            </w:pPr>
          </w:p>
        </w:tc>
        <w:tc>
          <w:tcPr>
            <w:tcW w:w="3803" w:type="pct"/>
          </w:tcPr>
          <w:p w:rsidR="007C605B" w:rsidRPr="007416D5" w:rsidRDefault="007C605B" w:rsidP="00D245BA">
            <w:pPr>
              <w:pStyle w:val="Textpoznpodarou"/>
              <w:jc w:val="both"/>
            </w:pPr>
            <w:r w:rsidRPr="007416D5">
              <w:rPr>
                <w:spacing w:val="-2"/>
              </w:rPr>
              <w:t xml:space="preserve">Ceny dovozu zboží byly v 1. čtvrtletí 2015 v meziročním srovnání nižší o 1,5 %, ve 2. čtvrtletí ale již stagnovaly. </w:t>
            </w:r>
            <w:r>
              <w:rPr>
                <w:spacing w:val="-2"/>
              </w:rPr>
              <w:t>Vyšší růst cen, přechod z deflace v</w:t>
            </w:r>
            <w:r w:rsidR="005079F8">
              <w:rPr>
                <w:spacing w:val="-2"/>
              </w:rPr>
              <w:t> </w:t>
            </w:r>
            <w:r>
              <w:rPr>
                <w:spacing w:val="-2"/>
              </w:rPr>
              <w:t>růst</w:t>
            </w:r>
            <w:r w:rsidR="005079F8">
              <w:rPr>
                <w:spacing w:val="-2"/>
              </w:rPr>
              <w:t>,</w:t>
            </w:r>
            <w:r>
              <w:rPr>
                <w:spacing w:val="-2"/>
              </w:rPr>
              <w:t xml:space="preserve"> popřípadě </w:t>
            </w:r>
            <w:r>
              <w:rPr>
                <w:spacing w:val="-2"/>
              </w:rPr>
              <w:lastRenderedPageBreak/>
              <w:t xml:space="preserve">mírnější deflace </w:t>
            </w:r>
            <w:r w:rsidRPr="007416D5">
              <w:rPr>
                <w:spacing w:val="-2"/>
              </w:rPr>
              <w:t>byl</w:t>
            </w:r>
            <w:r>
              <w:rPr>
                <w:spacing w:val="-2"/>
              </w:rPr>
              <w:t>a patrná</w:t>
            </w:r>
            <w:r w:rsidRPr="007416D5">
              <w:rPr>
                <w:spacing w:val="-2"/>
              </w:rPr>
              <w:t xml:space="preserve"> ve všech třídách SITC bez výjimky, především ale </w:t>
            </w:r>
            <w:r w:rsidRPr="00450E39">
              <w:rPr>
                <w:spacing w:val="-2"/>
              </w:rPr>
              <w:t>v případě minerálních paliv. Jestliže ještě v 1. čtvrtletí byly ceny dovozu</w:t>
            </w:r>
            <w:r w:rsidRPr="007416D5">
              <w:t xml:space="preserve"> minerálních paliv meziročně nižší o rovných 25 %, ve 2. čtvrtletí</w:t>
            </w:r>
            <w:r>
              <w:t xml:space="preserve"> ceny těchto komodit</w:t>
            </w:r>
            <w:r w:rsidRPr="007416D5">
              <w:t xml:space="preserve"> proti stejnému období předchozího roku ztrácely 19,5 %. Pokud vezmeme v potaz, že kurz koruny k americkému dolaru byl v 1. čtvrtletí meziročně slabší v průměru o</w:t>
            </w:r>
            <w:r>
              <w:t> </w:t>
            </w:r>
            <w:r w:rsidRPr="007416D5">
              <w:t>22,5 % a ve 2. kvartále v průměru o 23,8 %, je patrné, že zmírnění poklesu dovozních cen minerálních paliv lze přičítat především pohybu v ceně ropy.</w:t>
            </w:r>
          </w:p>
          <w:p w:rsidR="007C605B" w:rsidRPr="00B45AF2" w:rsidRDefault="007C605B" w:rsidP="00D245BA">
            <w:pPr>
              <w:pStyle w:val="Textpoznpodarou"/>
              <w:jc w:val="both"/>
            </w:pPr>
          </w:p>
        </w:tc>
      </w:tr>
      <w:tr w:rsidR="007C605B" w:rsidRPr="007D44C3" w:rsidTr="00D245BA">
        <w:tc>
          <w:tcPr>
            <w:tcW w:w="1054" w:type="pct"/>
          </w:tcPr>
          <w:p w:rsidR="007C605B" w:rsidRDefault="007C605B" w:rsidP="00D245BA">
            <w:pPr>
              <w:spacing w:line="240" w:lineRule="auto"/>
              <w:rPr>
                <w:sz w:val="16"/>
                <w:szCs w:val="16"/>
              </w:rPr>
            </w:pPr>
            <w:r>
              <w:rPr>
                <w:sz w:val="16"/>
                <w:szCs w:val="16"/>
              </w:rPr>
              <w:lastRenderedPageBreak/>
              <w:t>…deflace na straně vývozu však přetrvala…</w:t>
            </w:r>
          </w:p>
        </w:tc>
        <w:tc>
          <w:tcPr>
            <w:tcW w:w="143" w:type="pct"/>
          </w:tcPr>
          <w:p w:rsidR="007C605B" w:rsidRPr="00B45AF2" w:rsidRDefault="007C605B" w:rsidP="00D245BA">
            <w:pPr>
              <w:pStyle w:val="Textpoznpodarou"/>
              <w:jc w:val="both"/>
            </w:pPr>
          </w:p>
        </w:tc>
        <w:tc>
          <w:tcPr>
            <w:tcW w:w="3803" w:type="pct"/>
          </w:tcPr>
          <w:p w:rsidR="007C605B" w:rsidRDefault="007C605B" w:rsidP="00D245BA">
            <w:pPr>
              <w:pStyle w:val="Textpoznpodarou"/>
              <w:jc w:val="both"/>
            </w:pPr>
            <w:r>
              <w:t>Pokles cen</w:t>
            </w:r>
            <w:r w:rsidRPr="00A7723A">
              <w:t xml:space="preserve"> na str</w:t>
            </w:r>
            <w:r>
              <w:t>aně vývozu zboží přetrval a také jeho</w:t>
            </w:r>
            <w:r w:rsidRPr="00A7723A">
              <w:t xml:space="preserve"> hloubka </w:t>
            </w:r>
            <w:r>
              <w:t>zůstala stejná. V</w:t>
            </w:r>
            <w:r w:rsidRPr="00A7723A">
              <w:t xml:space="preserve"> 1. i 2. čtvrtletí byly ceny </w:t>
            </w:r>
            <w:r>
              <w:t>meziročně</w:t>
            </w:r>
            <w:r w:rsidRPr="00A7723A">
              <w:t xml:space="preserve"> nižší o půl procenta. </w:t>
            </w:r>
            <w:r>
              <w:t>Za ceny pod úrovní loňského roku</w:t>
            </w:r>
            <w:r w:rsidRPr="00A7723A">
              <w:t xml:space="preserve"> se ve 2. čtvrtletí 2015 </w:t>
            </w:r>
            <w:r>
              <w:t>do zahranič</w:t>
            </w:r>
            <w:r w:rsidRPr="00A7723A">
              <w:t xml:space="preserve">í vyvážely polotovary (-0,6 %) a chemikálie (-1,5 %), z objemově méně významných </w:t>
            </w:r>
            <w:r>
              <w:t>komodit</w:t>
            </w:r>
            <w:r w:rsidRPr="00A7723A">
              <w:t xml:space="preserve"> pak</w:t>
            </w:r>
            <w:r>
              <w:t xml:space="preserve"> ale i</w:t>
            </w:r>
            <w:r w:rsidRPr="00A7723A">
              <w:t xml:space="preserve"> například minerální paliva, potraviny a živá zvířata</w:t>
            </w:r>
            <w:r>
              <w:t xml:space="preserve"> či ostatní suroviny</w:t>
            </w:r>
            <w:r w:rsidRPr="00A7723A">
              <w:t>. Ceny nejvýznamnější</w:t>
            </w:r>
            <w:r>
              <w:t>ho</w:t>
            </w:r>
            <w:r w:rsidRPr="00A7723A">
              <w:t xml:space="preserve"> </w:t>
            </w:r>
            <w:r>
              <w:t>zboží</w:t>
            </w:r>
            <w:r w:rsidRPr="00A7723A">
              <w:t xml:space="preserve"> na straně vývozu, tedy strojů a dopravních prostředků (tvoří dlouhodobě více než polovinu celkového vývozu zboží z ČR), vzrostly</w:t>
            </w:r>
            <w:r>
              <w:t xml:space="preserve"> jen mírně (+</w:t>
            </w:r>
            <w:r w:rsidRPr="00A7723A">
              <w:t>0,6 %</w:t>
            </w:r>
            <w:r>
              <w:t>).</w:t>
            </w:r>
          </w:p>
          <w:p w:rsidR="007C605B" w:rsidRPr="00F6249A" w:rsidRDefault="007C605B" w:rsidP="00D245BA">
            <w:pPr>
              <w:pStyle w:val="Textpoznpodarou"/>
              <w:jc w:val="both"/>
            </w:pPr>
          </w:p>
        </w:tc>
      </w:tr>
      <w:tr w:rsidR="007C605B" w:rsidRPr="007D44C3" w:rsidTr="00D245BA">
        <w:tc>
          <w:tcPr>
            <w:tcW w:w="1054" w:type="pct"/>
          </w:tcPr>
          <w:p w:rsidR="007C605B" w:rsidRDefault="007C605B" w:rsidP="00D245BA">
            <w:pPr>
              <w:spacing w:line="240" w:lineRule="auto"/>
              <w:rPr>
                <w:sz w:val="16"/>
                <w:szCs w:val="16"/>
              </w:rPr>
            </w:pPr>
            <w:r>
              <w:rPr>
                <w:sz w:val="16"/>
                <w:szCs w:val="16"/>
              </w:rPr>
              <w:t>… a směnné relace byly negativní poprvé po devíti čtvrtletích</w:t>
            </w:r>
          </w:p>
        </w:tc>
        <w:tc>
          <w:tcPr>
            <w:tcW w:w="143" w:type="pct"/>
          </w:tcPr>
          <w:p w:rsidR="007C605B" w:rsidRPr="00B45AF2" w:rsidRDefault="007C605B" w:rsidP="00D245BA">
            <w:pPr>
              <w:pStyle w:val="Textpoznpodarou"/>
              <w:jc w:val="both"/>
            </w:pPr>
          </w:p>
        </w:tc>
        <w:tc>
          <w:tcPr>
            <w:tcW w:w="3803" w:type="pct"/>
          </w:tcPr>
          <w:p w:rsidR="007C605B" w:rsidRDefault="007C605B" w:rsidP="00D245BA">
            <w:pPr>
              <w:pStyle w:val="Textpoznpodarou"/>
              <w:jc w:val="both"/>
            </w:pPr>
            <w:r>
              <w:t xml:space="preserve">Pokles cen vývozu zboží ve spojení se stagnací cen dovozu, k němuž ve 2. čtvrtletí došlo, vyústil v záporné směnné relace (99,5 %). Do negativních hodnot se dostaly poprvé za poslední dva </w:t>
            </w:r>
            <w:r w:rsidR="007552BB">
              <w:t xml:space="preserve">a </w:t>
            </w:r>
            <w:r>
              <w:t>půl roku.</w:t>
            </w:r>
          </w:p>
        </w:tc>
      </w:tr>
    </w:tbl>
    <w:p w:rsidR="007C605B" w:rsidRDefault="007C605B" w:rsidP="007C605B">
      <w:pPr>
        <w:rPr>
          <w:sz w:val="16"/>
          <w:szCs w:val="16"/>
        </w:rPr>
      </w:pPr>
    </w:p>
    <w:tbl>
      <w:tblPr>
        <w:tblW w:w="5000" w:type="pct"/>
        <w:tblLook w:val="04A0"/>
      </w:tblPr>
      <w:tblGrid>
        <w:gridCol w:w="1105"/>
        <w:gridCol w:w="3822"/>
        <w:gridCol w:w="1135"/>
        <w:gridCol w:w="3792"/>
      </w:tblGrid>
      <w:tr w:rsidR="007C605B" w:rsidRPr="0021355B" w:rsidTr="00D245BA">
        <w:tc>
          <w:tcPr>
            <w:tcW w:w="560" w:type="pct"/>
          </w:tcPr>
          <w:p w:rsidR="007C605B" w:rsidRPr="0021355B" w:rsidRDefault="007C605B" w:rsidP="00D245BA">
            <w:pPr>
              <w:pStyle w:val="Textpoznpodarou"/>
              <w:rPr>
                <w:color w:val="000000" w:themeColor="text1"/>
              </w:rPr>
            </w:pPr>
            <w:r w:rsidRPr="0021355B">
              <w:rPr>
                <w:color w:val="000000" w:themeColor="text1"/>
              </w:rPr>
              <w:t>Graf č.</w:t>
            </w:r>
            <w:r>
              <w:rPr>
                <w:color w:val="000000" w:themeColor="text1"/>
              </w:rPr>
              <w:t> </w:t>
            </w:r>
            <w:r w:rsidRPr="0021355B">
              <w:rPr>
                <w:color w:val="000000" w:themeColor="text1"/>
              </w:rPr>
              <w:t>11</w:t>
            </w:r>
          </w:p>
        </w:tc>
        <w:tc>
          <w:tcPr>
            <w:tcW w:w="1940" w:type="pct"/>
          </w:tcPr>
          <w:p w:rsidR="007C605B" w:rsidRPr="00300AA8" w:rsidRDefault="007C605B" w:rsidP="00D245BA">
            <w:pPr>
              <w:pStyle w:val="Textpoznpodarou"/>
            </w:pPr>
            <w:r w:rsidRPr="00300AA8">
              <w:rPr>
                <w:b/>
              </w:rPr>
              <w:t>Spotřebitelské ceny jednotlivých typů domácností</w:t>
            </w:r>
            <w:r w:rsidRPr="00300AA8">
              <w:t xml:space="preserve"> (y/y v %)</w:t>
            </w:r>
          </w:p>
        </w:tc>
        <w:tc>
          <w:tcPr>
            <w:tcW w:w="576" w:type="pct"/>
          </w:tcPr>
          <w:p w:rsidR="007C605B" w:rsidRPr="0021355B" w:rsidRDefault="007C605B" w:rsidP="00D245BA">
            <w:pPr>
              <w:pStyle w:val="Textpoznpodarou"/>
              <w:rPr>
                <w:color w:val="000000" w:themeColor="text1"/>
              </w:rPr>
            </w:pPr>
            <w:r w:rsidRPr="0021355B">
              <w:rPr>
                <w:color w:val="000000" w:themeColor="text1"/>
              </w:rPr>
              <w:t>Graf č.</w:t>
            </w:r>
            <w:r>
              <w:rPr>
                <w:color w:val="000000" w:themeColor="text1"/>
              </w:rPr>
              <w:t> </w:t>
            </w:r>
            <w:r w:rsidRPr="0021355B">
              <w:rPr>
                <w:color w:val="000000" w:themeColor="text1"/>
              </w:rPr>
              <w:t>12</w:t>
            </w:r>
          </w:p>
        </w:tc>
        <w:tc>
          <w:tcPr>
            <w:tcW w:w="1924" w:type="pct"/>
          </w:tcPr>
          <w:p w:rsidR="007C605B" w:rsidRPr="0021355B" w:rsidRDefault="007C605B" w:rsidP="00D245BA">
            <w:pPr>
              <w:pStyle w:val="Textpoznpodarou"/>
              <w:rPr>
                <w:color w:val="000000" w:themeColor="text1"/>
              </w:rPr>
            </w:pPr>
            <w:r w:rsidRPr="00300AA8">
              <w:rPr>
                <w:b/>
              </w:rPr>
              <w:t>Ceny ve vybraných oddílech indexu spotřebitelských cen</w:t>
            </w:r>
            <w:r w:rsidRPr="0021355B">
              <w:rPr>
                <w:color w:val="000000" w:themeColor="text1"/>
              </w:rPr>
              <w:t xml:space="preserve"> (y/y v %)</w:t>
            </w:r>
          </w:p>
        </w:tc>
      </w:tr>
      <w:tr w:rsidR="007C605B" w:rsidRPr="0021355B" w:rsidTr="00D245BA">
        <w:tc>
          <w:tcPr>
            <w:tcW w:w="2499" w:type="pct"/>
            <w:gridSpan w:val="2"/>
          </w:tcPr>
          <w:p w:rsidR="007C605B" w:rsidRPr="0021355B" w:rsidRDefault="00F365BF" w:rsidP="00D245BA">
            <w:pPr>
              <w:pStyle w:val="Textpoznpodarou"/>
              <w:jc w:val="both"/>
              <w:rPr>
                <w:color w:val="000000" w:themeColor="text1"/>
              </w:rPr>
            </w:pPr>
            <w:r w:rsidRPr="00A17754">
              <w:rPr>
                <w:noProof/>
                <w:color w:val="000000" w:themeColor="text1"/>
              </w:rPr>
              <w:pict>
                <v:shape id="_x0000_i1035" type="#_x0000_t75" style="width:237pt;height:186.75pt;visibility:visible;mso-wrap-style:square">
                  <v:imagedata r:id="rId22" o:title=""/>
                </v:shape>
              </w:pict>
            </w:r>
          </w:p>
        </w:tc>
        <w:tc>
          <w:tcPr>
            <w:tcW w:w="2501" w:type="pct"/>
            <w:gridSpan w:val="2"/>
          </w:tcPr>
          <w:p w:rsidR="007C605B" w:rsidRPr="0021355B" w:rsidRDefault="00F365BF" w:rsidP="00D245BA">
            <w:pPr>
              <w:pStyle w:val="Textpoznpodarou"/>
              <w:jc w:val="both"/>
              <w:rPr>
                <w:color w:val="000000" w:themeColor="text1"/>
              </w:rPr>
            </w:pPr>
            <w:r w:rsidRPr="00A17754">
              <w:rPr>
                <w:noProof/>
                <w:color w:val="000000" w:themeColor="text1"/>
              </w:rPr>
              <w:pict>
                <v:shape id="_x0000_i1036" type="#_x0000_t75" style="width:237pt;height:186.75pt;visibility:visible;mso-wrap-style:square">
                  <v:imagedata r:id="rId23" o:title=""/>
                </v:shape>
              </w:pict>
            </w:r>
          </w:p>
        </w:tc>
      </w:tr>
      <w:tr w:rsidR="007C605B" w:rsidRPr="0021355B" w:rsidTr="00D245BA">
        <w:tc>
          <w:tcPr>
            <w:tcW w:w="5000" w:type="pct"/>
            <w:gridSpan w:val="4"/>
          </w:tcPr>
          <w:p w:rsidR="007C605B" w:rsidRPr="0021355B" w:rsidRDefault="007C605B" w:rsidP="00D245BA">
            <w:pPr>
              <w:pStyle w:val="Textpoznpodarou"/>
              <w:jc w:val="right"/>
              <w:rPr>
                <w:noProof/>
                <w:color w:val="000000" w:themeColor="text1"/>
              </w:rPr>
            </w:pPr>
            <w:r>
              <w:rPr>
                <w:color w:val="000000" w:themeColor="text1"/>
                <w:sz w:val="18"/>
                <w:szCs w:val="18"/>
              </w:rPr>
              <w:t>Zdroj</w:t>
            </w:r>
            <w:r w:rsidRPr="0021355B">
              <w:rPr>
                <w:color w:val="000000" w:themeColor="text1"/>
                <w:sz w:val="18"/>
                <w:szCs w:val="18"/>
              </w:rPr>
              <w:t>: ČSÚ</w:t>
            </w:r>
          </w:p>
        </w:tc>
      </w:tr>
    </w:tbl>
    <w:p w:rsidR="007C605B" w:rsidRPr="00ED2CA5" w:rsidRDefault="007C605B" w:rsidP="007C605B">
      <w:pPr>
        <w:rPr>
          <w:sz w:val="16"/>
          <w:szCs w:val="16"/>
        </w:rPr>
      </w:pPr>
    </w:p>
    <w:tbl>
      <w:tblPr>
        <w:tblW w:w="5000" w:type="pct"/>
        <w:tblLook w:val="04A0"/>
      </w:tblPr>
      <w:tblGrid>
        <w:gridCol w:w="1105"/>
        <w:gridCol w:w="3822"/>
        <w:gridCol w:w="710"/>
        <w:gridCol w:w="4217"/>
      </w:tblGrid>
      <w:tr w:rsidR="007C605B" w:rsidRPr="0021355B" w:rsidTr="007C605B">
        <w:tc>
          <w:tcPr>
            <w:tcW w:w="560" w:type="pct"/>
          </w:tcPr>
          <w:p w:rsidR="007C605B" w:rsidRPr="003A660D" w:rsidRDefault="007C605B" w:rsidP="00D245BA">
            <w:pPr>
              <w:pStyle w:val="Textpoznpodarou"/>
              <w:rPr>
                <w:lang w:eastAsia="en-US"/>
              </w:rPr>
            </w:pPr>
            <w:r w:rsidRPr="003A660D">
              <w:rPr>
                <w:lang w:eastAsia="en-US"/>
              </w:rPr>
              <w:t>Graf č. 13</w:t>
            </w:r>
          </w:p>
        </w:tc>
        <w:tc>
          <w:tcPr>
            <w:tcW w:w="1940" w:type="pct"/>
          </w:tcPr>
          <w:p w:rsidR="007C605B" w:rsidRPr="007C605B" w:rsidRDefault="007C605B" w:rsidP="00D245BA">
            <w:pPr>
              <w:pStyle w:val="Textpoznpodarou"/>
              <w:rPr>
                <w:color w:val="FF0000"/>
                <w:lang w:eastAsia="en-US"/>
              </w:rPr>
            </w:pPr>
            <w:r w:rsidRPr="007C605B">
              <w:rPr>
                <w:b/>
                <w:lang w:eastAsia="en-US"/>
              </w:rPr>
              <w:t>Deflátory</w:t>
            </w:r>
            <w:r w:rsidRPr="003A660D">
              <w:rPr>
                <w:lang w:eastAsia="en-US"/>
              </w:rPr>
              <w:t xml:space="preserve"> (očištěno </w:t>
            </w:r>
            <w:r>
              <w:rPr>
                <w:lang w:eastAsia="en-US"/>
              </w:rPr>
              <w:t>o sezónní a kalendářní vlivy</w:t>
            </w:r>
            <w:r w:rsidRPr="003A660D">
              <w:rPr>
                <w:lang w:eastAsia="en-US"/>
              </w:rPr>
              <w:t>, y/y v %)</w:t>
            </w:r>
          </w:p>
        </w:tc>
        <w:tc>
          <w:tcPr>
            <w:tcW w:w="360" w:type="pct"/>
          </w:tcPr>
          <w:p w:rsidR="007C605B" w:rsidRPr="007C605B" w:rsidRDefault="007C605B" w:rsidP="00D245BA">
            <w:pPr>
              <w:pStyle w:val="Textpoznpodarou"/>
              <w:rPr>
                <w:color w:val="000000" w:themeColor="text1"/>
                <w:lang w:eastAsia="en-US"/>
              </w:rPr>
            </w:pPr>
            <w:r w:rsidRPr="007C605B">
              <w:rPr>
                <w:color w:val="000000" w:themeColor="text1"/>
                <w:lang w:eastAsia="en-US"/>
              </w:rPr>
              <w:t>Graf č. 14</w:t>
            </w:r>
          </w:p>
        </w:tc>
        <w:tc>
          <w:tcPr>
            <w:tcW w:w="2140" w:type="pct"/>
          </w:tcPr>
          <w:p w:rsidR="007C605B" w:rsidRPr="007C605B" w:rsidRDefault="007C605B" w:rsidP="00D245BA">
            <w:pPr>
              <w:pStyle w:val="Textpoznpodarou"/>
              <w:rPr>
                <w:color w:val="000000" w:themeColor="text1"/>
                <w:lang w:eastAsia="en-US"/>
              </w:rPr>
            </w:pPr>
            <w:r w:rsidRPr="007C605B">
              <w:rPr>
                <w:b/>
                <w:lang w:eastAsia="en-US"/>
              </w:rPr>
              <w:t>Ceny výrobců</w:t>
            </w:r>
            <w:r w:rsidRPr="00B5045C">
              <w:rPr>
                <w:lang w:eastAsia="en-US"/>
              </w:rPr>
              <w:t xml:space="preserve"> (y</w:t>
            </w:r>
            <w:r w:rsidRPr="007C605B">
              <w:rPr>
                <w:color w:val="000000" w:themeColor="text1"/>
                <w:lang w:eastAsia="en-US"/>
              </w:rPr>
              <w:t>/y v %, ceny v zemědělství na pravé ose, ostatní na levé ose)</w:t>
            </w:r>
          </w:p>
        </w:tc>
      </w:tr>
      <w:tr w:rsidR="007C605B" w:rsidRPr="0021355B" w:rsidTr="007C605B">
        <w:tc>
          <w:tcPr>
            <w:tcW w:w="2500" w:type="pct"/>
            <w:gridSpan w:val="2"/>
          </w:tcPr>
          <w:p w:rsidR="007C605B" w:rsidRPr="007C605B" w:rsidRDefault="00F365BF" w:rsidP="007C605B">
            <w:pPr>
              <w:pStyle w:val="Textpoznpodarou"/>
              <w:jc w:val="both"/>
              <w:rPr>
                <w:color w:val="000000" w:themeColor="text1"/>
                <w:lang w:eastAsia="en-US"/>
              </w:rPr>
            </w:pPr>
            <w:r w:rsidRPr="00A17754">
              <w:rPr>
                <w:noProof/>
                <w:color w:val="000000" w:themeColor="text1"/>
              </w:rPr>
              <w:pict>
                <v:shape id="_x0000_i1037" type="#_x0000_t75" style="width:237pt;height:186.75pt;visibility:visible;mso-wrap-style:square">
                  <v:imagedata r:id="rId24" o:title=""/>
                </v:shape>
              </w:pict>
            </w:r>
          </w:p>
        </w:tc>
        <w:tc>
          <w:tcPr>
            <w:tcW w:w="2500" w:type="pct"/>
            <w:gridSpan w:val="2"/>
          </w:tcPr>
          <w:p w:rsidR="007C605B" w:rsidRPr="007C605B" w:rsidRDefault="00F365BF" w:rsidP="007C605B">
            <w:pPr>
              <w:pStyle w:val="Textpoznpodarou"/>
              <w:jc w:val="both"/>
              <w:rPr>
                <w:color w:val="000000" w:themeColor="text1"/>
                <w:lang w:eastAsia="en-US"/>
              </w:rPr>
            </w:pPr>
            <w:r w:rsidRPr="00A17754">
              <w:rPr>
                <w:noProof/>
                <w:color w:val="000000" w:themeColor="text1"/>
              </w:rPr>
              <w:pict>
                <v:shape id="obrázek 4" o:spid="_x0000_i1038" type="#_x0000_t75" style="width:237pt;height:186pt;visibility:visible;mso-wrap-style:square">
                  <v:imagedata r:id="rId25" o:title=""/>
                </v:shape>
              </w:pict>
            </w:r>
          </w:p>
        </w:tc>
      </w:tr>
      <w:tr w:rsidR="007C605B" w:rsidRPr="0021355B" w:rsidTr="007C605B">
        <w:tc>
          <w:tcPr>
            <w:tcW w:w="5000" w:type="pct"/>
            <w:gridSpan w:val="4"/>
          </w:tcPr>
          <w:p w:rsidR="007C605B" w:rsidRPr="007C605B" w:rsidRDefault="007C605B" w:rsidP="007C605B">
            <w:pPr>
              <w:pStyle w:val="Textpoznpodarou"/>
              <w:jc w:val="right"/>
              <w:rPr>
                <w:color w:val="000000" w:themeColor="text1"/>
                <w:sz w:val="18"/>
                <w:szCs w:val="18"/>
                <w:lang w:eastAsia="en-US"/>
              </w:rPr>
            </w:pPr>
            <w:r w:rsidRPr="007C605B">
              <w:rPr>
                <w:color w:val="000000" w:themeColor="text1"/>
                <w:sz w:val="18"/>
                <w:szCs w:val="18"/>
                <w:lang w:eastAsia="en-US"/>
              </w:rPr>
              <w:t>Zdroj: ČSÚ</w:t>
            </w:r>
          </w:p>
        </w:tc>
      </w:tr>
    </w:tbl>
    <w:p w:rsidR="007C605B" w:rsidRDefault="007C605B" w:rsidP="007C605B"/>
    <w:p w:rsidR="007D4281" w:rsidRPr="000732DB" w:rsidRDefault="007D4281" w:rsidP="006D142E">
      <w:pPr>
        <w:pStyle w:val="Nadpis1"/>
        <w:numPr>
          <w:ilvl w:val="0"/>
          <w:numId w:val="3"/>
        </w:numPr>
        <w:jc w:val="both"/>
      </w:pPr>
      <w:bookmarkStart w:id="8" w:name="_Toc430335387"/>
      <w:r>
        <w:lastRenderedPageBreak/>
        <w:t>Trh práce</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7"/>
        <w:gridCol w:w="282"/>
        <w:gridCol w:w="7495"/>
      </w:tblGrid>
      <w:tr w:rsidR="004762D8" w:rsidRPr="0002540B" w:rsidTr="00D245BA">
        <w:tc>
          <w:tcPr>
            <w:tcW w:w="1054" w:type="pct"/>
            <w:tcBorders>
              <w:top w:val="nil"/>
              <w:left w:val="nil"/>
              <w:bottom w:val="nil"/>
              <w:right w:val="nil"/>
            </w:tcBorders>
          </w:tcPr>
          <w:p w:rsidR="004762D8" w:rsidRPr="005C03D0" w:rsidRDefault="004762D8" w:rsidP="00D245BA">
            <w:pPr>
              <w:spacing w:line="240" w:lineRule="auto"/>
              <w:rPr>
                <w:sz w:val="16"/>
                <w:szCs w:val="16"/>
              </w:rPr>
            </w:pPr>
            <w:r w:rsidRPr="005C03D0">
              <w:rPr>
                <w:sz w:val="16"/>
                <w:szCs w:val="16"/>
              </w:rPr>
              <w:t>Příznivý vývoj české ekonomiky se přenáší i na trh práce</w:t>
            </w:r>
          </w:p>
        </w:tc>
        <w:tc>
          <w:tcPr>
            <w:tcW w:w="143" w:type="pct"/>
            <w:tcBorders>
              <w:top w:val="nil"/>
              <w:left w:val="nil"/>
              <w:bottom w:val="nil"/>
              <w:right w:val="nil"/>
            </w:tcBorders>
          </w:tcPr>
          <w:p w:rsidR="004762D8" w:rsidRPr="005C03D0" w:rsidRDefault="004762D8" w:rsidP="00D245BA">
            <w:pPr>
              <w:pStyle w:val="Textpoznpodarou"/>
              <w:jc w:val="both"/>
            </w:pPr>
          </w:p>
        </w:tc>
        <w:tc>
          <w:tcPr>
            <w:tcW w:w="3803" w:type="pct"/>
            <w:tcBorders>
              <w:top w:val="nil"/>
              <w:left w:val="nil"/>
              <w:bottom w:val="nil"/>
              <w:right w:val="nil"/>
            </w:tcBorders>
          </w:tcPr>
          <w:p w:rsidR="004762D8" w:rsidRPr="005C03D0" w:rsidRDefault="004762D8" w:rsidP="00D245BA">
            <w:pPr>
              <w:pStyle w:val="Textpoznpodarou"/>
              <w:jc w:val="both"/>
            </w:pPr>
            <w:r w:rsidRPr="005C03D0">
              <w:t>Současné trendy na trhu práce plně odpovídají vývoji reálné ekonomiky. Celková zaměstnanost v obou čtvrtletích roku 2015 v meziročním srovnání vzrostla, stejně tak se ale zvyšovaly i počty volných pracovních míst. Osob hledajících práci ubývalo a snižoval se také jejich podíl na celkové pracovní síle. Nominální růst mezd, který byl v loňském roce a na počátku roku 2015 jen umírněný a nevyvíjel se v souladu s očekáváními, již ve 2. čtvrtletí zrychlil.</w:t>
            </w:r>
          </w:p>
          <w:p w:rsidR="004762D8" w:rsidRPr="005C03D0" w:rsidRDefault="004762D8" w:rsidP="00D245BA">
            <w:pPr>
              <w:pStyle w:val="Textpoznpodarou"/>
              <w:jc w:val="both"/>
              <w:rPr>
                <w:spacing w:val="-2"/>
                <w:sz w:val="18"/>
                <w:szCs w:val="18"/>
              </w:rPr>
            </w:pPr>
          </w:p>
        </w:tc>
      </w:tr>
      <w:tr w:rsidR="004762D8" w:rsidRPr="0002540B" w:rsidTr="00D245BA">
        <w:tc>
          <w:tcPr>
            <w:tcW w:w="1054" w:type="pct"/>
            <w:tcBorders>
              <w:top w:val="nil"/>
              <w:left w:val="nil"/>
              <w:bottom w:val="nil"/>
              <w:right w:val="nil"/>
            </w:tcBorders>
          </w:tcPr>
          <w:p w:rsidR="004762D8" w:rsidRPr="005C03D0" w:rsidRDefault="004762D8" w:rsidP="00D245BA">
            <w:pPr>
              <w:spacing w:line="240" w:lineRule="auto"/>
              <w:rPr>
                <w:sz w:val="16"/>
                <w:szCs w:val="16"/>
              </w:rPr>
            </w:pPr>
            <w:r w:rsidRPr="005C03D0">
              <w:rPr>
                <w:sz w:val="16"/>
                <w:szCs w:val="16"/>
              </w:rPr>
              <w:t>Celková zaměstnanost vzrostla ve 2. čtvrtletí 2015 již o 1,4 % meziročně, …</w:t>
            </w:r>
          </w:p>
        </w:tc>
        <w:tc>
          <w:tcPr>
            <w:tcW w:w="143" w:type="pct"/>
            <w:tcBorders>
              <w:top w:val="nil"/>
              <w:left w:val="nil"/>
              <w:bottom w:val="nil"/>
              <w:right w:val="nil"/>
            </w:tcBorders>
          </w:tcPr>
          <w:p w:rsidR="004762D8" w:rsidRPr="005C03D0" w:rsidRDefault="004762D8" w:rsidP="00D245BA">
            <w:pPr>
              <w:pStyle w:val="Textpoznpodarou"/>
              <w:jc w:val="both"/>
            </w:pPr>
          </w:p>
        </w:tc>
        <w:tc>
          <w:tcPr>
            <w:tcW w:w="3803" w:type="pct"/>
            <w:tcBorders>
              <w:top w:val="nil"/>
              <w:left w:val="nil"/>
              <w:bottom w:val="nil"/>
              <w:right w:val="nil"/>
            </w:tcBorders>
          </w:tcPr>
          <w:p w:rsidR="004762D8" w:rsidRPr="005C03D0" w:rsidRDefault="004762D8" w:rsidP="00D245BA">
            <w:pPr>
              <w:pStyle w:val="Textpoznpodarou"/>
              <w:jc w:val="both"/>
            </w:pPr>
            <w:r w:rsidRPr="009B4925">
              <w:rPr>
                <w:spacing w:val="-2"/>
              </w:rPr>
              <w:t>Celková zaměstnanost</w:t>
            </w:r>
            <w:r w:rsidRPr="009B4925">
              <w:rPr>
                <w:rStyle w:val="Znakapoznpodarou"/>
                <w:spacing w:val="-2"/>
              </w:rPr>
              <w:footnoteReference w:id="12"/>
            </w:r>
            <w:r w:rsidRPr="009B4925">
              <w:rPr>
                <w:spacing w:val="-2"/>
              </w:rPr>
              <w:t xml:space="preserve"> vzrostla v úhrnu za celé 1. pololetí letošního roku o 1,3</w:t>
            </w:r>
            <w:r w:rsidR="009B4925" w:rsidRPr="009B4925">
              <w:rPr>
                <w:spacing w:val="-2"/>
              </w:rPr>
              <w:t xml:space="preserve"> </w:t>
            </w:r>
            <w:r w:rsidRPr="009B4925">
              <w:rPr>
                <w:spacing w:val="-2"/>
              </w:rPr>
              <w:t>%</w:t>
            </w:r>
            <w:r w:rsidRPr="005C03D0">
              <w:t xml:space="preserve"> meziročně a zvýšila se tak nejrychleji od 2. poloviny předkrizového roku 2008 (+2,2 %). Navíc je patrné, že její přírůstky se kontinuálně zvětšují. Jestliže ve 2. čtvrtletí 2014 byl počet zaměstnaných osob meziročně prakticky stejný, v 1. čtvrtletí </w:t>
            </w:r>
            <w:r>
              <w:t>2015</w:t>
            </w:r>
            <w:r w:rsidRPr="005C03D0">
              <w:t xml:space="preserve"> už o 1,1 % vyšší než ve stejném období předchozího roku a ve 2. kvartále dokonce o 1,4 %.</w:t>
            </w:r>
          </w:p>
          <w:p w:rsidR="004762D8" w:rsidRPr="005C03D0" w:rsidRDefault="004762D8" w:rsidP="00D245BA">
            <w:pPr>
              <w:pStyle w:val="Textpoznpodarou"/>
              <w:jc w:val="both"/>
              <w:rPr>
                <w:spacing w:val="-2"/>
                <w:sz w:val="18"/>
                <w:szCs w:val="18"/>
              </w:rPr>
            </w:pPr>
          </w:p>
        </w:tc>
      </w:tr>
      <w:tr w:rsidR="004762D8" w:rsidRPr="0002540B" w:rsidTr="00D245BA">
        <w:tc>
          <w:tcPr>
            <w:tcW w:w="1054" w:type="pct"/>
            <w:tcBorders>
              <w:top w:val="nil"/>
              <w:left w:val="nil"/>
              <w:bottom w:val="nil"/>
              <w:right w:val="nil"/>
            </w:tcBorders>
          </w:tcPr>
          <w:p w:rsidR="004762D8" w:rsidRPr="005C03D0" w:rsidRDefault="004762D8" w:rsidP="00D245BA">
            <w:pPr>
              <w:spacing w:line="240" w:lineRule="auto"/>
              <w:rPr>
                <w:sz w:val="16"/>
                <w:szCs w:val="16"/>
              </w:rPr>
            </w:pPr>
            <w:r w:rsidRPr="005C03D0">
              <w:rPr>
                <w:sz w:val="16"/>
                <w:szCs w:val="16"/>
              </w:rPr>
              <w:t xml:space="preserve">… a to především vlivem nárůstu počtu </w:t>
            </w:r>
            <w:r>
              <w:rPr>
                <w:sz w:val="16"/>
                <w:szCs w:val="16"/>
              </w:rPr>
              <w:t>pracujících</w:t>
            </w:r>
            <w:r w:rsidRPr="005C03D0">
              <w:rPr>
                <w:sz w:val="16"/>
                <w:szCs w:val="16"/>
              </w:rPr>
              <w:t xml:space="preserve"> v odvětví zahrnujícím obchod, dopravu, ubytování a pohostinství, ve zpracovatelském průmyslu a v odvětvích s převahou veřejného sektoru</w:t>
            </w:r>
          </w:p>
        </w:tc>
        <w:tc>
          <w:tcPr>
            <w:tcW w:w="143" w:type="pct"/>
            <w:tcBorders>
              <w:top w:val="nil"/>
              <w:left w:val="nil"/>
              <w:bottom w:val="nil"/>
              <w:right w:val="nil"/>
            </w:tcBorders>
          </w:tcPr>
          <w:p w:rsidR="004762D8" w:rsidRPr="005C03D0" w:rsidRDefault="004762D8" w:rsidP="00D245BA">
            <w:pPr>
              <w:pStyle w:val="Textpoznpodarou"/>
              <w:jc w:val="both"/>
            </w:pPr>
          </w:p>
        </w:tc>
        <w:tc>
          <w:tcPr>
            <w:tcW w:w="3803" w:type="pct"/>
            <w:tcBorders>
              <w:top w:val="nil"/>
              <w:left w:val="nil"/>
              <w:bottom w:val="nil"/>
              <w:right w:val="nil"/>
            </w:tcBorders>
          </w:tcPr>
          <w:p w:rsidR="004762D8" w:rsidRPr="0019686A" w:rsidRDefault="004762D8" w:rsidP="00D245BA">
            <w:pPr>
              <w:pStyle w:val="Textpoznpodarou"/>
              <w:jc w:val="both"/>
              <w:rPr>
                <w:spacing w:val="-2"/>
              </w:rPr>
            </w:pPr>
            <w:r w:rsidRPr="0019686A">
              <w:rPr>
                <w:spacing w:val="-2"/>
              </w:rPr>
              <w:t>Nárůst zaměstnanosti se prolínal téměř celou ekonomikou, výjimkou bylo jen peněžnictví a pojišťovnictví (které ve 2. čtvrtletí 2015 evidovalo o 0,2 tis. pracovníků méně než před rokem), průmyslová odvětví mimo zpracovatelský průmysl (-0,6 tis.) a již „tradičně“ stavebnictví (</w:t>
            </w:r>
            <w:r>
              <w:rPr>
                <w:spacing w:val="-2"/>
              </w:rPr>
              <w:t>kde</w:t>
            </w:r>
            <w:r w:rsidRPr="0019686A">
              <w:rPr>
                <w:spacing w:val="-2"/>
              </w:rPr>
              <w:t xml:space="preserve"> se počet zaměstnaných osob snížil o 9,3 tis.). Nejvíce lidí „nasála“ dvě největší odvětví české ekonomiky (z hlediska počtu </w:t>
            </w:r>
            <w:r w:rsidRPr="0019686A">
              <w:rPr>
                <w:spacing w:val="-4"/>
              </w:rPr>
              <w:t>pracujících osob), tedy odvětví zahrnující obchod, dopravu, ubytování a</w:t>
            </w:r>
            <w:r w:rsidRPr="0019686A">
              <w:rPr>
                <w:spacing w:val="-2"/>
              </w:rPr>
              <w:t xml:space="preserve"> pohostinství (+29,2 tis.) a zpracovatelský průmysl (+27,2 tis.). Významně zaměstnanost stoupla</w:t>
            </w:r>
            <w:r>
              <w:rPr>
                <w:spacing w:val="-2"/>
              </w:rPr>
              <w:t> </w:t>
            </w:r>
            <w:r w:rsidRPr="0019686A">
              <w:rPr>
                <w:spacing w:val="-2"/>
              </w:rPr>
              <w:t>také ve skupině odvětví, ve kterých má převahu veřejný sektor (veřejná správa a</w:t>
            </w:r>
            <w:r>
              <w:rPr>
                <w:spacing w:val="-2"/>
              </w:rPr>
              <w:t> </w:t>
            </w:r>
            <w:r w:rsidRPr="0019686A">
              <w:rPr>
                <w:spacing w:val="-2"/>
              </w:rPr>
              <w:t>obrana, vzdělávání, zdravotní a sociální péče</w:t>
            </w:r>
            <w:r w:rsidRPr="0019686A">
              <w:rPr>
                <w:spacing w:val="-2"/>
                <w:lang w:val="en-US"/>
              </w:rPr>
              <w:t>;</w:t>
            </w:r>
            <w:r w:rsidRPr="0019686A">
              <w:rPr>
                <w:spacing w:val="-2"/>
              </w:rPr>
              <w:t xml:space="preserve"> +10,3 tis. osob).</w:t>
            </w:r>
          </w:p>
          <w:p w:rsidR="004762D8" w:rsidRPr="005C03D0" w:rsidRDefault="004762D8" w:rsidP="00D245BA">
            <w:pPr>
              <w:pStyle w:val="Textpoznpodarou"/>
              <w:jc w:val="both"/>
              <w:rPr>
                <w:sz w:val="18"/>
                <w:szCs w:val="18"/>
              </w:rPr>
            </w:pPr>
          </w:p>
        </w:tc>
      </w:tr>
      <w:tr w:rsidR="004762D8" w:rsidRPr="0002540B" w:rsidTr="00D245BA">
        <w:tc>
          <w:tcPr>
            <w:tcW w:w="1054" w:type="pct"/>
            <w:tcBorders>
              <w:top w:val="nil"/>
              <w:left w:val="nil"/>
              <w:bottom w:val="nil"/>
              <w:right w:val="nil"/>
            </w:tcBorders>
          </w:tcPr>
          <w:p w:rsidR="004762D8" w:rsidRPr="005C03D0" w:rsidRDefault="004762D8" w:rsidP="00D245BA">
            <w:pPr>
              <w:spacing w:line="240" w:lineRule="auto"/>
              <w:rPr>
                <w:sz w:val="16"/>
                <w:szCs w:val="16"/>
              </w:rPr>
            </w:pPr>
            <w:r w:rsidRPr="005C03D0">
              <w:rPr>
                <w:sz w:val="16"/>
                <w:szCs w:val="16"/>
              </w:rPr>
              <w:t xml:space="preserve">Přetrvávající vyšší růst počtu zaměstnanců v porovnání s růstem celkové zaměstnanosti naznačuje, že </w:t>
            </w:r>
            <w:proofErr w:type="spellStart"/>
            <w:r w:rsidRPr="005C03D0">
              <w:rPr>
                <w:sz w:val="16"/>
                <w:szCs w:val="16"/>
              </w:rPr>
              <w:t>sebezaměstnaných</w:t>
            </w:r>
            <w:proofErr w:type="spellEnd"/>
            <w:r w:rsidRPr="005C03D0">
              <w:rPr>
                <w:sz w:val="16"/>
                <w:szCs w:val="16"/>
              </w:rPr>
              <w:t xml:space="preserve"> osob ubylo i ve 2. čtvrtletí 2015</w:t>
            </w:r>
          </w:p>
        </w:tc>
        <w:tc>
          <w:tcPr>
            <w:tcW w:w="143" w:type="pct"/>
            <w:tcBorders>
              <w:top w:val="nil"/>
              <w:left w:val="nil"/>
              <w:bottom w:val="nil"/>
              <w:right w:val="nil"/>
            </w:tcBorders>
          </w:tcPr>
          <w:p w:rsidR="004762D8" w:rsidRPr="005C03D0" w:rsidRDefault="004762D8" w:rsidP="00D245BA">
            <w:pPr>
              <w:pStyle w:val="Textpoznpodarou"/>
              <w:jc w:val="both"/>
            </w:pPr>
          </w:p>
        </w:tc>
        <w:tc>
          <w:tcPr>
            <w:tcW w:w="3803" w:type="pct"/>
            <w:tcBorders>
              <w:top w:val="nil"/>
              <w:left w:val="nil"/>
              <w:bottom w:val="nil"/>
              <w:right w:val="nil"/>
            </w:tcBorders>
          </w:tcPr>
          <w:p w:rsidR="004762D8" w:rsidRPr="005C03D0" w:rsidRDefault="004762D8" w:rsidP="00D245BA">
            <w:pPr>
              <w:pStyle w:val="Textpoznpodarou"/>
              <w:jc w:val="both"/>
            </w:pPr>
            <w:r w:rsidRPr="005C03D0">
              <w:t xml:space="preserve">Příznivý vývoj české ekonomiky se neodráží pouze v růstu celkové zaměstnanosti, tedy ve zvyšování počtu lidí, kteří mají práci. Tento vývoj mění i její strukturu. Zatímco zaměstnanců přibývá, počty </w:t>
            </w:r>
            <w:proofErr w:type="spellStart"/>
            <w:r w:rsidRPr="005C03D0">
              <w:t>sebezaměstnaných</w:t>
            </w:r>
            <w:proofErr w:type="spellEnd"/>
            <w:r w:rsidRPr="005C03D0">
              <w:t xml:space="preserve"> (tj. osob, které pracují tzv. samy na sebe) se snižují. Na tyto tendence – které mohou mít z části základ </w:t>
            </w:r>
            <w:r w:rsidR="005079F8">
              <w:t>v přesunu pracujících ze „</w:t>
            </w:r>
            <w:proofErr w:type="spellStart"/>
            <w:r w:rsidR="005079F8">
              <w:t>švarc</w:t>
            </w:r>
            <w:proofErr w:type="spellEnd"/>
            <w:r w:rsidR="005079F8">
              <w:t xml:space="preserve"> </w:t>
            </w:r>
            <w:r w:rsidRPr="005C03D0">
              <w:t xml:space="preserve">systému“ zpět mezi klasické zaměstnance, z části ale i ve snahách </w:t>
            </w:r>
            <w:proofErr w:type="spellStart"/>
            <w:r w:rsidRPr="005C03D0">
              <w:t>sebezaměstnaných</w:t>
            </w:r>
            <w:proofErr w:type="spellEnd"/>
            <w:r w:rsidRPr="005C03D0">
              <w:t xml:space="preserve"> přejít do jistějších zaměstnaneckých poměrů – poukazuje „diskrepance“ mezi meziročním růstem počtu zaměstnanců a celkové zaměstnanosti. Ta je patrná již čtyři čtvrtletí a spíše má tendenci se zvětšovat. Jestliže ve 3. a 4. čtvrtletí 2014 byl růst počtu zaměstnanců vyšší než růst celkové zaměstnanosti o 0,4 </w:t>
            </w:r>
            <w:proofErr w:type="spellStart"/>
            <w:r w:rsidRPr="005C03D0">
              <w:t>pb</w:t>
            </w:r>
            <w:proofErr w:type="spellEnd"/>
            <w:r w:rsidRPr="005C03D0">
              <w:t xml:space="preserve">. a 0,3 </w:t>
            </w:r>
            <w:proofErr w:type="spellStart"/>
            <w:r w:rsidRPr="005C03D0">
              <w:t>pb</w:t>
            </w:r>
            <w:proofErr w:type="spellEnd"/>
            <w:r w:rsidRPr="005C03D0">
              <w:t xml:space="preserve">., v 1. a 2. čtvrtletí 2015 již takto definovaná „diskrepance“ činila 0,7 </w:t>
            </w:r>
            <w:proofErr w:type="spellStart"/>
            <w:r w:rsidRPr="005C03D0">
              <w:t>pb</w:t>
            </w:r>
            <w:proofErr w:type="spellEnd"/>
            <w:r w:rsidRPr="005C03D0">
              <w:t xml:space="preserve">. a 0,6 </w:t>
            </w:r>
            <w:proofErr w:type="spellStart"/>
            <w:r w:rsidRPr="005C03D0">
              <w:t>pb</w:t>
            </w:r>
            <w:proofErr w:type="spellEnd"/>
            <w:r w:rsidRPr="005C03D0">
              <w:t>.</w:t>
            </w:r>
          </w:p>
          <w:p w:rsidR="004762D8" w:rsidRPr="005C03D0" w:rsidRDefault="004762D8" w:rsidP="00D245BA">
            <w:pPr>
              <w:pStyle w:val="Textpoznpodarou"/>
              <w:jc w:val="both"/>
              <w:rPr>
                <w:sz w:val="18"/>
                <w:szCs w:val="18"/>
              </w:rPr>
            </w:pPr>
          </w:p>
        </w:tc>
      </w:tr>
      <w:tr w:rsidR="004762D8" w:rsidRPr="0002540B" w:rsidTr="00D245BA">
        <w:tc>
          <w:tcPr>
            <w:tcW w:w="1054" w:type="pct"/>
            <w:tcBorders>
              <w:top w:val="nil"/>
              <w:left w:val="nil"/>
              <w:bottom w:val="nil"/>
              <w:right w:val="nil"/>
            </w:tcBorders>
          </w:tcPr>
          <w:p w:rsidR="004762D8" w:rsidRPr="005C03D0" w:rsidRDefault="004762D8" w:rsidP="00D245BA">
            <w:pPr>
              <w:spacing w:line="240" w:lineRule="auto"/>
              <w:rPr>
                <w:sz w:val="16"/>
                <w:szCs w:val="16"/>
              </w:rPr>
            </w:pPr>
            <w:r w:rsidRPr="005C03D0">
              <w:rPr>
                <w:sz w:val="16"/>
                <w:szCs w:val="16"/>
              </w:rPr>
              <w:t>Hodinová produktivita práce roste v meziročním srovnání již sedm čtvrtletí</w:t>
            </w:r>
          </w:p>
        </w:tc>
        <w:tc>
          <w:tcPr>
            <w:tcW w:w="143" w:type="pct"/>
            <w:tcBorders>
              <w:top w:val="nil"/>
              <w:left w:val="nil"/>
              <w:bottom w:val="nil"/>
              <w:right w:val="nil"/>
            </w:tcBorders>
          </w:tcPr>
          <w:p w:rsidR="004762D8" w:rsidRPr="005C03D0" w:rsidRDefault="004762D8" w:rsidP="00D245BA">
            <w:pPr>
              <w:pStyle w:val="Textpoznpodarou"/>
              <w:jc w:val="both"/>
            </w:pPr>
          </w:p>
        </w:tc>
        <w:tc>
          <w:tcPr>
            <w:tcW w:w="3803" w:type="pct"/>
            <w:tcBorders>
              <w:top w:val="nil"/>
              <w:left w:val="nil"/>
              <w:bottom w:val="nil"/>
              <w:right w:val="nil"/>
            </w:tcBorders>
          </w:tcPr>
          <w:p w:rsidR="004762D8" w:rsidRPr="005C03D0" w:rsidRDefault="004762D8" w:rsidP="00D245BA">
            <w:pPr>
              <w:pStyle w:val="Textpoznpodarou"/>
              <w:jc w:val="both"/>
            </w:pPr>
            <w:r w:rsidRPr="005C03D0">
              <w:t>V posledním čtvrtletí roku 2014 a v 1. kvartále 2015 docházelo k růstu ekonomiky při fakticky stabilním počtu odpracovaných hodin (hrubá přidaná hodnota stoupla o 3,4 % meziročně v obou čtvrtletích, celkový počet odpracovaných hodin se ale téměř nezměnil). Akcelerace ekonomiky ve 2. čtvrtletí, kdy hrubá přidaná hodnota vzrostla o 3,8 %, si však již vyžádala větší časový fond (</w:t>
            </w:r>
            <w:r>
              <w:t xml:space="preserve">celkový </w:t>
            </w:r>
            <w:r w:rsidRPr="005C03D0">
              <w:t>počet odpracovaných hodin stoupl o 2,2 %). Jestliže tak hodinová produktivita práce (hrubá přidaná hodnota vztažená k celkovému počtu odpracovaných hodin) vzrostla ve 4. čtvrtletí 2014 o velmi vysokých 3,4 % meziročně a v 1. kvartále 2015 dokonce o 3,6 % (což byl mimochodem nejsilnější růst od 2. poloviny roku 2010), ve 2. čtvrtletí její dynamika zpomalila na +1,5 %.</w:t>
            </w:r>
          </w:p>
          <w:p w:rsidR="004762D8" w:rsidRPr="005C03D0" w:rsidRDefault="004762D8" w:rsidP="00D245BA">
            <w:pPr>
              <w:pStyle w:val="Textpoznpodarou"/>
              <w:jc w:val="both"/>
              <w:rPr>
                <w:spacing w:val="-2"/>
                <w:sz w:val="16"/>
                <w:szCs w:val="16"/>
              </w:rPr>
            </w:pPr>
          </w:p>
        </w:tc>
      </w:tr>
      <w:tr w:rsidR="004762D8" w:rsidRPr="0002540B" w:rsidTr="00D245BA">
        <w:tc>
          <w:tcPr>
            <w:tcW w:w="1054" w:type="pct"/>
            <w:tcBorders>
              <w:top w:val="nil"/>
              <w:left w:val="nil"/>
              <w:bottom w:val="nil"/>
              <w:right w:val="nil"/>
            </w:tcBorders>
          </w:tcPr>
          <w:p w:rsidR="004762D8" w:rsidRPr="005C03D0" w:rsidRDefault="004762D8" w:rsidP="00D245BA">
            <w:pPr>
              <w:spacing w:line="240" w:lineRule="auto"/>
              <w:rPr>
                <w:sz w:val="16"/>
                <w:szCs w:val="16"/>
              </w:rPr>
            </w:pPr>
            <w:r w:rsidRPr="005C03D0">
              <w:rPr>
                <w:sz w:val="16"/>
                <w:szCs w:val="16"/>
              </w:rPr>
              <w:t>Počet volných pracovních míst podobný jako na počátku hluboké recese</w:t>
            </w:r>
          </w:p>
        </w:tc>
        <w:tc>
          <w:tcPr>
            <w:tcW w:w="143" w:type="pct"/>
            <w:tcBorders>
              <w:top w:val="nil"/>
              <w:left w:val="nil"/>
              <w:bottom w:val="nil"/>
              <w:right w:val="nil"/>
            </w:tcBorders>
          </w:tcPr>
          <w:p w:rsidR="004762D8" w:rsidRPr="005C03D0" w:rsidRDefault="004762D8" w:rsidP="00D245BA">
            <w:pPr>
              <w:pStyle w:val="Textpoznpodarou"/>
              <w:jc w:val="both"/>
            </w:pPr>
          </w:p>
        </w:tc>
        <w:tc>
          <w:tcPr>
            <w:tcW w:w="3803" w:type="pct"/>
            <w:tcBorders>
              <w:top w:val="nil"/>
              <w:left w:val="nil"/>
              <w:bottom w:val="nil"/>
              <w:right w:val="nil"/>
            </w:tcBorders>
          </w:tcPr>
          <w:p w:rsidR="004762D8" w:rsidRPr="005C03D0" w:rsidRDefault="005079F8" w:rsidP="00D245BA">
            <w:pPr>
              <w:pStyle w:val="Textpoznpodarou"/>
              <w:jc w:val="both"/>
            </w:pPr>
            <w:r>
              <w:t>Nová pracovní místa se vytvářejí</w:t>
            </w:r>
            <w:r w:rsidR="004762D8" w:rsidRPr="005C03D0">
              <w:t xml:space="preserve"> rychle a zaměstnavatelé je nestačí obsazovat vhodnými kandidáty. Počet volných pracovních míst tak narůstá – podle údajů Ministerstva práce a sociálních věcí (MPSV) bylo k poslednímu červnu 2015 k dispozici již 97,0 tis. volných pracovních míst, tedy zhruba o 20 tis. více než na konci 1. čtvrtletí. Jejich počet byl nejvyšší od listopadu 2008.</w:t>
            </w:r>
          </w:p>
          <w:p w:rsidR="004762D8" w:rsidRPr="005C03D0" w:rsidRDefault="004762D8" w:rsidP="00D245BA">
            <w:pPr>
              <w:pStyle w:val="Textpoznpodarou"/>
              <w:jc w:val="both"/>
              <w:rPr>
                <w:spacing w:val="-2"/>
                <w:sz w:val="18"/>
                <w:szCs w:val="18"/>
              </w:rPr>
            </w:pPr>
          </w:p>
        </w:tc>
      </w:tr>
      <w:tr w:rsidR="004762D8" w:rsidRPr="0002540B" w:rsidTr="00D245BA">
        <w:tc>
          <w:tcPr>
            <w:tcW w:w="1054" w:type="pct"/>
            <w:tcBorders>
              <w:top w:val="nil"/>
              <w:left w:val="nil"/>
              <w:bottom w:val="nil"/>
              <w:right w:val="nil"/>
            </w:tcBorders>
          </w:tcPr>
          <w:p w:rsidR="004762D8" w:rsidRPr="00F52E53" w:rsidRDefault="004762D8" w:rsidP="00D245BA">
            <w:pPr>
              <w:spacing w:line="240" w:lineRule="auto"/>
              <w:rPr>
                <w:spacing w:val="-6"/>
                <w:sz w:val="16"/>
                <w:szCs w:val="16"/>
              </w:rPr>
            </w:pPr>
            <w:r w:rsidRPr="00F52E53">
              <w:rPr>
                <w:sz w:val="16"/>
                <w:szCs w:val="16"/>
              </w:rPr>
              <w:t>Další snižování počtu</w:t>
            </w:r>
            <w:r w:rsidRPr="00F52E53">
              <w:rPr>
                <w:spacing w:val="-6"/>
                <w:sz w:val="16"/>
                <w:szCs w:val="16"/>
              </w:rPr>
              <w:t xml:space="preserve"> nezaměstnaných osob bude patrně obtížné vzhledem </w:t>
            </w:r>
            <w:r w:rsidRPr="00F52E53">
              <w:rPr>
                <w:spacing w:val="-2"/>
                <w:sz w:val="16"/>
                <w:szCs w:val="16"/>
              </w:rPr>
              <w:t xml:space="preserve">k odlišné struktuře nabídky </w:t>
            </w:r>
            <w:r w:rsidRPr="00F52E53">
              <w:rPr>
                <w:sz w:val="16"/>
                <w:szCs w:val="16"/>
              </w:rPr>
              <w:t>práce v porovnání se strukturou poptávky</w:t>
            </w:r>
          </w:p>
        </w:tc>
        <w:tc>
          <w:tcPr>
            <w:tcW w:w="143" w:type="pct"/>
            <w:tcBorders>
              <w:top w:val="nil"/>
              <w:left w:val="nil"/>
              <w:bottom w:val="nil"/>
              <w:right w:val="nil"/>
            </w:tcBorders>
          </w:tcPr>
          <w:p w:rsidR="004762D8" w:rsidRPr="005C03D0" w:rsidRDefault="004762D8" w:rsidP="00D245BA">
            <w:pPr>
              <w:pStyle w:val="Textpoznpodarou"/>
              <w:jc w:val="both"/>
            </w:pPr>
          </w:p>
        </w:tc>
        <w:tc>
          <w:tcPr>
            <w:tcW w:w="3803" w:type="pct"/>
            <w:tcBorders>
              <w:top w:val="nil"/>
              <w:left w:val="nil"/>
              <w:bottom w:val="nil"/>
              <w:right w:val="nil"/>
            </w:tcBorders>
          </w:tcPr>
          <w:p w:rsidR="004762D8" w:rsidRPr="005C03D0" w:rsidRDefault="004762D8" w:rsidP="00D245BA">
            <w:pPr>
              <w:pStyle w:val="Textpoznpodarou"/>
              <w:jc w:val="both"/>
            </w:pPr>
            <w:r w:rsidRPr="005C03D0">
              <w:t xml:space="preserve">Odlišná struktura uchazečů o zaměstnání v porovnání se strukturou volných pracovních míst naznačuje, že na trhu práce se nestřetává nabídka s poptávkou. Zatímco například uchazečů o úřednické </w:t>
            </w:r>
            <w:r w:rsidR="005079F8">
              <w:t>posty bylo na konci června 12,8</w:t>
            </w:r>
            <w:r w:rsidRPr="005C03D0">
              <w:t xml:space="preserve">krát více než volných pracovních míst pro ně určených (vypočteno z údajů MPSV), počty uchazečů o kvalifikovanou práci v zemědělství, lesnictví a rybářství převyšovaly </w:t>
            </w:r>
            <w:r w:rsidRPr="005C03D0">
              <w:lastRenderedPageBreak/>
              <w:t>pří</w:t>
            </w:r>
            <w:r w:rsidR="005079F8">
              <w:t>slušná volná pracovní místa 7,5</w:t>
            </w:r>
            <w:r w:rsidRPr="005C03D0">
              <w:t>krát a počty uchazečů o pomocn</w:t>
            </w:r>
            <w:r w:rsidR="005079F8">
              <w:t>ou a nekvalifikovanou práci 7,0</w:t>
            </w:r>
            <w:r w:rsidRPr="005C03D0">
              <w:t xml:space="preserve">krát. Tito lidé tedy, jak je zřejmé, hledají uplatnění s obtížemi. </w:t>
            </w:r>
            <w:r w:rsidRPr="005C03D0">
              <w:rPr>
                <w:spacing w:val="-2"/>
              </w:rPr>
              <w:t>Naopak nízký převis osob, které hledaly práci jako řemeslník a opravář</w:t>
            </w:r>
            <w:r w:rsidRPr="005C03D0">
              <w:t xml:space="preserve"> (</w:t>
            </w:r>
            <w:r w:rsidR="005079F8">
              <w:rPr>
                <w:spacing w:val="-2"/>
              </w:rPr>
              <w:t>bylo jich 2,7</w:t>
            </w:r>
            <w:r w:rsidRPr="005C03D0">
              <w:rPr>
                <w:spacing w:val="-2"/>
              </w:rPr>
              <w:t>krát více než příslušných volných pracovních míst</w:t>
            </w:r>
            <w:r w:rsidRPr="005C03D0">
              <w:t xml:space="preserve">) nebo jako obsluha </w:t>
            </w:r>
            <w:r w:rsidRPr="00F52E53">
              <w:rPr>
                <w:spacing w:val="-4"/>
              </w:rPr>
              <w:t>strojů a</w:t>
            </w:r>
            <w:r w:rsidR="005079F8">
              <w:rPr>
                <w:spacing w:val="-4"/>
              </w:rPr>
              <w:t xml:space="preserve"> zařízení popřípadě montér (2,1</w:t>
            </w:r>
            <w:r w:rsidRPr="00F52E53">
              <w:rPr>
                <w:spacing w:val="-4"/>
              </w:rPr>
              <w:t>krát), může poukazovat na to, že zájem o tyto</w:t>
            </w:r>
            <w:r w:rsidRPr="005C03D0">
              <w:t xml:space="preserve"> </w:t>
            </w:r>
            <w:r w:rsidRPr="0061442A">
              <w:rPr>
                <w:spacing w:val="-2"/>
              </w:rPr>
              <w:t>pracovníky ze strany firem je vysoký a najít vhodné zaměstnance je pro ně problém.</w:t>
            </w:r>
          </w:p>
          <w:p w:rsidR="004762D8" w:rsidRPr="005C03D0" w:rsidRDefault="004762D8" w:rsidP="00D245BA">
            <w:pPr>
              <w:pStyle w:val="Textpoznpodarou"/>
              <w:jc w:val="both"/>
              <w:rPr>
                <w:sz w:val="16"/>
                <w:szCs w:val="16"/>
              </w:rPr>
            </w:pPr>
          </w:p>
        </w:tc>
      </w:tr>
      <w:tr w:rsidR="004762D8" w:rsidRPr="0002540B" w:rsidTr="00D245BA">
        <w:tc>
          <w:tcPr>
            <w:tcW w:w="1054" w:type="pct"/>
            <w:tcBorders>
              <w:top w:val="nil"/>
              <w:left w:val="nil"/>
              <w:bottom w:val="nil"/>
              <w:right w:val="nil"/>
            </w:tcBorders>
          </w:tcPr>
          <w:p w:rsidR="004762D8" w:rsidRPr="005C03D0" w:rsidRDefault="004762D8" w:rsidP="00D245BA">
            <w:pPr>
              <w:spacing w:line="240" w:lineRule="auto"/>
              <w:rPr>
                <w:sz w:val="16"/>
                <w:szCs w:val="16"/>
              </w:rPr>
            </w:pPr>
            <w:r w:rsidRPr="005C03D0">
              <w:rPr>
                <w:sz w:val="16"/>
                <w:szCs w:val="16"/>
              </w:rPr>
              <w:lastRenderedPageBreak/>
              <w:t>Obecná míra nezaměstnanosti v červnu 2015 nižší než před rokem. Ke zlepšení došlo hlavně u žen</w:t>
            </w:r>
          </w:p>
        </w:tc>
        <w:tc>
          <w:tcPr>
            <w:tcW w:w="143" w:type="pct"/>
            <w:tcBorders>
              <w:top w:val="nil"/>
              <w:left w:val="nil"/>
              <w:bottom w:val="nil"/>
              <w:right w:val="nil"/>
            </w:tcBorders>
          </w:tcPr>
          <w:p w:rsidR="004762D8" w:rsidRPr="005C03D0" w:rsidRDefault="004762D8" w:rsidP="00D245BA">
            <w:pPr>
              <w:pStyle w:val="Textpoznpodarou"/>
              <w:jc w:val="both"/>
            </w:pPr>
          </w:p>
        </w:tc>
        <w:tc>
          <w:tcPr>
            <w:tcW w:w="3803" w:type="pct"/>
            <w:tcBorders>
              <w:top w:val="nil"/>
              <w:left w:val="nil"/>
              <w:bottom w:val="nil"/>
              <w:right w:val="nil"/>
            </w:tcBorders>
          </w:tcPr>
          <w:p w:rsidR="004762D8" w:rsidRPr="005C03D0" w:rsidRDefault="004762D8" w:rsidP="00D245BA">
            <w:pPr>
              <w:pStyle w:val="Textpoznpodarou"/>
              <w:jc w:val="both"/>
            </w:pPr>
            <w:r w:rsidRPr="005C03D0">
              <w:t xml:space="preserve">Obecná míra nezaměstnanosti ve věkové kategorii 15-64 let, vycházející z údajů Výběrového šetření pracovních sil (VŠPS) a očištěná od sezónních vlivů, </w:t>
            </w:r>
            <w:r w:rsidRPr="005C03D0">
              <w:rPr>
                <w:spacing w:val="-4"/>
              </w:rPr>
              <w:t>se během 1. pololetí 2015 snížila z 5,9 % v lednu na 5,1 % v červnu. Červnový</w:t>
            </w:r>
            <w:r w:rsidRPr="005C03D0">
              <w:t xml:space="preserve"> podíl nezaměstnaných na celkové pracovní síle byl meziročně nižší o 1,1 </w:t>
            </w:r>
            <w:proofErr w:type="spellStart"/>
            <w:r w:rsidRPr="005C03D0">
              <w:t>pb</w:t>
            </w:r>
            <w:proofErr w:type="spellEnd"/>
            <w:r w:rsidRPr="005C03D0">
              <w:t>. a </w:t>
            </w:r>
            <w:r w:rsidRPr="005C03D0">
              <w:rPr>
                <w:spacing w:val="-2"/>
              </w:rPr>
              <w:t>znamenal, že počet osob hledajících práci poklesl o 55,8 tis. Co se týče</w:t>
            </w:r>
            <w:r w:rsidRPr="005C03D0">
              <w:t xml:space="preserve"> samotných mužů, v jejich případě činila obecná míra nezaměstnanosti v červnu 4,2 % a meziročně byla nižší o 0,9 </w:t>
            </w:r>
            <w:proofErr w:type="spellStart"/>
            <w:r w:rsidRPr="005C03D0">
              <w:t>pb</w:t>
            </w:r>
            <w:proofErr w:type="spellEnd"/>
            <w:r w:rsidRPr="005C03D0">
              <w:t xml:space="preserve">. V případě žen setrvávala stále zhruba </w:t>
            </w:r>
            <w:r w:rsidRPr="005C03D0">
              <w:rPr>
                <w:spacing w:val="-4"/>
              </w:rPr>
              <w:t>o 2 </w:t>
            </w:r>
            <w:proofErr w:type="spellStart"/>
            <w:r w:rsidRPr="005C03D0">
              <w:rPr>
                <w:spacing w:val="-4"/>
              </w:rPr>
              <w:t>pb</w:t>
            </w:r>
            <w:proofErr w:type="spellEnd"/>
            <w:r w:rsidRPr="005C03D0">
              <w:rPr>
                <w:spacing w:val="-4"/>
              </w:rPr>
              <w:t xml:space="preserve">. vyšší (6,2 %), meziročně se nicméně snížila více než u mužů (-1,4 </w:t>
            </w:r>
            <w:proofErr w:type="spellStart"/>
            <w:r w:rsidRPr="005C03D0">
              <w:rPr>
                <w:spacing w:val="-4"/>
              </w:rPr>
              <w:t>pb</w:t>
            </w:r>
            <w:proofErr w:type="spellEnd"/>
            <w:r w:rsidRPr="005C03D0">
              <w:rPr>
                <w:spacing w:val="-4"/>
              </w:rPr>
              <w:t>.).</w:t>
            </w:r>
          </w:p>
          <w:p w:rsidR="004762D8" w:rsidRPr="005C03D0" w:rsidRDefault="004762D8" w:rsidP="00D245BA">
            <w:pPr>
              <w:pStyle w:val="Textpoznpodarou"/>
              <w:jc w:val="both"/>
              <w:rPr>
                <w:sz w:val="14"/>
                <w:szCs w:val="14"/>
              </w:rPr>
            </w:pPr>
          </w:p>
        </w:tc>
      </w:tr>
      <w:tr w:rsidR="004762D8" w:rsidRPr="00B6444F" w:rsidTr="00D245BA">
        <w:tc>
          <w:tcPr>
            <w:tcW w:w="1054" w:type="pct"/>
            <w:tcBorders>
              <w:top w:val="nil"/>
              <w:left w:val="nil"/>
              <w:bottom w:val="nil"/>
              <w:right w:val="nil"/>
            </w:tcBorders>
          </w:tcPr>
          <w:p w:rsidR="004762D8" w:rsidRPr="005C03D0" w:rsidRDefault="004762D8" w:rsidP="00D245BA">
            <w:pPr>
              <w:spacing w:line="240" w:lineRule="auto"/>
              <w:rPr>
                <w:sz w:val="16"/>
                <w:szCs w:val="16"/>
              </w:rPr>
            </w:pPr>
            <w:r w:rsidRPr="005C03D0">
              <w:rPr>
                <w:sz w:val="16"/>
                <w:szCs w:val="16"/>
              </w:rPr>
              <w:t>Situace na trhu práce ve 2. čtvrtletí příznivější než v drtivě většině zemí EU</w:t>
            </w:r>
          </w:p>
        </w:tc>
        <w:tc>
          <w:tcPr>
            <w:tcW w:w="143" w:type="pct"/>
            <w:tcBorders>
              <w:top w:val="nil"/>
              <w:left w:val="nil"/>
              <w:bottom w:val="nil"/>
              <w:right w:val="nil"/>
            </w:tcBorders>
          </w:tcPr>
          <w:p w:rsidR="004762D8" w:rsidRPr="005C03D0" w:rsidRDefault="004762D8" w:rsidP="00D245BA">
            <w:pPr>
              <w:pStyle w:val="Textpoznpodarou"/>
              <w:jc w:val="both"/>
            </w:pPr>
          </w:p>
        </w:tc>
        <w:tc>
          <w:tcPr>
            <w:tcW w:w="3803" w:type="pct"/>
            <w:tcBorders>
              <w:top w:val="nil"/>
              <w:left w:val="nil"/>
              <w:bottom w:val="nil"/>
              <w:right w:val="nil"/>
            </w:tcBorders>
          </w:tcPr>
          <w:p w:rsidR="004762D8" w:rsidRPr="005C03D0" w:rsidRDefault="004762D8" w:rsidP="00D245BA">
            <w:pPr>
              <w:pStyle w:val="Textpoznpodarou"/>
              <w:jc w:val="both"/>
            </w:pPr>
            <w:r w:rsidRPr="005C03D0">
              <w:t>Ze srovnání se zeměmi EU vychází obecná míra nezaměstnanosti v ČR jako nízká již dlouhodobě, v průběhu 1. pololetí 2015 se však pozice tuzemské ekonomiky v tomto ohledu dále zlepšila. Zatímco v lednu hledalo práci v Česku ve věkové kategorii 15-74 let 5,9 % z celkového součtu zaměstnaných a nezaměstnaných a mezi zeměmi Unie se jednalo o pátý nejlepší výsledek, do dubna tento podíl klesl na 5,3 % a byl v rámci celé osmadvacítky druhý nejlepší. Druhé místo si Česko udrželo až do konce kvartálu, nižší podíl nezaměstnaných na celkové pracovní síle vykazovalo v těchto měsících pouze Německo.</w:t>
            </w:r>
          </w:p>
          <w:p w:rsidR="004762D8" w:rsidRPr="005C03D0" w:rsidRDefault="004762D8" w:rsidP="00D245BA">
            <w:pPr>
              <w:pStyle w:val="Textpoznpodarou"/>
              <w:jc w:val="both"/>
              <w:rPr>
                <w:spacing w:val="-2"/>
                <w:sz w:val="16"/>
                <w:szCs w:val="16"/>
              </w:rPr>
            </w:pPr>
          </w:p>
        </w:tc>
      </w:tr>
      <w:tr w:rsidR="004762D8" w:rsidRPr="00B6444F" w:rsidTr="00D245BA">
        <w:tc>
          <w:tcPr>
            <w:tcW w:w="1054" w:type="pct"/>
            <w:tcBorders>
              <w:top w:val="nil"/>
              <w:left w:val="nil"/>
              <w:bottom w:val="nil"/>
              <w:right w:val="nil"/>
            </w:tcBorders>
          </w:tcPr>
          <w:p w:rsidR="004762D8" w:rsidRPr="005C03D0" w:rsidRDefault="004762D8" w:rsidP="00D245BA">
            <w:pPr>
              <w:spacing w:line="240" w:lineRule="auto"/>
              <w:rPr>
                <w:sz w:val="16"/>
                <w:szCs w:val="16"/>
              </w:rPr>
            </w:pPr>
            <w:r w:rsidRPr="005C03D0">
              <w:rPr>
                <w:sz w:val="16"/>
                <w:szCs w:val="16"/>
              </w:rPr>
              <w:t>Meziroční přírůstek průměrné mzdy se ve 2. čtvrtletí zvětšil na +3,4 % nominálně…</w:t>
            </w:r>
          </w:p>
        </w:tc>
        <w:tc>
          <w:tcPr>
            <w:tcW w:w="143" w:type="pct"/>
            <w:tcBorders>
              <w:top w:val="nil"/>
              <w:left w:val="nil"/>
              <w:bottom w:val="nil"/>
              <w:right w:val="nil"/>
            </w:tcBorders>
          </w:tcPr>
          <w:p w:rsidR="004762D8" w:rsidRPr="005C03D0" w:rsidRDefault="004762D8" w:rsidP="00D245BA">
            <w:pPr>
              <w:pStyle w:val="Textpoznpodarou"/>
              <w:jc w:val="both"/>
            </w:pPr>
          </w:p>
        </w:tc>
        <w:tc>
          <w:tcPr>
            <w:tcW w:w="3803" w:type="pct"/>
            <w:tcBorders>
              <w:top w:val="nil"/>
              <w:left w:val="nil"/>
              <w:bottom w:val="nil"/>
              <w:right w:val="nil"/>
            </w:tcBorders>
          </w:tcPr>
          <w:p w:rsidR="004762D8" w:rsidRPr="005C03D0" w:rsidRDefault="004762D8" w:rsidP="00D245BA">
            <w:pPr>
              <w:pStyle w:val="Textpoznpodarou"/>
              <w:jc w:val="both"/>
              <w:rPr>
                <w:spacing w:val="-4"/>
              </w:rPr>
            </w:pPr>
            <w:r w:rsidRPr="00E41480">
              <w:rPr>
                <w:spacing w:val="-4"/>
              </w:rPr>
              <w:t>Průměrná hrubá měsíční mzda na přepočtené počty zaměstnanců, která v úhrnu za celý rok 2014 narostla v meziročním srovnání pouze o 2,3 % nominálně a stejně tak i v 1. kvartále letošního roku, se již ve 2. čtvrtletí zvýšila dynamičtěji (+3,4 %). Jak je patrné z podrobnějších údajů, průměrná mzda výrazně narostla zaměstnancům v ubytování, stravování a pohostinství (+6,1 %) a ve stavebnictví (+5,1 %), významně se ovšem výdělky zvýšily – vlivem růstu platů státních zaměstnanců na konci roku 2014 – i například ve veřejné správě a obraně (+5,6 %) a v odvětví zdravotní a sociální péče (+5,0 %). Pozitivním aspektem</w:t>
            </w:r>
            <w:r w:rsidRPr="005C03D0">
              <w:rPr>
                <w:spacing w:val="-4"/>
              </w:rPr>
              <w:t xml:space="preserve"> mzdového vývoje ve 2. čtvrtletí byl</w:t>
            </w:r>
            <w:r>
              <w:rPr>
                <w:spacing w:val="-4"/>
              </w:rPr>
              <w:t> fakt, že mzdový medián vzrostl rychleji</w:t>
            </w:r>
            <w:r w:rsidRPr="005C03D0">
              <w:rPr>
                <w:spacing w:val="-4"/>
              </w:rPr>
              <w:t xml:space="preserve"> (+4,3 % meziročně) než </w:t>
            </w:r>
            <w:r>
              <w:rPr>
                <w:spacing w:val="-4"/>
              </w:rPr>
              <w:t>průměrná mzda</w:t>
            </w:r>
            <w:r w:rsidRPr="005C03D0">
              <w:rPr>
                <w:spacing w:val="-4"/>
              </w:rPr>
              <w:t>.</w:t>
            </w:r>
            <w:r>
              <w:rPr>
                <w:spacing w:val="-4"/>
              </w:rPr>
              <w:t> Nazna</w:t>
            </w:r>
            <w:r w:rsidRPr="00F52E53">
              <w:rPr>
                <w:spacing w:val="-4"/>
              </w:rPr>
              <w:t>čoval, že výdělky rostly především u zaměstnanců s relativně nízkou</w:t>
            </w:r>
            <w:r>
              <w:rPr>
                <w:spacing w:val="-4"/>
              </w:rPr>
              <w:t xml:space="preserve"> úrovní mezd</w:t>
            </w:r>
            <w:r w:rsidRPr="005C03D0">
              <w:rPr>
                <w:spacing w:val="-4"/>
              </w:rPr>
              <w:t>, a lze soudit, že souvisel zejména se zvýšením minimální mzdy.</w:t>
            </w:r>
          </w:p>
          <w:p w:rsidR="004762D8" w:rsidRPr="005C03D0" w:rsidRDefault="004762D8" w:rsidP="00D245BA">
            <w:pPr>
              <w:pStyle w:val="Textpoznpodarou"/>
              <w:jc w:val="both"/>
              <w:rPr>
                <w:sz w:val="16"/>
                <w:szCs w:val="16"/>
              </w:rPr>
            </w:pPr>
          </w:p>
        </w:tc>
      </w:tr>
      <w:tr w:rsidR="004762D8" w:rsidRPr="00B6444F" w:rsidTr="00D245BA">
        <w:tc>
          <w:tcPr>
            <w:tcW w:w="1054" w:type="pct"/>
            <w:tcBorders>
              <w:top w:val="nil"/>
              <w:left w:val="nil"/>
              <w:bottom w:val="nil"/>
              <w:right w:val="nil"/>
            </w:tcBorders>
          </w:tcPr>
          <w:p w:rsidR="004762D8" w:rsidRPr="005C03D0" w:rsidRDefault="004762D8" w:rsidP="00D245BA">
            <w:pPr>
              <w:spacing w:line="240" w:lineRule="auto"/>
              <w:rPr>
                <w:sz w:val="16"/>
                <w:szCs w:val="16"/>
              </w:rPr>
            </w:pPr>
            <w:r w:rsidRPr="005C03D0">
              <w:rPr>
                <w:sz w:val="16"/>
                <w:szCs w:val="16"/>
              </w:rPr>
              <w:t>…a odrazil se i v rychlejším růstu kupní síly zaměstnanců</w:t>
            </w:r>
          </w:p>
        </w:tc>
        <w:tc>
          <w:tcPr>
            <w:tcW w:w="143" w:type="pct"/>
            <w:tcBorders>
              <w:top w:val="nil"/>
              <w:left w:val="nil"/>
              <w:bottom w:val="nil"/>
              <w:right w:val="nil"/>
            </w:tcBorders>
          </w:tcPr>
          <w:p w:rsidR="004762D8" w:rsidRPr="005C03D0" w:rsidRDefault="004762D8" w:rsidP="00D245BA">
            <w:pPr>
              <w:pStyle w:val="Textpoznpodarou"/>
              <w:jc w:val="both"/>
            </w:pPr>
          </w:p>
        </w:tc>
        <w:tc>
          <w:tcPr>
            <w:tcW w:w="3803" w:type="pct"/>
            <w:tcBorders>
              <w:top w:val="nil"/>
              <w:left w:val="nil"/>
              <w:bottom w:val="nil"/>
              <w:right w:val="nil"/>
            </w:tcBorders>
          </w:tcPr>
          <w:p w:rsidR="004762D8" w:rsidRPr="005C03D0" w:rsidRDefault="004762D8" w:rsidP="00D245BA">
            <w:pPr>
              <w:pStyle w:val="Textpoznpodarou"/>
              <w:jc w:val="both"/>
            </w:pPr>
            <w:r w:rsidRPr="005C03D0">
              <w:t xml:space="preserve">Nominální růst průměrné mzdy ve 2. čtvrtletí 2015 (v meziročním srovnání) byl již poměrně silný a ani vyšší míra </w:t>
            </w:r>
            <w:r w:rsidRPr="005C03D0">
              <w:rPr>
                <w:spacing w:val="-4"/>
              </w:rPr>
              <w:t>inflace nezabránila tomu, aby kupní síla zaměstnanců vzrostla více než v 1.</w:t>
            </w:r>
            <w:r w:rsidRPr="005C03D0">
              <w:t xml:space="preserve"> čtvrtletí. Zatímco tehdy stoupla průměrná mzda reálně o 2,2 %, ve 2. čtvrtletí narostla o 2,7 %.</w:t>
            </w:r>
          </w:p>
        </w:tc>
      </w:tr>
    </w:tbl>
    <w:p w:rsidR="004762D8" w:rsidRPr="000B4868" w:rsidRDefault="004762D8" w:rsidP="004762D8">
      <w:pPr>
        <w:rPr>
          <w:color w:val="FF0000"/>
          <w:sz w:val="14"/>
          <w:szCs w:val="14"/>
          <w:lang w:eastAsia="ar-SA"/>
        </w:rPr>
      </w:pPr>
    </w:p>
    <w:tbl>
      <w:tblPr>
        <w:tblW w:w="5000" w:type="pct"/>
        <w:tblLook w:val="04A0"/>
      </w:tblPr>
      <w:tblGrid>
        <w:gridCol w:w="692"/>
        <w:gridCol w:w="4226"/>
        <w:gridCol w:w="716"/>
        <w:gridCol w:w="4220"/>
      </w:tblGrid>
      <w:tr w:rsidR="004762D8" w:rsidRPr="00B6444F" w:rsidTr="004762D8">
        <w:tc>
          <w:tcPr>
            <w:tcW w:w="351" w:type="pct"/>
          </w:tcPr>
          <w:p w:rsidR="004762D8" w:rsidRPr="00E41480" w:rsidRDefault="004762D8" w:rsidP="00D245BA">
            <w:pPr>
              <w:pStyle w:val="Textpoznpodarou"/>
              <w:rPr>
                <w:lang w:eastAsia="en-US"/>
              </w:rPr>
            </w:pPr>
            <w:r w:rsidRPr="00E41480">
              <w:rPr>
                <w:lang w:eastAsia="en-US"/>
              </w:rPr>
              <w:t>Graf č. 15</w:t>
            </w:r>
          </w:p>
        </w:tc>
        <w:tc>
          <w:tcPr>
            <w:tcW w:w="2147" w:type="pct"/>
          </w:tcPr>
          <w:p w:rsidR="004762D8" w:rsidRPr="00E41480" w:rsidRDefault="004762D8" w:rsidP="00D245BA">
            <w:pPr>
              <w:pStyle w:val="Textpoznpodarou"/>
              <w:rPr>
                <w:lang w:eastAsia="en-US"/>
              </w:rPr>
            </w:pPr>
            <w:r w:rsidRPr="004762D8">
              <w:rPr>
                <w:b/>
                <w:lang w:eastAsia="en-US"/>
              </w:rPr>
              <w:t xml:space="preserve">Počty zaměstnaných osob a zaměstnanců </w:t>
            </w:r>
            <w:r w:rsidRPr="00E41480">
              <w:rPr>
                <w:lang w:eastAsia="en-US"/>
              </w:rPr>
              <w:t xml:space="preserve">(údaje národních účtů, </w:t>
            </w:r>
            <w:r>
              <w:rPr>
                <w:lang w:eastAsia="en-US"/>
              </w:rPr>
              <w:t>očištěno o</w:t>
            </w:r>
            <w:r w:rsidRPr="00E41480">
              <w:rPr>
                <w:lang w:eastAsia="en-US"/>
              </w:rPr>
              <w:t> </w:t>
            </w:r>
            <w:r>
              <w:rPr>
                <w:lang w:eastAsia="en-US"/>
              </w:rPr>
              <w:t>sezónní vlivy</w:t>
            </w:r>
            <w:r w:rsidRPr="00E41480">
              <w:rPr>
                <w:lang w:eastAsia="en-US"/>
              </w:rPr>
              <w:t>, y/y v %)</w:t>
            </w:r>
          </w:p>
        </w:tc>
        <w:tc>
          <w:tcPr>
            <w:tcW w:w="362" w:type="pct"/>
          </w:tcPr>
          <w:p w:rsidR="004762D8" w:rsidRPr="00E41480" w:rsidRDefault="004762D8" w:rsidP="00D245BA">
            <w:pPr>
              <w:pStyle w:val="Textpoznpodarou"/>
              <w:rPr>
                <w:lang w:eastAsia="en-US"/>
              </w:rPr>
            </w:pPr>
            <w:r w:rsidRPr="00E41480">
              <w:rPr>
                <w:lang w:eastAsia="en-US"/>
              </w:rPr>
              <w:t>Graf č. 16</w:t>
            </w:r>
          </w:p>
        </w:tc>
        <w:tc>
          <w:tcPr>
            <w:tcW w:w="2140" w:type="pct"/>
          </w:tcPr>
          <w:p w:rsidR="004762D8" w:rsidRPr="004762D8" w:rsidRDefault="004762D8" w:rsidP="00D245BA">
            <w:pPr>
              <w:pStyle w:val="Textpoznpodarou"/>
              <w:rPr>
                <w:spacing w:val="-2"/>
                <w:lang w:eastAsia="en-US"/>
              </w:rPr>
            </w:pPr>
            <w:r w:rsidRPr="004762D8">
              <w:rPr>
                <w:b/>
                <w:spacing w:val="-2"/>
                <w:lang w:eastAsia="en-US"/>
              </w:rPr>
              <w:t xml:space="preserve">Průměrná hrubá měsíční mzda nominálně a reálně </w:t>
            </w:r>
            <w:r w:rsidRPr="004762D8">
              <w:rPr>
                <w:spacing w:val="-2"/>
                <w:lang w:eastAsia="en-US"/>
              </w:rPr>
              <w:t>(na přepočtené počty zaměstnanců, y/y v %)</w:t>
            </w:r>
          </w:p>
        </w:tc>
      </w:tr>
      <w:tr w:rsidR="004762D8" w:rsidRPr="00B6444F" w:rsidTr="004762D8">
        <w:tc>
          <w:tcPr>
            <w:tcW w:w="2498" w:type="pct"/>
            <w:gridSpan w:val="2"/>
          </w:tcPr>
          <w:p w:rsidR="004762D8" w:rsidRPr="004762D8" w:rsidRDefault="00F365BF" w:rsidP="004762D8">
            <w:pPr>
              <w:pStyle w:val="Textpoznpodarou"/>
              <w:jc w:val="both"/>
              <w:rPr>
                <w:color w:val="FF0000"/>
                <w:lang w:eastAsia="en-US"/>
              </w:rPr>
            </w:pPr>
            <w:r w:rsidRPr="00A17754">
              <w:rPr>
                <w:noProof/>
                <w:color w:val="FF0000"/>
              </w:rPr>
              <w:pict>
                <v:shape id="_x0000_i1039" type="#_x0000_t75" style="width:237pt;height:187.5pt;visibility:visible;mso-wrap-style:square">
                  <v:imagedata r:id="rId26" o:title=""/>
                </v:shape>
              </w:pict>
            </w:r>
          </w:p>
        </w:tc>
        <w:tc>
          <w:tcPr>
            <w:tcW w:w="2502" w:type="pct"/>
            <w:gridSpan w:val="2"/>
          </w:tcPr>
          <w:p w:rsidR="004762D8" w:rsidRPr="004762D8" w:rsidRDefault="00F365BF" w:rsidP="004762D8">
            <w:pPr>
              <w:pStyle w:val="Textpoznpodarou"/>
              <w:jc w:val="both"/>
              <w:rPr>
                <w:color w:val="FF0000"/>
                <w:lang w:eastAsia="en-US"/>
              </w:rPr>
            </w:pPr>
            <w:r w:rsidRPr="00A17754">
              <w:rPr>
                <w:noProof/>
                <w:color w:val="FF0000"/>
              </w:rPr>
              <w:pict>
                <v:shape id="_x0000_i1040" type="#_x0000_t75" style="width:237.75pt;height:187.5pt;visibility:visible;mso-wrap-style:square">
                  <v:imagedata r:id="rId27" o:title=""/>
                </v:shape>
              </w:pict>
            </w:r>
          </w:p>
        </w:tc>
      </w:tr>
      <w:tr w:rsidR="004762D8" w:rsidRPr="00B6444F" w:rsidTr="004762D8">
        <w:tc>
          <w:tcPr>
            <w:tcW w:w="5000" w:type="pct"/>
            <w:gridSpan w:val="4"/>
          </w:tcPr>
          <w:p w:rsidR="004762D8" w:rsidRPr="004762D8" w:rsidRDefault="004762D8" w:rsidP="004762D8">
            <w:pPr>
              <w:pStyle w:val="Textpoznpodarou"/>
              <w:jc w:val="right"/>
              <w:rPr>
                <w:sz w:val="18"/>
                <w:szCs w:val="18"/>
                <w:lang w:eastAsia="en-US"/>
              </w:rPr>
            </w:pPr>
            <w:r w:rsidRPr="004762D8">
              <w:rPr>
                <w:sz w:val="18"/>
                <w:szCs w:val="18"/>
                <w:lang w:eastAsia="en-US"/>
              </w:rPr>
              <w:t>Zdroj: ČSÚ</w:t>
            </w:r>
          </w:p>
        </w:tc>
      </w:tr>
    </w:tbl>
    <w:p w:rsidR="004762D8" w:rsidRPr="00B6444F" w:rsidRDefault="004762D8" w:rsidP="004762D8">
      <w:pPr>
        <w:rPr>
          <w:color w:val="FF0000"/>
          <w:sz w:val="18"/>
          <w:szCs w:val="18"/>
          <w:lang w:eastAsia="ar-SA"/>
        </w:rPr>
      </w:pPr>
    </w:p>
    <w:p w:rsidR="00576A3E" w:rsidRPr="0075057A" w:rsidRDefault="00576A3E" w:rsidP="006D142E">
      <w:pPr>
        <w:pStyle w:val="Nadpis1"/>
        <w:numPr>
          <w:ilvl w:val="0"/>
          <w:numId w:val="3"/>
        </w:numPr>
        <w:jc w:val="both"/>
      </w:pPr>
      <w:bookmarkStart w:id="9" w:name="_Toc430335388"/>
      <w:r>
        <w:lastRenderedPageBreak/>
        <w:t>Měnové podmínky</w:t>
      </w:r>
      <w:bookmarkEnd w:id="9"/>
    </w:p>
    <w:tbl>
      <w:tblPr>
        <w:tblW w:w="5000" w:type="pct"/>
        <w:tblLayout w:type="fixed"/>
        <w:tblLook w:val="00A0"/>
      </w:tblPr>
      <w:tblGrid>
        <w:gridCol w:w="38"/>
        <w:gridCol w:w="790"/>
        <w:gridCol w:w="641"/>
        <w:gridCol w:w="615"/>
        <w:gridCol w:w="282"/>
        <w:gridCol w:w="2599"/>
        <w:gridCol w:w="788"/>
        <w:gridCol w:w="378"/>
        <w:gridCol w:w="3689"/>
        <w:gridCol w:w="34"/>
      </w:tblGrid>
      <w:tr w:rsidR="00D245BA" w:rsidRPr="00C75C7E" w:rsidTr="00D245BA">
        <w:tc>
          <w:tcPr>
            <w:tcW w:w="1057" w:type="pct"/>
            <w:gridSpan w:val="4"/>
          </w:tcPr>
          <w:p w:rsidR="00D245BA" w:rsidRPr="00160CF3" w:rsidRDefault="00D245BA" w:rsidP="00D245BA">
            <w:pPr>
              <w:spacing w:line="240" w:lineRule="auto"/>
              <w:rPr>
                <w:sz w:val="16"/>
                <w:szCs w:val="16"/>
              </w:rPr>
            </w:pPr>
            <w:r>
              <w:rPr>
                <w:color w:val="000000"/>
                <w:spacing w:val="-2"/>
                <w:sz w:val="16"/>
                <w:szCs w:val="16"/>
              </w:rPr>
              <w:t>Uvolněnost měnových podmínek i rozpočtové politiky působily významně na růst české ekonomiky v 1. pololetí 2015</w:t>
            </w:r>
            <w:r w:rsidRPr="00160CF3">
              <w:rPr>
                <w:color w:val="000000"/>
                <w:spacing w:val="-2"/>
                <w:sz w:val="16"/>
                <w:szCs w:val="16"/>
              </w:rPr>
              <w:t xml:space="preserve">  </w:t>
            </w:r>
          </w:p>
        </w:tc>
        <w:tc>
          <w:tcPr>
            <w:tcW w:w="143" w:type="pct"/>
          </w:tcPr>
          <w:p w:rsidR="00D245BA" w:rsidRDefault="00D245BA" w:rsidP="00D245BA">
            <w:pPr>
              <w:pStyle w:val="Textpoznpodarou"/>
              <w:jc w:val="both"/>
            </w:pPr>
          </w:p>
        </w:tc>
        <w:tc>
          <w:tcPr>
            <w:tcW w:w="3799" w:type="pct"/>
            <w:gridSpan w:val="5"/>
          </w:tcPr>
          <w:p w:rsidR="00D245BA" w:rsidRDefault="00D245BA" w:rsidP="00D245BA">
            <w:pPr>
              <w:pStyle w:val="Textpoznpodarou"/>
              <w:jc w:val="both"/>
              <w:rPr>
                <w:color w:val="000000"/>
              </w:rPr>
            </w:pPr>
            <w:r>
              <w:rPr>
                <w:color w:val="000000"/>
              </w:rPr>
              <w:t xml:space="preserve">Ke konci června 2015 stoupla zásoba peněz v české ekonomice meziročně nejvíce za poslední tři roky.  Agregát M2 dosáhl 3 461,2 mld. korun, což bylo proti stejnému období 2014 více o 5,8 %. Přírůstek peněžní zásoby byl tak o málo vyšší než meziroční přírůstek nominálního HDP (+5,2 %), což znamenalo z tohoto pohledu, na rozdíl od stejného období 2014, mírnou expanzivitu měnových podmínek. Růst peněžní zásoby posílil výrazněji ve 2. čtvrtletí, ve stejném období 2014 stoupl agregát M2 meziročně o 3,9 %. </w:t>
            </w:r>
          </w:p>
          <w:p w:rsidR="00D245BA" w:rsidRPr="00D245BA" w:rsidRDefault="00D245BA" w:rsidP="00D245BA">
            <w:pPr>
              <w:pStyle w:val="Textpoznpodarou"/>
              <w:jc w:val="both"/>
              <w:rPr>
                <w:color w:val="000000"/>
              </w:rPr>
            </w:pPr>
          </w:p>
          <w:p w:rsidR="00D245BA" w:rsidRDefault="00D245BA" w:rsidP="00D245BA">
            <w:pPr>
              <w:pStyle w:val="Textpoznpodarou"/>
              <w:jc w:val="both"/>
              <w:rPr>
                <w:color w:val="000000"/>
              </w:rPr>
            </w:pPr>
            <w:r>
              <w:rPr>
                <w:color w:val="000000"/>
              </w:rPr>
              <w:t>V kombinaci s expanzivitou fiskální tak rozpočtová i měnová politika přispěly v 1. pololetí k výraznému růstu české ekonomiky.</w:t>
            </w:r>
          </w:p>
          <w:p w:rsidR="00D245BA" w:rsidRPr="00D245BA" w:rsidRDefault="00D245BA" w:rsidP="00D245BA">
            <w:pPr>
              <w:pStyle w:val="Textpoznpodarou"/>
              <w:jc w:val="both"/>
            </w:pPr>
          </w:p>
        </w:tc>
      </w:tr>
      <w:tr w:rsidR="00D245BA" w:rsidRPr="0032214F" w:rsidTr="00D245BA">
        <w:tc>
          <w:tcPr>
            <w:tcW w:w="1057" w:type="pct"/>
            <w:gridSpan w:val="4"/>
          </w:tcPr>
          <w:p w:rsidR="00D245BA" w:rsidRDefault="00D245BA" w:rsidP="00D245BA">
            <w:pPr>
              <w:spacing w:line="240" w:lineRule="auto"/>
              <w:rPr>
                <w:sz w:val="16"/>
                <w:szCs w:val="16"/>
              </w:rPr>
            </w:pPr>
            <w:r>
              <w:rPr>
                <w:sz w:val="16"/>
                <w:szCs w:val="16"/>
              </w:rPr>
              <w:t>Vysoký přírůstek peněz v podobě netermínovaných vkladů byl umožněn vysokým růstem jejich zisků i při značném posílení jejich investic do fixních aktiv…</w:t>
            </w:r>
          </w:p>
        </w:tc>
        <w:tc>
          <w:tcPr>
            <w:tcW w:w="143" w:type="pct"/>
          </w:tcPr>
          <w:p w:rsidR="00D245BA" w:rsidRDefault="00D245BA" w:rsidP="00D245BA">
            <w:pPr>
              <w:pStyle w:val="Textpoznpodarou"/>
              <w:jc w:val="both"/>
            </w:pPr>
          </w:p>
        </w:tc>
        <w:tc>
          <w:tcPr>
            <w:tcW w:w="3799" w:type="pct"/>
            <w:gridSpan w:val="5"/>
          </w:tcPr>
          <w:p w:rsidR="00D245BA" w:rsidRDefault="00D245BA" w:rsidP="00D245BA">
            <w:pPr>
              <w:pStyle w:val="Textpoznpodarou"/>
              <w:jc w:val="both"/>
            </w:pPr>
            <w:r>
              <w:t xml:space="preserve">Podniky dále hromadí „hotovost“, uvažujeme-li s jistým zjednodušením takto o zůstatcích peněz na jejich běžných účtech. Proti červnu 2014 přibylo na těchto jednodenních vkladech firem 102 mld. korun, což je vůbec nejvyšší meziroční přírůstek od začátku sledování (2002). Ukazuje to významnou a narůstající rezervu pro financování fixních investic, ale i na velikost provozního kapitálu. Na termínovaných vkladech (vkladech se splatností a výpovědní lhůtou) ubylo firmám jen necelých 14 mld. korun, což značí, že výrazný přírůstek na běžných účtech byl vytvářen jejich vysokými zisky. Ty stouply podle dat za 1. čtvrtletí meziročně o necelou desetinu (+9,8 %), tedy méně než v každém čtvrtletí roku 2014 s celoročním přírůstkem o silných 12,4 %, ovšem výrazně více proti stagnaci v roce 2013 (+0,4 %). </w:t>
            </w:r>
          </w:p>
          <w:p w:rsidR="00D245BA" w:rsidRPr="00D245BA" w:rsidRDefault="00D245BA" w:rsidP="00D245BA">
            <w:pPr>
              <w:pStyle w:val="Textpoznpodarou"/>
              <w:jc w:val="both"/>
            </w:pPr>
          </w:p>
        </w:tc>
      </w:tr>
      <w:tr w:rsidR="00D245BA" w:rsidRPr="0032214F" w:rsidTr="00D245BA">
        <w:tc>
          <w:tcPr>
            <w:tcW w:w="1057" w:type="pct"/>
            <w:gridSpan w:val="4"/>
          </w:tcPr>
          <w:p w:rsidR="00D245BA" w:rsidRDefault="00D245BA" w:rsidP="00D245BA">
            <w:pPr>
              <w:spacing w:line="240" w:lineRule="auto"/>
              <w:rPr>
                <w:sz w:val="16"/>
                <w:szCs w:val="16"/>
              </w:rPr>
            </w:pPr>
            <w:r>
              <w:rPr>
                <w:sz w:val="16"/>
                <w:szCs w:val="16"/>
              </w:rPr>
              <w:t>… a potvrdit potenciál pro zvyšování mezd v soukromém sektoru</w:t>
            </w:r>
          </w:p>
        </w:tc>
        <w:tc>
          <w:tcPr>
            <w:tcW w:w="143" w:type="pct"/>
          </w:tcPr>
          <w:p w:rsidR="00D245BA" w:rsidRDefault="00D245BA" w:rsidP="00D245BA">
            <w:pPr>
              <w:pStyle w:val="Textpoznpodarou"/>
              <w:jc w:val="both"/>
            </w:pPr>
          </w:p>
        </w:tc>
        <w:tc>
          <w:tcPr>
            <w:tcW w:w="3799" w:type="pct"/>
            <w:gridSpan w:val="5"/>
          </w:tcPr>
          <w:p w:rsidR="00D245BA" w:rsidRDefault="00D245BA" w:rsidP="00D245BA">
            <w:pPr>
              <w:pStyle w:val="Textpoznpodarou"/>
              <w:jc w:val="both"/>
            </w:pPr>
            <w:r>
              <w:t xml:space="preserve">Prostor pro mzdový nárůst zaměstnanců firem i financování investic z jejich vlastních zdrojů je proto velký. Skýtá v tomto směru potenciál pro růst ekonomiky nejen prostřednictvím spotřeby domácností, ale i investiční aktivity.      </w:t>
            </w:r>
          </w:p>
          <w:p w:rsidR="00D245BA" w:rsidRDefault="00D245BA" w:rsidP="00D245BA">
            <w:pPr>
              <w:pStyle w:val="Textpoznpodarou"/>
              <w:jc w:val="both"/>
            </w:pPr>
          </w:p>
        </w:tc>
      </w:tr>
      <w:tr w:rsidR="00D245BA" w:rsidRPr="0032214F" w:rsidTr="00D245BA">
        <w:tc>
          <w:tcPr>
            <w:tcW w:w="1057" w:type="pct"/>
            <w:gridSpan w:val="4"/>
          </w:tcPr>
          <w:p w:rsidR="00D245BA" w:rsidRDefault="00D245BA" w:rsidP="00D245BA">
            <w:pPr>
              <w:spacing w:line="240" w:lineRule="auto"/>
              <w:rPr>
                <w:color w:val="000000"/>
                <w:sz w:val="16"/>
                <w:szCs w:val="16"/>
              </w:rPr>
            </w:pPr>
            <w:r>
              <w:rPr>
                <w:color w:val="000000"/>
                <w:sz w:val="16"/>
                <w:szCs w:val="16"/>
              </w:rPr>
              <w:t>Lidé posílili své úlo</w:t>
            </w:r>
            <w:r w:rsidR="005079F8">
              <w:rPr>
                <w:color w:val="000000"/>
                <w:sz w:val="16"/>
                <w:szCs w:val="16"/>
              </w:rPr>
              <w:t>žky na netermínovaných vkladech</w:t>
            </w:r>
            <w:r>
              <w:rPr>
                <w:color w:val="000000"/>
                <w:sz w:val="16"/>
                <w:szCs w:val="16"/>
              </w:rPr>
              <w:t xml:space="preserve"> </w:t>
            </w:r>
            <w:r w:rsidR="005079F8">
              <w:rPr>
                <w:color w:val="000000"/>
                <w:sz w:val="16"/>
                <w:szCs w:val="16"/>
              </w:rPr>
              <w:t>–</w:t>
            </w:r>
            <w:r>
              <w:rPr>
                <w:color w:val="000000"/>
                <w:sz w:val="16"/>
                <w:szCs w:val="16"/>
              </w:rPr>
              <w:t xml:space="preserve"> druhý největší meziroční přírůstek od začátku sledování v roce 2002…</w:t>
            </w:r>
          </w:p>
        </w:tc>
        <w:tc>
          <w:tcPr>
            <w:tcW w:w="143" w:type="pct"/>
          </w:tcPr>
          <w:p w:rsidR="00D245BA" w:rsidRDefault="00D245BA" w:rsidP="00D245BA">
            <w:pPr>
              <w:pStyle w:val="Textpoznpodarou"/>
              <w:jc w:val="both"/>
            </w:pPr>
          </w:p>
        </w:tc>
        <w:tc>
          <w:tcPr>
            <w:tcW w:w="3799" w:type="pct"/>
            <w:gridSpan w:val="5"/>
          </w:tcPr>
          <w:p w:rsidR="00D245BA" w:rsidRDefault="00D245BA" w:rsidP="00D245BA">
            <w:pPr>
              <w:pStyle w:val="Textpoznpodarou"/>
              <w:jc w:val="both"/>
            </w:pPr>
            <w:r>
              <w:t>Ve stejném duchu jako v případě firem se vyvíjela i depozita domácností – vklady na žirových účtech byly na konci června 2015 proti stejnému období předchozího roku vyšší o 148,3 mld. korun (ve druhém největším meziročním přírůstku od začátku sledování), přičemž velmi silný byl i úbytek peněz domácností na vkladech termínovaných. Proti červnu 2014 vybrali lidé z účtů se splatností a výpovědní lhůtou téměř 65 mld. korun, což představovalo opět největší meziroční úbytek v časové řadě od roku 2002 podle pololetních dat v meziročních srovnáních.</w:t>
            </w:r>
          </w:p>
          <w:p w:rsidR="00D245BA" w:rsidRPr="00D245BA" w:rsidRDefault="00D245BA" w:rsidP="00D245BA">
            <w:pPr>
              <w:pStyle w:val="Textpoznpodarou"/>
              <w:jc w:val="both"/>
              <w:rPr>
                <w:color w:val="000000"/>
              </w:rPr>
            </w:pPr>
          </w:p>
        </w:tc>
      </w:tr>
      <w:tr w:rsidR="00D245BA" w:rsidRPr="0032214F" w:rsidTr="00D245BA">
        <w:tc>
          <w:tcPr>
            <w:tcW w:w="1057" w:type="pct"/>
            <w:gridSpan w:val="4"/>
          </w:tcPr>
          <w:p w:rsidR="00D245BA" w:rsidRDefault="00D245BA" w:rsidP="00D245BA">
            <w:pPr>
              <w:spacing w:line="240" w:lineRule="auto"/>
              <w:rPr>
                <w:color w:val="000000"/>
                <w:sz w:val="16"/>
                <w:szCs w:val="16"/>
              </w:rPr>
            </w:pPr>
            <w:r>
              <w:rPr>
                <w:color w:val="000000"/>
                <w:sz w:val="16"/>
                <w:szCs w:val="16"/>
              </w:rPr>
              <w:t>… a při nízkých úrokových sazbách z vkladů voleny více i alternativní formy ukládání peněz</w:t>
            </w:r>
          </w:p>
        </w:tc>
        <w:tc>
          <w:tcPr>
            <w:tcW w:w="143" w:type="pct"/>
          </w:tcPr>
          <w:p w:rsidR="00D245BA" w:rsidRDefault="00D245BA" w:rsidP="00D245BA">
            <w:pPr>
              <w:pStyle w:val="Textpoznpodarou"/>
              <w:jc w:val="both"/>
            </w:pPr>
          </w:p>
        </w:tc>
        <w:tc>
          <w:tcPr>
            <w:tcW w:w="3799" w:type="pct"/>
            <w:gridSpan w:val="5"/>
          </w:tcPr>
          <w:p w:rsidR="00D245BA" w:rsidRDefault="00D245BA" w:rsidP="00D245BA">
            <w:pPr>
              <w:pStyle w:val="Textpoznpodarou"/>
              <w:jc w:val="both"/>
            </w:pPr>
            <w:r>
              <w:t xml:space="preserve">Tyto proporce dokládají neatraktivnost bankovních úrokových sazeb pro klienty plynoucích z úrovně základních sazeb v ekonomice, ale částečně i možný příklon domácností k alternativním formám úspor, jak plyne z vývoje jejich majetku v podílových fondech či peněz na účtech penzijního připojištění. Investory z řad domácností mohly mimoto lákat i přímé investice do cenných papírů na kapitálových trzích (zejména zahraničních), které umožňovaly výnosy vysoko nad úroveň ostatních aktiv – např. index </w:t>
            </w:r>
            <w:proofErr w:type="spellStart"/>
            <w:r>
              <w:t>Dow</w:t>
            </w:r>
            <w:proofErr w:type="spellEnd"/>
            <w:r>
              <w:t xml:space="preserve"> </w:t>
            </w:r>
            <w:proofErr w:type="spellStart"/>
            <w:r>
              <w:t>Jones</w:t>
            </w:r>
            <w:proofErr w:type="spellEnd"/>
            <w:r>
              <w:t xml:space="preserve"> na newyorské burze vzrostl na konci června meziročně o 26,4 % a index DAX frankfurtské burzy o 10,5 %, při zohlednění pohybu směnného kurzu koruny, který takovéto investice činil ještě výnosnějšími.</w:t>
            </w:r>
          </w:p>
          <w:p w:rsidR="00D245BA" w:rsidRDefault="00D245BA" w:rsidP="00D245BA">
            <w:pPr>
              <w:pStyle w:val="Textpoznpodarou"/>
              <w:jc w:val="both"/>
            </w:pPr>
          </w:p>
        </w:tc>
      </w:tr>
      <w:tr w:rsidR="00D245BA" w:rsidRPr="0032214F" w:rsidTr="00D245BA">
        <w:tc>
          <w:tcPr>
            <w:tcW w:w="1057" w:type="pct"/>
            <w:gridSpan w:val="4"/>
          </w:tcPr>
          <w:p w:rsidR="00D245BA" w:rsidRDefault="00D245BA" w:rsidP="00D245BA">
            <w:pPr>
              <w:spacing w:line="240" w:lineRule="auto"/>
              <w:rPr>
                <w:color w:val="000000"/>
                <w:sz w:val="16"/>
                <w:szCs w:val="16"/>
              </w:rPr>
            </w:pPr>
            <w:r>
              <w:rPr>
                <w:color w:val="000000"/>
                <w:sz w:val="16"/>
                <w:szCs w:val="16"/>
              </w:rPr>
              <w:t xml:space="preserve">Rostoucí kupní síla významným faktorem růstu vkladů domácností </w:t>
            </w:r>
          </w:p>
        </w:tc>
        <w:tc>
          <w:tcPr>
            <w:tcW w:w="143" w:type="pct"/>
          </w:tcPr>
          <w:p w:rsidR="00D245BA" w:rsidRDefault="00D245BA" w:rsidP="00D245BA">
            <w:pPr>
              <w:pStyle w:val="Textpoznpodarou"/>
              <w:jc w:val="both"/>
            </w:pPr>
          </w:p>
        </w:tc>
        <w:tc>
          <w:tcPr>
            <w:tcW w:w="3799" w:type="pct"/>
            <w:gridSpan w:val="5"/>
          </w:tcPr>
          <w:p w:rsidR="00D245BA" w:rsidRPr="001A30F4" w:rsidRDefault="00D245BA" w:rsidP="00D245BA">
            <w:pPr>
              <w:pStyle w:val="Textpoznpodarou"/>
              <w:jc w:val="both"/>
            </w:pPr>
            <w:r w:rsidRPr="001A30F4">
              <w:t xml:space="preserve">Kromě příčin finančně-investorského charakteru však na významný přírůstek bankovních vkladů domácností (v úhrnu termínovaných i netermínovaných o 83,4 mld. korun meziročně) působil i růst jejich kupní síly. Byl vyvolaný zlepšením na trhu práce a růstem příjmů. Průměrná nominální mzda narostla podle pololetních dat meziročně o 2,9 %, reálná o 2,5 %, ale mediánová mzda mužů </w:t>
            </w:r>
            <w:r w:rsidR="001A30F4" w:rsidRPr="001A30F4">
              <w:t xml:space="preserve">ve 2. čtvrtletí </w:t>
            </w:r>
            <w:r w:rsidRPr="001A30F4">
              <w:t xml:space="preserve">dokonce o +5,6 % vlivem struktury jejich zaměstnanosti orientované ve značné míře na zpracovatelský průmysl, který výrazně rostl.      </w:t>
            </w:r>
          </w:p>
          <w:p w:rsidR="00D245BA" w:rsidRPr="001A30F4" w:rsidRDefault="00D245BA" w:rsidP="00D245BA">
            <w:pPr>
              <w:pStyle w:val="Textpoznpodarou"/>
              <w:jc w:val="both"/>
            </w:pPr>
          </w:p>
        </w:tc>
      </w:tr>
      <w:tr w:rsidR="00D245BA" w:rsidRPr="0032214F" w:rsidTr="00D245BA">
        <w:tc>
          <w:tcPr>
            <w:tcW w:w="1057" w:type="pct"/>
            <w:gridSpan w:val="4"/>
          </w:tcPr>
          <w:p w:rsidR="00D245BA" w:rsidRDefault="00D245BA" w:rsidP="00D245BA">
            <w:pPr>
              <w:spacing w:line="240" w:lineRule="auto"/>
              <w:rPr>
                <w:color w:val="000000"/>
                <w:sz w:val="16"/>
                <w:szCs w:val="16"/>
              </w:rPr>
            </w:pPr>
            <w:r>
              <w:rPr>
                <w:color w:val="000000"/>
                <w:sz w:val="16"/>
                <w:szCs w:val="16"/>
              </w:rPr>
              <w:t xml:space="preserve">Stále přetrvává relativně nízká potřeba vnějších zdrojů financování – dynamika </w:t>
            </w:r>
            <w:proofErr w:type="spellStart"/>
            <w:r>
              <w:rPr>
                <w:color w:val="000000"/>
                <w:sz w:val="16"/>
                <w:szCs w:val="16"/>
              </w:rPr>
              <w:t>korporátních</w:t>
            </w:r>
            <w:proofErr w:type="spellEnd"/>
            <w:r>
              <w:rPr>
                <w:color w:val="000000"/>
                <w:sz w:val="16"/>
                <w:szCs w:val="16"/>
              </w:rPr>
              <w:t xml:space="preserve"> úvěrů jen mírně </w:t>
            </w:r>
            <w:r>
              <w:rPr>
                <w:color w:val="000000"/>
                <w:sz w:val="16"/>
                <w:szCs w:val="16"/>
              </w:rPr>
              <w:lastRenderedPageBreak/>
              <w:t>meziročně zrychlila z +3,9 % na +5,8 % koncem června 2015</w:t>
            </w:r>
          </w:p>
          <w:p w:rsidR="00D245BA" w:rsidRDefault="00D245BA" w:rsidP="00D245BA">
            <w:pPr>
              <w:spacing w:line="240" w:lineRule="auto"/>
              <w:rPr>
                <w:color w:val="000000"/>
                <w:sz w:val="16"/>
                <w:szCs w:val="16"/>
              </w:rPr>
            </w:pPr>
          </w:p>
        </w:tc>
        <w:tc>
          <w:tcPr>
            <w:tcW w:w="143" w:type="pct"/>
          </w:tcPr>
          <w:p w:rsidR="00D245BA" w:rsidRDefault="00D245BA" w:rsidP="00D245BA">
            <w:pPr>
              <w:pStyle w:val="Textpoznpodarou"/>
              <w:jc w:val="both"/>
            </w:pPr>
          </w:p>
        </w:tc>
        <w:tc>
          <w:tcPr>
            <w:tcW w:w="3799" w:type="pct"/>
            <w:gridSpan w:val="5"/>
          </w:tcPr>
          <w:p w:rsidR="00D245BA" w:rsidRPr="001A30F4" w:rsidRDefault="00D245BA" w:rsidP="00D245BA">
            <w:pPr>
              <w:pStyle w:val="Textpoznpodarou"/>
              <w:jc w:val="both"/>
              <w:rPr>
                <w:spacing w:val="-2"/>
              </w:rPr>
            </w:pPr>
            <w:r w:rsidRPr="001A30F4">
              <w:rPr>
                <w:spacing w:val="-2"/>
              </w:rPr>
              <w:t>Zhruba stejně jako úhrnná depozita domácností stoupl</w:t>
            </w:r>
            <w:r w:rsidR="005079F8">
              <w:rPr>
                <w:spacing w:val="-2"/>
              </w:rPr>
              <w:t>a</w:t>
            </w:r>
            <w:r w:rsidRPr="001A30F4">
              <w:rPr>
                <w:spacing w:val="-2"/>
              </w:rPr>
              <w:t xml:space="preserve"> v 1. pololetí meziročně i</w:t>
            </w:r>
            <w:r w:rsidR="007552BB">
              <w:rPr>
                <w:spacing w:val="-2"/>
              </w:rPr>
              <w:t xml:space="preserve"> úhrnná </w:t>
            </w:r>
            <w:r w:rsidRPr="001A30F4">
              <w:rPr>
                <w:spacing w:val="-2"/>
              </w:rPr>
              <w:t xml:space="preserve">depozita firem (o 88,1 mld. korun, což byl druhý největší přírůstek od začátku sledování v roce 2002). Tento vývoj logicky omezoval potřebu vnějších zdrojů. Dynamika úvěrů firmám sice mírně zrychlila (+5,8 % meziročně proti +3,9 % </w:t>
            </w:r>
            <w:r w:rsidRPr="001A30F4">
              <w:rPr>
                <w:spacing w:val="-2"/>
              </w:rPr>
              <w:lastRenderedPageBreak/>
              <w:t xml:space="preserve">koncem června 2014), zůstává však stále relativně nízká </w:t>
            </w:r>
            <w:r w:rsidR="005079F8">
              <w:rPr>
                <w:spacing w:val="-2"/>
              </w:rPr>
              <w:t>–</w:t>
            </w:r>
            <w:r w:rsidR="001A30F4" w:rsidRPr="001A30F4">
              <w:rPr>
                <w:spacing w:val="-2"/>
              </w:rPr>
              <w:t xml:space="preserve"> </w:t>
            </w:r>
            <w:r w:rsidRPr="001A30F4">
              <w:rPr>
                <w:spacing w:val="-2"/>
              </w:rPr>
              <w:t xml:space="preserve">např. ve srovnání s rokem 2008, kdy ekonomika rostla </w:t>
            </w:r>
            <w:r w:rsidR="001A30F4" w:rsidRPr="001A30F4">
              <w:rPr>
                <w:spacing w:val="-2"/>
              </w:rPr>
              <w:t>v nominálním vyj</w:t>
            </w:r>
            <w:r w:rsidR="005079F8">
              <w:rPr>
                <w:spacing w:val="-2"/>
              </w:rPr>
              <w:t xml:space="preserve">ádření o </w:t>
            </w:r>
            <w:proofErr w:type="gramStart"/>
            <w:r w:rsidR="005079F8">
              <w:rPr>
                <w:spacing w:val="-2"/>
              </w:rPr>
              <w:t xml:space="preserve">4,8 %, </w:t>
            </w:r>
            <w:r w:rsidRPr="001A30F4">
              <w:rPr>
                <w:spacing w:val="-2"/>
              </w:rPr>
              <w:t>bylo</w:t>
            </w:r>
            <w:proofErr w:type="gramEnd"/>
            <w:r w:rsidRPr="001A30F4">
              <w:rPr>
                <w:spacing w:val="-2"/>
              </w:rPr>
              <w:t xml:space="preserve"> financování firem ze strany bank výrazně intenzivnější (úvěry firmám stouply o 16,7 % a v první pololetí o téměř </w:t>
            </w:r>
            <w:proofErr w:type="gramStart"/>
            <w:r w:rsidRPr="001A30F4">
              <w:rPr>
                <w:spacing w:val="-2"/>
              </w:rPr>
              <w:t>pětinu).</w:t>
            </w:r>
            <w:proofErr w:type="gramEnd"/>
          </w:p>
          <w:p w:rsidR="00D245BA" w:rsidRPr="001A30F4" w:rsidRDefault="00D245BA" w:rsidP="00D245BA">
            <w:pPr>
              <w:pStyle w:val="Textpoznpodarou"/>
              <w:jc w:val="both"/>
            </w:pPr>
          </w:p>
        </w:tc>
      </w:tr>
      <w:tr w:rsidR="00D245BA" w:rsidRPr="00F318FC" w:rsidTr="00D245BA">
        <w:tc>
          <w:tcPr>
            <w:tcW w:w="1057" w:type="pct"/>
            <w:gridSpan w:val="4"/>
          </w:tcPr>
          <w:p w:rsidR="00D245BA" w:rsidRDefault="00D245BA" w:rsidP="00230DAD">
            <w:pPr>
              <w:spacing w:line="240" w:lineRule="auto"/>
              <w:rPr>
                <w:color w:val="000000"/>
                <w:sz w:val="16"/>
                <w:szCs w:val="16"/>
              </w:rPr>
            </w:pPr>
            <w:r>
              <w:rPr>
                <w:color w:val="000000"/>
                <w:sz w:val="16"/>
                <w:szCs w:val="16"/>
              </w:rPr>
              <w:lastRenderedPageBreak/>
              <w:t>Přírůstky hypotečních úvěrů domácnostem se zvyšují už od poloviny roku 2013, koncem června 2015 meziročně v</w:t>
            </w:r>
            <w:r w:rsidR="008642AF">
              <w:rPr>
                <w:color w:val="000000"/>
                <w:sz w:val="16"/>
                <w:szCs w:val="16"/>
              </w:rPr>
              <w:t> </w:t>
            </w:r>
            <w:r>
              <w:rPr>
                <w:color w:val="000000"/>
                <w:sz w:val="16"/>
                <w:szCs w:val="16"/>
              </w:rPr>
              <w:t>nejrychlejším tempu za</w:t>
            </w:r>
            <w:r w:rsidR="008642AF">
              <w:rPr>
                <w:color w:val="000000"/>
                <w:sz w:val="16"/>
                <w:szCs w:val="16"/>
              </w:rPr>
              <w:t> </w:t>
            </w:r>
            <w:r>
              <w:rPr>
                <w:color w:val="000000"/>
                <w:sz w:val="16"/>
                <w:szCs w:val="16"/>
              </w:rPr>
              <w:t xml:space="preserve">poslední tři roky </w:t>
            </w:r>
            <w:r w:rsidR="00230DAD">
              <w:rPr>
                <w:color w:val="000000"/>
                <w:sz w:val="16"/>
                <w:szCs w:val="16"/>
              </w:rPr>
              <w:t>– n</w:t>
            </w:r>
            <w:r>
              <w:rPr>
                <w:color w:val="000000"/>
                <w:sz w:val="16"/>
                <w:szCs w:val="16"/>
              </w:rPr>
              <w:t>aopak nárůst úvěrů na</w:t>
            </w:r>
            <w:r w:rsidR="008642AF">
              <w:rPr>
                <w:color w:val="000000"/>
                <w:sz w:val="16"/>
                <w:szCs w:val="16"/>
              </w:rPr>
              <w:t> </w:t>
            </w:r>
            <w:r>
              <w:rPr>
                <w:color w:val="000000"/>
                <w:sz w:val="16"/>
                <w:szCs w:val="16"/>
              </w:rPr>
              <w:t xml:space="preserve">spotřebu byl ovlivněn jen organizační změnou v sektoru finančních institucí </w:t>
            </w:r>
          </w:p>
        </w:tc>
        <w:tc>
          <w:tcPr>
            <w:tcW w:w="143" w:type="pct"/>
          </w:tcPr>
          <w:p w:rsidR="00D245BA" w:rsidRDefault="00D245BA" w:rsidP="00D245BA">
            <w:pPr>
              <w:pStyle w:val="Textpoznpodarou"/>
              <w:jc w:val="both"/>
            </w:pPr>
          </w:p>
        </w:tc>
        <w:tc>
          <w:tcPr>
            <w:tcW w:w="3799" w:type="pct"/>
            <w:gridSpan w:val="5"/>
          </w:tcPr>
          <w:p w:rsidR="00D245BA" w:rsidRPr="00D245BA" w:rsidRDefault="00D245BA" w:rsidP="00D245BA">
            <w:pPr>
              <w:pStyle w:val="Textpoznpodarou"/>
              <w:jc w:val="both"/>
              <w:rPr>
                <w:color w:val="000000"/>
              </w:rPr>
            </w:pPr>
            <w:r w:rsidRPr="00D245BA">
              <w:rPr>
                <w:color w:val="000000"/>
              </w:rPr>
              <w:t>Výrazné meziroční zvýšení úvěrů domácnostem na spotřebu bylo ovlivněno organizační změnou</w:t>
            </w:r>
            <w:r w:rsidRPr="00D245BA">
              <w:rPr>
                <w:rStyle w:val="Znakapoznpodarou"/>
                <w:color w:val="000000"/>
              </w:rPr>
              <w:footnoteReference w:id="13"/>
            </w:r>
            <w:r w:rsidRPr="00D245BA">
              <w:rPr>
                <w:color w:val="000000"/>
              </w:rPr>
              <w:t xml:space="preserve"> způsobující jejich nárůst o 18 mld. korun. Nebýt jí, poskytnuté spotřební úvěry obyvatelstvu vč. debetních zůstatků na běžných účtech by byly podle bankovní statistiky opět meziročně nižší. Lidé na nákupy především zboží dlouhodobé spotřeby </w:t>
            </w:r>
            <w:r w:rsidR="005079F8" w:rsidRPr="00D245BA">
              <w:rPr>
                <w:color w:val="000000"/>
              </w:rPr>
              <w:t xml:space="preserve">zřejmě </w:t>
            </w:r>
            <w:r w:rsidRPr="00D245BA">
              <w:rPr>
                <w:color w:val="000000"/>
              </w:rPr>
              <w:t>využívají svých peněz uložených u bank. Celkové stavy úvěrů na spotřebu (210,3 mld. korun v závěru června 2015) představují jen 17 % celkové výše bankovních úvěrů poskytnutých obyvatelstvu.</w:t>
            </w:r>
          </w:p>
          <w:p w:rsidR="00D245BA" w:rsidRPr="002436B3" w:rsidRDefault="00D245BA" w:rsidP="00D245BA">
            <w:pPr>
              <w:pStyle w:val="Textpoznpodarou"/>
              <w:jc w:val="both"/>
              <w:rPr>
                <w:color w:val="000000"/>
                <w:spacing w:val="-4"/>
              </w:rPr>
            </w:pPr>
          </w:p>
          <w:p w:rsidR="00D245BA" w:rsidRPr="00D245BA" w:rsidRDefault="00D245BA" w:rsidP="00D245BA">
            <w:pPr>
              <w:pStyle w:val="Textpoznpodarou"/>
              <w:jc w:val="both"/>
              <w:rPr>
                <w:color w:val="000000"/>
              </w:rPr>
            </w:pPr>
            <w:r w:rsidRPr="00D245BA">
              <w:rPr>
                <w:color w:val="000000"/>
              </w:rPr>
              <w:t>Naopak úvěry obyvatelstvu na bydlení se meziročně zvýšily o 59,1 mld. (+6,8 %) na 930,2 mld. korun. Příčinou byl silný přírůstek poskytovaných hypotečních úvěrů (+57,7 mld., tj. +7,5 %, na 826,1 mld. korun). Lidé byli motivovaní především velmi nízkou cenou peněz, za níž banky poskytovaly tyto úvěry. Působila i pozitivní očekávání v souvislosti s ekonomickým vývojem a zlepšující se kondicí rodinných rozpočtů.  Zůstatky úvěrů od stavebních spořitelen však byly o necelou miliardu nižší, což potvrzuje rozhodující vliv nízkých úrokových sazeb u hypoték na růst celkových úvěrů českých domácností na bydlení.</w:t>
            </w:r>
          </w:p>
          <w:p w:rsidR="00D245BA" w:rsidRPr="00D245BA" w:rsidRDefault="00D245BA" w:rsidP="00D245BA">
            <w:pPr>
              <w:pStyle w:val="Textpoznpodarou"/>
              <w:jc w:val="both"/>
              <w:rPr>
                <w:color w:val="000000"/>
              </w:rPr>
            </w:pPr>
          </w:p>
        </w:tc>
      </w:tr>
      <w:tr w:rsidR="00D245BA" w:rsidRPr="00F318FC" w:rsidTr="00D245BA">
        <w:tc>
          <w:tcPr>
            <w:tcW w:w="1057" w:type="pct"/>
            <w:gridSpan w:val="4"/>
          </w:tcPr>
          <w:p w:rsidR="00D245BA" w:rsidRDefault="00D245BA" w:rsidP="00D245BA">
            <w:pPr>
              <w:spacing w:line="240" w:lineRule="auto"/>
              <w:rPr>
                <w:color w:val="000000"/>
                <w:sz w:val="16"/>
                <w:szCs w:val="16"/>
              </w:rPr>
            </w:pPr>
            <w:r>
              <w:rPr>
                <w:color w:val="000000"/>
                <w:sz w:val="16"/>
                <w:szCs w:val="16"/>
              </w:rPr>
              <w:t>Marže komerčních bank zůstávají vysoké</w:t>
            </w:r>
          </w:p>
        </w:tc>
        <w:tc>
          <w:tcPr>
            <w:tcW w:w="143" w:type="pct"/>
          </w:tcPr>
          <w:p w:rsidR="00D245BA" w:rsidRDefault="00D245BA" w:rsidP="00D245BA">
            <w:pPr>
              <w:pStyle w:val="Textpoznpodarou"/>
              <w:jc w:val="both"/>
            </w:pPr>
          </w:p>
        </w:tc>
        <w:tc>
          <w:tcPr>
            <w:tcW w:w="3799" w:type="pct"/>
            <w:gridSpan w:val="5"/>
          </w:tcPr>
          <w:p w:rsidR="00D245BA" w:rsidRDefault="00D245BA" w:rsidP="00D245BA">
            <w:pPr>
              <w:pStyle w:val="Textpoznpodarou"/>
              <w:jc w:val="both"/>
              <w:rPr>
                <w:color w:val="000000"/>
              </w:rPr>
            </w:pPr>
            <w:r>
              <w:rPr>
                <w:color w:val="000000"/>
              </w:rPr>
              <w:t xml:space="preserve">Nízké úrokové sazby bank z nových depozitních obchodů byly koncem června 2015 meziročně opět nižší, a to jak pro firmy, tak pro domácnosti. Výjimku tvořilo úročení vkladů obyvatelstva se splatností (+0,39 </w:t>
            </w:r>
            <w:proofErr w:type="spellStart"/>
            <w:r>
              <w:rPr>
                <w:color w:val="000000"/>
              </w:rPr>
              <w:t>pb</w:t>
            </w:r>
            <w:proofErr w:type="spellEnd"/>
            <w:r>
              <w:rPr>
                <w:color w:val="000000"/>
              </w:rPr>
              <w:t xml:space="preserve">. na 1,57 % </w:t>
            </w:r>
            <w:proofErr w:type="spellStart"/>
            <w:proofErr w:type="gramStart"/>
            <w:r>
              <w:rPr>
                <w:color w:val="000000"/>
              </w:rPr>
              <w:t>p.a</w:t>
            </w:r>
            <w:proofErr w:type="spellEnd"/>
            <w:r>
              <w:rPr>
                <w:color w:val="000000"/>
              </w:rPr>
              <w:t>.</w:t>
            </w:r>
            <w:proofErr w:type="gramEnd"/>
            <w:r>
              <w:rPr>
                <w:color w:val="000000"/>
              </w:rPr>
              <w:t xml:space="preserve">), přesto však lidé zredukovali zůstatky na těchto vkladech proti konci června 2014 o 28,6 mld. korun. Marže bank zůstávají i přes relativně slabou úvěrovou expanzi stále na vysokých úrovních </w:t>
            </w:r>
            <w:r w:rsidR="00230DAD">
              <w:rPr>
                <w:color w:val="000000"/>
              </w:rPr>
              <w:t>–</w:t>
            </w:r>
            <w:r>
              <w:rPr>
                <w:color w:val="000000"/>
              </w:rPr>
              <w:t xml:space="preserve"> úrokové sazby z poskytovaných bankovních úvěrů činily v půjčkách na spotřebu u nových obchodů 12,57 % </w:t>
            </w:r>
            <w:proofErr w:type="spellStart"/>
            <w:proofErr w:type="gramStart"/>
            <w:r>
              <w:rPr>
                <w:color w:val="000000"/>
              </w:rPr>
              <w:t>p.a</w:t>
            </w:r>
            <w:proofErr w:type="spellEnd"/>
            <w:r>
              <w:rPr>
                <w:color w:val="000000"/>
              </w:rPr>
              <w:t>.</w:t>
            </w:r>
            <w:proofErr w:type="gramEnd"/>
            <w:r>
              <w:rPr>
                <w:color w:val="000000"/>
              </w:rPr>
              <w:t xml:space="preserve"> a sazby z depozit, ve splatnostech zhruba odpoví</w:t>
            </w:r>
            <w:r w:rsidR="00230DAD">
              <w:rPr>
                <w:color w:val="000000"/>
              </w:rPr>
              <w:t>dajících těmto půjčeným penězům,</w:t>
            </w:r>
            <w:r>
              <w:rPr>
                <w:color w:val="000000"/>
              </w:rPr>
              <w:t xml:space="preserve"> se pohybovaly mezi 1,4 % až 1,57 % </w:t>
            </w:r>
            <w:proofErr w:type="spellStart"/>
            <w:r>
              <w:rPr>
                <w:color w:val="000000"/>
              </w:rPr>
              <w:t>p.a</w:t>
            </w:r>
            <w:proofErr w:type="spellEnd"/>
            <w:r>
              <w:rPr>
                <w:color w:val="000000"/>
              </w:rPr>
              <w:t xml:space="preserve">. Na běžných účtech úročily banky domácnostem v červnu 2015 uložené peníze sazbou 0,12 % </w:t>
            </w:r>
            <w:proofErr w:type="spellStart"/>
            <w:r>
              <w:rPr>
                <w:color w:val="000000"/>
              </w:rPr>
              <w:t>p.a</w:t>
            </w:r>
            <w:proofErr w:type="spellEnd"/>
            <w:r>
              <w:rPr>
                <w:color w:val="000000"/>
              </w:rPr>
              <w:t xml:space="preserve">. a firmám 0,11 % </w:t>
            </w:r>
            <w:proofErr w:type="spellStart"/>
            <w:r>
              <w:rPr>
                <w:color w:val="000000"/>
              </w:rPr>
              <w:t>p.a</w:t>
            </w:r>
            <w:proofErr w:type="spellEnd"/>
            <w:r>
              <w:rPr>
                <w:color w:val="000000"/>
              </w:rPr>
              <w:t xml:space="preserve">. </w:t>
            </w:r>
          </w:p>
          <w:p w:rsidR="00D245BA" w:rsidRPr="00D245BA" w:rsidRDefault="00D245BA" w:rsidP="00D245BA">
            <w:pPr>
              <w:pStyle w:val="Textpoznpodarou"/>
              <w:jc w:val="both"/>
              <w:rPr>
                <w:color w:val="000000"/>
              </w:rPr>
            </w:pPr>
          </w:p>
        </w:tc>
      </w:tr>
      <w:tr w:rsidR="00D245BA" w:rsidRPr="00EB4FA4" w:rsidTr="00D245BA">
        <w:tblPrEx>
          <w:tblCellMar>
            <w:left w:w="70" w:type="dxa"/>
            <w:right w:w="70" w:type="dxa"/>
          </w:tblCellMar>
          <w:tblLook w:val="0000"/>
        </w:tblPrEx>
        <w:trPr>
          <w:gridBefore w:val="1"/>
          <w:gridAfter w:val="1"/>
          <w:wBefore w:w="19" w:type="pct"/>
          <w:wAfter w:w="17" w:type="pct"/>
        </w:trPr>
        <w:tc>
          <w:tcPr>
            <w:tcW w:w="726" w:type="pct"/>
            <w:gridSpan w:val="2"/>
          </w:tcPr>
          <w:p w:rsidR="00D245BA" w:rsidRPr="00CD4B29" w:rsidRDefault="00D245BA" w:rsidP="00D245BA">
            <w:r w:rsidRPr="00CD4B29">
              <w:t xml:space="preserve">Graf č. 17 </w:t>
            </w:r>
          </w:p>
        </w:tc>
        <w:tc>
          <w:tcPr>
            <w:tcW w:w="1774" w:type="pct"/>
            <w:gridSpan w:val="3"/>
          </w:tcPr>
          <w:p w:rsidR="00D245BA" w:rsidRPr="009E3710" w:rsidRDefault="00D245BA" w:rsidP="00D245BA">
            <w:pPr>
              <w:rPr>
                <w:b/>
              </w:rPr>
            </w:pPr>
            <w:r>
              <w:rPr>
                <w:b/>
                <w:bCs/>
              </w:rPr>
              <w:t xml:space="preserve">Dynamika úvěrů </w:t>
            </w:r>
            <w:r>
              <w:rPr>
                <w:bCs/>
              </w:rPr>
              <w:t>(y/y v %)</w:t>
            </w:r>
            <w:r>
              <w:rPr>
                <w:b/>
                <w:bCs/>
              </w:rPr>
              <w:t xml:space="preserve"> </w:t>
            </w:r>
            <w:r w:rsidRPr="009E3710">
              <w:rPr>
                <w:b/>
                <w:bCs/>
              </w:rPr>
              <w:t xml:space="preserve"> </w:t>
            </w:r>
          </w:p>
        </w:tc>
        <w:tc>
          <w:tcPr>
            <w:tcW w:w="592" w:type="pct"/>
            <w:gridSpan w:val="2"/>
          </w:tcPr>
          <w:p w:rsidR="00D245BA" w:rsidRPr="00CD4B29" w:rsidRDefault="00D245BA" w:rsidP="00D245BA">
            <w:pPr>
              <w:rPr>
                <w:szCs w:val="20"/>
              </w:rPr>
            </w:pPr>
            <w:r w:rsidRPr="00CD4B29">
              <w:rPr>
                <w:szCs w:val="20"/>
              </w:rPr>
              <w:t>Graf č. 18</w:t>
            </w:r>
          </w:p>
        </w:tc>
        <w:tc>
          <w:tcPr>
            <w:tcW w:w="1872" w:type="pct"/>
          </w:tcPr>
          <w:p w:rsidR="00D245BA" w:rsidRPr="00EB4FA4" w:rsidRDefault="00D245BA" w:rsidP="00D245BA">
            <w:pPr>
              <w:spacing w:line="240" w:lineRule="auto"/>
              <w:rPr>
                <w:b/>
                <w:szCs w:val="20"/>
              </w:rPr>
            </w:pPr>
            <w:r>
              <w:rPr>
                <w:b/>
                <w:bCs/>
              </w:rPr>
              <w:t xml:space="preserve">Vklady domácností a firem </w:t>
            </w:r>
            <w:r w:rsidRPr="00D143B5">
              <w:rPr>
                <w:bCs/>
                <w:sz w:val="18"/>
                <w:szCs w:val="18"/>
              </w:rPr>
              <w:t>(y/y v %)</w:t>
            </w:r>
          </w:p>
        </w:tc>
      </w:tr>
      <w:tr w:rsidR="00D245BA" w:rsidRPr="00E70510" w:rsidTr="00D245BA">
        <w:tblPrEx>
          <w:tblCellMar>
            <w:left w:w="70" w:type="dxa"/>
            <w:right w:w="70" w:type="dxa"/>
          </w:tblCellMar>
          <w:tblLook w:val="0000"/>
        </w:tblPrEx>
        <w:trPr>
          <w:gridBefore w:val="1"/>
          <w:gridAfter w:val="1"/>
          <w:wBefore w:w="19" w:type="pct"/>
          <w:wAfter w:w="17" w:type="pct"/>
          <w:trHeight w:val="3256"/>
        </w:trPr>
        <w:tc>
          <w:tcPr>
            <w:tcW w:w="2500" w:type="pct"/>
            <w:gridSpan w:val="5"/>
          </w:tcPr>
          <w:p w:rsidR="00D245BA" w:rsidRDefault="00F365BF" w:rsidP="00D245BA">
            <w:pPr>
              <w:pStyle w:val="Zhlav"/>
              <w:tabs>
                <w:tab w:val="clear" w:pos="4536"/>
                <w:tab w:val="clear" w:pos="9072"/>
              </w:tabs>
              <w:rPr>
                <w:rFonts w:ascii="Arial" w:hAnsi="Arial" w:cs="Arial"/>
                <w:sz w:val="20"/>
              </w:rPr>
            </w:pPr>
            <w:r w:rsidRPr="00A17754">
              <w:rPr>
                <w:rFonts w:ascii="Arial" w:hAnsi="Arial" w:cs="Arial"/>
                <w:noProof/>
                <w:sz w:val="20"/>
                <w:lang w:eastAsia="cs-CZ"/>
              </w:rPr>
              <w:pict>
                <v:shape id="Graf 1" o:spid="_x0000_i1041" type="#_x0000_t75" style="width:226.5pt;height:1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">
                  <v:imagedata r:id="rId28" o:title=""/>
                  <o:lock v:ext="edit" aspectratio="f"/>
                </v:shape>
              </w:pict>
            </w:r>
          </w:p>
        </w:tc>
        <w:tc>
          <w:tcPr>
            <w:tcW w:w="2463" w:type="pct"/>
            <w:gridSpan w:val="3"/>
          </w:tcPr>
          <w:p w:rsidR="00D245BA" w:rsidRPr="00E70510" w:rsidRDefault="00F365BF" w:rsidP="00D245BA">
            <w:pPr>
              <w:pStyle w:val="Zhlav"/>
              <w:tabs>
                <w:tab w:val="clear" w:pos="4536"/>
                <w:tab w:val="clear" w:pos="9072"/>
              </w:tabs>
              <w:spacing w:line="235" w:lineRule="auto"/>
              <w:jc w:val="both"/>
              <w:rPr>
                <w:rFonts w:ascii="Arial" w:hAnsi="Arial" w:cs="Arial"/>
                <w:sz w:val="20"/>
              </w:rPr>
            </w:pPr>
            <w:r w:rsidRPr="00A17754">
              <w:rPr>
                <w:rFonts w:ascii="Arial" w:hAnsi="Arial" w:cs="Arial"/>
                <w:noProof/>
                <w:sz w:val="20"/>
                <w:lang w:eastAsia="cs-CZ"/>
              </w:rPr>
              <w:pict>
                <v:shape id="Graf 2" o:spid="_x0000_i1042" type="#_x0000_t75" style="width:224.25pt;height:19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">
                  <v:imagedata r:id="rId29" o:title=""/>
                  <o:lock v:ext="edit" aspectratio="f"/>
                </v:shape>
              </w:pict>
            </w:r>
          </w:p>
        </w:tc>
      </w:tr>
      <w:tr w:rsidR="00D245BA" w:rsidRPr="00801FDD" w:rsidTr="00D245BA">
        <w:tblPrEx>
          <w:tblCellMar>
            <w:left w:w="70" w:type="dxa"/>
            <w:right w:w="70" w:type="dxa"/>
          </w:tblCellMar>
          <w:tblLook w:val="0000"/>
        </w:tblPrEx>
        <w:trPr>
          <w:gridBefore w:val="1"/>
          <w:gridAfter w:val="1"/>
          <w:wBefore w:w="19" w:type="pct"/>
          <w:wAfter w:w="17" w:type="pct"/>
        </w:trPr>
        <w:tc>
          <w:tcPr>
            <w:tcW w:w="401" w:type="pct"/>
          </w:tcPr>
          <w:p w:rsidR="00D245BA" w:rsidRPr="00953AEF" w:rsidRDefault="00D245BA" w:rsidP="00D245BA">
            <w:pPr>
              <w:rPr>
                <w:color w:val="FF0000"/>
              </w:rPr>
            </w:pPr>
          </w:p>
        </w:tc>
        <w:tc>
          <w:tcPr>
            <w:tcW w:w="2099" w:type="pct"/>
            <w:gridSpan w:val="4"/>
          </w:tcPr>
          <w:p w:rsidR="00D245BA" w:rsidRPr="009E3710" w:rsidRDefault="00D245BA" w:rsidP="00D245BA">
            <w:pPr>
              <w:rPr>
                <w:b/>
              </w:rPr>
            </w:pPr>
          </w:p>
        </w:tc>
        <w:tc>
          <w:tcPr>
            <w:tcW w:w="400" w:type="pct"/>
          </w:tcPr>
          <w:p w:rsidR="00D245BA" w:rsidRPr="00953AEF" w:rsidRDefault="00D245BA" w:rsidP="00D245BA">
            <w:pPr>
              <w:rPr>
                <w:color w:val="FF0000"/>
              </w:rPr>
            </w:pPr>
          </w:p>
        </w:tc>
        <w:tc>
          <w:tcPr>
            <w:tcW w:w="2064" w:type="pct"/>
            <w:gridSpan w:val="2"/>
          </w:tcPr>
          <w:p w:rsidR="00D245BA" w:rsidRPr="00801FDD" w:rsidRDefault="00D245BA" w:rsidP="00D245BA">
            <w:pPr>
              <w:rPr>
                <w:sz w:val="18"/>
                <w:szCs w:val="18"/>
              </w:rPr>
            </w:pPr>
            <w:r w:rsidRPr="005215EF">
              <w:rPr>
                <w:b/>
                <w:sz w:val="18"/>
                <w:szCs w:val="18"/>
              </w:rPr>
              <w:t xml:space="preserve">                                              </w:t>
            </w:r>
            <w:r>
              <w:rPr>
                <w:b/>
                <w:sz w:val="18"/>
                <w:szCs w:val="18"/>
              </w:rPr>
              <w:t xml:space="preserve">        </w:t>
            </w:r>
            <w:r w:rsidRPr="005215EF">
              <w:rPr>
                <w:b/>
                <w:sz w:val="18"/>
                <w:szCs w:val="18"/>
              </w:rPr>
              <w:t xml:space="preserve"> </w:t>
            </w:r>
            <w:r w:rsidRPr="00801FDD">
              <w:rPr>
                <w:sz w:val="18"/>
                <w:szCs w:val="18"/>
              </w:rPr>
              <w:t xml:space="preserve">Zdroj: </w:t>
            </w:r>
            <w:r>
              <w:rPr>
                <w:sz w:val="18"/>
                <w:szCs w:val="18"/>
              </w:rPr>
              <w:t>ČNB</w:t>
            </w:r>
          </w:p>
        </w:tc>
      </w:tr>
    </w:tbl>
    <w:p w:rsidR="00D245BA" w:rsidRDefault="00D245BA" w:rsidP="005513D5"/>
    <w:p w:rsidR="00D245BA" w:rsidRDefault="00D245BA" w:rsidP="005513D5"/>
    <w:p w:rsidR="00D245BA" w:rsidRDefault="00D245BA" w:rsidP="005513D5"/>
    <w:p w:rsidR="00D245BA" w:rsidRDefault="00D245BA" w:rsidP="005513D5"/>
    <w:p w:rsidR="00576A3E" w:rsidRDefault="00576A3E" w:rsidP="006D142E">
      <w:pPr>
        <w:pStyle w:val="Nadpis1"/>
        <w:numPr>
          <w:ilvl w:val="0"/>
          <w:numId w:val="3"/>
        </w:numPr>
        <w:jc w:val="both"/>
      </w:pPr>
      <w:bookmarkStart w:id="10" w:name="_Toc430335389"/>
      <w:r>
        <w:lastRenderedPageBreak/>
        <w:t>Státní rozpočet</w:t>
      </w:r>
      <w:bookmarkEnd w:id="10"/>
    </w:p>
    <w:tbl>
      <w:tblPr>
        <w:tblW w:w="5000" w:type="pct"/>
        <w:tblCellMar>
          <w:left w:w="28" w:type="dxa"/>
          <w:right w:w="28" w:type="dxa"/>
        </w:tblCellMar>
        <w:tblLook w:val="04A0"/>
      </w:tblPr>
      <w:tblGrid>
        <w:gridCol w:w="2044"/>
        <w:gridCol w:w="275"/>
        <w:gridCol w:w="7375"/>
      </w:tblGrid>
      <w:tr w:rsidR="00B55BA8" w:rsidRPr="003A21DC" w:rsidTr="003D3EC4">
        <w:tc>
          <w:tcPr>
            <w:tcW w:w="1054" w:type="pct"/>
          </w:tcPr>
          <w:p w:rsidR="00B55BA8" w:rsidRPr="0027242E" w:rsidRDefault="00B55BA8" w:rsidP="003D3EC4">
            <w:pPr>
              <w:spacing w:line="240" w:lineRule="auto"/>
              <w:rPr>
                <w:color w:val="0D0D0D" w:themeColor="text1" w:themeTint="F2"/>
                <w:spacing w:val="-2"/>
                <w:szCs w:val="20"/>
              </w:rPr>
            </w:pPr>
            <w:r w:rsidRPr="0027242E">
              <w:rPr>
                <w:rFonts w:cs="Arial"/>
                <w:bCs/>
                <w:iCs/>
                <w:color w:val="0D0D0D" w:themeColor="text1" w:themeTint="F2"/>
                <w:sz w:val="16"/>
                <w:szCs w:val="16"/>
              </w:rPr>
              <w:t>Přebytek hospodaření státu byl v 1. pololetí nejvyšší od vzniku ČR</w:t>
            </w:r>
          </w:p>
        </w:tc>
        <w:tc>
          <w:tcPr>
            <w:tcW w:w="142" w:type="pct"/>
          </w:tcPr>
          <w:p w:rsidR="00B55BA8" w:rsidRPr="009720D9" w:rsidRDefault="00B55BA8" w:rsidP="003D3EC4">
            <w:pPr>
              <w:pStyle w:val="Textpoznpodarou"/>
              <w:jc w:val="both"/>
              <w:rPr>
                <w:color w:val="0D0D0D" w:themeColor="text1" w:themeTint="F2"/>
              </w:rPr>
            </w:pPr>
          </w:p>
        </w:tc>
        <w:tc>
          <w:tcPr>
            <w:tcW w:w="3804" w:type="pct"/>
          </w:tcPr>
          <w:p w:rsidR="00B55BA8" w:rsidRPr="009720D9" w:rsidRDefault="00B55BA8" w:rsidP="003D3EC4">
            <w:pPr>
              <w:pStyle w:val="Textpoznpodarou"/>
              <w:jc w:val="both"/>
              <w:rPr>
                <w:rFonts w:cs="Arial"/>
                <w:color w:val="0D0D0D" w:themeColor="text1" w:themeTint="F2"/>
                <w:spacing w:val="-2"/>
              </w:rPr>
            </w:pPr>
            <w:r>
              <w:rPr>
                <w:rFonts w:cs="Arial"/>
                <w:color w:val="0D0D0D" w:themeColor="text1" w:themeTint="F2"/>
                <w:spacing w:val="-2"/>
              </w:rPr>
              <w:t>B</w:t>
            </w:r>
            <w:r w:rsidRPr="009720D9">
              <w:rPr>
                <w:rFonts w:cs="Arial"/>
                <w:color w:val="0D0D0D" w:themeColor="text1" w:themeTint="F2"/>
                <w:spacing w:val="-2"/>
              </w:rPr>
              <w:t xml:space="preserve">ěhem první poloviny roku 2015 </w:t>
            </w:r>
            <w:r>
              <w:rPr>
                <w:rFonts w:cs="Arial"/>
                <w:color w:val="0D0D0D" w:themeColor="text1" w:themeTint="F2"/>
                <w:spacing w:val="-2"/>
              </w:rPr>
              <w:t>byly v</w:t>
            </w:r>
            <w:r w:rsidRPr="009720D9">
              <w:rPr>
                <w:rFonts w:cs="Arial"/>
                <w:color w:val="0D0D0D" w:themeColor="text1" w:themeTint="F2"/>
                <w:spacing w:val="-2"/>
              </w:rPr>
              <w:t>ýsledky hospodaření</w:t>
            </w:r>
            <w:r>
              <w:rPr>
                <w:rFonts w:cs="Arial"/>
                <w:color w:val="0D0D0D" w:themeColor="text1" w:themeTint="F2"/>
                <w:spacing w:val="-2"/>
              </w:rPr>
              <w:t xml:space="preserve"> státu </w:t>
            </w:r>
            <w:r w:rsidRPr="009720D9">
              <w:rPr>
                <w:rFonts w:cs="Arial"/>
                <w:color w:val="0D0D0D" w:themeColor="text1" w:themeTint="F2"/>
                <w:spacing w:val="-2"/>
              </w:rPr>
              <w:t xml:space="preserve">ovlivněny </w:t>
            </w:r>
            <w:r>
              <w:rPr>
                <w:rFonts w:cs="Arial"/>
                <w:color w:val="0D0D0D" w:themeColor="text1" w:themeTint="F2"/>
                <w:spacing w:val="-2"/>
              </w:rPr>
              <w:t xml:space="preserve">zejména </w:t>
            </w:r>
            <w:r w:rsidRPr="009720D9">
              <w:rPr>
                <w:rFonts w:cs="Arial"/>
                <w:color w:val="0D0D0D" w:themeColor="text1" w:themeTint="F2"/>
                <w:spacing w:val="-2"/>
              </w:rPr>
              <w:t>sílícím hospodářským růstem, postupným odklonem od dřívějších restriktivních výdajových opatření, jakož i intenzivním čer</w:t>
            </w:r>
            <w:r>
              <w:rPr>
                <w:rFonts w:cs="Arial"/>
                <w:color w:val="0D0D0D" w:themeColor="text1" w:themeTint="F2"/>
                <w:spacing w:val="-2"/>
              </w:rPr>
              <w:t>páním prostředků z rozpočtu EU.</w:t>
            </w:r>
            <w:r w:rsidRPr="003A21DC">
              <w:rPr>
                <w:rFonts w:cs="Arial"/>
                <w:color w:val="0D0D0D" w:themeColor="text1" w:themeTint="F2"/>
                <w:spacing w:val="-2"/>
              </w:rPr>
              <w:t xml:space="preserve"> Státní rozpočet (SR) dosáhl (dle pokladního plnění) přebytku 22,6 mld. korun,</w:t>
            </w:r>
            <w:r>
              <w:rPr>
                <w:rFonts w:cs="Arial"/>
                <w:color w:val="0D0D0D" w:themeColor="text1" w:themeTint="F2"/>
                <w:spacing w:val="-2"/>
              </w:rPr>
              <w:t xml:space="preserve"> šlo o nejlepší pololetní výsledek v historii samostatné ČR. </w:t>
            </w:r>
            <w:r w:rsidRPr="003A21DC">
              <w:rPr>
                <w:rFonts w:cs="Arial"/>
                <w:color w:val="0D0D0D" w:themeColor="text1" w:themeTint="F2"/>
                <w:spacing w:val="-2"/>
              </w:rPr>
              <w:t>Saldo SR (tvořící klíčovou složku přebytku či deficitu sektoru vládních institucí) činilo v 1. pololetí</w:t>
            </w:r>
            <w:r w:rsidR="00707D43">
              <w:rPr>
                <w:rFonts w:cs="Arial"/>
                <w:color w:val="0D0D0D" w:themeColor="text1" w:themeTint="F2"/>
                <w:spacing w:val="-2"/>
              </w:rPr>
              <w:t xml:space="preserve"> v poměru k nominálnímu HDP +1,0</w:t>
            </w:r>
            <w:r w:rsidRPr="003A21DC">
              <w:rPr>
                <w:rFonts w:cs="Arial"/>
                <w:color w:val="0D0D0D" w:themeColor="text1" w:themeTint="F2"/>
                <w:spacing w:val="-2"/>
              </w:rPr>
              <w:t xml:space="preserve"> % (loni +0,1 %).</w:t>
            </w:r>
          </w:p>
          <w:p w:rsidR="00B55BA8" w:rsidRPr="000C0310" w:rsidRDefault="00B55BA8" w:rsidP="003D3EC4">
            <w:pPr>
              <w:pStyle w:val="Textpoznpodarou"/>
              <w:jc w:val="both"/>
              <w:rPr>
                <w:rFonts w:cs="Arial"/>
                <w:color w:val="0D0D0D" w:themeColor="text1" w:themeTint="F2"/>
                <w:spacing w:val="-2"/>
                <w:sz w:val="14"/>
                <w:szCs w:val="14"/>
              </w:rPr>
            </w:pPr>
          </w:p>
        </w:tc>
      </w:tr>
      <w:tr w:rsidR="00B55BA8" w:rsidTr="003D3EC4">
        <w:tc>
          <w:tcPr>
            <w:tcW w:w="1054" w:type="pct"/>
          </w:tcPr>
          <w:p w:rsidR="00B55BA8" w:rsidRPr="009720D9" w:rsidRDefault="00B55BA8" w:rsidP="00230DAD">
            <w:pPr>
              <w:spacing w:line="240" w:lineRule="auto"/>
              <w:rPr>
                <w:color w:val="0D0D0D" w:themeColor="text1" w:themeTint="F2"/>
                <w:spacing w:val="-2"/>
                <w:szCs w:val="20"/>
              </w:rPr>
            </w:pPr>
            <w:r w:rsidRPr="0027242E">
              <w:rPr>
                <w:rFonts w:cs="Arial"/>
                <w:bCs/>
                <w:iCs/>
                <w:color w:val="0D0D0D" w:themeColor="text1" w:themeTint="F2"/>
                <w:sz w:val="16"/>
                <w:szCs w:val="16"/>
              </w:rPr>
              <w:t xml:space="preserve">Akcelerace čerpání prostředků z fondů </w:t>
            </w:r>
            <w:r>
              <w:rPr>
                <w:rFonts w:cs="Arial"/>
                <w:bCs/>
                <w:iCs/>
                <w:color w:val="0D0D0D" w:themeColor="text1" w:themeTint="F2"/>
                <w:sz w:val="16"/>
                <w:szCs w:val="16"/>
              </w:rPr>
              <w:t xml:space="preserve">EU </w:t>
            </w:r>
            <w:r w:rsidR="00230DAD">
              <w:rPr>
                <w:rFonts w:cs="Arial"/>
                <w:bCs/>
                <w:iCs/>
                <w:color w:val="0D0D0D" w:themeColor="text1" w:themeTint="F2"/>
                <w:sz w:val="16"/>
                <w:szCs w:val="16"/>
              </w:rPr>
              <w:t xml:space="preserve">– </w:t>
            </w:r>
            <w:r w:rsidRPr="0027242E">
              <w:rPr>
                <w:rFonts w:cs="Arial"/>
                <w:bCs/>
                <w:iCs/>
                <w:color w:val="0D0D0D" w:themeColor="text1" w:themeTint="F2"/>
                <w:sz w:val="16"/>
                <w:szCs w:val="16"/>
              </w:rPr>
              <w:t>státní rozpočet získal v 1.</w:t>
            </w:r>
            <w:r w:rsidR="00230DAD">
              <w:rPr>
                <w:rFonts w:cs="Arial"/>
                <w:bCs/>
                <w:iCs/>
                <w:color w:val="0D0D0D" w:themeColor="text1" w:themeTint="F2"/>
                <w:sz w:val="16"/>
                <w:szCs w:val="16"/>
              </w:rPr>
              <w:t> </w:t>
            </w:r>
            <w:r w:rsidRPr="0027242E">
              <w:rPr>
                <w:rFonts w:cs="Arial"/>
                <w:bCs/>
                <w:iCs/>
                <w:color w:val="0D0D0D" w:themeColor="text1" w:themeTint="F2"/>
                <w:sz w:val="16"/>
                <w:szCs w:val="16"/>
              </w:rPr>
              <w:t>pololetí meziročně o téměř 50 mld. korun více</w:t>
            </w:r>
          </w:p>
        </w:tc>
        <w:tc>
          <w:tcPr>
            <w:tcW w:w="142" w:type="pct"/>
          </w:tcPr>
          <w:p w:rsidR="00B55BA8" w:rsidRPr="009720D9" w:rsidRDefault="00B55BA8" w:rsidP="003D3EC4">
            <w:pPr>
              <w:pStyle w:val="Textpoznpodarou"/>
              <w:jc w:val="both"/>
              <w:rPr>
                <w:color w:val="0D0D0D" w:themeColor="text1" w:themeTint="F2"/>
              </w:rPr>
            </w:pPr>
          </w:p>
        </w:tc>
        <w:tc>
          <w:tcPr>
            <w:tcW w:w="3804" w:type="pct"/>
          </w:tcPr>
          <w:p w:rsidR="00B55BA8" w:rsidRDefault="00B55BA8" w:rsidP="003D3EC4">
            <w:pPr>
              <w:pStyle w:val="Textpoznpodarou"/>
              <w:jc w:val="both"/>
              <w:rPr>
                <w:rFonts w:cs="Arial"/>
                <w:color w:val="0D0D0D" w:themeColor="text1" w:themeTint="F2"/>
                <w:spacing w:val="-2"/>
              </w:rPr>
            </w:pPr>
            <w:r>
              <w:rPr>
                <w:rFonts w:cs="Arial"/>
                <w:color w:val="0D0D0D" w:themeColor="text1" w:themeTint="F2"/>
                <w:spacing w:val="-2"/>
              </w:rPr>
              <w:t>Na rekordní bilanci SR se zásadní měrou podílely nedaňové příjmy</w:t>
            </w:r>
            <w:r>
              <w:rPr>
                <w:rStyle w:val="Znakapoznpodarou"/>
                <w:color w:val="0D0D0D" w:themeColor="text1" w:themeTint="F2"/>
                <w:spacing w:val="-2"/>
              </w:rPr>
              <w:footnoteReference w:id="14"/>
            </w:r>
            <w:r>
              <w:rPr>
                <w:rFonts w:cs="Arial"/>
                <w:color w:val="0D0D0D" w:themeColor="text1" w:themeTint="F2"/>
                <w:spacing w:val="-2"/>
              </w:rPr>
              <w:t xml:space="preserve"> díky dočerpávání finančních prostředků z EU na konci programovacího období. Výše příjmů od EU překonala již během června úroveň očekávanou SR za celý rok 2015. Celkem získalo Česko v 1. pololetí z EU 150,5 mld. korun (meziročně téměř dvojnásobek) a zároveň šlo o 30 % všech „unijních“ příjmů získaných od roku 2007. Výrazně akcelerovaly především příjmy ze strukturálních fondů (na 96 mld. korun, z 35 mld. korun v 1. pololetí 2014). Celková čistá pozice ČR vůči rozpočtu EU činila </w:t>
            </w:r>
            <w:r w:rsidRPr="000C3622">
              <w:rPr>
                <w:rFonts w:cs="Arial"/>
                <w:color w:val="0D0D0D" w:themeColor="text1" w:themeTint="F2"/>
                <w:spacing w:val="-4"/>
              </w:rPr>
              <w:t>v 1. pololetí rekordních 126,8 mld. korun, od počátku roku 2004 pak 537,1 mld. korun.</w:t>
            </w:r>
          </w:p>
          <w:p w:rsidR="00B55BA8" w:rsidRPr="003351FA" w:rsidRDefault="00B55BA8" w:rsidP="003D3EC4">
            <w:pPr>
              <w:pStyle w:val="Textpoznpodarou"/>
              <w:jc w:val="both"/>
              <w:rPr>
                <w:rFonts w:cs="Arial"/>
                <w:color w:val="0D0D0D" w:themeColor="text1" w:themeTint="F2"/>
                <w:spacing w:val="-2"/>
                <w:sz w:val="16"/>
                <w:szCs w:val="16"/>
              </w:rPr>
            </w:pPr>
          </w:p>
        </w:tc>
      </w:tr>
      <w:tr w:rsidR="00B55BA8" w:rsidTr="003D3EC4">
        <w:tc>
          <w:tcPr>
            <w:tcW w:w="1054" w:type="pct"/>
          </w:tcPr>
          <w:p w:rsidR="00B55BA8" w:rsidRDefault="00B55BA8" w:rsidP="003D3EC4">
            <w:pPr>
              <w:spacing w:line="240" w:lineRule="auto"/>
              <w:rPr>
                <w:rFonts w:cs="Arial"/>
                <w:bCs/>
                <w:iCs/>
                <w:color w:val="0D0D0D" w:themeColor="text1" w:themeTint="F2"/>
                <w:sz w:val="16"/>
                <w:szCs w:val="16"/>
              </w:rPr>
            </w:pPr>
            <w:r w:rsidRPr="005E13AB">
              <w:rPr>
                <w:rFonts w:cs="Arial"/>
                <w:bCs/>
                <w:iCs/>
                <w:color w:val="0D0D0D" w:themeColor="text1" w:themeTint="F2"/>
                <w:sz w:val="16"/>
                <w:szCs w:val="16"/>
              </w:rPr>
              <w:t>Celostátní výběr DPH</w:t>
            </w:r>
            <w:r>
              <w:rPr>
                <w:rFonts w:cs="Arial"/>
                <w:bCs/>
                <w:iCs/>
                <w:color w:val="0D0D0D" w:themeColor="text1" w:themeTint="F2"/>
                <w:sz w:val="16"/>
                <w:szCs w:val="16"/>
              </w:rPr>
              <w:t xml:space="preserve"> byl od března 2015 nepřetržitě meziročně vyšší, </w:t>
            </w:r>
          </w:p>
          <w:p w:rsidR="00B55BA8" w:rsidRPr="005E13AB" w:rsidRDefault="00B55BA8" w:rsidP="003D3EC4">
            <w:pPr>
              <w:spacing w:line="240" w:lineRule="auto"/>
              <w:rPr>
                <w:rFonts w:cs="Arial"/>
                <w:bCs/>
                <w:iCs/>
                <w:color w:val="0D0D0D" w:themeColor="text1" w:themeTint="F2"/>
                <w:sz w:val="16"/>
                <w:szCs w:val="16"/>
              </w:rPr>
            </w:pPr>
            <w:r>
              <w:rPr>
                <w:rFonts w:cs="Arial"/>
                <w:bCs/>
                <w:iCs/>
                <w:color w:val="0D0D0D" w:themeColor="text1" w:themeTint="F2"/>
                <w:sz w:val="16"/>
                <w:szCs w:val="16"/>
              </w:rPr>
              <w:t xml:space="preserve">celkové výdaje na konečnou spotřebu vzrostly v ekonomice v 1. </w:t>
            </w:r>
            <w:r w:rsidR="00923750">
              <w:rPr>
                <w:rFonts w:cs="Arial"/>
                <w:bCs/>
                <w:iCs/>
                <w:color w:val="0D0D0D" w:themeColor="text1" w:themeTint="F2"/>
                <w:sz w:val="16"/>
                <w:szCs w:val="16"/>
              </w:rPr>
              <w:t>p</w:t>
            </w:r>
            <w:r>
              <w:rPr>
                <w:rFonts w:cs="Arial"/>
                <w:bCs/>
                <w:iCs/>
                <w:color w:val="0D0D0D" w:themeColor="text1" w:themeTint="F2"/>
                <w:sz w:val="16"/>
                <w:szCs w:val="16"/>
              </w:rPr>
              <w:t>ololetí</w:t>
            </w:r>
            <w:r w:rsidR="00923750">
              <w:rPr>
                <w:rFonts w:cs="Arial"/>
                <w:bCs/>
                <w:iCs/>
                <w:color w:val="0D0D0D" w:themeColor="text1" w:themeTint="F2"/>
                <w:sz w:val="16"/>
                <w:szCs w:val="16"/>
              </w:rPr>
              <w:t xml:space="preserve"> </w:t>
            </w:r>
            <w:r>
              <w:rPr>
                <w:rFonts w:cs="Arial"/>
                <w:bCs/>
                <w:iCs/>
                <w:color w:val="0D0D0D" w:themeColor="text1" w:themeTint="F2"/>
                <w:sz w:val="16"/>
                <w:szCs w:val="16"/>
              </w:rPr>
              <w:t xml:space="preserve">nominálně o 3,5 % </w:t>
            </w:r>
          </w:p>
          <w:p w:rsidR="00B55BA8" w:rsidRPr="009720D9" w:rsidRDefault="00B55BA8" w:rsidP="003D3EC4">
            <w:pPr>
              <w:spacing w:line="240" w:lineRule="auto"/>
              <w:rPr>
                <w:rFonts w:cs="Arial"/>
                <w:bCs/>
                <w:iCs/>
                <w:color w:val="0D0D0D" w:themeColor="text1" w:themeTint="F2"/>
                <w:szCs w:val="20"/>
              </w:rPr>
            </w:pPr>
          </w:p>
        </w:tc>
        <w:tc>
          <w:tcPr>
            <w:tcW w:w="142" w:type="pct"/>
          </w:tcPr>
          <w:p w:rsidR="00B55BA8" w:rsidRPr="009720D9" w:rsidRDefault="00B55BA8" w:rsidP="003D3EC4">
            <w:pPr>
              <w:pStyle w:val="Textpoznpodarou"/>
              <w:jc w:val="both"/>
              <w:rPr>
                <w:color w:val="0D0D0D" w:themeColor="text1" w:themeTint="F2"/>
              </w:rPr>
            </w:pPr>
          </w:p>
        </w:tc>
        <w:tc>
          <w:tcPr>
            <w:tcW w:w="3804" w:type="pct"/>
          </w:tcPr>
          <w:p w:rsidR="00B55BA8" w:rsidRPr="004F5AC1" w:rsidRDefault="00B55BA8" w:rsidP="003D3EC4">
            <w:pPr>
              <w:pStyle w:val="Textpoznpodarou"/>
              <w:jc w:val="both"/>
              <w:rPr>
                <w:rFonts w:cs="Arial"/>
                <w:color w:val="0D0D0D" w:themeColor="text1" w:themeTint="F2"/>
                <w:spacing w:val="-2"/>
              </w:rPr>
            </w:pPr>
            <w:r>
              <w:rPr>
                <w:rFonts w:cs="Arial"/>
                <w:color w:val="0D0D0D" w:themeColor="text1" w:themeTint="F2"/>
                <w:spacing w:val="-2"/>
              </w:rPr>
              <w:t xml:space="preserve">Na inkasu daňových příjmů se v průběhu roku stále zřetelněji projevoval svižný růst ekonomiky, a to i u nepřímých daní, jejichž meziroční dynamika byla v počátku roku rozostřena nestandardně vysokou </w:t>
            </w:r>
            <w:r w:rsidRPr="004F5AC1">
              <w:rPr>
                <w:rFonts w:cs="Arial"/>
                <w:color w:val="0D0D0D" w:themeColor="text1" w:themeTint="F2"/>
                <w:spacing w:val="-2"/>
              </w:rPr>
              <w:t>loňskou základnou</w:t>
            </w:r>
            <w:r w:rsidRPr="004F5AC1">
              <w:rPr>
                <w:rStyle w:val="Znakapoznpodarou"/>
                <w:rFonts w:cs="Arial"/>
                <w:color w:val="0D0D0D" w:themeColor="text1" w:themeTint="F2"/>
                <w:spacing w:val="-2"/>
              </w:rPr>
              <w:footnoteReference w:id="15"/>
            </w:r>
            <w:r>
              <w:rPr>
                <w:rFonts w:cs="Arial"/>
                <w:color w:val="0D0D0D" w:themeColor="text1" w:themeTint="F2"/>
                <w:spacing w:val="-2"/>
              </w:rPr>
              <w:t>. Celostátní výběr váhově dominantní DPH za celé 1. pololetí sice stále za loňskou skutečností o 7,5 mld. korun zaostával, avšak již od března vykazoval nepřetržitý meziroční růst (a za prvních osm měsíců roku 2015 již prakticky dosáhl loňské úrovně). Na inkaso DPH</w:t>
            </w:r>
            <w:r w:rsidRPr="0027242E">
              <w:rPr>
                <w:rFonts w:cs="Arial"/>
                <w:color w:val="0D0D0D" w:themeColor="text1" w:themeTint="F2"/>
                <w:spacing w:val="-2"/>
              </w:rPr>
              <w:t xml:space="preserve"> </w:t>
            </w:r>
            <w:r>
              <w:rPr>
                <w:rFonts w:cs="Arial"/>
                <w:color w:val="0D0D0D" w:themeColor="text1" w:themeTint="F2"/>
                <w:spacing w:val="-2"/>
              </w:rPr>
              <w:t xml:space="preserve">působily také </w:t>
            </w:r>
            <w:r w:rsidRPr="0027242E">
              <w:rPr>
                <w:rFonts w:cs="Arial"/>
                <w:color w:val="0D0D0D" w:themeColor="text1" w:themeTint="F2"/>
                <w:spacing w:val="-2"/>
              </w:rPr>
              <w:t>k</w:t>
            </w:r>
            <w:r>
              <w:rPr>
                <w:rFonts w:cs="Arial"/>
                <w:color w:val="0D0D0D" w:themeColor="text1" w:themeTint="F2"/>
                <w:spacing w:val="-2"/>
              </w:rPr>
              <w:t>lesající ceny PHM</w:t>
            </w:r>
            <w:r w:rsidRPr="0027242E">
              <w:rPr>
                <w:rFonts w:cs="Arial"/>
                <w:color w:val="0D0D0D" w:themeColor="text1" w:themeTint="F2"/>
                <w:spacing w:val="-2"/>
              </w:rPr>
              <w:t xml:space="preserve"> i zavedení druhé snížené sazby DPH</w:t>
            </w:r>
            <w:r>
              <w:rPr>
                <w:rFonts w:cs="Arial"/>
                <w:color w:val="0D0D0D" w:themeColor="text1" w:themeTint="F2"/>
                <w:spacing w:val="-2"/>
              </w:rPr>
              <w:t xml:space="preserve"> (knihy, léky).</w:t>
            </w:r>
          </w:p>
          <w:p w:rsidR="00B55BA8" w:rsidRPr="000C0310" w:rsidRDefault="00B55BA8" w:rsidP="003D3EC4">
            <w:pPr>
              <w:pStyle w:val="Textpoznpodarou"/>
              <w:jc w:val="both"/>
              <w:rPr>
                <w:rFonts w:cs="Arial"/>
                <w:color w:val="0D0D0D" w:themeColor="text1" w:themeTint="F2"/>
                <w:spacing w:val="-2"/>
                <w:sz w:val="14"/>
                <w:szCs w:val="14"/>
              </w:rPr>
            </w:pPr>
          </w:p>
        </w:tc>
      </w:tr>
      <w:tr w:rsidR="00B55BA8" w:rsidTr="003D3EC4">
        <w:tc>
          <w:tcPr>
            <w:tcW w:w="1054" w:type="pct"/>
          </w:tcPr>
          <w:p w:rsidR="00B55BA8" w:rsidRDefault="00B55BA8" w:rsidP="003D3EC4">
            <w:pPr>
              <w:spacing w:line="240" w:lineRule="auto"/>
              <w:rPr>
                <w:rFonts w:cs="Arial"/>
                <w:bCs/>
                <w:iCs/>
                <w:color w:val="0D0D0D" w:themeColor="text1" w:themeTint="F2"/>
                <w:sz w:val="16"/>
                <w:szCs w:val="16"/>
              </w:rPr>
            </w:pPr>
            <w:r w:rsidRPr="00673887">
              <w:rPr>
                <w:rFonts w:cs="Arial"/>
                <w:bCs/>
                <w:iCs/>
                <w:color w:val="0D0D0D" w:themeColor="text1" w:themeTint="F2"/>
                <w:sz w:val="16"/>
                <w:szCs w:val="16"/>
              </w:rPr>
              <w:t xml:space="preserve">Inkaso všech spotřebních daní v 1. </w:t>
            </w:r>
            <w:r>
              <w:rPr>
                <w:rFonts w:cs="Arial"/>
                <w:bCs/>
                <w:iCs/>
                <w:color w:val="0D0D0D" w:themeColor="text1" w:themeTint="F2"/>
                <w:sz w:val="16"/>
                <w:szCs w:val="16"/>
              </w:rPr>
              <w:t>p</w:t>
            </w:r>
            <w:r w:rsidRPr="00673887">
              <w:rPr>
                <w:rFonts w:cs="Arial"/>
                <w:bCs/>
                <w:iCs/>
                <w:color w:val="0D0D0D" w:themeColor="text1" w:themeTint="F2"/>
                <w:sz w:val="16"/>
                <w:szCs w:val="16"/>
              </w:rPr>
              <w:t>ololetí meziročně stále</w:t>
            </w:r>
            <w:r w:rsidRPr="00A14F95">
              <w:rPr>
                <w:rFonts w:cs="Arial"/>
                <w:bCs/>
                <w:iCs/>
                <w:color w:val="0D0D0D" w:themeColor="text1" w:themeTint="F2"/>
                <w:sz w:val="16"/>
                <w:szCs w:val="16"/>
              </w:rPr>
              <w:t xml:space="preserve"> o 4 % nižší </w:t>
            </w:r>
            <w:r>
              <w:rPr>
                <w:rFonts w:cs="Arial"/>
                <w:bCs/>
                <w:iCs/>
                <w:color w:val="0D0D0D" w:themeColor="text1" w:themeTint="F2"/>
                <w:sz w:val="16"/>
                <w:szCs w:val="16"/>
              </w:rPr>
              <w:t>(</w:t>
            </w:r>
            <w:r w:rsidRPr="00A14F95">
              <w:rPr>
                <w:rFonts w:cs="Arial"/>
                <w:bCs/>
                <w:iCs/>
                <w:color w:val="0D0D0D" w:themeColor="text1" w:themeTint="F2"/>
                <w:sz w:val="16"/>
                <w:szCs w:val="16"/>
              </w:rPr>
              <w:t xml:space="preserve">vinou nižšího </w:t>
            </w:r>
            <w:r>
              <w:rPr>
                <w:rFonts w:cs="Arial"/>
                <w:bCs/>
                <w:iCs/>
                <w:color w:val="0D0D0D" w:themeColor="text1" w:themeTint="F2"/>
                <w:sz w:val="16"/>
                <w:szCs w:val="16"/>
              </w:rPr>
              <w:t>výběru u ta</w:t>
            </w:r>
            <w:r w:rsidRPr="00A14F95">
              <w:rPr>
                <w:rFonts w:cs="Arial"/>
                <w:bCs/>
                <w:iCs/>
                <w:color w:val="0D0D0D" w:themeColor="text1" w:themeTint="F2"/>
                <w:sz w:val="16"/>
                <w:szCs w:val="16"/>
              </w:rPr>
              <w:t>bákových výrobků</w:t>
            </w:r>
            <w:r>
              <w:rPr>
                <w:rFonts w:cs="Arial"/>
                <w:bCs/>
                <w:iCs/>
                <w:color w:val="0D0D0D" w:themeColor="text1" w:themeTint="F2"/>
                <w:sz w:val="16"/>
                <w:szCs w:val="16"/>
              </w:rPr>
              <w:t xml:space="preserve">), </w:t>
            </w:r>
          </w:p>
          <w:p w:rsidR="00B55BA8" w:rsidRPr="009720D9" w:rsidRDefault="00B55BA8" w:rsidP="003D3EC4">
            <w:pPr>
              <w:spacing w:line="240" w:lineRule="auto"/>
              <w:rPr>
                <w:rFonts w:cs="Arial"/>
                <w:bCs/>
                <w:iCs/>
                <w:color w:val="0D0D0D" w:themeColor="text1" w:themeTint="F2"/>
                <w:szCs w:val="20"/>
              </w:rPr>
            </w:pPr>
            <w:r>
              <w:rPr>
                <w:rFonts w:cs="Arial"/>
                <w:bCs/>
                <w:iCs/>
                <w:color w:val="0D0D0D" w:themeColor="text1" w:themeTint="F2"/>
                <w:sz w:val="16"/>
                <w:szCs w:val="16"/>
              </w:rPr>
              <w:t>na konci srpna však již o 4</w:t>
            </w:r>
            <w:r w:rsidRPr="00673887">
              <w:rPr>
                <w:rFonts w:cs="Arial"/>
                <w:bCs/>
                <w:iCs/>
                <w:color w:val="0D0D0D" w:themeColor="text1" w:themeTint="F2"/>
                <w:sz w:val="16"/>
                <w:szCs w:val="16"/>
              </w:rPr>
              <w:t> </w:t>
            </w:r>
            <w:r>
              <w:rPr>
                <w:rFonts w:cs="Arial"/>
                <w:bCs/>
                <w:iCs/>
                <w:color w:val="0D0D0D" w:themeColor="text1" w:themeTint="F2"/>
                <w:sz w:val="16"/>
                <w:szCs w:val="16"/>
              </w:rPr>
              <w:t>% vyšší</w:t>
            </w:r>
          </w:p>
        </w:tc>
        <w:tc>
          <w:tcPr>
            <w:tcW w:w="142" w:type="pct"/>
          </w:tcPr>
          <w:p w:rsidR="00B55BA8" w:rsidRPr="009720D9" w:rsidRDefault="00B55BA8" w:rsidP="003D3EC4">
            <w:pPr>
              <w:pStyle w:val="Textpoznpodarou"/>
              <w:jc w:val="both"/>
              <w:rPr>
                <w:color w:val="0D0D0D" w:themeColor="text1" w:themeTint="F2"/>
              </w:rPr>
            </w:pPr>
          </w:p>
        </w:tc>
        <w:tc>
          <w:tcPr>
            <w:tcW w:w="3804" w:type="pct"/>
          </w:tcPr>
          <w:p w:rsidR="00B55BA8" w:rsidRPr="005C3CD3" w:rsidRDefault="00B55BA8" w:rsidP="003D3EC4">
            <w:pPr>
              <w:pStyle w:val="Textpoznpodarou"/>
              <w:jc w:val="both"/>
              <w:rPr>
                <w:rFonts w:cs="Arial"/>
                <w:color w:val="0D0D0D" w:themeColor="text1" w:themeTint="F2"/>
                <w:spacing w:val="-2"/>
              </w:rPr>
            </w:pPr>
            <w:r>
              <w:rPr>
                <w:rFonts w:cs="Arial"/>
                <w:color w:val="0D0D0D" w:themeColor="text1" w:themeTint="F2"/>
                <w:spacing w:val="-2"/>
              </w:rPr>
              <w:t>Na</w:t>
            </w:r>
            <w:r w:rsidRPr="00540C2A">
              <w:rPr>
                <w:rFonts w:cs="Arial"/>
                <w:color w:val="0D0D0D" w:themeColor="text1" w:themeTint="F2"/>
                <w:spacing w:val="-2"/>
              </w:rPr>
              <w:t xml:space="preserve"> </w:t>
            </w:r>
            <w:r>
              <w:rPr>
                <w:rFonts w:cs="Arial"/>
                <w:color w:val="0D0D0D" w:themeColor="text1" w:themeTint="F2"/>
                <w:spacing w:val="-2"/>
              </w:rPr>
              <w:t xml:space="preserve">dani </w:t>
            </w:r>
            <w:r w:rsidRPr="00540C2A">
              <w:rPr>
                <w:rFonts w:cs="Arial"/>
                <w:color w:val="0D0D0D" w:themeColor="text1" w:themeTint="F2"/>
                <w:spacing w:val="-2"/>
              </w:rPr>
              <w:t xml:space="preserve">z minerálních olejů </w:t>
            </w:r>
            <w:r>
              <w:rPr>
                <w:spacing w:val="-4"/>
                <w:lang w:eastAsia="ar-SA"/>
              </w:rPr>
              <w:t>(</w:t>
            </w:r>
            <w:r w:rsidRPr="00540C2A">
              <w:rPr>
                <w:rFonts w:cs="Arial"/>
                <w:color w:val="0D0D0D" w:themeColor="text1" w:themeTint="F2"/>
                <w:spacing w:val="-2"/>
              </w:rPr>
              <w:t>klíčové</w:t>
            </w:r>
            <w:r>
              <w:rPr>
                <w:rFonts w:cs="Arial"/>
                <w:color w:val="0D0D0D" w:themeColor="text1" w:themeTint="F2"/>
                <w:spacing w:val="-2"/>
              </w:rPr>
              <w:t xml:space="preserve"> položce spotřebních daní)</w:t>
            </w:r>
            <w:r>
              <w:rPr>
                <w:spacing w:val="-4"/>
                <w:lang w:eastAsia="ar-SA"/>
              </w:rPr>
              <w:t xml:space="preserve"> </w:t>
            </w:r>
            <w:r w:rsidRPr="00540C2A">
              <w:rPr>
                <w:rFonts w:cs="Arial"/>
                <w:color w:val="0D0D0D" w:themeColor="text1" w:themeTint="F2"/>
                <w:spacing w:val="-2"/>
              </w:rPr>
              <w:t>získal stát meziročně o 4 % více.</w:t>
            </w:r>
            <w:r>
              <w:rPr>
                <w:rFonts w:cs="Arial"/>
                <w:color w:val="0D0D0D" w:themeColor="text1" w:themeTint="F2"/>
                <w:spacing w:val="-2"/>
              </w:rPr>
              <w:t xml:space="preserve"> </w:t>
            </w:r>
            <w:r w:rsidRPr="005C3CD3">
              <w:rPr>
                <w:rFonts w:cs="Arial"/>
                <w:color w:val="0D0D0D" w:themeColor="text1" w:themeTint="F2"/>
                <w:spacing w:val="-2"/>
              </w:rPr>
              <w:t>Příznivé ceny PHM stimulovaly poptávku (vč. zahraničních přepr</w:t>
            </w:r>
            <w:r>
              <w:rPr>
                <w:rFonts w:cs="Arial"/>
                <w:color w:val="0D0D0D" w:themeColor="text1" w:themeTint="F2"/>
                <w:spacing w:val="-2"/>
              </w:rPr>
              <w:t>avců), k rozvoji dopravy přispěla i sílící ekonomika, negativně naopak působilo opětovné zavedení daňových úlev (</w:t>
            </w:r>
            <w:r>
              <w:t>tzv. zelené nafty)</w:t>
            </w:r>
            <w:r w:rsidRPr="005C3CD3">
              <w:rPr>
                <w:rFonts w:cs="Arial"/>
                <w:color w:val="0D0D0D" w:themeColor="text1" w:themeTint="F2"/>
                <w:spacing w:val="-2"/>
              </w:rPr>
              <w:t>.</w:t>
            </w:r>
            <w:r>
              <w:rPr>
                <w:rFonts w:cs="Arial"/>
                <w:color w:val="FF0000"/>
                <w:spacing w:val="-2"/>
              </w:rPr>
              <w:t xml:space="preserve"> </w:t>
            </w:r>
            <w:r w:rsidRPr="00EF5B53">
              <w:rPr>
                <w:rFonts w:cs="Arial"/>
                <w:color w:val="0D0D0D" w:themeColor="text1" w:themeTint="F2"/>
                <w:spacing w:val="-2"/>
              </w:rPr>
              <w:t>U výběru</w:t>
            </w:r>
            <w:r>
              <w:rPr>
                <w:rFonts w:cs="Arial"/>
                <w:color w:val="0D0D0D" w:themeColor="text1" w:themeTint="F2"/>
                <w:spacing w:val="-2"/>
              </w:rPr>
              <w:t xml:space="preserve"> daně z tabákových výrobků dopad</w:t>
            </w:r>
            <w:r w:rsidRPr="00EF5B53">
              <w:rPr>
                <w:rFonts w:cs="Arial"/>
                <w:color w:val="0D0D0D" w:themeColor="text1" w:themeTint="F2"/>
                <w:spacing w:val="-2"/>
              </w:rPr>
              <w:t xml:space="preserve"> enorm</w:t>
            </w:r>
            <w:r>
              <w:rPr>
                <w:rFonts w:cs="Arial"/>
                <w:color w:val="0D0D0D" w:themeColor="text1" w:themeTint="F2"/>
                <w:spacing w:val="-2"/>
              </w:rPr>
              <w:t xml:space="preserve">ního loňského předzásobení dlouho zastiňoval vliv opakovaného zvýšení sazeb (za 1. čtvrtletí 2015 inkaso meziročně oslabilo o 13 mld. korun, za celé 1. pololetí o 4 mld. korun, do konce srpna již bylo vyšší o téměř 2 mld. korun). </w:t>
            </w:r>
          </w:p>
          <w:p w:rsidR="00B55BA8" w:rsidRPr="000C0310" w:rsidRDefault="00B55BA8" w:rsidP="003D3EC4">
            <w:pPr>
              <w:pStyle w:val="Textpoznpodarou"/>
              <w:jc w:val="both"/>
              <w:rPr>
                <w:rFonts w:cs="Arial"/>
                <w:color w:val="0D0D0D" w:themeColor="text1" w:themeTint="F2"/>
                <w:spacing w:val="-2"/>
                <w:sz w:val="14"/>
                <w:szCs w:val="14"/>
              </w:rPr>
            </w:pPr>
          </w:p>
        </w:tc>
      </w:tr>
      <w:tr w:rsidR="00B55BA8" w:rsidTr="003D3EC4">
        <w:tc>
          <w:tcPr>
            <w:tcW w:w="1054" w:type="pct"/>
          </w:tcPr>
          <w:p w:rsidR="00B55BA8" w:rsidRDefault="00B55BA8" w:rsidP="003D3EC4">
            <w:pPr>
              <w:spacing w:line="240" w:lineRule="auto"/>
              <w:rPr>
                <w:rFonts w:cs="Arial"/>
                <w:bCs/>
                <w:iCs/>
                <w:color w:val="0D0D0D" w:themeColor="text1" w:themeTint="F2"/>
                <w:sz w:val="16"/>
                <w:szCs w:val="16"/>
              </w:rPr>
            </w:pPr>
            <w:r w:rsidRPr="007D0A6C">
              <w:rPr>
                <w:rFonts w:cs="Arial"/>
                <w:bCs/>
                <w:iCs/>
                <w:color w:val="0D0D0D" w:themeColor="text1" w:themeTint="F2"/>
                <w:sz w:val="16"/>
                <w:szCs w:val="16"/>
              </w:rPr>
              <w:t xml:space="preserve">Inkaso </w:t>
            </w:r>
            <w:proofErr w:type="spellStart"/>
            <w:r w:rsidRPr="007D0A6C">
              <w:rPr>
                <w:rFonts w:cs="Arial"/>
                <w:bCs/>
                <w:iCs/>
                <w:color w:val="0D0D0D" w:themeColor="text1" w:themeTint="F2"/>
                <w:sz w:val="16"/>
                <w:szCs w:val="16"/>
              </w:rPr>
              <w:t>korporátní</w:t>
            </w:r>
            <w:proofErr w:type="spellEnd"/>
            <w:r w:rsidRPr="007D0A6C">
              <w:rPr>
                <w:rFonts w:cs="Arial"/>
                <w:bCs/>
                <w:iCs/>
                <w:color w:val="0D0D0D" w:themeColor="text1" w:themeTint="F2"/>
                <w:sz w:val="16"/>
                <w:szCs w:val="16"/>
              </w:rPr>
              <w:t xml:space="preserve"> daně meziročně vyšší již šesté čtvrtletí v</w:t>
            </w:r>
            <w:r>
              <w:rPr>
                <w:rFonts w:cs="Arial"/>
                <w:bCs/>
                <w:iCs/>
                <w:color w:val="0D0D0D" w:themeColor="text1" w:themeTint="F2"/>
                <w:sz w:val="16"/>
                <w:szCs w:val="16"/>
              </w:rPr>
              <w:t> </w:t>
            </w:r>
            <w:r w:rsidRPr="007D0A6C">
              <w:rPr>
                <w:rFonts w:cs="Arial"/>
                <w:bCs/>
                <w:iCs/>
                <w:color w:val="0D0D0D" w:themeColor="text1" w:themeTint="F2"/>
                <w:sz w:val="16"/>
                <w:szCs w:val="16"/>
              </w:rPr>
              <w:t>řadě</w:t>
            </w:r>
            <w:r>
              <w:rPr>
                <w:rFonts w:cs="Arial"/>
                <w:bCs/>
                <w:iCs/>
                <w:color w:val="0D0D0D" w:themeColor="text1" w:themeTint="F2"/>
                <w:sz w:val="16"/>
                <w:szCs w:val="16"/>
              </w:rPr>
              <w:t>, vyššímu inkasu daní z příjmů od zaměstnanců bránilo rozšíření daňových slev</w:t>
            </w:r>
          </w:p>
          <w:p w:rsidR="00B55BA8" w:rsidRDefault="00B55BA8" w:rsidP="003D3EC4">
            <w:pPr>
              <w:spacing w:line="240" w:lineRule="auto"/>
              <w:rPr>
                <w:rFonts w:cs="Arial"/>
                <w:bCs/>
                <w:iCs/>
                <w:color w:val="0D0D0D" w:themeColor="text1" w:themeTint="F2"/>
                <w:sz w:val="16"/>
                <w:szCs w:val="16"/>
              </w:rPr>
            </w:pPr>
          </w:p>
          <w:p w:rsidR="00B55BA8" w:rsidRPr="000C0310" w:rsidRDefault="00B55BA8" w:rsidP="003D3EC4">
            <w:pPr>
              <w:spacing w:line="240" w:lineRule="auto"/>
              <w:rPr>
                <w:rFonts w:cs="Arial"/>
                <w:bCs/>
                <w:iCs/>
                <w:color w:val="0D0D0D" w:themeColor="text1" w:themeTint="F2"/>
                <w:spacing w:val="-4"/>
                <w:sz w:val="16"/>
                <w:szCs w:val="16"/>
              </w:rPr>
            </w:pPr>
            <w:r w:rsidRPr="000C0310">
              <w:rPr>
                <w:rFonts w:cs="Arial"/>
                <w:bCs/>
                <w:iCs/>
                <w:color w:val="0D0D0D" w:themeColor="text1" w:themeTint="F2"/>
                <w:spacing w:val="-4"/>
                <w:sz w:val="16"/>
                <w:szCs w:val="16"/>
              </w:rPr>
              <w:t xml:space="preserve">Na konci srpna přetrvávalo proti rozpočtovým </w:t>
            </w:r>
            <w:r>
              <w:rPr>
                <w:rFonts w:cs="Arial"/>
                <w:bCs/>
                <w:iCs/>
                <w:color w:val="0D0D0D" w:themeColor="text1" w:themeTint="F2"/>
                <w:spacing w:val="-4"/>
                <w:sz w:val="16"/>
                <w:szCs w:val="16"/>
              </w:rPr>
              <w:t>očekáváním</w:t>
            </w:r>
            <w:r w:rsidRPr="000C0310">
              <w:rPr>
                <w:rFonts w:cs="Arial"/>
                <w:bCs/>
                <w:iCs/>
                <w:color w:val="0D0D0D" w:themeColor="text1" w:themeTint="F2"/>
                <w:spacing w:val="-4"/>
                <w:sz w:val="16"/>
                <w:szCs w:val="16"/>
              </w:rPr>
              <w:t xml:space="preserve"> meziročně nižší plnění z významných položek daňových příjmů jen u DPH</w:t>
            </w:r>
          </w:p>
          <w:p w:rsidR="00B55BA8" w:rsidRPr="000C0310" w:rsidRDefault="00B55BA8" w:rsidP="003D3EC4">
            <w:pPr>
              <w:spacing w:line="240" w:lineRule="auto"/>
              <w:rPr>
                <w:rFonts w:cs="Arial"/>
                <w:bCs/>
                <w:iCs/>
                <w:color w:val="0D0D0D" w:themeColor="text1" w:themeTint="F2"/>
                <w:sz w:val="6"/>
                <w:szCs w:val="6"/>
              </w:rPr>
            </w:pPr>
          </w:p>
        </w:tc>
        <w:tc>
          <w:tcPr>
            <w:tcW w:w="142" w:type="pct"/>
          </w:tcPr>
          <w:p w:rsidR="00B55BA8" w:rsidRPr="009720D9" w:rsidRDefault="00B55BA8" w:rsidP="003D3EC4">
            <w:pPr>
              <w:pStyle w:val="Textpoznpodarou"/>
              <w:jc w:val="both"/>
              <w:rPr>
                <w:color w:val="0D0D0D" w:themeColor="text1" w:themeTint="F2"/>
              </w:rPr>
            </w:pPr>
          </w:p>
        </w:tc>
        <w:tc>
          <w:tcPr>
            <w:tcW w:w="3804" w:type="pct"/>
          </w:tcPr>
          <w:p w:rsidR="00B55BA8" w:rsidRDefault="00B55BA8" w:rsidP="003D3EC4">
            <w:pPr>
              <w:pStyle w:val="Textpoznpodarou"/>
              <w:jc w:val="both"/>
            </w:pPr>
            <w:r>
              <w:rPr>
                <w:rFonts w:cs="Arial"/>
                <w:color w:val="0D0D0D" w:themeColor="text1" w:themeTint="F2"/>
                <w:spacing w:val="-2"/>
              </w:rPr>
              <w:t xml:space="preserve">Zlepšená finanční situace podniků se odrazila i v </w:t>
            </w:r>
            <w:r>
              <w:t>celostátním</w:t>
            </w:r>
            <w:r w:rsidRPr="007D0A6C">
              <w:t xml:space="preserve"> výběru </w:t>
            </w:r>
            <w:proofErr w:type="spellStart"/>
            <w:r w:rsidRPr="007D0A6C">
              <w:t>korporátních</w:t>
            </w:r>
            <w:proofErr w:type="spellEnd"/>
            <w:r w:rsidRPr="007D0A6C">
              <w:t xml:space="preserve"> daní</w:t>
            </w:r>
            <w:r>
              <w:t xml:space="preserve">, jehož silná růstová dynamika z loňského roku zůstala i v letošním 1. pololetí zachována (8,4 %). Skromně </w:t>
            </w:r>
            <w:r w:rsidRPr="00A305ED">
              <w:t xml:space="preserve">naopak </w:t>
            </w:r>
            <w:r>
              <w:t>rostl</w:t>
            </w:r>
            <w:r w:rsidRPr="00A305ED">
              <w:t xml:space="preserve"> výběr daně z příjmů fyzických os</w:t>
            </w:r>
            <w:r>
              <w:t>ob (DPFO) ze závislé činnosti (1,0 %), když efekt vyšší zaměstnanosti i postupného zrych</w:t>
            </w:r>
            <w:r w:rsidR="00230DAD">
              <w:t>lování růstu mezd zčásti tlumila</w:t>
            </w:r>
            <w:r>
              <w:t xml:space="preserve"> legislativní opatření (zvýšení slevy na druhé a další dítě, „</w:t>
            </w:r>
            <w:proofErr w:type="spellStart"/>
            <w:r>
              <w:t>školkovné</w:t>
            </w:r>
            <w:proofErr w:type="spellEnd"/>
            <w:r>
              <w:t xml:space="preserve">“, uplatnění základní slevy u pracujících důchodců). Daňové slevy snížily v 1. pololetí i </w:t>
            </w:r>
            <w:r w:rsidRPr="00F736C6">
              <w:t>inkaso DPFO placené na základě přiznání</w:t>
            </w:r>
            <w:r>
              <w:t xml:space="preserve">, které bylo meziročně o 2 mld. slabší. </w:t>
            </w:r>
            <w:r w:rsidRPr="00F736C6">
              <w:t xml:space="preserve">Celostátní výběr </w:t>
            </w:r>
            <w:proofErr w:type="spellStart"/>
            <w:r>
              <w:t>korporátních</w:t>
            </w:r>
            <w:proofErr w:type="spellEnd"/>
            <w:r>
              <w:t xml:space="preserve"> daní </w:t>
            </w:r>
            <w:r w:rsidRPr="00F736C6">
              <w:t xml:space="preserve">byl letos proti svému vrcholu (1. pololetí 2008) o plnou třetinu nižší, </w:t>
            </w:r>
            <w:r>
              <w:t xml:space="preserve">inkaso daní od zaměstnanců ale proti stejnému období narostlo o čtvrtinu. </w:t>
            </w:r>
          </w:p>
          <w:p w:rsidR="00B55BA8" w:rsidRPr="000C0310" w:rsidRDefault="00B55BA8" w:rsidP="003D3EC4">
            <w:pPr>
              <w:pStyle w:val="Textpoznpodarou"/>
              <w:jc w:val="both"/>
              <w:rPr>
                <w:rFonts w:cs="Arial"/>
                <w:color w:val="0D0D0D" w:themeColor="text1" w:themeTint="F2"/>
                <w:spacing w:val="-2"/>
                <w:sz w:val="14"/>
                <w:szCs w:val="14"/>
              </w:rPr>
            </w:pPr>
          </w:p>
        </w:tc>
      </w:tr>
      <w:tr w:rsidR="00B55BA8" w:rsidTr="003D3EC4">
        <w:tc>
          <w:tcPr>
            <w:tcW w:w="1054" w:type="pct"/>
          </w:tcPr>
          <w:p w:rsidR="00B55BA8" w:rsidRDefault="00B55BA8" w:rsidP="003D3EC4">
            <w:pPr>
              <w:spacing w:line="240" w:lineRule="auto"/>
              <w:rPr>
                <w:rFonts w:cs="Arial"/>
                <w:bCs/>
                <w:iCs/>
                <w:color w:val="0D0D0D" w:themeColor="text1" w:themeTint="F2"/>
                <w:sz w:val="16"/>
                <w:szCs w:val="16"/>
              </w:rPr>
            </w:pPr>
            <w:r w:rsidRPr="0076251D">
              <w:rPr>
                <w:rFonts w:cs="Arial"/>
                <w:bCs/>
                <w:iCs/>
                <w:color w:val="0D0D0D" w:themeColor="text1" w:themeTint="F2"/>
                <w:sz w:val="16"/>
                <w:szCs w:val="16"/>
              </w:rPr>
              <w:t>Dynamika růstu výdajů SR zrychlovala</w:t>
            </w:r>
          </w:p>
          <w:p w:rsidR="00B55BA8" w:rsidRDefault="00B55BA8" w:rsidP="003D3EC4">
            <w:pPr>
              <w:spacing w:line="240" w:lineRule="auto"/>
              <w:rPr>
                <w:rFonts w:cs="Arial"/>
                <w:bCs/>
                <w:iCs/>
                <w:color w:val="0D0D0D" w:themeColor="text1" w:themeTint="F2"/>
                <w:sz w:val="16"/>
                <w:szCs w:val="16"/>
              </w:rPr>
            </w:pPr>
          </w:p>
          <w:p w:rsidR="00B55BA8" w:rsidRDefault="00B55BA8" w:rsidP="003D3EC4">
            <w:pPr>
              <w:spacing w:line="240" w:lineRule="auto"/>
              <w:rPr>
                <w:rFonts w:cs="Arial"/>
                <w:bCs/>
                <w:iCs/>
                <w:color w:val="0D0D0D" w:themeColor="text1" w:themeTint="F2"/>
                <w:sz w:val="16"/>
                <w:szCs w:val="16"/>
              </w:rPr>
            </w:pPr>
            <w:r>
              <w:rPr>
                <w:rFonts w:cs="Arial"/>
                <w:bCs/>
                <w:iCs/>
                <w:color w:val="0D0D0D" w:themeColor="text1" w:themeTint="F2"/>
                <w:sz w:val="16"/>
                <w:szCs w:val="16"/>
              </w:rPr>
              <w:t>Nastartování růstu ekonomiky se plně projevuje ve vyšším výběru pojistného na důchody, deficit důchodového účtu letos nejpříznivější od 1. pololetí 2009</w:t>
            </w:r>
          </w:p>
          <w:p w:rsidR="00B55BA8" w:rsidRPr="009720D9" w:rsidRDefault="00B55BA8" w:rsidP="003D3EC4">
            <w:pPr>
              <w:spacing w:line="240" w:lineRule="auto"/>
              <w:rPr>
                <w:rFonts w:cs="Arial"/>
                <w:bCs/>
                <w:iCs/>
                <w:color w:val="0D0D0D" w:themeColor="text1" w:themeTint="F2"/>
                <w:szCs w:val="20"/>
              </w:rPr>
            </w:pPr>
          </w:p>
        </w:tc>
        <w:tc>
          <w:tcPr>
            <w:tcW w:w="142" w:type="pct"/>
          </w:tcPr>
          <w:p w:rsidR="00B55BA8" w:rsidRPr="009720D9" w:rsidRDefault="00B55BA8" w:rsidP="003D3EC4">
            <w:pPr>
              <w:pStyle w:val="Textpoznpodarou"/>
              <w:jc w:val="both"/>
              <w:rPr>
                <w:color w:val="0D0D0D" w:themeColor="text1" w:themeTint="F2"/>
              </w:rPr>
            </w:pPr>
          </w:p>
        </w:tc>
        <w:tc>
          <w:tcPr>
            <w:tcW w:w="3804" w:type="pct"/>
          </w:tcPr>
          <w:p w:rsidR="00B55BA8" w:rsidRPr="0076251D" w:rsidRDefault="00B55BA8" w:rsidP="003D3EC4">
            <w:pPr>
              <w:pStyle w:val="Textpoznpodarou"/>
              <w:jc w:val="both"/>
              <w:rPr>
                <w:rFonts w:cs="Arial"/>
                <w:color w:val="0D0D0D" w:themeColor="text1" w:themeTint="F2"/>
                <w:spacing w:val="-4"/>
              </w:rPr>
            </w:pPr>
            <w:r w:rsidRPr="000F57D3">
              <w:rPr>
                <w:rFonts w:cs="Arial"/>
                <w:color w:val="0D0D0D" w:themeColor="text1" w:themeTint="F2"/>
                <w:spacing w:val="-4"/>
              </w:rPr>
              <w:t xml:space="preserve">Celkové výdaje SR, po stagnaci v předchozích </w:t>
            </w:r>
            <w:r>
              <w:rPr>
                <w:rFonts w:cs="Arial"/>
                <w:color w:val="0D0D0D" w:themeColor="text1" w:themeTint="F2"/>
                <w:spacing w:val="-4"/>
              </w:rPr>
              <w:t>třech letech, vzrostly v 1. polo</w:t>
            </w:r>
            <w:r w:rsidRPr="000F57D3">
              <w:rPr>
                <w:rFonts w:cs="Arial"/>
                <w:color w:val="0D0D0D" w:themeColor="text1" w:themeTint="F2"/>
                <w:spacing w:val="-4"/>
              </w:rPr>
              <w:t>letí o</w:t>
            </w:r>
            <w:r w:rsidRPr="000F57D3">
              <w:rPr>
                <w:rFonts w:cs="Arial"/>
                <w:color w:val="0D0D0D" w:themeColor="text1" w:themeTint="F2"/>
                <w:spacing w:val="-2"/>
              </w:rPr>
              <w:t> </w:t>
            </w:r>
            <w:r w:rsidRPr="000F57D3">
              <w:rPr>
                <w:rFonts w:cs="Arial"/>
                <w:color w:val="0D0D0D" w:themeColor="text1" w:themeTint="F2"/>
                <w:spacing w:val="-4"/>
              </w:rPr>
              <w:t>5</w:t>
            </w:r>
            <w:r>
              <w:rPr>
                <w:rFonts w:cs="Arial"/>
                <w:color w:val="0D0D0D" w:themeColor="text1" w:themeTint="F2"/>
                <w:spacing w:val="-4"/>
              </w:rPr>
              <w:t>,2 %, nejvíce po roce 2009</w:t>
            </w:r>
            <w:r w:rsidRPr="000F57D3">
              <w:rPr>
                <w:rFonts w:cs="Arial"/>
                <w:color w:val="0D0D0D" w:themeColor="text1" w:themeTint="F2"/>
                <w:spacing w:val="-4"/>
              </w:rPr>
              <w:t xml:space="preserve">. </w:t>
            </w:r>
            <w:r>
              <w:rPr>
                <w:rFonts w:cs="Arial"/>
                <w:color w:val="0D0D0D" w:themeColor="text1" w:themeTint="F2"/>
                <w:spacing w:val="-4"/>
              </w:rPr>
              <w:t>Bezmála z</w:t>
            </w:r>
            <w:r w:rsidRPr="000F57D3">
              <w:rPr>
                <w:rFonts w:cs="Arial"/>
                <w:color w:val="0D0D0D" w:themeColor="text1" w:themeTint="F2"/>
                <w:spacing w:val="-4"/>
              </w:rPr>
              <w:t xml:space="preserve">e dvou třetin k tomu přispěly </w:t>
            </w:r>
            <w:r>
              <w:rPr>
                <w:rFonts w:cs="Arial"/>
                <w:color w:val="0D0D0D" w:themeColor="text1" w:themeTint="F2"/>
                <w:spacing w:val="-4"/>
              </w:rPr>
              <w:t>investice,</w:t>
            </w:r>
            <w:r w:rsidRPr="000F57D3">
              <w:rPr>
                <w:rFonts w:cs="Arial"/>
                <w:color w:val="0D0D0D" w:themeColor="text1" w:themeTint="F2"/>
                <w:spacing w:val="-4"/>
              </w:rPr>
              <w:t xml:space="preserve"> </w:t>
            </w:r>
            <w:r>
              <w:rPr>
                <w:rFonts w:cs="Arial"/>
                <w:color w:val="0D0D0D" w:themeColor="text1" w:themeTint="F2"/>
                <w:spacing w:val="-4"/>
              </w:rPr>
              <w:t>menší měrou pak běžné výdaje (+11,4</w:t>
            </w:r>
            <w:r w:rsidRPr="000F57D3">
              <w:rPr>
                <w:rFonts w:cs="Arial"/>
                <w:color w:val="0D0D0D" w:themeColor="text1" w:themeTint="F2"/>
                <w:spacing w:val="-4"/>
              </w:rPr>
              <w:t> mld</w:t>
            </w:r>
            <w:r w:rsidR="00230DAD">
              <w:rPr>
                <w:rFonts w:cs="Arial"/>
                <w:color w:val="0D0D0D" w:themeColor="text1" w:themeTint="F2"/>
                <w:spacing w:val="-4"/>
              </w:rPr>
              <w:t>.</w:t>
            </w:r>
            <w:r>
              <w:rPr>
                <w:rFonts w:cs="Arial"/>
                <w:color w:val="0D0D0D" w:themeColor="text1" w:themeTint="F2"/>
                <w:spacing w:val="-4"/>
              </w:rPr>
              <w:t xml:space="preserve"> korun)</w:t>
            </w:r>
            <w:r w:rsidRPr="000F57D3">
              <w:rPr>
                <w:rFonts w:cs="Arial"/>
                <w:color w:val="0D0D0D" w:themeColor="text1" w:themeTint="F2"/>
                <w:spacing w:val="-4"/>
              </w:rPr>
              <w:t>.</w:t>
            </w:r>
            <w:r>
              <w:rPr>
                <w:rFonts w:cs="Arial"/>
                <w:color w:val="0D0D0D" w:themeColor="text1" w:themeTint="F2"/>
                <w:spacing w:val="-4"/>
              </w:rPr>
              <w:t xml:space="preserve"> Sociální dávky, k</w:t>
            </w:r>
            <w:r w:rsidRPr="00A016BC">
              <w:rPr>
                <w:rFonts w:cs="Arial"/>
                <w:color w:val="0D0D0D" w:themeColor="text1" w:themeTint="F2"/>
                <w:spacing w:val="-4"/>
              </w:rPr>
              <w:t>líčová</w:t>
            </w:r>
            <w:r>
              <w:rPr>
                <w:rFonts w:cs="Arial"/>
                <w:color w:val="0D0D0D" w:themeColor="text1" w:themeTint="F2"/>
                <w:spacing w:val="-4"/>
              </w:rPr>
              <w:t xml:space="preserve"> část výdajů,</w:t>
            </w:r>
            <w:r w:rsidRPr="00A016BC">
              <w:rPr>
                <w:rFonts w:cs="Arial"/>
                <w:color w:val="0D0D0D" w:themeColor="text1" w:themeTint="F2"/>
                <w:spacing w:val="-4"/>
              </w:rPr>
              <w:t xml:space="preserve"> </w:t>
            </w:r>
            <w:r>
              <w:rPr>
                <w:rFonts w:cs="Arial"/>
                <w:color w:val="0D0D0D" w:themeColor="text1" w:themeTint="F2"/>
                <w:spacing w:val="-4"/>
              </w:rPr>
              <w:t>se meziročně navýšily skromnějším tempem (2,</w:t>
            </w:r>
            <w:r w:rsidRPr="00E45406">
              <w:rPr>
                <w:rFonts w:cs="Arial"/>
                <w:color w:val="0D0D0D" w:themeColor="text1" w:themeTint="F2"/>
                <w:spacing w:val="-4"/>
              </w:rPr>
              <w:t>7 %). Sociální dávky ukrojily ze</w:t>
            </w:r>
            <w:r>
              <w:rPr>
                <w:rFonts w:cs="Arial"/>
                <w:color w:val="0D0D0D" w:themeColor="text1" w:themeTint="F2"/>
                <w:spacing w:val="-4"/>
              </w:rPr>
              <w:t xml:space="preserve"> všech výdajů</w:t>
            </w:r>
            <w:r w:rsidRPr="00E45406">
              <w:rPr>
                <w:rFonts w:cs="Arial"/>
                <w:color w:val="0D0D0D" w:themeColor="text1" w:themeTint="F2"/>
                <w:spacing w:val="-4"/>
              </w:rPr>
              <w:t xml:space="preserve"> SR rovných 40 % (před rokem o 40,9 %)</w:t>
            </w:r>
            <w:r>
              <w:rPr>
                <w:rFonts w:cs="Arial"/>
                <w:color w:val="0D0D0D" w:themeColor="text1" w:themeTint="F2"/>
                <w:spacing w:val="-4"/>
              </w:rPr>
              <w:t xml:space="preserve">. </w:t>
            </w:r>
            <w:r w:rsidRPr="00B41DFC">
              <w:rPr>
                <w:rFonts w:cs="Arial"/>
                <w:color w:val="0D0D0D" w:themeColor="text1" w:themeTint="F2"/>
                <w:spacing w:val="-4"/>
              </w:rPr>
              <w:t xml:space="preserve">Více než tři čtvrtiny výdajů sociálních dávek směřovaly na důchody, ovlivněné opětovným přechodem na dřívější valorizační schéma, zčásti i mezigenerační obměnou důchodců </w:t>
            </w:r>
            <w:r>
              <w:rPr>
                <w:rFonts w:cs="Arial"/>
                <w:color w:val="0D0D0D" w:themeColor="text1" w:themeTint="F2"/>
                <w:spacing w:val="-4"/>
              </w:rPr>
              <w:t>(</w:t>
            </w:r>
            <w:r w:rsidR="00230DAD">
              <w:rPr>
                <w:rFonts w:cs="Arial"/>
                <w:color w:val="0D0D0D" w:themeColor="text1" w:themeTint="F2"/>
                <w:spacing w:val="-4"/>
              </w:rPr>
              <w:t>jejich počty poslední</w:t>
            </w:r>
            <w:r w:rsidRPr="00B41DFC">
              <w:rPr>
                <w:rFonts w:cs="Arial"/>
                <w:color w:val="0D0D0D" w:themeColor="text1" w:themeTint="F2"/>
                <w:spacing w:val="-4"/>
              </w:rPr>
              <w:t xml:space="preserve"> tři roky stagnují).</w:t>
            </w:r>
            <w:r w:rsidRPr="00BF305F">
              <w:rPr>
                <w:rFonts w:cs="Arial"/>
                <w:color w:val="FF0000"/>
                <w:spacing w:val="-4"/>
              </w:rPr>
              <w:t xml:space="preserve"> </w:t>
            </w:r>
            <w:r w:rsidRPr="0076251D">
              <w:rPr>
                <w:rFonts w:cs="Arial"/>
                <w:color w:val="0D0D0D" w:themeColor="text1" w:themeTint="F2"/>
                <w:spacing w:val="-4"/>
              </w:rPr>
              <w:t>Přestože růst výdajů na důchody (meziročně o 3,1 %) byl letos nejvyšší po roce 2012, deficit salda důchodového účtu (rozdíl mezi příjmy a výdaji na důchody ze SR) se díky dynamickému růstu výběru pojistného (+4,8 %, v rámci 1.</w:t>
            </w:r>
            <w:r w:rsidR="004C6717">
              <w:rPr>
                <w:rFonts w:cs="Arial"/>
                <w:color w:val="0D0D0D" w:themeColor="text1" w:themeTint="F2"/>
                <w:spacing w:val="-4"/>
              </w:rPr>
              <w:t> </w:t>
            </w:r>
            <w:r w:rsidRPr="0076251D">
              <w:rPr>
                <w:rFonts w:cs="Arial"/>
                <w:color w:val="0D0D0D" w:themeColor="text1" w:themeTint="F2"/>
                <w:spacing w:val="-4"/>
              </w:rPr>
              <w:t>pololetí nejvyššího za posledních sedm let) nadále snižoval (na 13 mld. korun).</w:t>
            </w:r>
          </w:p>
          <w:p w:rsidR="00B55BA8" w:rsidRPr="000C0310" w:rsidRDefault="00B55BA8" w:rsidP="003D3EC4">
            <w:pPr>
              <w:pStyle w:val="Textpoznpodarou"/>
              <w:jc w:val="both"/>
              <w:rPr>
                <w:rFonts w:cs="Arial"/>
                <w:color w:val="0D0D0D" w:themeColor="text1" w:themeTint="F2"/>
                <w:spacing w:val="-4"/>
                <w:sz w:val="6"/>
                <w:szCs w:val="6"/>
              </w:rPr>
            </w:pPr>
          </w:p>
        </w:tc>
      </w:tr>
      <w:tr w:rsidR="00B55BA8" w:rsidTr="003D3EC4">
        <w:tc>
          <w:tcPr>
            <w:tcW w:w="1054" w:type="pct"/>
          </w:tcPr>
          <w:p w:rsidR="00B55BA8" w:rsidRPr="000448AE" w:rsidRDefault="00B55BA8" w:rsidP="003D3EC4">
            <w:pPr>
              <w:spacing w:line="240" w:lineRule="auto"/>
              <w:rPr>
                <w:rFonts w:cs="Arial"/>
                <w:bCs/>
                <w:iCs/>
                <w:color w:val="0D0D0D" w:themeColor="text1" w:themeTint="F2"/>
                <w:sz w:val="16"/>
                <w:szCs w:val="16"/>
              </w:rPr>
            </w:pPr>
            <w:r>
              <w:rPr>
                <w:rFonts w:cs="Arial"/>
                <w:bCs/>
                <w:iCs/>
                <w:color w:val="0D0D0D" w:themeColor="text1" w:themeTint="F2"/>
                <w:sz w:val="16"/>
                <w:szCs w:val="16"/>
              </w:rPr>
              <w:lastRenderedPageBreak/>
              <w:t>Dynamika výdajů</w:t>
            </w:r>
            <w:r w:rsidRPr="000448AE">
              <w:rPr>
                <w:rFonts w:cs="Arial"/>
                <w:bCs/>
                <w:iCs/>
                <w:color w:val="0D0D0D" w:themeColor="text1" w:themeTint="F2"/>
                <w:sz w:val="16"/>
                <w:szCs w:val="16"/>
              </w:rPr>
              <w:t xml:space="preserve"> na sociální dávky</w:t>
            </w:r>
            <w:r>
              <w:rPr>
                <w:rFonts w:cs="Arial"/>
                <w:bCs/>
                <w:iCs/>
                <w:color w:val="0D0D0D" w:themeColor="text1" w:themeTint="F2"/>
                <w:sz w:val="16"/>
                <w:szCs w:val="16"/>
              </w:rPr>
              <w:t xml:space="preserve"> (</w:t>
            </w:r>
            <w:r w:rsidRPr="000448AE">
              <w:rPr>
                <w:rFonts w:cs="Arial"/>
                <w:bCs/>
                <w:iCs/>
                <w:color w:val="0D0D0D" w:themeColor="text1" w:themeTint="F2"/>
                <w:sz w:val="16"/>
                <w:szCs w:val="16"/>
              </w:rPr>
              <w:t>mimo důchody)</w:t>
            </w:r>
            <w:r>
              <w:rPr>
                <w:rFonts w:cs="Arial"/>
                <w:bCs/>
                <w:iCs/>
                <w:color w:val="0D0D0D" w:themeColor="text1" w:themeTint="F2"/>
                <w:sz w:val="16"/>
                <w:szCs w:val="16"/>
              </w:rPr>
              <w:t xml:space="preserve"> od roku 2013 slábne, významněji rostou jen dávky </w:t>
            </w:r>
            <w:r w:rsidRPr="000448AE">
              <w:rPr>
                <w:rFonts w:cs="Arial"/>
                <w:bCs/>
                <w:iCs/>
                <w:color w:val="0D0D0D" w:themeColor="text1" w:themeTint="F2"/>
                <w:sz w:val="16"/>
                <w:szCs w:val="16"/>
              </w:rPr>
              <w:t>nemocenského pojištění</w:t>
            </w:r>
          </w:p>
          <w:p w:rsidR="00B55BA8" w:rsidRPr="009720D9" w:rsidRDefault="00B55BA8" w:rsidP="003D3EC4">
            <w:pPr>
              <w:spacing w:line="240" w:lineRule="auto"/>
              <w:rPr>
                <w:rFonts w:cs="Arial"/>
                <w:bCs/>
                <w:iCs/>
                <w:color w:val="0D0D0D" w:themeColor="text1" w:themeTint="F2"/>
                <w:szCs w:val="20"/>
              </w:rPr>
            </w:pPr>
          </w:p>
        </w:tc>
        <w:tc>
          <w:tcPr>
            <w:tcW w:w="142" w:type="pct"/>
          </w:tcPr>
          <w:p w:rsidR="00B55BA8" w:rsidRPr="009720D9" w:rsidRDefault="00B55BA8" w:rsidP="003D3EC4">
            <w:pPr>
              <w:pStyle w:val="Textpoznpodarou"/>
              <w:jc w:val="both"/>
              <w:rPr>
                <w:color w:val="0D0D0D" w:themeColor="text1" w:themeTint="F2"/>
              </w:rPr>
            </w:pPr>
          </w:p>
        </w:tc>
        <w:tc>
          <w:tcPr>
            <w:tcW w:w="3804" w:type="pct"/>
          </w:tcPr>
          <w:p w:rsidR="00B55BA8" w:rsidRDefault="00230DAD" w:rsidP="003D3EC4">
            <w:pPr>
              <w:pStyle w:val="Textpoznpodarou"/>
              <w:jc w:val="both"/>
              <w:rPr>
                <w:rFonts w:cs="Arial"/>
                <w:color w:val="0D0D0D" w:themeColor="text1" w:themeTint="F2"/>
                <w:spacing w:val="-2"/>
              </w:rPr>
            </w:pPr>
            <w:r>
              <w:rPr>
                <w:rFonts w:cs="Arial"/>
                <w:color w:val="0D0D0D" w:themeColor="text1" w:themeTint="F2"/>
                <w:spacing w:val="-2"/>
              </w:rPr>
              <w:t>Do vyšších výdajů na ostatní</w:t>
            </w:r>
            <w:r w:rsidR="00B55BA8">
              <w:rPr>
                <w:rFonts w:cs="Arial"/>
                <w:color w:val="0D0D0D" w:themeColor="text1" w:themeTint="F2"/>
                <w:spacing w:val="-2"/>
              </w:rPr>
              <w:t xml:space="preserve"> sociální dávky (1,2 %) se promítl</w:t>
            </w:r>
            <w:r w:rsidR="00B55BA8" w:rsidRPr="001E33B2">
              <w:rPr>
                <w:rFonts w:cs="Arial"/>
                <w:color w:val="0D0D0D" w:themeColor="text1" w:themeTint="F2"/>
                <w:spacing w:val="-2"/>
              </w:rPr>
              <w:t xml:space="preserve"> růst dávek </w:t>
            </w:r>
            <w:r w:rsidR="00B55BA8" w:rsidRPr="00C6754A">
              <w:rPr>
                <w:rFonts w:cs="Arial"/>
                <w:color w:val="0D0D0D" w:themeColor="text1" w:themeTint="F2"/>
                <w:spacing w:val="-4"/>
              </w:rPr>
              <w:t>nemocenského pojištění (11 %), a to vlivem opětovného vyplácení nemocenské již od</w:t>
            </w:r>
            <w:r w:rsidR="00B55BA8">
              <w:rPr>
                <w:rFonts w:cs="Arial"/>
                <w:color w:val="0D0D0D" w:themeColor="text1" w:themeTint="F2"/>
                <w:spacing w:val="-2"/>
              </w:rPr>
              <w:t xml:space="preserve"> 15</w:t>
            </w:r>
            <w:r>
              <w:rPr>
                <w:rFonts w:cs="Arial"/>
                <w:color w:val="0D0D0D" w:themeColor="text1" w:themeTint="F2"/>
                <w:spacing w:val="-2"/>
              </w:rPr>
              <w:t>.</w:t>
            </w:r>
            <w:r w:rsidR="00B55BA8">
              <w:rPr>
                <w:rFonts w:cs="Arial"/>
                <w:color w:val="0D0D0D" w:themeColor="text1" w:themeTint="F2"/>
                <w:spacing w:val="-2"/>
              </w:rPr>
              <w:t xml:space="preserve"> dne a </w:t>
            </w:r>
            <w:r w:rsidR="00B55BA8" w:rsidRPr="001E33B2">
              <w:rPr>
                <w:rFonts w:cs="Arial"/>
                <w:color w:val="0D0D0D" w:themeColor="text1" w:themeTint="F2"/>
                <w:spacing w:val="-2"/>
              </w:rPr>
              <w:t>růstu pracovní neschopnost</w:t>
            </w:r>
            <w:r w:rsidR="00B55BA8" w:rsidRPr="007158FF">
              <w:rPr>
                <w:rFonts w:cs="Arial"/>
                <w:color w:val="0D0D0D" w:themeColor="text1" w:themeTint="F2"/>
                <w:spacing w:val="-2"/>
              </w:rPr>
              <w:t xml:space="preserve">i. Podstatně skromněji vzrostly i dávky sociální péče (1 %) vlivem vyšších příspěvků na péči i dávek pro zdravotně postižené </w:t>
            </w:r>
            <w:r w:rsidR="00B55BA8">
              <w:rPr>
                <w:rFonts w:cs="Arial"/>
                <w:color w:val="0D0D0D" w:themeColor="text1" w:themeTint="F2"/>
                <w:spacing w:val="-2"/>
              </w:rPr>
              <w:t>(</w:t>
            </w:r>
            <w:r w:rsidR="00B55BA8" w:rsidRPr="007158FF">
              <w:rPr>
                <w:rFonts w:cs="Arial"/>
                <w:color w:val="0D0D0D" w:themeColor="text1" w:themeTint="F2"/>
                <w:spacing w:val="-2"/>
              </w:rPr>
              <w:t xml:space="preserve">naopak dříve silně rostoucí doplatky na bydlení v 1. pololetí </w:t>
            </w:r>
            <w:r w:rsidR="00B55BA8">
              <w:rPr>
                <w:rFonts w:cs="Arial"/>
                <w:color w:val="0D0D0D" w:themeColor="text1" w:themeTint="F2"/>
                <w:spacing w:val="-2"/>
              </w:rPr>
              <w:t>meziročně poklesly o</w:t>
            </w:r>
            <w:r w:rsidR="00B55BA8" w:rsidRPr="00540C2A">
              <w:rPr>
                <w:rFonts w:cs="Arial"/>
                <w:color w:val="0D0D0D" w:themeColor="text1" w:themeTint="F2"/>
                <w:spacing w:val="-2"/>
              </w:rPr>
              <w:t> </w:t>
            </w:r>
            <w:r w:rsidR="00B55BA8">
              <w:rPr>
                <w:rFonts w:cs="Arial"/>
                <w:color w:val="0D0D0D" w:themeColor="text1" w:themeTint="F2"/>
                <w:spacing w:val="-2"/>
              </w:rPr>
              <w:t>5</w:t>
            </w:r>
            <w:r w:rsidR="00B55BA8" w:rsidRPr="00540C2A">
              <w:rPr>
                <w:rFonts w:cs="Arial"/>
                <w:color w:val="0D0D0D" w:themeColor="text1" w:themeTint="F2"/>
                <w:spacing w:val="-2"/>
              </w:rPr>
              <w:t> </w:t>
            </w:r>
            <w:r w:rsidR="00B55BA8" w:rsidRPr="007158FF">
              <w:rPr>
                <w:rFonts w:cs="Arial"/>
                <w:color w:val="0D0D0D" w:themeColor="text1" w:themeTint="F2"/>
                <w:spacing w:val="-2"/>
              </w:rPr>
              <w:t>%</w:t>
            </w:r>
            <w:r w:rsidR="00B55BA8">
              <w:rPr>
                <w:rFonts w:cs="Arial"/>
                <w:color w:val="0D0D0D" w:themeColor="text1" w:themeTint="F2"/>
                <w:spacing w:val="-2"/>
              </w:rPr>
              <w:t>). Méně směřovalo na státní sociální podporu</w:t>
            </w:r>
            <w:r w:rsidR="00B55BA8" w:rsidRPr="007158FF">
              <w:rPr>
                <w:rFonts w:cs="Arial"/>
                <w:color w:val="0D0D0D" w:themeColor="text1" w:themeTint="F2"/>
                <w:spacing w:val="-2"/>
              </w:rPr>
              <w:t xml:space="preserve"> (kde rostly jen příspěvky na bydlení, porodné a dávky pěstounům) a na</w:t>
            </w:r>
            <w:r w:rsidR="00B55BA8">
              <w:rPr>
                <w:rFonts w:cs="Arial"/>
                <w:color w:val="0D0D0D" w:themeColor="text1" w:themeTint="F2"/>
                <w:spacing w:val="-2"/>
              </w:rPr>
              <w:t xml:space="preserve"> podporu nezaměstnaným (-12 %).</w:t>
            </w:r>
          </w:p>
          <w:p w:rsidR="00B55BA8" w:rsidRPr="00BC0F98" w:rsidRDefault="00B55BA8" w:rsidP="003D3EC4">
            <w:pPr>
              <w:pStyle w:val="Textpoznpodarou"/>
              <w:jc w:val="both"/>
              <w:rPr>
                <w:rFonts w:cs="Arial"/>
                <w:color w:val="0D0D0D" w:themeColor="text1" w:themeTint="F2"/>
                <w:spacing w:val="-2"/>
                <w:sz w:val="16"/>
                <w:szCs w:val="16"/>
              </w:rPr>
            </w:pPr>
          </w:p>
        </w:tc>
      </w:tr>
      <w:tr w:rsidR="00B55BA8" w:rsidTr="003D3EC4">
        <w:tc>
          <w:tcPr>
            <w:tcW w:w="1054" w:type="pct"/>
          </w:tcPr>
          <w:p w:rsidR="00B55BA8" w:rsidRPr="009720D9" w:rsidRDefault="00B55BA8" w:rsidP="003D3EC4">
            <w:pPr>
              <w:spacing w:line="240" w:lineRule="auto"/>
              <w:rPr>
                <w:rFonts w:cs="Arial"/>
                <w:bCs/>
                <w:iCs/>
                <w:color w:val="0D0D0D" w:themeColor="text1" w:themeTint="F2"/>
                <w:spacing w:val="-4"/>
                <w:szCs w:val="20"/>
              </w:rPr>
            </w:pPr>
            <w:r w:rsidRPr="00084BA1">
              <w:rPr>
                <w:rFonts w:cs="Arial"/>
                <w:bCs/>
                <w:iCs/>
                <w:color w:val="0D0D0D" w:themeColor="text1" w:themeTint="F2"/>
                <w:sz w:val="16"/>
                <w:szCs w:val="16"/>
              </w:rPr>
              <w:t>Výdaje na platy státních zaměstnanců poprvé překonaly úroveň z let 2009-2010</w:t>
            </w:r>
          </w:p>
        </w:tc>
        <w:tc>
          <w:tcPr>
            <w:tcW w:w="142" w:type="pct"/>
          </w:tcPr>
          <w:p w:rsidR="00B55BA8" w:rsidRPr="009720D9" w:rsidRDefault="00B55BA8" w:rsidP="003D3EC4">
            <w:pPr>
              <w:pStyle w:val="Textpoznpodarou"/>
              <w:jc w:val="both"/>
              <w:rPr>
                <w:color w:val="0D0D0D" w:themeColor="text1" w:themeTint="F2"/>
              </w:rPr>
            </w:pPr>
          </w:p>
        </w:tc>
        <w:tc>
          <w:tcPr>
            <w:tcW w:w="3804" w:type="pct"/>
          </w:tcPr>
          <w:p w:rsidR="00B55BA8" w:rsidRDefault="00B55BA8" w:rsidP="003D3EC4">
            <w:pPr>
              <w:pStyle w:val="Textpoznpodarou"/>
              <w:jc w:val="both"/>
              <w:rPr>
                <w:rFonts w:cs="Arial"/>
                <w:color w:val="0D0D0D" w:themeColor="text1" w:themeTint="F2"/>
                <w:spacing w:val="-2"/>
              </w:rPr>
            </w:pPr>
            <w:r>
              <w:rPr>
                <w:rFonts w:cs="Arial"/>
                <w:color w:val="0D0D0D" w:themeColor="text1" w:themeTint="F2"/>
                <w:spacing w:val="-2"/>
              </w:rPr>
              <w:t>Ústup od dřívějších restriktivních opatření se projevil také meziročně o osminu vyššími</w:t>
            </w:r>
            <w:r w:rsidRPr="00C03901">
              <w:rPr>
                <w:rFonts w:cs="Arial"/>
                <w:color w:val="0D0D0D" w:themeColor="text1" w:themeTint="F2"/>
                <w:spacing w:val="-2"/>
              </w:rPr>
              <w:t xml:space="preserve"> transfery územním rozpočtům (např. na platy učitelů</w:t>
            </w:r>
            <w:r>
              <w:rPr>
                <w:rFonts w:cs="Arial"/>
                <w:color w:val="0D0D0D" w:themeColor="text1" w:themeTint="F2"/>
                <w:spacing w:val="-2"/>
              </w:rPr>
              <w:t xml:space="preserve"> či příspěvek na výkon státní správy v obcích) i růstem </w:t>
            </w:r>
            <w:r w:rsidRPr="00C03901">
              <w:rPr>
                <w:rFonts w:cs="Arial"/>
                <w:color w:val="0D0D0D" w:themeColor="text1" w:themeTint="F2"/>
                <w:spacing w:val="-2"/>
              </w:rPr>
              <w:t>výdajů na platy státních zaměstnanců</w:t>
            </w:r>
            <w:r>
              <w:rPr>
                <w:rFonts w:cs="Arial"/>
                <w:color w:val="0D0D0D" w:themeColor="text1" w:themeTint="F2"/>
                <w:spacing w:val="-2"/>
              </w:rPr>
              <w:t xml:space="preserve"> (o 9,9 %, zčásti i vlivem přípravy </w:t>
            </w:r>
            <w:r w:rsidR="000E6476">
              <w:rPr>
                <w:rFonts w:cs="Arial"/>
                <w:color w:val="0D0D0D" w:themeColor="text1" w:themeTint="F2"/>
                <w:spacing w:val="-2"/>
              </w:rPr>
              <w:t>n</w:t>
            </w:r>
            <w:r>
              <w:rPr>
                <w:rFonts w:cs="Arial"/>
                <w:color w:val="0D0D0D" w:themeColor="text1" w:themeTint="F2"/>
                <w:spacing w:val="-2"/>
              </w:rPr>
              <w:t xml:space="preserve">a nový služební zákon). Podobně jako loni SR ušetřil na výdajích na státní dluh (-3 mld. korun) </w:t>
            </w:r>
            <w:r w:rsidRPr="00C03901">
              <w:rPr>
                <w:rFonts w:cs="Arial"/>
                <w:color w:val="0D0D0D" w:themeColor="text1" w:themeTint="F2"/>
                <w:spacing w:val="-2"/>
              </w:rPr>
              <w:t>či na odvodech do rozpočtu EU</w:t>
            </w:r>
            <w:r>
              <w:rPr>
                <w:rFonts w:cs="Arial"/>
                <w:color w:val="0D0D0D" w:themeColor="text1" w:themeTint="F2"/>
                <w:spacing w:val="-2"/>
              </w:rPr>
              <w:t>.</w:t>
            </w:r>
          </w:p>
          <w:p w:rsidR="00B55BA8" w:rsidRPr="00560BB0" w:rsidRDefault="00B55BA8" w:rsidP="003D3EC4">
            <w:pPr>
              <w:pStyle w:val="Textpoznpodarou"/>
              <w:jc w:val="both"/>
              <w:rPr>
                <w:rFonts w:cs="Arial"/>
                <w:color w:val="0D0D0D" w:themeColor="text1" w:themeTint="F2"/>
                <w:spacing w:val="-2"/>
                <w:sz w:val="16"/>
                <w:szCs w:val="16"/>
              </w:rPr>
            </w:pPr>
          </w:p>
        </w:tc>
      </w:tr>
      <w:tr w:rsidR="00B55BA8" w:rsidTr="003D3EC4">
        <w:tc>
          <w:tcPr>
            <w:tcW w:w="1054" w:type="pct"/>
          </w:tcPr>
          <w:p w:rsidR="00B55BA8" w:rsidRPr="00560BB0" w:rsidRDefault="00B55BA8" w:rsidP="003D3EC4">
            <w:pPr>
              <w:spacing w:line="240" w:lineRule="auto"/>
              <w:rPr>
                <w:rFonts w:cs="Arial"/>
                <w:bCs/>
                <w:iCs/>
                <w:color w:val="0D0D0D" w:themeColor="text1" w:themeTint="F2"/>
                <w:spacing w:val="-4"/>
                <w:sz w:val="16"/>
                <w:szCs w:val="16"/>
              </w:rPr>
            </w:pPr>
            <w:r w:rsidRPr="00560BB0">
              <w:rPr>
                <w:rFonts w:cs="Arial"/>
                <w:bCs/>
                <w:iCs/>
                <w:color w:val="0D0D0D" w:themeColor="text1" w:themeTint="F2"/>
                <w:spacing w:val="-4"/>
                <w:sz w:val="16"/>
                <w:szCs w:val="16"/>
              </w:rPr>
              <w:t>Intenzivní dočerpávání prostředků z EU katapultovalo výši investic ze SR na úroveň první poloviny let 2008-2010</w:t>
            </w:r>
          </w:p>
          <w:p w:rsidR="00B55BA8" w:rsidRPr="009720D9" w:rsidRDefault="00B55BA8" w:rsidP="003D3EC4">
            <w:pPr>
              <w:spacing w:line="240" w:lineRule="auto"/>
              <w:rPr>
                <w:rFonts w:cs="Arial"/>
                <w:bCs/>
                <w:iCs/>
                <w:color w:val="0D0D0D" w:themeColor="text1" w:themeTint="F2"/>
                <w:szCs w:val="20"/>
              </w:rPr>
            </w:pPr>
          </w:p>
        </w:tc>
        <w:tc>
          <w:tcPr>
            <w:tcW w:w="142" w:type="pct"/>
          </w:tcPr>
          <w:p w:rsidR="00B55BA8" w:rsidRPr="009720D9" w:rsidRDefault="00B55BA8" w:rsidP="003D3EC4">
            <w:pPr>
              <w:pStyle w:val="Textpoznpodarou"/>
              <w:jc w:val="both"/>
              <w:rPr>
                <w:color w:val="0D0D0D" w:themeColor="text1" w:themeTint="F2"/>
              </w:rPr>
            </w:pPr>
          </w:p>
        </w:tc>
        <w:tc>
          <w:tcPr>
            <w:tcW w:w="3804" w:type="pct"/>
          </w:tcPr>
          <w:p w:rsidR="00B55BA8" w:rsidRDefault="00B55BA8" w:rsidP="003D3EC4">
            <w:pPr>
              <w:pStyle w:val="Textpoznpodarou"/>
              <w:jc w:val="both"/>
              <w:rPr>
                <w:rFonts w:cs="Arial"/>
                <w:color w:val="0D0D0D" w:themeColor="text1" w:themeTint="F2"/>
                <w:spacing w:val="-2"/>
              </w:rPr>
            </w:pPr>
            <w:r>
              <w:rPr>
                <w:rFonts w:cs="Arial"/>
                <w:color w:val="0D0D0D" w:themeColor="text1" w:themeTint="F2"/>
                <w:spacing w:val="-2"/>
              </w:rPr>
              <w:t>Nepřetržitý</w:t>
            </w:r>
            <w:r w:rsidRPr="007E4292">
              <w:rPr>
                <w:rFonts w:cs="Arial"/>
                <w:color w:val="0D0D0D" w:themeColor="text1" w:themeTint="F2"/>
                <w:spacing w:val="-2"/>
              </w:rPr>
              <w:t xml:space="preserve"> pokles kapitálových výdajů</w:t>
            </w:r>
            <w:r>
              <w:rPr>
                <w:rFonts w:cs="Arial"/>
                <w:color w:val="0D0D0D" w:themeColor="text1" w:themeTint="F2"/>
                <w:spacing w:val="-2"/>
              </w:rPr>
              <w:t xml:space="preserve"> se p</w:t>
            </w:r>
            <w:r w:rsidRPr="007E4292">
              <w:rPr>
                <w:rFonts w:cs="Arial"/>
                <w:color w:val="0D0D0D" w:themeColor="text1" w:themeTint="F2"/>
                <w:spacing w:val="-2"/>
              </w:rPr>
              <w:t>o čt</w:t>
            </w:r>
            <w:r>
              <w:rPr>
                <w:rFonts w:cs="Arial"/>
                <w:color w:val="0D0D0D" w:themeColor="text1" w:themeTint="F2"/>
                <w:spacing w:val="-2"/>
              </w:rPr>
              <w:t>yřech letech</w:t>
            </w:r>
            <w:r w:rsidRPr="007E4292">
              <w:rPr>
                <w:rFonts w:cs="Arial"/>
                <w:color w:val="0D0D0D" w:themeColor="text1" w:themeTint="F2"/>
                <w:spacing w:val="-2"/>
              </w:rPr>
              <w:t xml:space="preserve"> (v rámci 1. pololetí) zastavil,</w:t>
            </w:r>
            <w:r>
              <w:rPr>
                <w:rFonts w:cs="Arial"/>
                <w:color w:val="0D0D0D" w:themeColor="text1" w:themeTint="F2"/>
                <w:spacing w:val="-2"/>
              </w:rPr>
              <w:t xml:space="preserve"> když investice meziročně vzrostly o silných 55 %. Plných 85 %</w:t>
            </w:r>
            <w:r w:rsidRPr="00BA1E35">
              <w:rPr>
                <w:rFonts w:cs="Arial"/>
                <w:color w:val="0D0D0D" w:themeColor="text1" w:themeTint="F2"/>
                <w:spacing w:val="-2"/>
              </w:rPr>
              <w:t xml:space="preserve"> výdajů </w:t>
            </w:r>
            <w:r>
              <w:rPr>
                <w:rFonts w:cs="Arial"/>
                <w:color w:val="0D0D0D" w:themeColor="text1" w:themeTint="F2"/>
                <w:spacing w:val="-2"/>
              </w:rPr>
              <w:t>tvořilo</w:t>
            </w:r>
            <w:r w:rsidRPr="00BA1E35">
              <w:rPr>
                <w:rFonts w:cs="Arial"/>
                <w:color w:val="0D0D0D" w:themeColor="text1" w:themeTint="F2"/>
                <w:spacing w:val="-2"/>
              </w:rPr>
              <w:t xml:space="preserve"> kofinancování projektů s EU (především do dopravní infrastruktury, podnikání a inovací</w:t>
            </w:r>
            <w:r>
              <w:rPr>
                <w:rFonts w:cs="Arial"/>
                <w:color w:val="0D0D0D" w:themeColor="text1" w:themeTint="F2"/>
                <w:spacing w:val="-2"/>
              </w:rPr>
              <w:t>, ŽP</w:t>
            </w:r>
            <w:r w:rsidRPr="00BA1E35">
              <w:rPr>
                <w:rFonts w:cs="Arial"/>
                <w:color w:val="0D0D0D" w:themeColor="text1" w:themeTint="F2"/>
                <w:spacing w:val="-2"/>
              </w:rPr>
              <w:t xml:space="preserve"> a také v rámci ROP). </w:t>
            </w:r>
            <w:r>
              <w:rPr>
                <w:rFonts w:cs="Arial"/>
                <w:color w:val="0D0D0D" w:themeColor="text1" w:themeTint="F2"/>
                <w:spacing w:val="-2"/>
              </w:rPr>
              <w:t>Investice SR mimo kofinancování projektů s EU hrály z pohledu jejich objemu i meziroční dynamiky okrajovou roli. V 1. pololetí 2015 tvořily celkové investice 8,7 % všech výdajů SR, v absolutní výši se přiblížily úrovni z první poloviny let 2008-2010.</w:t>
            </w:r>
          </w:p>
          <w:p w:rsidR="00B55BA8" w:rsidRPr="00560BB0" w:rsidRDefault="00B55BA8" w:rsidP="003D3EC4">
            <w:pPr>
              <w:pStyle w:val="Textpoznpodarou"/>
              <w:jc w:val="both"/>
              <w:rPr>
                <w:rFonts w:cs="Arial"/>
                <w:color w:val="0D0D0D" w:themeColor="text1" w:themeTint="F2"/>
                <w:spacing w:val="-2"/>
                <w:sz w:val="16"/>
                <w:szCs w:val="16"/>
              </w:rPr>
            </w:pPr>
          </w:p>
        </w:tc>
      </w:tr>
      <w:tr w:rsidR="00B55BA8" w:rsidTr="003D3EC4">
        <w:tc>
          <w:tcPr>
            <w:tcW w:w="1054" w:type="pct"/>
          </w:tcPr>
          <w:p w:rsidR="00B55BA8" w:rsidRPr="000C0310" w:rsidRDefault="00B55BA8" w:rsidP="003D3EC4">
            <w:pPr>
              <w:spacing w:line="240" w:lineRule="auto"/>
              <w:rPr>
                <w:rFonts w:cs="Arial"/>
                <w:bCs/>
                <w:iCs/>
                <w:color w:val="000000" w:themeColor="text1"/>
                <w:sz w:val="16"/>
                <w:szCs w:val="16"/>
              </w:rPr>
            </w:pPr>
            <w:r w:rsidRPr="000C0310">
              <w:rPr>
                <w:rFonts w:cs="Arial"/>
                <w:bCs/>
                <w:iCs/>
                <w:color w:val="000000" w:themeColor="text1"/>
                <w:sz w:val="16"/>
                <w:szCs w:val="16"/>
              </w:rPr>
              <w:t>Již téměř dva pokračuje stabilizace výše státního dluhu, výpůjční potřeba státu se soustřeďuje na domácí trh</w:t>
            </w:r>
          </w:p>
          <w:p w:rsidR="00B55BA8" w:rsidRPr="009720D9" w:rsidRDefault="00B55BA8" w:rsidP="003D3EC4">
            <w:pPr>
              <w:spacing w:line="240" w:lineRule="auto"/>
              <w:rPr>
                <w:rFonts w:cs="Arial"/>
                <w:bCs/>
                <w:iCs/>
                <w:color w:val="0D0D0D" w:themeColor="text1" w:themeTint="F2"/>
                <w:szCs w:val="20"/>
              </w:rPr>
            </w:pPr>
          </w:p>
        </w:tc>
        <w:tc>
          <w:tcPr>
            <w:tcW w:w="142" w:type="pct"/>
          </w:tcPr>
          <w:p w:rsidR="00B55BA8" w:rsidRPr="009720D9" w:rsidRDefault="00B55BA8" w:rsidP="003D3EC4">
            <w:pPr>
              <w:pStyle w:val="Textpoznpodarou"/>
              <w:jc w:val="both"/>
              <w:rPr>
                <w:color w:val="0D0D0D" w:themeColor="text1" w:themeTint="F2"/>
              </w:rPr>
            </w:pPr>
          </w:p>
        </w:tc>
        <w:tc>
          <w:tcPr>
            <w:tcW w:w="3804" w:type="pct"/>
          </w:tcPr>
          <w:p w:rsidR="00B55BA8" w:rsidRPr="009720D9" w:rsidRDefault="00B55BA8" w:rsidP="003D3EC4">
            <w:pPr>
              <w:pStyle w:val="Textpoznpodarou"/>
              <w:jc w:val="both"/>
              <w:rPr>
                <w:rFonts w:cs="Arial"/>
                <w:color w:val="0D0D0D" w:themeColor="text1" w:themeTint="F2"/>
                <w:spacing w:val="-2"/>
              </w:rPr>
            </w:pPr>
            <w:r>
              <w:rPr>
                <w:rFonts w:cs="Arial"/>
                <w:color w:val="0D0D0D" w:themeColor="text1" w:themeTint="F2"/>
                <w:spacing w:val="-2"/>
              </w:rPr>
              <w:t xml:space="preserve">Také v 1. polovině roku pokračovala stabilizace státní dluhu, jehož výše již téměř dva roky fakticky stagnuje. </w:t>
            </w:r>
            <w:r w:rsidRPr="003B1B65">
              <w:rPr>
                <w:rFonts w:cs="Arial"/>
                <w:color w:val="000000" w:themeColor="text1"/>
                <w:spacing w:val="-2"/>
              </w:rPr>
              <w:t>Na konci 2. čtvrtletí 2015 dosahoval 1 663 mld. korun, při minimálním pohybu ve vnější</w:t>
            </w:r>
            <w:r>
              <w:rPr>
                <w:rFonts w:cs="Arial"/>
                <w:color w:val="000000" w:themeColor="text1"/>
                <w:spacing w:val="-2"/>
              </w:rPr>
              <w:t>m</w:t>
            </w:r>
            <w:r w:rsidRPr="003B1B65">
              <w:rPr>
                <w:rFonts w:cs="Arial"/>
                <w:color w:val="000000" w:themeColor="text1"/>
                <w:spacing w:val="-2"/>
              </w:rPr>
              <w:t xml:space="preserve"> i vnitřním dluhu od počátku roku.</w:t>
            </w:r>
            <w:r>
              <w:rPr>
                <w:rFonts w:cs="Arial"/>
                <w:color w:val="000000" w:themeColor="text1"/>
                <w:spacing w:val="-2"/>
              </w:rPr>
              <w:t xml:space="preserve"> </w:t>
            </w:r>
            <w:r w:rsidRPr="000C0310">
              <w:rPr>
                <w:rFonts w:cs="Arial"/>
                <w:color w:val="000000" w:themeColor="text1"/>
                <w:spacing w:val="-2"/>
              </w:rPr>
              <w:t>Meziročně se celkový dluh snížil o 20,3 mld. korun. Přispěla k tomu významná redukce vnějšího dluhu (-13,8 %), když stát svoje nové výpůjčky realizoval prioritně na domácím trhu, vnitřní zadluženost se naopak o 2</w:t>
            </w:r>
            <w:r w:rsidR="00230DAD">
              <w:rPr>
                <w:rFonts w:cs="Arial"/>
                <w:color w:val="000000" w:themeColor="text1"/>
                <w:spacing w:val="-2"/>
              </w:rPr>
              <w:t xml:space="preserve"> </w:t>
            </w:r>
            <w:r w:rsidRPr="000C0310">
              <w:rPr>
                <w:rFonts w:cs="Arial"/>
                <w:color w:val="000000" w:themeColor="text1"/>
                <w:spacing w:val="-2"/>
              </w:rPr>
              <w:t>% zvýšila. Vnější dluh se na celkovém státním dluhu podílel necelými 17,8 % (nejméně od počátku roku 2008).</w:t>
            </w:r>
          </w:p>
        </w:tc>
      </w:tr>
    </w:tbl>
    <w:p w:rsidR="00B55BA8" w:rsidRDefault="00B55BA8" w:rsidP="007D4281">
      <w:pPr>
        <w:pStyle w:val="Bezmezer"/>
        <w:rPr>
          <w:szCs w:val="14"/>
        </w:rPr>
      </w:pPr>
    </w:p>
    <w:tbl>
      <w:tblPr>
        <w:tblW w:w="5063" w:type="pct"/>
        <w:tblCellMar>
          <w:left w:w="28" w:type="dxa"/>
          <w:right w:w="28" w:type="dxa"/>
        </w:tblCellMar>
        <w:tblLook w:val="04A0"/>
      </w:tblPr>
      <w:tblGrid>
        <w:gridCol w:w="748"/>
        <w:gridCol w:w="4153"/>
        <w:gridCol w:w="714"/>
        <w:gridCol w:w="4201"/>
      </w:tblGrid>
      <w:tr w:rsidR="00B55BA8" w:rsidTr="00B55BA8">
        <w:tc>
          <w:tcPr>
            <w:tcW w:w="381" w:type="pct"/>
          </w:tcPr>
          <w:p w:rsidR="00B55BA8" w:rsidRDefault="00B55BA8" w:rsidP="003D3EC4">
            <w:pPr>
              <w:spacing w:line="240" w:lineRule="auto"/>
            </w:pPr>
            <w:r>
              <w:t>Graf č. 19</w:t>
            </w:r>
          </w:p>
        </w:tc>
        <w:tc>
          <w:tcPr>
            <w:tcW w:w="2115" w:type="pct"/>
          </w:tcPr>
          <w:p w:rsidR="00B55BA8" w:rsidRDefault="00B55BA8" w:rsidP="003D3EC4">
            <w:pPr>
              <w:spacing w:line="240" w:lineRule="auto"/>
              <w:rPr>
                <w:rFonts w:cs="Arial"/>
                <w:b/>
                <w:bCs/>
              </w:rPr>
            </w:pPr>
            <w:r>
              <w:rPr>
                <w:rFonts w:cs="Arial"/>
                <w:b/>
                <w:bCs/>
              </w:rPr>
              <w:t xml:space="preserve">Celostátní inkasa daňových příjmů </w:t>
            </w:r>
          </w:p>
          <w:p w:rsidR="00B55BA8" w:rsidRDefault="00B55BA8" w:rsidP="003D3EC4">
            <w:pPr>
              <w:spacing w:line="240" w:lineRule="auto"/>
            </w:pPr>
            <w:r w:rsidRPr="008A3A85">
              <w:rPr>
                <w:rFonts w:cs="Arial"/>
                <w:bCs/>
              </w:rPr>
              <w:t>(y/y, v %)</w:t>
            </w:r>
            <w:r>
              <w:rPr>
                <w:rFonts w:cs="Arial"/>
                <w:bCs/>
              </w:rPr>
              <w:t xml:space="preserve"> </w:t>
            </w:r>
            <w:r>
              <w:rPr>
                <w:rFonts w:cs="Arial"/>
                <w:b/>
                <w:bCs/>
              </w:rPr>
              <w:t>a vývoj salda státního rozpočtu</w:t>
            </w:r>
            <w:r>
              <w:t xml:space="preserve"> </w:t>
            </w:r>
          </w:p>
          <w:p w:rsidR="00B55BA8" w:rsidRDefault="00B55BA8" w:rsidP="003D3EC4">
            <w:pPr>
              <w:spacing w:line="240" w:lineRule="auto"/>
            </w:pPr>
            <w:r>
              <w:rPr>
                <w:rFonts w:cs="Arial"/>
                <w:bCs/>
              </w:rPr>
              <w:t>(v mld. korun, údaje za jednotlivá pololetí)</w:t>
            </w:r>
          </w:p>
        </w:tc>
        <w:tc>
          <w:tcPr>
            <w:tcW w:w="364" w:type="pct"/>
          </w:tcPr>
          <w:p w:rsidR="00B55BA8" w:rsidRDefault="00B55BA8" w:rsidP="003D3EC4">
            <w:pPr>
              <w:spacing w:line="240" w:lineRule="auto"/>
            </w:pPr>
            <w:r>
              <w:t>Graf č. 20</w:t>
            </w:r>
          </w:p>
        </w:tc>
        <w:tc>
          <w:tcPr>
            <w:tcW w:w="2140" w:type="pct"/>
          </w:tcPr>
          <w:p w:rsidR="00B55BA8" w:rsidRDefault="00B55BA8" w:rsidP="003D3EC4">
            <w:pPr>
              <w:spacing w:line="240" w:lineRule="auto"/>
              <w:rPr>
                <w:rFonts w:cs="Arial"/>
                <w:b/>
                <w:bCs/>
              </w:rPr>
            </w:pPr>
            <w:r>
              <w:rPr>
                <w:rFonts w:cs="Arial"/>
                <w:b/>
                <w:bCs/>
              </w:rPr>
              <w:t>Vybrané výdaje státního rozpočtu</w:t>
            </w:r>
          </w:p>
          <w:p w:rsidR="00B55BA8" w:rsidRPr="006F2BEE" w:rsidRDefault="00B55BA8" w:rsidP="003D3EC4">
            <w:pPr>
              <w:spacing w:line="240" w:lineRule="auto"/>
              <w:rPr>
                <w:rFonts w:cs="Arial"/>
                <w:b/>
                <w:bCs/>
                <w:spacing w:val="-2"/>
              </w:rPr>
            </w:pPr>
            <w:r>
              <w:rPr>
                <w:rFonts w:cs="Arial"/>
                <w:bCs/>
              </w:rPr>
              <w:t xml:space="preserve">(1. pololetí, </w:t>
            </w:r>
            <w:r w:rsidRPr="00DB06E9">
              <w:rPr>
                <w:rFonts w:cs="Arial"/>
                <w:bCs/>
              </w:rPr>
              <w:t>v mld. korun)</w:t>
            </w:r>
          </w:p>
        </w:tc>
      </w:tr>
      <w:tr w:rsidR="00B55BA8" w:rsidTr="00B55BA8">
        <w:tc>
          <w:tcPr>
            <w:tcW w:w="2496" w:type="pct"/>
            <w:gridSpan w:val="2"/>
          </w:tcPr>
          <w:p w:rsidR="00B55BA8" w:rsidRDefault="00F365BF" w:rsidP="003D3EC4">
            <w:pPr>
              <w:pStyle w:val="Textpoznpodarou"/>
              <w:jc w:val="both"/>
            </w:pPr>
            <w:r>
              <w:pict>
                <v:shape id="_x0000_i1043" type="#_x0000_t75" style="width:242.25pt;height:187.5pt">
                  <v:imagedata r:id="rId30" o:title=""/>
                </v:shape>
              </w:pict>
            </w:r>
          </w:p>
        </w:tc>
        <w:tc>
          <w:tcPr>
            <w:tcW w:w="2504" w:type="pct"/>
            <w:gridSpan w:val="2"/>
          </w:tcPr>
          <w:p w:rsidR="00B55BA8" w:rsidRDefault="00F365BF" w:rsidP="003D3EC4">
            <w:pPr>
              <w:pStyle w:val="Textpoznpodarou"/>
              <w:jc w:val="both"/>
            </w:pPr>
            <w:r>
              <w:pict>
                <v:shape id="_x0000_i1044" type="#_x0000_t75" style="width:241.5pt;height:187.5pt">
                  <v:imagedata r:id="rId31" o:title=""/>
                </v:shape>
              </w:pict>
            </w:r>
          </w:p>
        </w:tc>
      </w:tr>
    </w:tbl>
    <w:p w:rsidR="00B55BA8" w:rsidRDefault="00694930" w:rsidP="00B55BA8">
      <w:pPr>
        <w:pStyle w:val="Textpoznpodarou"/>
        <w:jc w:val="right"/>
      </w:pPr>
      <w:r>
        <w:rPr>
          <w:rFonts w:cs="Arial"/>
          <w:sz w:val="18"/>
          <w:szCs w:val="18"/>
        </w:rPr>
        <w:t>Zdroj</w:t>
      </w:r>
      <w:r w:rsidR="00B55BA8">
        <w:rPr>
          <w:rFonts w:cs="Arial"/>
          <w:sz w:val="18"/>
          <w:szCs w:val="18"/>
        </w:rPr>
        <w:t>: MF ČR</w:t>
      </w:r>
    </w:p>
    <w:p w:rsidR="00B55BA8" w:rsidRDefault="00B55BA8" w:rsidP="00B55BA8">
      <w:pPr>
        <w:pStyle w:val="Bezmezer"/>
        <w:rPr>
          <w:lang w:eastAsia="ar-SA"/>
        </w:rPr>
      </w:pPr>
    </w:p>
    <w:p w:rsidR="00B55BA8" w:rsidRPr="00C2463B" w:rsidRDefault="00B55BA8" w:rsidP="00C2463B">
      <w:pPr>
        <w:pStyle w:val="Textpoznpodarou"/>
        <w:jc w:val="both"/>
        <w:rPr>
          <w:rFonts w:cs="Arial"/>
          <w:color w:val="000000" w:themeColor="text1"/>
          <w:spacing w:val="-2"/>
        </w:rPr>
      </w:pPr>
      <w:r w:rsidRPr="00C2463B">
        <w:rPr>
          <w:rFonts w:cs="Arial"/>
          <w:color w:val="000000" w:themeColor="text1"/>
          <w:spacing w:val="-2"/>
        </w:rPr>
        <w:t xml:space="preserve">Zdroje dat v celé analýze: ČSÚ, MF ČR, ČNB, ČSSZ, </w:t>
      </w:r>
      <w:proofErr w:type="spellStart"/>
      <w:r w:rsidRPr="00C2463B">
        <w:rPr>
          <w:rFonts w:cs="Arial"/>
          <w:color w:val="000000" w:themeColor="text1"/>
          <w:spacing w:val="-2"/>
        </w:rPr>
        <w:t>Eurostat</w:t>
      </w:r>
      <w:proofErr w:type="spellEnd"/>
      <w:r w:rsidRPr="00C2463B">
        <w:rPr>
          <w:rFonts w:cs="Arial"/>
          <w:color w:val="000000" w:themeColor="text1"/>
          <w:spacing w:val="-2"/>
        </w:rPr>
        <w:t>, propočty ČSÚ.</w:t>
      </w:r>
    </w:p>
    <w:p w:rsidR="00B55BA8" w:rsidRPr="00C2463B" w:rsidRDefault="00B55BA8" w:rsidP="00C2463B">
      <w:pPr>
        <w:pStyle w:val="Textpoznpodarou"/>
        <w:jc w:val="both"/>
        <w:rPr>
          <w:rFonts w:cs="Arial"/>
          <w:color w:val="000000" w:themeColor="text1"/>
          <w:spacing w:val="-2"/>
        </w:rPr>
      </w:pPr>
      <w:r w:rsidRPr="00C2463B">
        <w:rPr>
          <w:rFonts w:cs="Arial"/>
          <w:color w:val="000000" w:themeColor="text1"/>
          <w:spacing w:val="-2"/>
        </w:rPr>
        <w:t>Poslední informace ze zdrojů ČSÚ a ČNB uváděné v té</w:t>
      </w:r>
      <w:r w:rsidR="00694930" w:rsidRPr="00C2463B">
        <w:rPr>
          <w:rFonts w:cs="Arial"/>
          <w:color w:val="000000" w:themeColor="text1"/>
          <w:spacing w:val="-2"/>
        </w:rPr>
        <w:t>to zprávě pocházejí z 15</w:t>
      </w:r>
      <w:r w:rsidRPr="00C2463B">
        <w:rPr>
          <w:rFonts w:cs="Arial"/>
          <w:color w:val="000000" w:themeColor="text1"/>
          <w:spacing w:val="-2"/>
        </w:rPr>
        <w:t>. září 2015.</w:t>
      </w:r>
    </w:p>
    <w:sectPr w:rsidR="00B55BA8" w:rsidRPr="00C2463B" w:rsidSect="00D43998">
      <w:headerReference w:type="even" r:id="rId32"/>
      <w:headerReference w:type="default" r:id="rId33"/>
      <w:footerReference w:type="even" r:id="rId34"/>
      <w:footerReference w:type="default" r:id="rId35"/>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D43" w:rsidRDefault="00707D43" w:rsidP="00E71A58">
      <w:r>
        <w:separator/>
      </w:r>
    </w:p>
  </w:endnote>
  <w:endnote w:type="continuationSeparator" w:id="0">
    <w:p w:rsidR="00707D43" w:rsidRDefault="00707D43"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3" w:rsidRDefault="00A17754" w:rsidP="00357449">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42" o:spid="_x0000_s2049" type="#_x0000_t75" alt="Description: 3" style="position:absolute;margin-left:.3pt;margin-top:7.1pt;width:39pt;height:21pt;z-index:251656704;visibility:visible">
          <v:imagedata r:id="rId1" o:title=""/>
        </v:shape>
      </w:pict>
    </w:r>
    <w:r w:rsidR="00707D43">
      <w:tab/>
    </w:r>
    <w:r w:rsidR="00707D43">
      <w:tab/>
    </w:r>
    <w:r w:rsidR="00707D43" w:rsidRPr="00DC5B3B">
      <w:t xml:space="preserve">                              </w:t>
    </w:r>
  </w:p>
  <w:p w:rsidR="00707D43" w:rsidRPr="00223E00" w:rsidRDefault="00707D4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rPr>
        <w:rFonts w:ascii="Arial" w:hAnsi="Arial" w:cs="Arial"/>
        <w:sz w:val="16"/>
        <w:szCs w:val="16"/>
      </w:rPr>
      <w:tab/>
    </w:r>
    <w:r w:rsidR="00A17754"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A17754" w:rsidRPr="00223E00">
      <w:rPr>
        <w:rFonts w:ascii="Arial" w:hAnsi="Arial" w:cs="Arial"/>
        <w:sz w:val="16"/>
        <w:szCs w:val="16"/>
      </w:rPr>
      <w:fldChar w:fldCharType="separate"/>
    </w:r>
    <w:r w:rsidR="00F365BF">
      <w:rPr>
        <w:rFonts w:ascii="Arial" w:hAnsi="Arial" w:cs="Arial"/>
        <w:noProof/>
        <w:sz w:val="16"/>
        <w:szCs w:val="16"/>
      </w:rPr>
      <w:t>3</w:t>
    </w:r>
    <w:r w:rsidR="00A17754" w:rsidRPr="00223E00">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3" w:rsidRDefault="00A17754" w:rsidP="00357449">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Description: 3" style="position:absolute;margin-left:445.7pt;margin-top:-4.1pt;width:36.75pt;height:17.25pt;z-index:251657728;visibility:visible">
          <v:imagedata r:id="rId1" o:title=""/>
        </v:shape>
      </w:pict>
    </w:r>
    <w:r w:rsidRPr="005A21E0">
      <w:rPr>
        <w:rFonts w:ascii="Arial" w:hAnsi="Arial" w:cs="Arial"/>
        <w:sz w:val="16"/>
        <w:szCs w:val="16"/>
      </w:rPr>
      <w:fldChar w:fldCharType="begin"/>
    </w:r>
    <w:r w:rsidR="00707D43" w:rsidRPr="005A21E0">
      <w:rPr>
        <w:rFonts w:ascii="Arial" w:hAnsi="Arial" w:cs="Arial"/>
        <w:sz w:val="16"/>
        <w:szCs w:val="16"/>
      </w:rPr>
      <w:instrText>PAGE   \* MERGEFORMAT</w:instrText>
    </w:r>
    <w:r w:rsidRPr="005A21E0">
      <w:rPr>
        <w:rFonts w:ascii="Arial" w:hAnsi="Arial" w:cs="Arial"/>
        <w:sz w:val="16"/>
        <w:szCs w:val="16"/>
      </w:rPr>
      <w:fldChar w:fldCharType="separate"/>
    </w:r>
    <w:r w:rsidR="007552BB">
      <w:rPr>
        <w:rFonts w:ascii="Arial" w:hAnsi="Arial" w:cs="Arial"/>
        <w:noProof/>
        <w:sz w:val="16"/>
        <w:szCs w:val="16"/>
      </w:rPr>
      <w:t>20</w:t>
    </w:r>
    <w:r w:rsidRPr="005A21E0">
      <w:rPr>
        <w:rFonts w:ascii="Arial" w:hAnsi="Arial" w:cs="Arial"/>
        <w:sz w:val="16"/>
        <w:szCs w:val="16"/>
      </w:rPr>
      <w:fldChar w:fldCharType="end"/>
    </w:r>
    <w:r w:rsidR="00707D43">
      <w:rPr>
        <w:rFonts w:ascii="Arial" w:hAnsi="Arial" w:cs="Arial"/>
        <w:sz w:val="16"/>
        <w:szCs w:val="16"/>
      </w:rPr>
      <w:tab/>
      <w:t>2015</w:t>
    </w:r>
    <w:r w:rsidR="00707D43">
      <w:tab/>
    </w:r>
    <w:r w:rsidR="00707D43">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3" w:rsidRDefault="00A17754" w:rsidP="00357449">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Description: 3" style="position:absolute;margin-left:.3pt;margin-top:7.1pt;width:39pt;height:21pt;z-index:251658752;visibility:visible">
          <v:imagedata r:id="rId1" o:title=""/>
        </v:shape>
      </w:pict>
    </w:r>
    <w:r w:rsidR="00707D43">
      <w:tab/>
    </w:r>
    <w:r w:rsidR="00707D43">
      <w:tab/>
    </w:r>
    <w:r w:rsidR="00707D43" w:rsidRPr="00DC5B3B">
      <w:t xml:space="preserve">                              </w:t>
    </w:r>
  </w:p>
  <w:p w:rsidR="00707D43" w:rsidRPr="00223E00" w:rsidRDefault="00707D4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rPr>
        <w:rFonts w:ascii="Arial" w:hAnsi="Arial" w:cs="Arial"/>
        <w:sz w:val="16"/>
        <w:szCs w:val="16"/>
      </w:rPr>
      <w:tab/>
    </w:r>
    <w:r w:rsidR="00A17754"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A17754" w:rsidRPr="00223E00">
      <w:rPr>
        <w:rFonts w:ascii="Arial" w:hAnsi="Arial" w:cs="Arial"/>
        <w:sz w:val="16"/>
        <w:szCs w:val="16"/>
      </w:rPr>
      <w:fldChar w:fldCharType="separate"/>
    </w:r>
    <w:r w:rsidR="007552BB">
      <w:rPr>
        <w:rFonts w:ascii="Arial" w:hAnsi="Arial" w:cs="Arial"/>
        <w:noProof/>
        <w:sz w:val="16"/>
        <w:szCs w:val="16"/>
      </w:rPr>
      <w:t>19</w:t>
    </w:r>
    <w:r w:rsidR="00A17754"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D43" w:rsidRDefault="00707D43" w:rsidP="00E71A58">
      <w:r>
        <w:separator/>
      </w:r>
    </w:p>
  </w:footnote>
  <w:footnote w:type="continuationSeparator" w:id="0">
    <w:p w:rsidR="00707D43" w:rsidRDefault="00707D43" w:rsidP="00E71A58">
      <w:r>
        <w:continuationSeparator/>
      </w:r>
    </w:p>
  </w:footnote>
  <w:footnote w:id="1">
    <w:p w:rsidR="00707D43" w:rsidRDefault="00707D43" w:rsidP="00E34985">
      <w:pPr>
        <w:pStyle w:val="Textpoznpodarou"/>
        <w:jc w:val="both"/>
      </w:pPr>
      <w:r w:rsidRPr="00D301CA">
        <w:rPr>
          <w:rStyle w:val="Znakapoznpodarou"/>
        </w:rPr>
        <w:footnoteRef/>
      </w:r>
      <w:r w:rsidRPr="00D301CA">
        <w:t xml:space="preserve"> </w:t>
      </w:r>
      <w:r w:rsidRPr="00A5067F">
        <w:rPr>
          <w:sz w:val="16"/>
          <w:szCs w:val="16"/>
        </w:rPr>
        <w:t>Pokud není uvedeno jinak, jsou data o HDP a jeho složkách vyjádřena reálně a v očištění o sezónní a kalendářní vlivy.</w:t>
      </w:r>
      <w:r>
        <w:rPr>
          <w:sz w:val="16"/>
          <w:szCs w:val="16"/>
        </w:rPr>
        <w:t xml:space="preserve"> Totéž platí i pro hrubou přidanou hodnotu.</w:t>
      </w:r>
    </w:p>
  </w:footnote>
  <w:footnote w:id="2">
    <w:p w:rsidR="00707D43" w:rsidRPr="00571932" w:rsidRDefault="00707D43" w:rsidP="0074329D">
      <w:pPr>
        <w:pStyle w:val="Textpoznpodarou"/>
        <w:rPr>
          <w:sz w:val="16"/>
          <w:szCs w:val="16"/>
        </w:rPr>
      </w:pPr>
      <w:r w:rsidRPr="00D301CA">
        <w:rPr>
          <w:rStyle w:val="Znakapoznpodarou"/>
        </w:rPr>
        <w:footnoteRef/>
      </w:r>
      <w:r w:rsidRPr="00571932">
        <w:rPr>
          <w:sz w:val="16"/>
          <w:szCs w:val="16"/>
        </w:rPr>
        <w:t xml:space="preserve"> Příspěvky ke změně HDP bez vyloučení dovozu pro konečné užití.</w:t>
      </w:r>
    </w:p>
  </w:footnote>
  <w:footnote w:id="3">
    <w:p w:rsidR="00707D43" w:rsidRPr="00E042C9" w:rsidRDefault="00707D43" w:rsidP="00D301CA">
      <w:pPr>
        <w:pStyle w:val="Textpoznpodarou"/>
        <w:jc w:val="both"/>
      </w:pPr>
      <w:r w:rsidRPr="00E042C9">
        <w:rPr>
          <w:rStyle w:val="Znakapoznpodarou"/>
        </w:rPr>
        <w:footnoteRef/>
      </w:r>
      <w:r w:rsidRPr="00E042C9">
        <w:t xml:space="preserve"> </w:t>
      </w:r>
      <w:r w:rsidRPr="00E042C9">
        <w:rPr>
          <w:sz w:val="16"/>
          <w:szCs w:val="16"/>
        </w:rPr>
        <w:t>Pokud není uvedeno jinak, jsou data o HDP a jeho složkách vyjádřena reálně a v očištění o se</w:t>
      </w:r>
      <w:r>
        <w:rPr>
          <w:sz w:val="16"/>
          <w:szCs w:val="16"/>
        </w:rPr>
        <w:t>zónní a kalendářní vlivy. Totéž</w:t>
      </w:r>
      <w:r w:rsidRPr="00E042C9">
        <w:rPr>
          <w:sz w:val="16"/>
          <w:szCs w:val="16"/>
        </w:rPr>
        <w:t xml:space="preserve"> platí i pro hrubou přidanou hodnotu.</w:t>
      </w:r>
    </w:p>
  </w:footnote>
  <w:footnote w:id="4">
    <w:p w:rsidR="00707D43" w:rsidRPr="00B52BAF" w:rsidRDefault="00707D43" w:rsidP="00D301CA">
      <w:pPr>
        <w:pStyle w:val="Textpoznpodarou"/>
        <w:rPr>
          <w:color w:val="FF0000"/>
          <w:sz w:val="16"/>
          <w:szCs w:val="16"/>
        </w:rPr>
      </w:pPr>
      <w:r w:rsidRPr="00E042C9">
        <w:rPr>
          <w:rStyle w:val="Znakapoznpodarou"/>
        </w:rPr>
        <w:footnoteRef/>
      </w:r>
      <w:r w:rsidRPr="00E042C9">
        <w:rPr>
          <w:sz w:val="16"/>
          <w:szCs w:val="16"/>
        </w:rPr>
        <w:t xml:space="preserve"> Příspěvky ke změně HDP bez vyloučení dovozu</w:t>
      </w:r>
      <w:r>
        <w:rPr>
          <w:sz w:val="16"/>
          <w:szCs w:val="16"/>
        </w:rPr>
        <w:t xml:space="preserve"> </w:t>
      </w:r>
      <w:r w:rsidRPr="00E042C9">
        <w:rPr>
          <w:sz w:val="16"/>
          <w:szCs w:val="16"/>
        </w:rPr>
        <w:t>pro konečné užití.</w:t>
      </w:r>
    </w:p>
  </w:footnote>
  <w:footnote w:id="5">
    <w:p w:rsidR="00707D43" w:rsidRPr="00EB2C4A" w:rsidRDefault="00707D43" w:rsidP="00D301CA">
      <w:pPr>
        <w:pStyle w:val="Textpoznpodarou"/>
        <w:rPr>
          <w:spacing w:val="-2"/>
        </w:rPr>
      </w:pPr>
      <w:r w:rsidRPr="00EB2C4A">
        <w:rPr>
          <w:rStyle w:val="Znakapoznpodarou"/>
          <w:spacing w:val="-2"/>
        </w:rPr>
        <w:footnoteRef/>
      </w:r>
      <w:r w:rsidRPr="00EB2C4A">
        <w:rPr>
          <w:spacing w:val="-2"/>
        </w:rPr>
        <w:t xml:space="preserve"> </w:t>
      </w:r>
      <w:r w:rsidRPr="00EB2C4A">
        <w:rPr>
          <w:spacing w:val="-2"/>
          <w:sz w:val="16"/>
          <w:szCs w:val="16"/>
        </w:rPr>
        <w:t>Jde o údaje bez očištění o sezónní a kalendářní vlivy v tzv. domácím pojetí, které zachycuje výdaje rezidentů a nerezidentů na území ČR.</w:t>
      </w:r>
    </w:p>
  </w:footnote>
  <w:footnote w:id="6">
    <w:p w:rsidR="00707D43" w:rsidRDefault="00707D43" w:rsidP="00D301CA">
      <w:pPr>
        <w:pStyle w:val="Textpoznpodarou"/>
      </w:pPr>
      <w:r w:rsidRPr="00EB2C4A">
        <w:rPr>
          <w:rStyle w:val="Znakapoznpodarou"/>
        </w:rPr>
        <w:footnoteRef/>
      </w:r>
      <w:r w:rsidRPr="00EB2C4A">
        <w:t xml:space="preserve"> </w:t>
      </w:r>
      <w:r w:rsidRPr="00EB2C4A">
        <w:rPr>
          <w:sz w:val="16"/>
          <w:szCs w:val="16"/>
        </w:rPr>
        <w:t xml:space="preserve">Věcné členění investic. </w:t>
      </w:r>
      <w:r w:rsidRPr="00EB2C4A">
        <w:rPr>
          <w:spacing w:val="-2"/>
          <w:sz w:val="16"/>
          <w:szCs w:val="16"/>
        </w:rPr>
        <w:t>Údaje jsou bez očištění o sezónní a kalendářní vlivy.</w:t>
      </w:r>
    </w:p>
  </w:footnote>
  <w:footnote w:id="7">
    <w:p w:rsidR="00707D43" w:rsidRPr="00EF6BE3" w:rsidRDefault="00707D43" w:rsidP="00DC3790">
      <w:pPr>
        <w:pStyle w:val="Textpoznpodarou"/>
        <w:rPr>
          <w:sz w:val="16"/>
          <w:szCs w:val="16"/>
        </w:rPr>
      </w:pPr>
      <w:r>
        <w:rPr>
          <w:rStyle w:val="Znakapoznpodarou"/>
        </w:rPr>
        <w:footnoteRef/>
      </w:r>
      <w:r>
        <w:t xml:space="preserve"> </w:t>
      </w:r>
      <w:r w:rsidRPr="00EF6BE3">
        <w:rPr>
          <w:sz w:val="16"/>
          <w:szCs w:val="16"/>
        </w:rPr>
        <w:t>Zahrnující odvětví dle CZ-NACE: B (Těžba a dobývání), C (Zpracovatelský průmysl), D (Energetika)</w:t>
      </w:r>
      <w:r>
        <w:rPr>
          <w:sz w:val="16"/>
          <w:szCs w:val="16"/>
        </w:rPr>
        <w:t>.</w:t>
      </w:r>
    </w:p>
  </w:footnote>
  <w:footnote w:id="8">
    <w:p w:rsidR="00707D43" w:rsidRDefault="00707D43" w:rsidP="00DC3790">
      <w:pPr>
        <w:pStyle w:val="Textpoznpodarou"/>
        <w:rPr>
          <w:sz w:val="18"/>
        </w:rPr>
      </w:pPr>
      <w:r w:rsidRPr="006D142E">
        <w:rPr>
          <w:rStyle w:val="Znakapoznpodarou"/>
          <w:sz w:val="16"/>
          <w:szCs w:val="16"/>
        </w:rPr>
        <w:footnoteRef/>
      </w:r>
      <w:r w:rsidRPr="006D142E">
        <w:rPr>
          <w:sz w:val="16"/>
          <w:szCs w:val="16"/>
        </w:rPr>
        <w:t xml:space="preserve"> Nezahrnují odvětví obchodu, peněžnictví a pojišťovnictví, vědy a výzkumu a také veřejných služeb</w:t>
      </w:r>
      <w:r>
        <w:rPr>
          <w:sz w:val="16"/>
          <w:szCs w:val="16"/>
        </w:rPr>
        <w:t>.</w:t>
      </w:r>
    </w:p>
  </w:footnote>
  <w:footnote w:id="9">
    <w:p w:rsidR="00707D43" w:rsidRPr="003F1A48" w:rsidRDefault="00707D43" w:rsidP="00BB1CFD">
      <w:pPr>
        <w:pStyle w:val="Textpoznpodarou"/>
        <w:rPr>
          <w:sz w:val="16"/>
          <w:szCs w:val="16"/>
        </w:rPr>
      </w:pPr>
      <w:r w:rsidRPr="004978D3">
        <w:rPr>
          <w:rStyle w:val="Znakapoznpodarou"/>
        </w:rPr>
        <w:footnoteRef/>
      </w:r>
      <w:r w:rsidRPr="004978D3">
        <w:t xml:space="preserve"> </w:t>
      </w:r>
      <w:r w:rsidRPr="003F1A48">
        <w:rPr>
          <w:sz w:val="16"/>
          <w:szCs w:val="16"/>
        </w:rPr>
        <w:t>Očištěný o počet pracovních dní</w:t>
      </w:r>
      <w:r>
        <w:rPr>
          <w:sz w:val="16"/>
          <w:szCs w:val="16"/>
        </w:rPr>
        <w:t>.</w:t>
      </w:r>
    </w:p>
  </w:footnote>
  <w:footnote w:id="10">
    <w:p w:rsidR="00707D43" w:rsidRDefault="00707D43" w:rsidP="002E0DB9">
      <w:pPr>
        <w:pStyle w:val="Textpoznpodarou"/>
      </w:pPr>
      <w:r>
        <w:rPr>
          <w:rStyle w:val="Znakapoznpodarou"/>
        </w:rPr>
        <w:footnoteRef/>
      </w:r>
      <w:r>
        <w:t xml:space="preserve"> </w:t>
      </w:r>
      <w:r w:rsidRPr="005D6CFC">
        <w:rPr>
          <w:sz w:val="16"/>
          <w:szCs w:val="16"/>
        </w:rPr>
        <w:t>Bilance zboží podle CZ-CPA v národním pojetí.</w:t>
      </w:r>
      <w:r>
        <w:rPr>
          <w:sz w:val="16"/>
          <w:szCs w:val="16"/>
        </w:rPr>
        <w:t xml:space="preserve"> Vývoz v cenách FOB, dovoz v cenách CIF.</w:t>
      </w:r>
    </w:p>
  </w:footnote>
  <w:footnote w:id="11">
    <w:p w:rsidR="00707D43" w:rsidRPr="00E305E2" w:rsidRDefault="00707D43" w:rsidP="007C605B">
      <w:pPr>
        <w:pStyle w:val="Textpoznpodarou"/>
        <w:rPr>
          <w:sz w:val="16"/>
          <w:szCs w:val="16"/>
        </w:rPr>
      </w:pPr>
      <w:r w:rsidRPr="00E305E2">
        <w:rPr>
          <w:rStyle w:val="Znakapoznpodarou"/>
          <w:sz w:val="16"/>
          <w:szCs w:val="16"/>
        </w:rPr>
        <w:footnoteRef/>
      </w:r>
      <w:r w:rsidRPr="00E305E2">
        <w:rPr>
          <w:sz w:val="16"/>
          <w:szCs w:val="16"/>
        </w:rPr>
        <w:t xml:space="preserve"> Očištěno</w:t>
      </w:r>
      <w:r>
        <w:rPr>
          <w:sz w:val="16"/>
          <w:szCs w:val="16"/>
        </w:rPr>
        <w:t xml:space="preserve"> o sezónní</w:t>
      </w:r>
      <w:r w:rsidRPr="00E305E2">
        <w:rPr>
          <w:sz w:val="16"/>
          <w:szCs w:val="16"/>
        </w:rPr>
        <w:t xml:space="preserve"> a </w:t>
      </w:r>
      <w:r>
        <w:rPr>
          <w:sz w:val="16"/>
          <w:szCs w:val="16"/>
        </w:rPr>
        <w:t>kalendářní vlivy.</w:t>
      </w:r>
    </w:p>
  </w:footnote>
  <w:footnote w:id="12">
    <w:p w:rsidR="00707D43" w:rsidRPr="00B44D69" w:rsidRDefault="00707D43" w:rsidP="004762D8">
      <w:pPr>
        <w:pStyle w:val="Textpoznpodarou"/>
        <w:rPr>
          <w:sz w:val="16"/>
          <w:szCs w:val="16"/>
        </w:rPr>
      </w:pPr>
      <w:r w:rsidRPr="00B44D69">
        <w:rPr>
          <w:rStyle w:val="Znakapoznpodarou"/>
          <w:sz w:val="16"/>
          <w:szCs w:val="16"/>
        </w:rPr>
        <w:footnoteRef/>
      </w:r>
      <w:r w:rsidRPr="00B44D69">
        <w:rPr>
          <w:sz w:val="16"/>
          <w:szCs w:val="16"/>
        </w:rPr>
        <w:t xml:space="preserve"> Pokud není uvedeno jinak, jedná se o údaje národních účtů v očištění o sezónní vlivy.</w:t>
      </w:r>
    </w:p>
  </w:footnote>
  <w:footnote w:id="13">
    <w:p w:rsidR="00707D43" w:rsidRPr="00ED66C8" w:rsidRDefault="00707D43" w:rsidP="00D245BA">
      <w:pPr>
        <w:pStyle w:val="Textpoznpodarou"/>
        <w:jc w:val="both"/>
        <w:rPr>
          <w:sz w:val="16"/>
          <w:szCs w:val="16"/>
        </w:rPr>
      </w:pPr>
      <w:r>
        <w:rPr>
          <w:rStyle w:val="Znakapoznpodarou"/>
        </w:rPr>
        <w:footnoteRef/>
      </w:r>
      <w:r>
        <w:t xml:space="preserve"> </w:t>
      </w:r>
      <w:r w:rsidRPr="00ED66C8">
        <w:rPr>
          <w:sz w:val="16"/>
          <w:szCs w:val="16"/>
        </w:rPr>
        <w:t xml:space="preserve">Fúze pobočky zahraniční banky s nebankovním subjektem (spadajícím do kategorie Zprostředkovatelé financování aktiv - ostatní úvěrování) ovlivnila data v bankovní a měnové statistice k </w:t>
      </w:r>
      <w:proofErr w:type="gramStart"/>
      <w:r w:rsidRPr="00ED66C8">
        <w:rPr>
          <w:sz w:val="16"/>
          <w:szCs w:val="16"/>
        </w:rPr>
        <w:t>30.6.2015</w:t>
      </w:r>
      <w:proofErr w:type="gramEnd"/>
      <w:r w:rsidRPr="00ED66C8">
        <w:rPr>
          <w:sz w:val="16"/>
          <w:szCs w:val="16"/>
        </w:rPr>
        <w:t xml:space="preserve">. Bilanční suma bank jednorázově vzrostla o 20 mld. </w:t>
      </w:r>
      <w:r>
        <w:rPr>
          <w:sz w:val="16"/>
          <w:szCs w:val="16"/>
        </w:rPr>
        <w:t>korun</w:t>
      </w:r>
      <w:r w:rsidRPr="00ED66C8">
        <w:rPr>
          <w:sz w:val="16"/>
          <w:szCs w:val="16"/>
        </w:rPr>
        <w:t xml:space="preserve">, spotřebitelské úvěry obyvatelstvu včetně debetních zůstatků na běžných účtech se navýšily o 18 mld. </w:t>
      </w:r>
      <w:r>
        <w:rPr>
          <w:sz w:val="16"/>
          <w:szCs w:val="16"/>
        </w:rPr>
        <w:t>korun</w:t>
      </w:r>
      <w:r w:rsidRPr="00ED66C8">
        <w:rPr>
          <w:sz w:val="16"/>
          <w:szCs w:val="16"/>
        </w:rPr>
        <w:t xml:space="preserve">, z toho pohledávky z kreditních karet o 8 mld. </w:t>
      </w:r>
      <w:r>
        <w:rPr>
          <w:sz w:val="16"/>
          <w:szCs w:val="16"/>
        </w:rPr>
        <w:t>korun</w:t>
      </w:r>
      <w:r w:rsidRPr="00ED66C8">
        <w:rPr>
          <w:sz w:val="16"/>
          <w:szCs w:val="16"/>
        </w:rPr>
        <w:t xml:space="preserve">. Zároveň poklesly úvěry poskytnuté ostatním finančním zprostředkovatelům o 8,5 mld. </w:t>
      </w:r>
      <w:r>
        <w:rPr>
          <w:sz w:val="16"/>
          <w:szCs w:val="16"/>
        </w:rPr>
        <w:t>korun</w:t>
      </w:r>
      <w:r w:rsidRPr="00ED66C8">
        <w:rPr>
          <w:sz w:val="16"/>
          <w:szCs w:val="16"/>
        </w:rPr>
        <w:t>.</w:t>
      </w:r>
    </w:p>
  </w:footnote>
  <w:footnote w:id="14">
    <w:p w:rsidR="00707D43" w:rsidRDefault="00707D43" w:rsidP="00B55BA8">
      <w:pPr>
        <w:pStyle w:val="Textpoznpodarou"/>
      </w:pPr>
      <w:r>
        <w:rPr>
          <w:rStyle w:val="Znakapoznpodarou"/>
        </w:rPr>
        <w:footnoteRef/>
      </w:r>
      <w:r>
        <w:t xml:space="preserve"> </w:t>
      </w:r>
      <w:r>
        <w:rPr>
          <w:iCs/>
          <w:spacing w:val="-2"/>
          <w:sz w:val="16"/>
        </w:rPr>
        <w:t xml:space="preserve">V loňském roce navýšené o některé mimořádné příjmy (zejména </w:t>
      </w:r>
      <w:r>
        <w:rPr>
          <w:spacing w:val="-2"/>
          <w:sz w:val="16"/>
        </w:rPr>
        <w:t>aukce</w:t>
      </w:r>
      <w:r w:rsidRPr="008020C2">
        <w:rPr>
          <w:spacing w:val="-2"/>
          <w:sz w:val="16"/>
        </w:rPr>
        <w:t xml:space="preserve"> kmitočtů </w:t>
      </w:r>
      <w:r>
        <w:rPr>
          <w:spacing w:val="-2"/>
          <w:sz w:val="16"/>
        </w:rPr>
        <w:t>pro rychlé mobilní sítě za 8,5 mld. korun).</w:t>
      </w:r>
    </w:p>
  </w:footnote>
  <w:footnote w:id="15">
    <w:p w:rsidR="00707D43" w:rsidRDefault="00707D43" w:rsidP="00B55BA8">
      <w:pPr>
        <w:pStyle w:val="Textpoznpodarou"/>
        <w:jc w:val="both"/>
      </w:pPr>
      <w:r>
        <w:rPr>
          <w:rStyle w:val="Znakapoznpodarou"/>
        </w:rPr>
        <w:footnoteRef/>
      </w:r>
      <w:r>
        <w:t xml:space="preserve"> </w:t>
      </w:r>
      <w:r>
        <w:rPr>
          <w:spacing w:val="-2"/>
          <w:sz w:val="16"/>
        </w:rPr>
        <w:t>U</w:t>
      </w:r>
      <w:r w:rsidRPr="00007498">
        <w:rPr>
          <w:spacing w:val="-2"/>
          <w:sz w:val="16"/>
        </w:rPr>
        <w:t xml:space="preserve"> </w:t>
      </w:r>
      <w:r>
        <w:rPr>
          <w:iCs/>
          <w:spacing w:val="-2"/>
          <w:sz w:val="16"/>
        </w:rPr>
        <w:t>spotřební daně</w:t>
      </w:r>
      <w:r w:rsidRPr="00007498">
        <w:rPr>
          <w:iCs/>
          <w:spacing w:val="-2"/>
          <w:sz w:val="16"/>
        </w:rPr>
        <w:t xml:space="preserve"> z tabákových výrobků</w:t>
      </w:r>
      <w:r>
        <w:rPr>
          <w:iCs/>
          <w:spacing w:val="-2"/>
          <w:sz w:val="16"/>
        </w:rPr>
        <w:t xml:space="preserve"> souviselo vyšší loňské inkaso s intenzivním </w:t>
      </w:r>
      <w:r w:rsidRPr="0032109A">
        <w:rPr>
          <w:spacing w:val="-2"/>
          <w:sz w:val="16"/>
        </w:rPr>
        <w:t xml:space="preserve">předzásobením obchodníků na konci roku 2013 z </w:t>
      </w:r>
      <w:r>
        <w:rPr>
          <w:spacing w:val="-2"/>
          <w:sz w:val="16"/>
        </w:rPr>
        <w:t>důvodu následného zvýšení sazeb. K 1. 12. 2014 došlo k dalšímu navýšení sazeb spotřební daně u tabákových výrobků, doplněné ale navíc i regulací předzásobení. Vyšší základna u DPH souvisela s dočasným zadržením výplaty části nadměrných odpočtů na počátku roku 2014 (ve výši 8,4</w:t>
      </w:r>
      <w:r w:rsidRPr="00092208">
        <w:rPr>
          <w:spacing w:val="-2"/>
          <w:sz w:val="16"/>
        </w:rPr>
        <w:t> </w:t>
      </w:r>
      <w:r>
        <w:rPr>
          <w:spacing w:val="-2"/>
          <w:sz w:val="16"/>
        </w:rPr>
        <w:t>mld. korun) u neusazených plátců DPH.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3" w:rsidRPr="00173642" w:rsidRDefault="00707D43" w:rsidP="00173642">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2014/</w:t>
    </w:r>
    <w:r w:rsidRPr="00D43998">
      <w:rPr>
        <w:rFonts w:ascii="Arial" w:hAnsi="Arial" w:cs="Arial"/>
        <w:sz w:val="16"/>
        <w:szCs w:val="16"/>
      </w:rPr>
      <w:t xml:space="preserve"> </w:t>
    </w:r>
    <w:r>
      <w:rPr>
        <w:rFonts w:ascii="Arial" w:hAnsi="Arial" w:cs="Arial"/>
        <w:sz w:val="16"/>
        <w:szCs w:val="16"/>
      </w:rPr>
      <w:t>Souhrnná výkonnost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3" w:rsidRPr="00DC5B3B" w:rsidRDefault="00707D43"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1. pololetí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3" w:rsidRPr="00D766EF" w:rsidRDefault="00707D43"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pololetí 2015</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3" w:rsidRPr="00D766EF" w:rsidRDefault="00707D43"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pololetí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oNotTrackMoves/>
  <w:defaultTabStop w:val="708"/>
  <w:hyphenationZone w:val="425"/>
  <w:evenAndOddHeaders/>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0BD"/>
    <w:rsid w:val="00000FA7"/>
    <w:rsid w:val="00003687"/>
    <w:rsid w:val="00003C43"/>
    <w:rsid w:val="00007498"/>
    <w:rsid w:val="0000767A"/>
    <w:rsid w:val="000101F5"/>
    <w:rsid w:val="000104B9"/>
    <w:rsid w:val="00010702"/>
    <w:rsid w:val="00011191"/>
    <w:rsid w:val="0001159B"/>
    <w:rsid w:val="00012986"/>
    <w:rsid w:val="0001573E"/>
    <w:rsid w:val="00017F05"/>
    <w:rsid w:val="000202C6"/>
    <w:rsid w:val="00020946"/>
    <w:rsid w:val="00024887"/>
    <w:rsid w:val="00024CBA"/>
    <w:rsid w:val="00025501"/>
    <w:rsid w:val="00026998"/>
    <w:rsid w:val="0003066A"/>
    <w:rsid w:val="00032838"/>
    <w:rsid w:val="00032C12"/>
    <w:rsid w:val="00035FC6"/>
    <w:rsid w:val="00037667"/>
    <w:rsid w:val="000411E1"/>
    <w:rsid w:val="00043E05"/>
    <w:rsid w:val="0004694F"/>
    <w:rsid w:val="000500DC"/>
    <w:rsid w:val="00052172"/>
    <w:rsid w:val="00055059"/>
    <w:rsid w:val="000553E4"/>
    <w:rsid w:val="00062EC5"/>
    <w:rsid w:val="00064256"/>
    <w:rsid w:val="000706A4"/>
    <w:rsid w:val="00072118"/>
    <w:rsid w:val="00073173"/>
    <w:rsid w:val="000779AC"/>
    <w:rsid w:val="00083803"/>
    <w:rsid w:val="0008716A"/>
    <w:rsid w:val="00087634"/>
    <w:rsid w:val="00091237"/>
    <w:rsid w:val="0009191B"/>
    <w:rsid w:val="000920EC"/>
    <w:rsid w:val="00092208"/>
    <w:rsid w:val="00092505"/>
    <w:rsid w:val="00097D02"/>
    <w:rsid w:val="000A1183"/>
    <w:rsid w:val="000A2121"/>
    <w:rsid w:val="000A2484"/>
    <w:rsid w:val="000B1CFE"/>
    <w:rsid w:val="000B210A"/>
    <w:rsid w:val="000B249B"/>
    <w:rsid w:val="000B3DB9"/>
    <w:rsid w:val="000B3F02"/>
    <w:rsid w:val="000B48E7"/>
    <w:rsid w:val="000B7663"/>
    <w:rsid w:val="000C11D3"/>
    <w:rsid w:val="000C12F5"/>
    <w:rsid w:val="000C3408"/>
    <w:rsid w:val="000D0D51"/>
    <w:rsid w:val="000D14B3"/>
    <w:rsid w:val="000D208B"/>
    <w:rsid w:val="000D2B8D"/>
    <w:rsid w:val="000D2E41"/>
    <w:rsid w:val="000D5E7A"/>
    <w:rsid w:val="000D5FAA"/>
    <w:rsid w:val="000D65A4"/>
    <w:rsid w:val="000D6AEF"/>
    <w:rsid w:val="000E025B"/>
    <w:rsid w:val="000E153A"/>
    <w:rsid w:val="000E19A8"/>
    <w:rsid w:val="000E4A42"/>
    <w:rsid w:val="000E6476"/>
    <w:rsid w:val="000E78D2"/>
    <w:rsid w:val="000F3332"/>
    <w:rsid w:val="000F33EE"/>
    <w:rsid w:val="000F401E"/>
    <w:rsid w:val="000F5445"/>
    <w:rsid w:val="000F67B2"/>
    <w:rsid w:val="000F790F"/>
    <w:rsid w:val="000F7E1B"/>
    <w:rsid w:val="00100014"/>
    <w:rsid w:val="0010039A"/>
    <w:rsid w:val="00101FB2"/>
    <w:rsid w:val="00102F02"/>
    <w:rsid w:val="001041B6"/>
    <w:rsid w:val="001070EA"/>
    <w:rsid w:val="0011002A"/>
    <w:rsid w:val="0011110A"/>
    <w:rsid w:val="001118AF"/>
    <w:rsid w:val="0011256E"/>
    <w:rsid w:val="0011352E"/>
    <w:rsid w:val="00116DB9"/>
    <w:rsid w:val="00116F28"/>
    <w:rsid w:val="00121C39"/>
    <w:rsid w:val="00123255"/>
    <w:rsid w:val="00124D2D"/>
    <w:rsid w:val="001307BE"/>
    <w:rsid w:val="00130C8F"/>
    <w:rsid w:val="001314F2"/>
    <w:rsid w:val="001317DA"/>
    <w:rsid w:val="001323BA"/>
    <w:rsid w:val="0013254D"/>
    <w:rsid w:val="00133AAC"/>
    <w:rsid w:val="00136561"/>
    <w:rsid w:val="001400E1"/>
    <w:rsid w:val="001405FA"/>
    <w:rsid w:val="001413B3"/>
    <w:rsid w:val="001425C3"/>
    <w:rsid w:val="00142F16"/>
    <w:rsid w:val="00143E03"/>
    <w:rsid w:val="00143E93"/>
    <w:rsid w:val="00151AC0"/>
    <w:rsid w:val="00152046"/>
    <w:rsid w:val="00154147"/>
    <w:rsid w:val="00156318"/>
    <w:rsid w:val="0015639A"/>
    <w:rsid w:val="0016081D"/>
    <w:rsid w:val="00160CF3"/>
    <w:rsid w:val="001620FA"/>
    <w:rsid w:val="00162853"/>
    <w:rsid w:val="00163793"/>
    <w:rsid w:val="001707DE"/>
    <w:rsid w:val="00170B04"/>
    <w:rsid w:val="00170F47"/>
    <w:rsid w:val="001714F2"/>
    <w:rsid w:val="00173642"/>
    <w:rsid w:val="00174CE8"/>
    <w:rsid w:val="00176050"/>
    <w:rsid w:val="001764D8"/>
    <w:rsid w:val="00176A8F"/>
    <w:rsid w:val="00180D58"/>
    <w:rsid w:val="00182981"/>
    <w:rsid w:val="00184CF9"/>
    <w:rsid w:val="00185010"/>
    <w:rsid w:val="001852EC"/>
    <w:rsid w:val="001874CF"/>
    <w:rsid w:val="00190D9B"/>
    <w:rsid w:val="00191BAE"/>
    <w:rsid w:val="00193432"/>
    <w:rsid w:val="00195444"/>
    <w:rsid w:val="001A2BDB"/>
    <w:rsid w:val="001A30F4"/>
    <w:rsid w:val="001A552F"/>
    <w:rsid w:val="001A56F3"/>
    <w:rsid w:val="001A750C"/>
    <w:rsid w:val="001B1D89"/>
    <w:rsid w:val="001B3110"/>
    <w:rsid w:val="001B44BC"/>
    <w:rsid w:val="001B6545"/>
    <w:rsid w:val="001B681B"/>
    <w:rsid w:val="001B6A49"/>
    <w:rsid w:val="001B74FB"/>
    <w:rsid w:val="001B77A1"/>
    <w:rsid w:val="001C0422"/>
    <w:rsid w:val="001C0E0E"/>
    <w:rsid w:val="001C1219"/>
    <w:rsid w:val="001C357A"/>
    <w:rsid w:val="001C3A37"/>
    <w:rsid w:val="001C4384"/>
    <w:rsid w:val="001C65FF"/>
    <w:rsid w:val="001D47E5"/>
    <w:rsid w:val="001D584C"/>
    <w:rsid w:val="001D66C1"/>
    <w:rsid w:val="001E0C65"/>
    <w:rsid w:val="001E23E3"/>
    <w:rsid w:val="001E387A"/>
    <w:rsid w:val="001E3DA4"/>
    <w:rsid w:val="001E5830"/>
    <w:rsid w:val="001E684C"/>
    <w:rsid w:val="001E701C"/>
    <w:rsid w:val="001E7C03"/>
    <w:rsid w:val="001F02AF"/>
    <w:rsid w:val="001F28F4"/>
    <w:rsid w:val="001F3C79"/>
    <w:rsid w:val="001F3E68"/>
    <w:rsid w:val="001F4597"/>
    <w:rsid w:val="00200D15"/>
    <w:rsid w:val="00203074"/>
    <w:rsid w:val="00203B46"/>
    <w:rsid w:val="002048E1"/>
    <w:rsid w:val="00210278"/>
    <w:rsid w:val="00210CC2"/>
    <w:rsid w:val="00210F5B"/>
    <w:rsid w:val="00211262"/>
    <w:rsid w:val="00211AC9"/>
    <w:rsid w:val="0021355B"/>
    <w:rsid w:val="002205F2"/>
    <w:rsid w:val="0022080E"/>
    <w:rsid w:val="0022139E"/>
    <w:rsid w:val="0022272B"/>
    <w:rsid w:val="00222A99"/>
    <w:rsid w:val="00223678"/>
    <w:rsid w:val="00223E00"/>
    <w:rsid w:val="002252E0"/>
    <w:rsid w:val="002255F6"/>
    <w:rsid w:val="00226466"/>
    <w:rsid w:val="002266D0"/>
    <w:rsid w:val="00230DAD"/>
    <w:rsid w:val="0023229C"/>
    <w:rsid w:val="00234280"/>
    <w:rsid w:val="00235000"/>
    <w:rsid w:val="002350E3"/>
    <w:rsid w:val="00236443"/>
    <w:rsid w:val="00240A5B"/>
    <w:rsid w:val="002436BA"/>
    <w:rsid w:val="002444ED"/>
    <w:rsid w:val="00244A15"/>
    <w:rsid w:val="00244D40"/>
    <w:rsid w:val="00246AE9"/>
    <w:rsid w:val="0024799E"/>
    <w:rsid w:val="00250C59"/>
    <w:rsid w:val="00251D59"/>
    <w:rsid w:val="00252602"/>
    <w:rsid w:val="00252FDC"/>
    <w:rsid w:val="00261E5B"/>
    <w:rsid w:val="00263470"/>
    <w:rsid w:val="00263733"/>
    <w:rsid w:val="00264676"/>
    <w:rsid w:val="00265536"/>
    <w:rsid w:val="00265E54"/>
    <w:rsid w:val="00266F3E"/>
    <w:rsid w:val="00272464"/>
    <w:rsid w:val="00273DCD"/>
    <w:rsid w:val="00274291"/>
    <w:rsid w:val="00276CFE"/>
    <w:rsid w:val="00277071"/>
    <w:rsid w:val="0027786C"/>
    <w:rsid w:val="00277BF7"/>
    <w:rsid w:val="00281416"/>
    <w:rsid w:val="00285CD3"/>
    <w:rsid w:val="0028686A"/>
    <w:rsid w:val="00286E66"/>
    <w:rsid w:val="002919B5"/>
    <w:rsid w:val="00293441"/>
    <w:rsid w:val="0029493E"/>
    <w:rsid w:val="00296C2E"/>
    <w:rsid w:val="002A1B05"/>
    <w:rsid w:val="002A3354"/>
    <w:rsid w:val="002A35EA"/>
    <w:rsid w:val="002A37B6"/>
    <w:rsid w:val="002A3BD5"/>
    <w:rsid w:val="002A43A2"/>
    <w:rsid w:val="002A4612"/>
    <w:rsid w:val="002A5263"/>
    <w:rsid w:val="002A6821"/>
    <w:rsid w:val="002A74D2"/>
    <w:rsid w:val="002B1544"/>
    <w:rsid w:val="002B36C8"/>
    <w:rsid w:val="002B7240"/>
    <w:rsid w:val="002C2668"/>
    <w:rsid w:val="002C43BD"/>
    <w:rsid w:val="002C5261"/>
    <w:rsid w:val="002C6091"/>
    <w:rsid w:val="002D0562"/>
    <w:rsid w:val="002D1B5A"/>
    <w:rsid w:val="002D3F00"/>
    <w:rsid w:val="002D4D59"/>
    <w:rsid w:val="002D54BF"/>
    <w:rsid w:val="002D5E94"/>
    <w:rsid w:val="002D632D"/>
    <w:rsid w:val="002E02A1"/>
    <w:rsid w:val="002E0982"/>
    <w:rsid w:val="002E0DB9"/>
    <w:rsid w:val="002E2CE4"/>
    <w:rsid w:val="002F33FB"/>
    <w:rsid w:val="002F7594"/>
    <w:rsid w:val="00301357"/>
    <w:rsid w:val="00301D04"/>
    <w:rsid w:val="00304771"/>
    <w:rsid w:val="00305736"/>
    <w:rsid w:val="00306C5B"/>
    <w:rsid w:val="00306E3B"/>
    <w:rsid w:val="00312C3D"/>
    <w:rsid w:val="00314331"/>
    <w:rsid w:val="00317E31"/>
    <w:rsid w:val="00320214"/>
    <w:rsid w:val="003209D6"/>
    <w:rsid w:val="0032109A"/>
    <w:rsid w:val="0032214F"/>
    <w:rsid w:val="00322164"/>
    <w:rsid w:val="0032513D"/>
    <w:rsid w:val="00326251"/>
    <w:rsid w:val="00327DEE"/>
    <w:rsid w:val="003329F3"/>
    <w:rsid w:val="0033352E"/>
    <w:rsid w:val="00333690"/>
    <w:rsid w:val="00333D20"/>
    <w:rsid w:val="003340EF"/>
    <w:rsid w:val="00334A49"/>
    <w:rsid w:val="00335BB0"/>
    <w:rsid w:val="0033627B"/>
    <w:rsid w:val="003406BD"/>
    <w:rsid w:val="00343F84"/>
    <w:rsid w:val="00344135"/>
    <w:rsid w:val="00351B63"/>
    <w:rsid w:val="00352E57"/>
    <w:rsid w:val="003541B0"/>
    <w:rsid w:val="00355885"/>
    <w:rsid w:val="0035605E"/>
    <w:rsid w:val="00357449"/>
    <w:rsid w:val="0036238B"/>
    <w:rsid w:val="00365680"/>
    <w:rsid w:val="003657F3"/>
    <w:rsid w:val="00367038"/>
    <w:rsid w:val="0037144E"/>
    <w:rsid w:val="003736B5"/>
    <w:rsid w:val="00374F1E"/>
    <w:rsid w:val="00376DEC"/>
    <w:rsid w:val="00380E04"/>
    <w:rsid w:val="00383227"/>
    <w:rsid w:val="00384D8F"/>
    <w:rsid w:val="00385D98"/>
    <w:rsid w:val="00385EC5"/>
    <w:rsid w:val="0039066E"/>
    <w:rsid w:val="00391C95"/>
    <w:rsid w:val="00396DAC"/>
    <w:rsid w:val="003A0214"/>
    <w:rsid w:val="003A027D"/>
    <w:rsid w:val="003A1D74"/>
    <w:rsid w:val="003A2B4D"/>
    <w:rsid w:val="003A2D2B"/>
    <w:rsid w:val="003A2DD4"/>
    <w:rsid w:val="003A3B1C"/>
    <w:rsid w:val="003A478C"/>
    <w:rsid w:val="003A4F82"/>
    <w:rsid w:val="003A5525"/>
    <w:rsid w:val="003A6B38"/>
    <w:rsid w:val="003B2E63"/>
    <w:rsid w:val="003B3189"/>
    <w:rsid w:val="003B3A9D"/>
    <w:rsid w:val="003B5031"/>
    <w:rsid w:val="003B5A32"/>
    <w:rsid w:val="003B6105"/>
    <w:rsid w:val="003C04C4"/>
    <w:rsid w:val="003C26F4"/>
    <w:rsid w:val="003C4852"/>
    <w:rsid w:val="003C601E"/>
    <w:rsid w:val="003D3600"/>
    <w:rsid w:val="003D3825"/>
    <w:rsid w:val="003D3EC4"/>
    <w:rsid w:val="003D4760"/>
    <w:rsid w:val="003D49DC"/>
    <w:rsid w:val="003E0663"/>
    <w:rsid w:val="003E133F"/>
    <w:rsid w:val="003E699C"/>
    <w:rsid w:val="003E69F3"/>
    <w:rsid w:val="003E782E"/>
    <w:rsid w:val="003E7A0B"/>
    <w:rsid w:val="003E7B2B"/>
    <w:rsid w:val="003F1A48"/>
    <w:rsid w:val="003F2B0A"/>
    <w:rsid w:val="003F313C"/>
    <w:rsid w:val="003F37FC"/>
    <w:rsid w:val="003F49A6"/>
    <w:rsid w:val="003F5098"/>
    <w:rsid w:val="003F5568"/>
    <w:rsid w:val="003F5A95"/>
    <w:rsid w:val="003F6D19"/>
    <w:rsid w:val="004000D5"/>
    <w:rsid w:val="00401716"/>
    <w:rsid w:val="0040273A"/>
    <w:rsid w:val="00402C25"/>
    <w:rsid w:val="004050D7"/>
    <w:rsid w:val="004078BD"/>
    <w:rsid w:val="00410132"/>
    <w:rsid w:val="00410BCD"/>
    <w:rsid w:val="0041175D"/>
    <w:rsid w:val="004123BE"/>
    <w:rsid w:val="00414CE5"/>
    <w:rsid w:val="00416673"/>
    <w:rsid w:val="0042160D"/>
    <w:rsid w:val="0042681B"/>
    <w:rsid w:val="0043068A"/>
    <w:rsid w:val="004306E0"/>
    <w:rsid w:val="004329BE"/>
    <w:rsid w:val="00432C38"/>
    <w:rsid w:val="00437C76"/>
    <w:rsid w:val="004441A0"/>
    <w:rsid w:val="00444268"/>
    <w:rsid w:val="004443BF"/>
    <w:rsid w:val="00444C19"/>
    <w:rsid w:val="00446892"/>
    <w:rsid w:val="00450C30"/>
    <w:rsid w:val="00455ECA"/>
    <w:rsid w:val="00460164"/>
    <w:rsid w:val="0046039A"/>
    <w:rsid w:val="00460A6B"/>
    <w:rsid w:val="00461977"/>
    <w:rsid w:val="004629FD"/>
    <w:rsid w:val="00463F4D"/>
    <w:rsid w:val="0046471F"/>
    <w:rsid w:val="00464BE8"/>
    <w:rsid w:val="00465019"/>
    <w:rsid w:val="0046613F"/>
    <w:rsid w:val="0046655D"/>
    <w:rsid w:val="0046765E"/>
    <w:rsid w:val="004676E2"/>
    <w:rsid w:val="00471EDD"/>
    <w:rsid w:val="00473E94"/>
    <w:rsid w:val="0047400C"/>
    <w:rsid w:val="004745D9"/>
    <w:rsid w:val="004762D8"/>
    <w:rsid w:val="004765B3"/>
    <w:rsid w:val="00476D29"/>
    <w:rsid w:val="00477241"/>
    <w:rsid w:val="00477EAF"/>
    <w:rsid w:val="00477EE0"/>
    <w:rsid w:val="0048139F"/>
    <w:rsid w:val="00483053"/>
    <w:rsid w:val="004879E9"/>
    <w:rsid w:val="0049104F"/>
    <w:rsid w:val="00491218"/>
    <w:rsid w:val="00493362"/>
    <w:rsid w:val="00496C2F"/>
    <w:rsid w:val="0049740D"/>
    <w:rsid w:val="004978D3"/>
    <w:rsid w:val="004A11F8"/>
    <w:rsid w:val="004A22FA"/>
    <w:rsid w:val="004A269A"/>
    <w:rsid w:val="004A30FB"/>
    <w:rsid w:val="004A35DD"/>
    <w:rsid w:val="004A37D3"/>
    <w:rsid w:val="004A3AD6"/>
    <w:rsid w:val="004A5865"/>
    <w:rsid w:val="004A77DF"/>
    <w:rsid w:val="004B0295"/>
    <w:rsid w:val="004B10A8"/>
    <w:rsid w:val="004B22DA"/>
    <w:rsid w:val="004B3CB7"/>
    <w:rsid w:val="004B3D55"/>
    <w:rsid w:val="004B55B7"/>
    <w:rsid w:val="004C00A6"/>
    <w:rsid w:val="004C0BBB"/>
    <w:rsid w:val="004C1B86"/>
    <w:rsid w:val="004C3382"/>
    <w:rsid w:val="004C3867"/>
    <w:rsid w:val="004C4AB7"/>
    <w:rsid w:val="004C4CD0"/>
    <w:rsid w:val="004C57B5"/>
    <w:rsid w:val="004C5C25"/>
    <w:rsid w:val="004C6717"/>
    <w:rsid w:val="004C6CFF"/>
    <w:rsid w:val="004C70DC"/>
    <w:rsid w:val="004C7268"/>
    <w:rsid w:val="004D0211"/>
    <w:rsid w:val="004D1C9C"/>
    <w:rsid w:val="004D504B"/>
    <w:rsid w:val="004D536E"/>
    <w:rsid w:val="004E1839"/>
    <w:rsid w:val="004E4A75"/>
    <w:rsid w:val="004E541A"/>
    <w:rsid w:val="004E5A5C"/>
    <w:rsid w:val="004E76D6"/>
    <w:rsid w:val="004F06F5"/>
    <w:rsid w:val="004F191F"/>
    <w:rsid w:val="004F2A73"/>
    <w:rsid w:val="004F33A0"/>
    <w:rsid w:val="004F4353"/>
    <w:rsid w:val="004F447D"/>
    <w:rsid w:val="004F4C28"/>
    <w:rsid w:val="004F5CC5"/>
    <w:rsid w:val="00507040"/>
    <w:rsid w:val="005079F8"/>
    <w:rsid w:val="00510189"/>
    <w:rsid w:val="005108C0"/>
    <w:rsid w:val="00511873"/>
    <w:rsid w:val="00513B7E"/>
    <w:rsid w:val="00514474"/>
    <w:rsid w:val="005215EF"/>
    <w:rsid w:val="00524637"/>
    <w:rsid w:val="00525137"/>
    <w:rsid w:val="005251DD"/>
    <w:rsid w:val="0053017A"/>
    <w:rsid w:val="00530492"/>
    <w:rsid w:val="00532854"/>
    <w:rsid w:val="005350F2"/>
    <w:rsid w:val="00535152"/>
    <w:rsid w:val="00535359"/>
    <w:rsid w:val="005357A2"/>
    <w:rsid w:val="00535D87"/>
    <w:rsid w:val="00535EF0"/>
    <w:rsid w:val="0053734B"/>
    <w:rsid w:val="00537AFD"/>
    <w:rsid w:val="00537CB4"/>
    <w:rsid w:val="0054516B"/>
    <w:rsid w:val="0054559E"/>
    <w:rsid w:val="005513D5"/>
    <w:rsid w:val="005523B9"/>
    <w:rsid w:val="005545E0"/>
    <w:rsid w:val="00554865"/>
    <w:rsid w:val="00554E57"/>
    <w:rsid w:val="00562749"/>
    <w:rsid w:val="00562DE9"/>
    <w:rsid w:val="005638A5"/>
    <w:rsid w:val="00566381"/>
    <w:rsid w:val="00566A03"/>
    <w:rsid w:val="00571932"/>
    <w:rsid w:val="00573C97"/>
    <w:rsid w:val="00574240"/>
    <w:rsid w:val="00575CDC"/>
    <w:rsid w:val="005765D5"/>
    <w:rsid w:val="00576A3E"/>
    <w:rsid w:val="00583D5B"/>
    <w:rsid w:val="00583FFD"/>
    <w:rsid w:val="00587CCD"/>
    <w:rsid w:val="005908AE"/>
    <w:rsid w:val="0059176E"/>
    <w:rsid w:val="00593152"/>
    <w:rsid w:val="00593CA3"/>
    <w:rsid w:val="00594161"/>
    <w:rsid w:val="00594969"/>
    <w:rsid w:val="00596C5E"/>
    <w:rsid w:val="005A2194"/>
    <w:rsid w:val="005A21E0"/>
    <w:rsid w:val="005A33A1"/>
    <w:rsid w:val="005A54EE"/>
    <w:rsid w:val="005A7500"/>
    <w:rsid w:val="005B1BDB"/>
    <w:rsid w:val="005B2BAA"/>
    <w:rsid w:val="005B2D53"/>
    <w:rsid w:val="005B3247"/>
    <w:rsid w:val="005B3409"/>
    <w:rsid w:val="005B7B12"/>
    <w:rsid w:val="005C16CB"/>
    <w:rsid w:val="005C3F9F"/>
    <w:rsid w:val="005C4A23"/>
    <w:rsid w:val="005C6400"/>
    <w:rsid w:val="005C7F1E"/>
    <w:rsid w:val="005D374F"/>
    <w:rsid w:val="005D5802"/>
    <w:rsid w:val="005D6CFC"/>
    <w:rsid w:val="005D73E2"/>
    <w:rsid w:val="005E1E4B"/>
    <w:rsid w:val="005E362D"/>
    <w:rsid w:val="005E492C"/>
    <w:rsid w:val="005E4BAA"/>
    <w:rsid w:val="005E52EF"/>
    <w:rsid w:val="005E5B56"/>
    <w:rsid w:val="005E6088"/>
    <w:rsid w:val="005E61DF"/>
    <w:rsid w:val="005E6B78"/>
    <w:rsid w:val="005F4057"/>
    <w:rsid w:val="005F4088"/>
    <w:rsid w:val="005F6119"/>
    <w:rsid w:val="0060107A"/>
    <w:rsid w:val="00601AFF"/>
    <w:rsid w:val="00602D1D"/>
    <w:rsid w:val="00604307"/>
    <w:rsid w:val="0060487F"/>
    <w:rsid w:val="00605814"/>
    <w:rsid w:val="00606B93"/>
    <w:rsid w:val="00607727"/>
    <w:rsid w:val="006118AA"/>
    <w:rsid w:val="006139C7"/>
    <w:rsid w:val="006153E3"/>
    <w:rsid w:val="00617D2D"/>
    <w:rsid w:val="00617D83"/>
    <w:rsid w:val="00620AC5"/>
    <w:rsid w:val="00621575"/>
    <w:rsid w:val="006215FC"/>
    <w:rsid w:val="00624093"/>
    <w:rsid w:val="00630F66"/>
    <w:rsid w:val="00631FC2"/>
    <w:rsid w:val="00632171"/>
    <w:rsid w:val="0063332A"/>
    <w:rsid w:val="006347F9"/>
    <w:rsid w:val="00634C90"/>
    <w:rsid w:val="00635E79"/>
    <w:rsid w:val="00636E5E"/>
    <w:rsid w:val="006404A7"/>
    <w:rsid w:val="006407F3"/>
    <w:rsid w:val="00644DFC"/>
    <w:rsid w:val="006451E4"/>
    <w:rsid w:val="006460B8"/>
    <w:rsid w:val="006520C7"/>
    <w:rsid w:val="006530B8"/>
    <w:rsid w:val="006535D6"/>
    <w:rsid w:val="006572ED"/>
    <w:rsid w:val="00657E87"/>
    <w:rsid w:val="00660457"/>
    <w:rsid w:val="00660E1E"/>
    <w:rsid w:val="006637B1"/>
    <w:rsid w:val="00665D67"/>
    <w:rsid w:val="00665D77"/>
    <w:rsid w:val="006660CD"/>
    <w:rsid w:val="00666F4B"/>
    <w:rsid w:val="006676D0"/>
    <w:rsid w:val="00670FAC"/>
    <w:rsid w:val="006710C9"/>
    <w:rsid w:val="00675E37"/>
    <w:rsid w:val="00676F11"/>
    <w:rsid w:val="00680079"/>
    <w:rsid w:val="00680F68"/>
    <w:rsid w:val="0068260E"/>
    <w:rsid w:val="0068373D"/>
    <w:rsid w:val="00683BFE"/>
    <w:rsid w:val="006857DF"/>
    <w:rsid w:val="00685E66"/>
    <w:rsid w:val="00686B72"/>
    <w:rsid w:val="00686BF1"/>
    <w:rsid w:val="00690A09"/>
    <w:rsid w:val="00693FEA"/>
    <w:rsid w:val="00694930"/>
    <w:rsid w:val="00695170"/>
    <w:rsid w:val="00695BEF"/>
    <w:rsid w:val="006960D6"/>
    <w:rsid w:val="00696AA5"/>
    <w:rsid w:val="006977F6"/>
    <w:rsid w:val="00697A13"/>
    <w:rsid w:val="006A109C"/>
    <w:rsid w:val="006A3CF3"/>
    <w:rsid w:val="006A672B"/>
    <w:rsid w:val="006B3F8A"/>
    <w:rsid w:val="006B5CA3"/>
    <w:rsid w:val="006B6B3B"/>
    <w:rsid w:val="006B7714"/>
    <w:rsid w:val="006B78D8"/>
    <w:rsid w:val="006C090F"/>
    <w:rsid w:val="006C113F"/>
    <w:rsid w:val="006C38DD"/>
    <w:rsid w:val="006C5577"/>
    <w:rsid w:val="006C559A"/>
    <w:rsid w:val="006C58FA"/>
    <w:rsid w:val="006D042D"/>
    <w:rsid w:val="006D06EF"/>
    <w:rsid w:val="006D142E"/>
    <w:rsid w:val="006D4E6F"/>
    <w:rsid w:val="006D61F6"/>
    <w:rsid w:val="006E1F4C"/>
    <w:rsid w:val="006E279A"/>
    <w:rsid w:val="006E2F3F"/>
    <w:rsid w:val="006E313B"/>
    <w:rsid w:val="006E442A"/>
    <w:rsid w:val="006E5CFD"/>
    <w:rsid w:val="006F1326"/>
    <w:rsid w:val="006F2BEE"/>
    <w:rsid w:val="006F3708"/>
    <w:rsid w:val="006F3E6B"/>
    <w:rsid w:val="006F4A59"/>
    <w:rsid w:val="007014C7"/>
    <w:rsid w:val="00702D6F"/>
    <w:rsid w:val="00703B6C"/>
    <w:rsid w:val="007047D5"/>
    <w:rsid w:val="00705D98"/>
    <w:rsid w:val="00707891"/>
    <w:rsid w:val="00707D43"/>
    <w:rsid w:val="00711EF1"/>
    <w:rsid w:val="0071229A"/>
    <w:rsid w:val="00712572"/>
    <w:rsid w:val="00713495"/>
    <w:rsid w:val="00720FA2"/>
    <w:rsid w:val="007211F5"/>
    <w:rsid w:val="00724666"/>
    <w:rsid w:val="00726043"/>
    <w:rsid w:val="0072704A"/>
    <w:rsid w:val="00730AE8"/>
    <w:rsid w:val="00731963"/>
    <w:rsid w:val="00734321"/>
    <w:rsid w:val="00740310"/>
    <w:rsid w:val="00740652"/>
    <w:rsid w:val="00740F02"/>
    <w:rsid w:val="00740FEC"/>
    <w:rsid w:val="0074132E"/>
    <w:rsid w:val="00741493"/>
    <w:rsid w:val="007426B3"/>
    <w:rsid w:val="007426FD"/>
    <w:rsid w:val="0074329D"/>
    <w:rsid w:val="00744376"/>
    <w:rsid w:val="007449EA"/>
    <w:rsid w:val="00746DD9"/>
    <w:rsid w:val="0075057A"/>
    <w:rsid w:val="00751771"/>
    <w:rsid w:val="00751C1C"/>
    <w:rsid w:val="00752180"/>
    <w:rsid w:val="007521A1"/>
    <w:rsid w:val="0075315D"/>
    <w:rsid w:val="007538F9"/>
    <w:rsid w:val="00754253"/>
    <w:rsid w:val="007552BB"/>
    <w:rsid w:val="007558D3"/>
    <w:rsid w:val="007559D7"/>
    <w:rsid w:val="00755D3A"/>
    <w:rsid w:val="00760141"/>
    <w:rsid w:val="007609C6"/>
    <w:rsid w:val="007610A0"/>
    <w:rsid w:val="007620F2"/>
    <w:rsid w:val="00762EBA"/>
    <w:rsid w:val="0076359D"/>
    <w:rsid w:val="00772536"/>
    <w:rsid w:val="00773613"/>
    <w:rsid w:val="00774782"/>
    <w:rsid w:val="00776527"/>
    <w:rsid w:val="0078113E"/>
    <w:rsid w:val="00781834"/>
    <w:rsid w:val="007821DB"/>
    <w:rsid w:val="00782818"/>
    <w:rsid w:val="00784C4A"/>
    <w:rsid w:val="00787432"/>
    <w:rsid w:val="00787507"/>
    <w:rsid w:val="007879F2"/>
    <w:rsid w:val="00791CF8"/>
    <w:rsid w:val="00792262"/>
    <w:rsid w:val="00793387"/>
    <w:rsid w:val="00793BAE"/>
    <w:rsid w:val="00794E0A"/>
    <w:rsid w:val="00796642"/>
    <w:rsid w:val="007A11D9"/>
    <w:rsid w:val="007A327B"/>
    <w:rsid w:val="007A4606"/>
    <w:rsid w:val="007B1966"/>
    <w:rsid w:val="007B3DCC"/>
    <w:rsid w:val="007B4518"/>
    <w:rsid w:val="007B5031"/>
    <w:rsid w:val="007B573F"/>
    <w:rsid w:val="007C605B"/>
    <w:rsid w:val="007D2A5A"/>
    <w:rsid w:val="007D2AD8"/>
    <w:rsid w:val="007D2C47"/>
    <w:rsid w:val="007D3167"/>
    <w:rsid w:val="007D4281"/>
    <w:rsid w:val="007D42F5"/>
    <w:rsid w:val="007D44C3"/>
    <w:rsid w:val="007D5947"/>
    <w:rsid w:val="007D65C1"/>
    <w:rsid w:val="007E030F"/>
    <w:rsid w:val="007E0E59"/>
    <w:rsid w:val="007E0F4B"/>
    <w:rsid w:val="007E7E61"/>
    <w:rsid w:val="007F0845"/>
    <w:rsid w:val="007F16F9"/>
    <w:rsid w:val="007F3E3E"/>
    <w:rsid w:val="007F500D"/>
    <w:rsid w:val="007F5F14"/>
    <w:rsid w:val="007F7B54"/>
    <w:rsid w:val="008005D7"/>
    <w:rsid w:val="00801FDD"/>
    <w:rsid w:val="008020C2"/>
    <w:rsid w:val="0080255C"/>
    <w:rsid w:val="0081187C"/>
    <w:rsid w:val="00811E24"/>
    <w:rsid w:val="00812E2B"/>
    <w:rsid w:val="00813A70"/>
    <w:rsid w:val="00813FE6"/>
    <w:rsid w:val="00815C6E"/>
    <w:rsid w:val="0081645F"/>
    <w:rsid w:val="008178C2"/>
    <w:rsid w:val="008178CF"/>
    <w:rsid w:val="00817C98"/>
    <w:rsid w:val="00820C9F"/>
    <w:rsid w:val="00821FF6"/>
    <w:rsid w:val="00823AAF"/>
    <w:rsid w:val="00824081"/>
    <w:rsid w:val="0082409A"/>
    <w:rsid w:val="00827181"/>
    <w:rsid w:val="00827746"/>
    <w:rsid w:val="0083143E"/>
    <w:rsid w:val="0083159D"/>
    <w:rsid w:val="00832187"/>
    <w:rsid w:val="008336D8"/>
    <w:rsid w:val="008339C4"/>
    <w:rsid w:val="00834F0A"/>
    <w:rsid w:val="00834FAA"/>
    <w:rsid w:val="00836086"/>
    <w:rsid w:val="00841D9F"/>
    <w:rsid w:val="00842604"/>
    <w:rsid w:val="00843ECF"/>
    <w:rsid w:val="00846673"/>
    <w:rsid w:val="0085281A"/>
    <w:rsid w:val="008559FE"/>
    <w:rsid w:val="00857339"/>
    <w:rsid w:val="00862A7A"/>
    <w:rsid w:val="00863D9E"/>
    <w:rsid w:val="008642AF"/>
    <w:rsid w:val="00867E29"/>
    <w:rsid w:val="00870F2B"/>
    <w:rsid w:val="008746E6"/>
    <w:rsid w:val="00876086"/>
    <w:rsid w:val="008768D6"/>
    <w:rsid w:val="008775D1"/>
    <w:rsid w:val="008777BB"/>
    <w:rsid w:val="00877D68"/>
    <w:rsid w:val="00877E5D"/>
    <w:rsid w:val="0088733A"/>
    <w:rsid w:val="00891BE0"/>
    <w:rsid w:val="00893302"/>
    <w:rsid w:val="008945A1"/>
    <w:rsid w:val="00894A63"/>
    <w:rsid w:val="00895A54"/>
    <w:rsid w:val="00896916"/>
    <w:rsid w:val="00896BDE"/>
    <w:rsid w:val="008A0861"/>
    <w:rsid w:val="008A0BB2"/>
    <w:rsid w:val="008A1AB3"/>
    <w:rsid w:val="008A1D5C"/>
    <w:rsid w:val="008A3292"/>
    <w:rsid w:val="008A3A85"/>
    <w:rsid w:val="008A43E9"/>
    <w:rsid w:val="008A4CB1"/>
    <w:rsid w:val="008A615E"/>
    <w:rsid w:val="008A632B"/>
    <w:rsid w:val="008A6BFE"/>
    <w:rsid w:val="008B190E"/>
    <w:rsid w:val="008B1A8A"/>
    <w:rsid w:val="008B7306"/>
    <w:rsid w:val="008B775F"/>
    <w:rsid w:val="008B7C02"/>
    <w:rsid w:val="008B7F9E"/>
    <w:rsid w:val="008C0E88"/>
    <w:rsid w:val="008C1AA8"/>
    <w:rsid w:val="008C22A8"/>
    <w:rsid w:val="008C63FD"/>
    <w:rsid w:val="008C6CB8"/>
    <w:rsid w:val="008C7815"/>
    <w:rsid w:val="008C7A07"/>
    <w:rsid w:val="008D0171"/>
    <w:rsid w:val="008D2A16"/>
    <w:rsid w:val="008D2ECF"/>
    <w:rsid w:val="008D3F3D"/>
    <w:rsid w:val="008E31FF"/>
    <w:rsid w:val="008E5DE6"/>
    <w:rsid w:val="008E6113"/>
    <w:rsid w:val="008E6AB3"/>
    <w:rsid w:val="008E6AD3"/>
    <w:rsid w:val="008E71A6"/>
    <w:rsid w:val="008E77B6"/>
    <w:rsid w:val="008F032E"/>
    <w:rsid w:val="008F0F14"/>
    <w:rsid w:val="008F4FCE"/>
    <w:rsid w:val="008F5301"/>
    <w:rsid w:val="008F7D28"/>
    <w:rsid w:val="009003A8"/>
    <w:rsid w:val="00902CBE"/>
    <w:rsid w:val="00902D74"/>
    <w:rsid w:val="00902EFF"/>
    <w:rsid w:val="00903E06"/>
    <w:rsid w:val="00904B9D"/>
    <w:rsid w:val="009066E1"/>
    <w:rsid w:val="00907A41"/>
    <w:rsid w:val="009102BD"/>
    <w:rsid w:val="00910F93"/>
    <w:rsid w:val="00914426"/>
    <w:rsid w:val="0091675F"/>
    <w:rsid w:val="00917709"/>
    <w:rsid w:val="00917918"/>
    <w:rsid w:val="00921F14"/>
    <w:rsid w:val="00923750"/>
    <w:rsid w:val="009243A5"/>
    <w:rsid w:val="009250D2"/>
    <w:rsid w:val="00926283"/>
    <w:rsid w:val="00937B11"/>
    <w:rsid w:val="00940F1F"/>
    <w:rsid w:val="00941250"/>
    <w:rsid w:val="0094427A"/>
    <w:rsid w:val="009459C5"/>
    <w:rsid w:val="0094626C"/>
    <w:rsid w:val="0095013A"/>
    <w:rsid w:val="00953AEF"/>
    <w:rsid w:val="009551E2"/>
    <w:rsid w:val="00955783"/>
    <w:rsid w:val="00955E5F"/>
    <w:rsid w:val="009560B0"/>
    <w:rsid w:val="00957871"/>
    <w:rsid w:val="00964498"/>
    <w:rsid w:val="009663EB"/>
    <w:rsid w:val="0096650F"/>
    <w:rsid w:val="009700DB"/>
    <w:rsid w:val="00972263"/>
    <w:rsid w:val="00972D8D"/>
    <w:rsid w:val="00973AAE"/>
    <w:rsid w:val="0097476C"/>
    <w:rsid w:val="00974923"/>
    <w:rsid w:val="00974D48"/>
    <w:rsid w:val="00974D5F"/>
    <w:rsid w:val="00975017"/>
    <w:rsid w:val="009759DF"/>
    <w:rsid w:val="00980621"/>
    <w:rsid w:val="00982072"/>
    <w:rsid w:val="00983ECF"/>
    <w:rsid w:val="00986745"/>
    <w:rsid w:val="00987109"/>
    <w:rsid w:val="00987309"/>
    <w:rsid w:val="0099012D"/>
    <w:rsid w:val="009954FF"/>
    <w:rsid w:val="00996355"/>
    <w:rsid w:val="009A2014"/>
    <w:rsid w:val="009A4E12"/>
    <w:rsid w:val="009A5C68"/>
    <w:rsid w:val="009B04D0"/>
    <w:rsid w:val="009B052C"/>
    <w:rsid w:val="009B0EF2"/>
    <w:rsid w:val="009B23A3"/>
    <w:rsid w:val="009B4925"/>
    <w:rsid w:val="009B4B4B"/>
    <w:rsid w:val="009B6FD3"/>
    <w:rsid w:val="009B70BD"/>
    <w:rsid w:val="009C07A5"/>
    <w:rsid w:val="009C7388"/>
    <w:rsid w:val="009D1551"/>
    <w:rsid w:val="009D2859"/>
    <w:rsid w:val="009D4173"/>
    <w:rsid w:val="009D6095"/>
    <w:rsid w:val="009D6306"/>
    <w:rsid w:val="009E048A"/>
    <w:rsid w:val="009E1FBA"/>
    <w:rsid w:val="009E2C54"/>
    <w:rsid w:val="009E3710"/>
    <w:rsid w:val="009E7B1F"/>
    <w:rsid w:val="009F41C4"/>
    <w:rsid w:val="009F5846"/>
    <w:rsid w:val="009F7D77"/>
    <w:rsid w:val="00A10D66"/>
    <w:rsid w:val="00A1420C"/>
    <w:rsid w:val="00A14821"/>
    <w:rsid w:val="00A17754"/>
    <w:rsid w:val="00A2055B"/>
    <w:rsid w:val="00A2253C"/>
    <w:rsid w:val="00A23545"/>
    <w:rsid w:val="00A23A55"/>
    <w:rsid w:val="00A23E43"/>
    <w:rsid w:val="00A24F8C"/>
    <w:rsid w:val="00A262BF"/>
    <w:rsid w:val="00A271AD"/>
    <w:rsid w:val="00A276D5"/>
    <w:rsid w:val="00A30336"/>
    <w:rsid w:val="00A30BB5"/>
    <w:rsid w:val="00A3128F"/>
    <w:rsid w:val="00A326D0"/>
    <w:rsid w:val="00A35287"/>
    <w:rsid w:val="00A378F8"/>
    <w:rsid w:val="00A40B19"/>
    <w:rsid w:val="00A424F8"/>
    <w:rsid w:val="00A437B7"/>
    <w:rsid w:val="00A46DE0"/>
    <w:rsid w:val="00A4778A"/>
    <w:rsid w:val="00A5067F"/>
    <w:rsid w:val="00A55301"/>
    <w:rsid w:val="00A57B3C"/>
    <w:rsid w:val="00A6128E"/>
    <w:rsid w:val="00A62CE1"/>
    <w:rsid w:val="00A631FA"/>
    <w:rsid w:val="00A64203"/>
    <w:rsid w:val="00A64348"/>
    <w:rsid w:val="00A721FB"/>
    <w:rsid w:val="00A727BA"/>
    <w:rsid w:val="00A72D4B"/>
    <w:rsid w:val="00A732AE"/>
    <w:rsid w:val="00A75E40"/>
    <w:rsid w:val="00A77EB2"/>
    <w:rsid w:val="00A82B66"/>
    <w:rsid w:val="00A83B58"/>
    <w:rsid w:val="00A851B6"/>
    <w:rsid w:val="00A85729"/>
    <w:rsid w:val="00A8574B"/>
    <w:rsid w:val="00A857C0"/>
    <w:rsid w:val="00A96463"/>
    <w:rsid w:val="00A97E3F"/>
    <w:rsid w:val="00AA09D3"/>
    <w:rsid w:val="00AA23FB"/>
    <w:rsid w:val="00AA42AB"/>
    <w:rsid w:val="00AA559A"/>
    <w:rsid w:val="00AB104D"/>
    <w:rsid w:val="00AB2AF1"/>
    <w:rsid w:val="00AB440B"/>
    <w:rsid w:val="00AB47E3"/>
    <w:rsid w:val="00AB74C5"/>
    <w:rsid w:val="00AB7DF2"/>
    <w:rsid w:val="00AC1E3F"/>
    <w:rsid w:val="00AC4F18"/>
    <w:rsid w:val="00AD0B46"/>
    <w:rsid w:val="00AD1094"/>
    <w:rsid w:val="00AD2565"/>
    <w:rsid w:val="00AD306C"/>
    <w:rsid w:val="00AD3424"/>
    <w:rsid w:val="00AD50D1"/>
    <w:rsid w:val="00AD59BB"/>
    <w:rsid w:val="00AD5D68"/>
    <w:rsid w:val="00AD6C73"/>
    <w:rsid w:val="00AE06D0"/>
    <w:rsid w:val="00AE39DC"/>
    <w:rsid w:val="00AE3CDA"/>
    <w:rsid w:val="00AE7968"/>
    <w:rsid w:val="00AF128B"/>
    <w:rsid w:val="00AF1AEA"/>
    <w:rsid w:val="00AF2852"/>
    <w:rsid w:val="00AF3225"/>
    <w:rsid w:val="00AF518B"/>
    <w:rsid w:val="00AF5275"/>
    <w:rsid w:val="00AF6367"/>
    <w:rsid w:val="00AF6A79"/>
    <w:rsid w:val="00AF724E"/>
    <w:rsid w:val="00AF73A9"/>
    <w:rsid w:val="00B01C2C"/>
    <w:rsid w:val="00B0231C"/>
    <w:rsid w:val="00B15DCD"/>
    <w:rsid w:val="00B17E71"/>
    <w:rsid w:val="00B17FDE"/>
    <w:rsid w:val="00B208FC"/>
    <w:rsid w:val="00B20C65"/>
    <w:rsid w:val="00B22E17"/>
    <w:rsid w:val="00B27293"/>
    <w:rsid w:val="00B3229E"/>
    <w:rsid w:val="00B32DDB"/>
    <w:rsid w:val="00B35174"/>
    <w:rsid w:val="00B35BEA"/>
    <w:rsid w:val="00B3793D"/>
    <w:rsid w:val="00B41BE6"/>
    <w:rsid w:val="00B457E7"/>
    <w:rsid w:val="00B45D1B"/>
    <w:rsid w:val="00B46D25"/>
    <w:rsid w:val="00B47430"/>
    <w:rsid w:val="00B52D2D"/>
    <w:rsid w:val="00B55BA8"/>
    <w:rsid w:val="00B55F15"/>
    <w:rsid w:val="00B561A6"/>
    <w:rsid w:val="00B60062"/>
    <w:rsid w:val="00B62960"/>
    <w:rsid w:val="00B63A11"/>
    <w:rsid w:val="00B63FD0"/>
    <w:rsid w:val="00B65C84"/>
    <w:rsid w:val="00B6608F"/>
    <w:rsid w:val="00B74317"/>
    <w:rsid w:val="00B76D1E"/>
    <w:rsid w:val="00B800EB"/>
    <w:rsid w:val="00B822D2"/>
    <w:rsid w:val="00B848B8"/>
    <w:rsid w:val="00B84A41"/>
    <w:rsid w:val="00B84D57"/>
    <w:rsid w:val="00B85689"/>
    <w:rsid w:val="00B86748"/>
    <w:rsid w:val="00B907EA"/>
    <w:rsid w:val="00B91EC9"/>
    <w:rsid w:val="00B924CA"/>
    <w:rsid w:val="00B93384"/>
    <w:rsid w:val="00B94417"/>
    <w:rsid w:val="00B95940"/>
    <w:rsid w:val="00B95EF8"/>
    <w:rsid w:val="00B95F50"/>
    <w:rsid w:val="00B96BD9"/>
    <w:rsid w:val="00BB1CFD"/>
    <w:rsid w:val="00BB2C53"/>
    <w:rsid w:val="00BB32DA"/>
    <w:rsid w:val="00BB3A54"/>
    <w:rsid w:val="00BB4E21"/>
    <w:rsid w:val="00BB7746"/>
    <w:rsid w:val="00BC22EB"/>
    <w:rsid w:val="00BC682B"/>
    <w:rsid w:val="00BC6B04"/>
    <w:rsid w:val="00BD186B"/>
    <w:rsid w:val="00BD1EAC"/>
    <w:rsid w:val="00BD3428"/>
    <w:rsid w:val="00BD366B"/>
    <w:rsid w:val="00BD534C"/>
    <w:rsid w:val="00BD56BC"/>
    <w:rsid w:val="00BD5D91"/>
    <w:rsid w:val="00BD6615"/>
    <w:rsid w:val="00BD6D50"/>
    <w:rsid w:val="00BE0D79"/>
    <w:rsid w:val="00BE0DB0"/>
    <w:rsid w:val="00BE3381"/>
    <w:rsid w:val="00BE3F09"/>
    <w:rsid w:val="00BE670A"/>
    <w:rsid w:val="00BE6906"/>
    <w:rsid w:val="00BF18F4"/>
    <w:rsid w:val="00BF1A69"/>
    <w:rsid w:val="00BF3BC8"/>
    <w:rsid w:val="00BF3DF1"/>
    <w:rsid w:val="00BF4C31"/>
    <w:rsid w:val="00BF4E57"/>
    <w:rsid w:val="00C00F20"/>
    <w:rsid w:val="00C034E6"/>
    <w:rsid w:val="00C0784A"/>
    <w:rsid w:val="00C10B28"/>
    <w:rsid w:val="00C10FAE"/>
    <w:rsid w:val="00C12A69"/>
    <w:rsid w:val="00C150BE"/>
    <w:rsid w:val="00C15A0C"/>
    <w:rsid w:val="00C15DCB"/>
    <w:rsid w:val="00C1711F"/>
    <w:rsid w:val="00C20744"/>
    <w:rsid w:val="00C20C4D"/>
    <w:rsid w:val="00C21D46"/>
    <w:rsid w:val="00C21F94"/>
    <w:rsid w:val="00C222A1"/>
    <w:rsid w:val="00C23CBD"/>
    <w:rsid w:val="00C23D22"/>
    <w:rsid w:val="00C2463B"/>
    <w:rsid w:val="00C24E77"/>
    <w:rsid w:val="00C2732D"/>
    <w:rsid w:val="00C273C6"/>
    <w:rsid w:val="00C27913"/>
    <w:rsid w:val="00C300C6"/>
    <w:rsid w:val="00C3271C"/>
    <w:rsid w:val="00C34FDE"/>
    <w:rsid w:val="00C35C16"/>
    <w:rsid w:val="00C40F81"/>
    <w:rsid w:val="00C41463"/>
    <w:rsid w:val="00C41A72"/>
    <w:rsid w:val="00C476C5"/>
    <w:rsid w:val="00C503B0"/>
    <w:rsid w:val="00C511C2"/>
    <w:rsid w:val="00C53D82"/>
    <w:rsid w:val="00C60696"/>
    <w:rsid w:val="00C615F1"/>
    <w:rsid w:val="00C61627"/>
    <w:rsid w:val="00C64E60"/>
    <w:rsid w:val="00C657A4"/>
    <w:rsid w:val="00C6736C"/>
    <w:rsid w:val="00C71A1D"/>
    <w:rsid w:val="00C75C7E"/>
    <w:rsid w:val="00C75C9B"/>
    <w:rsid w:val="00C76D8E"/>
    <w:rsid w:val="00C77833"/>
    <w:rsid w:val="00C80C9B"/>
    <w:rsid w:val="00C8335E"/>
    <w:rsid w:val="00C83F9C"/>
    <w:rsid w:val="00C84CE3"/>
    <w:rsid w:val="00C85614"/>
    <w:rsid w:val="00C90CF4"/>
    <w:rsid w:val="00C91C19"/>
    <w:rsid w:val="00C929A0"/>
    <w:rsid w:val="00C93389"/>
    <w:rsid w:val="00C937DB"/>
    <w:rsid w:val="00C94519"/>
    <w:rsid w:val="00C94E83"/>
    <w:rsid w:val="00CA140F"/>
    <w:rsid w:val="00CA25C2"/>
    <w:rsid w:val="00CA37CA"/>
    <w:rsid w:val="00CA6508"/>
    <w:rsid w:val="00CA6BA1"/>
    <w:rsid w:val="00CA6CD5"/>
    <w:rsid w:val="00CB1910"/>
    <w:rsid w:val="00CB2150"/>
    <w:rsid w:val="00CB28EE"/>
    <w:rsid w:val="00CB43A7"/>
    <w:rsid w:val="00CB5996"/>
    <w:rsid w:val="00CB7452"/>
    <w:rsid w:val="00CC0E10"/>
    <w:rsid w:val="00CC2642"/>
    <w:rsid w:val="00CC2E15"/>
    <w:rsid w:val="00CC3908"/>
    <w:rsid w:val="00CC62AD"/>
    <w:rsid w:val="00CC7B80"/>
    <w:rsid w:val="00CD2B3C"/>
    <w:rsid w:val="00CD30F6"/>
    <w:rsid w:val="00CD4B29"/>
    <w:rsid w:val="00CD6EF1"/>
    <w:rsid w:val="00CE21C7"/>
    <w:rsid w:val="00CE57D8"/>
    <w:rsid w:val="00CE617A"/>
    <w:rsid w:val="00CF28C2"/>
    <w:rsid w:val="00CF42BD"/>
    <w:rsid w:val="00CF51EC"/>
    <w:rsid w:val="00CF6CD7"/>
    <w:rsid w:val="00D0037A"/>
    <w:rsid w:val="00D00DAF"/>
    <w:rsid w:val="00D017EC"/>
    <w:rsid w:val="00D01CDA"/>
    <w:rsid w:val="00D040DD"/>
    <w:rsid w:val="00D04E1B"/>
    <w:rsid w:val="00D076DB"/>
    <w:rsid w:val="00D1067C"/>
    <w:rsid w:val="00D136D4"/>
    <w:rsid w:val="00D13830"/>
    <w:rsid w:val="00D13ECF"/>
    <w:rsid w:val="00D142E5"/>
    <w:rsid w:val="00D148CD"/>
    <w:rsid w:val="00D1611E"/>
    <w:rsid w:val="00D16E69"/>
    <w:rsid w:val="00D205A9"/>
    <w:rsid w:val="00D217EE"/>
    <w:rsid w:val="00D245BA"/>
    <w:rsid w:val="00D26923"/>
    <w:rsid w:val="00D27856"/>
    <w:rsid w:val="00D301CA"/>
    <w:rsid w:val="00D30740"/>
    <w:rsid w:val="00D31075"/>
    <w:rsid w:val="00D31445"/>
    <w:rsid w:val="00D31932"/>
    <w:rsid w:val="00D378CC"/>
    <w:rsid w:val="00D4042C"/>
    <w:rsid w:val="00D42312"/>
    <w:rsid w:val="00D43998"/>
    <w:rsid w:val="00D4615E"/>
    <w:rsid w:val="00D478E2"/>
    <w:rsid w:val="00D5264C"/>
    <w:rsid w:val="00D547BA"/>
    <w:rsid w:val="00D55626"/>
    <w:rsid w:val="00D556BC"/>
    <w:rsid w:val="00D5626D"/>
    <w:rsid w:val="00D60277"/>
    <w:rsid w:val="00D61F88"/>
    <w:rsid w:val="00D62901"/>
    <w:rsid w:val="00D6470C"/>
    <w:rsid w:val="00D64853"/>
    <w:rsid w:val="00D64CB5"/>
    <w:rsid w:val="00D66D48"/>
    <w:rsid w:val="00D73256"/>
    <w:rsid w:val="00D73A30"/>
    <w:rsid w:val="00D74C65"/>
    <w:rsid w:val="00D75DC2"/>
    <w:rsid w:val="00D766EF"/>
    <w:rsid w:val="00D76C03"/>
    <w:rsid w:val="00D82462"/>
    <w:rsid w:val="00D868CE"/>
    <w:rsid w:val="00D86DAE"/>
    <w:rsid w:val="00D90C1E"/>
    <w:rsid w:val="00D91BDF"/>
    <w:rsid w:val="00D93F09"/>
    <w:rsid w:val="00D954C2"/>
    <w:rsid w:val="00D97BB8"/>
    <w:rsid w:val="00DA1318"/>
    <w:rsid w:val="00DA1382"/>
    <w:rsid w:val="00DA4AF6"/>
    <w:rsid w:val="00DB016E"/>
    <w:rsid w:val="00DB06E9"/>
    <w:rsid w:val="00DB378E"/>
    <w:rsid w:val="00DB3E9D"/>
    <w:rsid w:val="00DB47B9"/>
    <w:rsid w:val="00DB4FB8"/>
    <w:rsid w:val="00DB53CE"/>
    <w:rsid w:val="00DB549D"/>
    <w:rsid w:val="00DC257F"/>
    <w:rsid w:val="00DC3790"/>
    <w:rsid w:val="00DC408A"/>
    <w:rsid w:val="00DC5B3B"/>
    <w:rsid w:val="00DC6796"/>
    <w:rsid w:val="00DC78DF"/>
    <w:rsid w:val="00DD0821"/>
    <w:rsid w:val="00DD0E32"/>
    <w:rsid w:val="00DD373E"/>
    <w:rsid w:val="00DD57AD"/>
    <w:rsid w:val="00DE009B"/>
    <w:rsid w:val="00DE2ED9"/>
    <w:rsid w:val="00DE319A"/>
    <w:rsid w:val="00DF0DC3"/>
    <w:rsid w:val="00DF21FD"/>
    <w:rsid w:val="00DF2873"/>
    <w:rsid w:val="00DF5578"/>
    <w:rsid w:val="00DF78DD"/>
    <w:rsid w:val="00DF7FEC"/>
    <w:rsid w:val="00E01C0E"/>
    <w:rsid w:val="00E03B27"/>
    <w:rsid w:val="00E04694"/>
    <w:rsid w:val="00E05B2B"/>
    <w:rsid w:val="00E06A2A"/>
    <w:rsid w:val="00E07F05"/>
    <w:rsid w:val="00E127E1"/>
    <w:rsid w:val="00E144D2"/>
    <w:rsid w:val="00E15346"/>
    <w:rsid w:val="00E15B7D"/>
    <w:rsid w:val="00E215EA"/>
    <w:rsid w:val="00E24619"/>
    <w:rsid w:val="00E25223"/>
    <w:rsid w:val="00E30BEA"/>
    <w:rsid w:val="00E31764"/>
    <w:rsid w:val="00E34985"/>
    <w:rsid w:val="00E34E4A"/>
    <w:rsid w:val="00E365B3"/>
    <w:rsid w:val="00E366BB"/>
    <w:rsid w:val="00E37C45"/>
    <w:rsid w:val="00E40AAA"/>
    <w:rsid w:val="00E438CF"/>
    <w:rsid w:val="00E43C41"/>
    <w:rsid w:val="00E450CE"/>
    <w:rsid w:val="00E45A00"/>
    <w:rsid w:val="00E45CE7"/>
    <w:rsid w:val="00E4631F"/>
    <w:rsid w:val="00E522BB"/>
    <w:rsid w:val="00E539E4"/>
    <w:rsid w:val="00E569C7"/>
    <w:rsid w:val="00E571F2"/>
    <w:rsid w:val="00E57429"/>
    <w:rsid w:val="00E70510"/>
    <w:rsid w:val="00E71262"/>
    <w:rsid w:val="00E71A58"/>
    <w:rsid w:val="00E7724B"/>
    <w:rsid w:val="00E84F21"/>
    <w:rsid w:val="00E90F73"/>
    <w:rsid w:val="00E921C7"/>
    <w:rsid w:val="00E92995"/>
    <w:rsid w:val="00E94612"/>
    <w:rsid w:val="00E95797"/>
    <w:rsid w:val="00E9682F"/>
    <w:rsid w:val="00E96A8D"/>
    <w:rsid w:val="00E972BA"/>
    <w:rsid w:val="00E97FA2"/>
    <w:rsid w:val="00EA06CB"/>
    <w:rsid w:val="00EA0C68"/>
    <w:rsid w:val="00EA3EBE"/>
    <w:rsid w:val="00EA3FAC"/>
    <w:rsid w:val="00EA4153"/>
    <w:rsid w:val="00EA5CD6"/>
    <w:rsid w:val="00EB20A0"/>
    <w:rsid w:val="00EB30B6"/>
    <w:rsid w:val="00EB4FA4"/>
    <w:rsid w:val="00EB5146"/>
    <w:rsid w:val="00EB55E9"/>
    <w:rsid w:val="00EB5641"/>
    <w:rsid w:val="00EB5CA9"/>
    <w:rsid w:val="00EB5ED4"/>
    <w:rsid w:val="00EB6537"/>
    <w:rsid w:val="00EB70E1"/>
    <w:rsid w:val="00EB7EB5"/>
    <w:rsid w:val="00EC454B"/>
    <w:rsid w:val="00EC6153"/>
    <w:rsid w:val="00EC7F92"/>
    <w:rsid w:val="00ED00A8"/>
    <w:rsid w:val="00ED0A79"/>
    <w:rsid w:val="00ED2989"/>
    <w:rsid w:val="00ED2CA5"/>
    <w:rsid w:val="00ED336F"/>
    <w:rsid w:val="00ED54D6"/>
    <w:rsid w:val="00ED5726"/>
    <w:rsid w:val="00EE0298"/>
    <w:rsid w:val="00EE0384"/>
    <w:rsid w:val="00EE10AA"/>
    <w:rsid w:val="00EE1637"/>
    <w:rsid w:val="00EE3B7A"/>
    <w:rsid w:val="00EE3E78"/>
    <w:rsid w:val="00EE5E02"/>
    <w:rsid w:val="00EE617D"/>
    <w:rsid w:val="00EE61BF"/>
    <w:rsid w:val="00EE6748"/>
    <w:rsid w:val="00EE6C6B"/>
    <w:rsid w:val="00EF0E75"/>
    <w:rsid w:val="00EF1F5A"/>
    <w:rsid w:val="00EF4685"/>
    <w:rsid w:val="00EF5397"/>
    <w:rsid w:val="00EF6BE3"/>
    <w:rsid w:val="00F00D0E"/>
    <w:rsid w:val="00F00D3C"/>
    <w:rsid w:val="00F04811"/>
    <w:rsid w:val="00F0488C"/>
    <w:rsid w:val="00F0496E"/>
    <w:rsid w:val="00F04D10"/>
    <w:rsid w:val="00F0625B"/>
    <w:rsid w:val="00F101FF"/>
    <w:rsid w:val="00F10A33"/>
    <w:rsid w:val="00F15BEF"/>
    <w:rsid w:val="00F172BE"/>
    <w:rsid w:val="00F1776C"/>
    <w:rsid w:val="00F2037E"/>
    <w:rsid w:val="00F20D17"/>
    <w:rsid w:val="00F2103E"/>
    <w:rsid w:val="00F214FC"/>
    <w:rsid w:val="00F21C31"/>
    <w:rsid w:val="00F23825"/>
    <w:rsid w:val="00F23FFF"/>
    <w:rsid w:val="00F2441D"/>
    <w:rsid w:val="00F24FAA"/>
    <w:rsid w:val="00F26197"/>
    <w:rsid w:val="00F318FC"/>
    <w:rsid w:val="00F31F76"/>
    <w:rsid w:val="00F3364D"/>
    <w:rsid w:val="00F35ACD"/>
    <w:rsid w:val="00F365BF"/>
    <w:rsid w:val="00F36BF8"/>
    <w:rsid w:val="00F37760"/>
    <w:rsid w:val="00F403D1"/>
    <w:rsid w:val="00F43921"/>
    <w:rsid w:val="00F4591F"/>
    <w:rsid w:val="00F4736B"/>
    <w:rsid w:val="00F47D05"/>
    <w:rsid w:val="00F50030"/>
    <w:rsid w:val="00F51FC9"/>
    <w:rsid w:val="00F54B31"/>
    <w:rsid w:val="00F54FD3"/>
    <w:rsid w:val="00F55605"/>
    <w:rsid w:val="00F62F02"/>
    <w:rsid w:val="00F63DDE"/>
    <w:rsid w:val="00F63FB7"/>
    <w:rsid w:val="00F64726"/>
    <w:rsid w:val="00F6561A"/>
    <w:rsid w:val="00F727D5"/>
    <w:rsid w:val="00F72F44"/>
    <w:rsid w:val="00F73A0C"/>
    <w:rsid w:val="00F759DC"/>
    <w:rsid w:val="00F771A5"/>
    <w:rsid w:val="00F817A4"/>
    <w:rsid w:val="00F81C3A"/>
    <w:rsid w:val="00F835FC"/>
    <w:rsid w:val="00F83E21"/>
    <w:rsid w:val="00F84E18"/>
    <w:rsid w:val="00F852E5"/>
    <w:rsid w:val="00F95117"/>
    <w:rsid w:val="00FA05D7"/>
    <w:rsid w:val="00FA1C6C"/>
    <w:rsid w:val="00FA2C2A"/>
    <w:rsid w:val="00FA309A"/>
    <w:rsid w:val="00FA7644"/>
    <w:rsid w:val="00FB0A9A"/>
    <w:rsid w:val="00FB483B"/>
    <w:rsid w:val="00FB56F1"/>
    <w:rsid w:val="00FB5FD4"/>
    <w:rsid w:val="00FB67F3"/>
    <w:rsid w:val="00FC0D8A"/>
    <w:rsid w:val="00FC0E5F"/>
    <w:rsid w:val="00FC135D"/>
    <w:rsid w:val="00FC3C84"/>
    <w:rsid w:val="00FC4660"/>
    <w:rsid w:val="00FC56DE"/>
    <w:rsid w:val="00FD1261"/>
    <w:rsid w:val="00FD1627"/>
    <w:rsid w:val="00FD473D"/>
    <w:rsid w:val="00FD61C8"/>
    <w:rsid w:val="00FD63CE"/>
    <w:rsid w:val="00FD7D49"/>
    <w:rsid w:val="00FE1251"/>
    <w:rsid w:val="00FE2F78"/>
    <w:rsid w:val="00FE3510"/>
    <w:rsid w:val="00FE375F"/>
    <w:rsid w:val="00FE4FCB"/>
    <w:rsid w:val="00FF28E0"/>
    <w:rsid w:val="00FF2FB4"/>
    <w:rsid w:val="00FF30B3"/>
    <w:rsid w:val="00FF3DF3"/>
    <w:rsid w:val="00FF4027"/>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as.kucera@czso.cz" TargetMode="Externa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52CB0-AE59-4F73-B5DD-12882783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110</TotalTime>
  <Pages>22</Pages>
  <Words>11981</Words>
  <Characters>66430</Characters>
  <Application>Microsoft Office Word</Application>
  <DocSecurity>0</DocSecurity>
  <Lines>553</Lines>
  <Paragraphs>156</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Ing. Drahomíra Dubská, CSc.</cp:lastModifiedBy>
  <cp:revision>26</cp:revision>
  <cp:lastPrinted>2015-06-19T06:21:00Z</cp:lastPrinted>
  <dcterms:created xsi:type="dcterms:W3CDTF">2015-09-15T08:14:00Z</dcterms:created>
  <dcterms:modified xsi:type="dcterms:W3CDTF">2015-09-18T09:09:00Z</dcterms:modified>
</cp:coreProperties>
</file>