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79324" w14:textId="77777777" w:rsidR="004C456F" w:rsidRDefault="004C456F" w:rsidP="004C456F">
      <w:pPr>
        <w:pStyle w:val="Nadpis1"/>
      </w:pPr>
      <w:bookmarkStart w:id="0" w:name="_Toc193366678"/>
      <w:bookmarkStart w:id="1" w:name="_Toc208920079"/>
      <w:bookmarkStart w:id="2" w:name="_Toc176767109"/>
      <w:r>
        <w:t>3. </w:t>
      </w:r>
      <w:bookmarkEnd w:id="0"/>
      <w:r>
        <w:t>Výkonnost odvětví</w:t>
      </w:r>
      <w:bookmarkEnd w:id="1"/>
    </w:p>
    <w:tbl>
      <w:tblPr>
        <w:tblW w:w="9646" w:type="dxa"/>
        <w:tblInd w:w="-2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37"/>
        <w:gridCol w:w="179"/>
        <w:gridCol w:w="7730"/>
      </w:tblGrid>
      <w:tr w:rsidR="004C456F" w:rsidRPr="0037004A" w14:paraId="2410C5AC" w14:textId="77777777" w:rsidTr="004C456F">
        <w:trPr>
          <w:trHeight w:val="145"/>
        </w:trPr>
        <w:tc>
          <w:tcPr>
            <w:tcW w:w="1737" w:type="dxa"/>
          </w:tcPr>
          <w:p w14:paraId="0EA46C73" w14:textId="77777777" w:rsidR="004C456F" w:rsidRPr="00EE0E68" w:rsidRDefault="004C456F" w:rsidP="004C456F">
            <w:pPr>
              <w:pStyle w:val="Marginlie"/>
              <w:rPr>
                <w:color w:val="000000" w:themeColor="text1"/>
                <w:spacing w:val="0"/>
                <w:lang w:eastAsia="en-US"/>
              </w:rPr>
            </w:pPr>
            <w:r w:rsidRPr="00EE0E68">
              <w:rPr>
                <w:color w:val="000000" w:themeColor="text1"/>
                <w:spacing w:val="0"/>
                <w:lang w:eastAsia="en-US"/>
              </w:rPr>
              <w:t xml:space="preserve">Za pokračujícím mezikvartálním růstem přidané hodnoty letos stály hlavně stavebnictví, obchod a odvětví vázaná na cestovní ruch. </w:t>
            </w:r>
          </w:p>
        </w:tc>
        <w:tc>
          <w:tcPr>
            <w:tcW w:w="179" w:type="dxa"/>
          </w:tcPr>
          <w:p w14:paraId="54E13D3C" w14:textId="77777777" w:rsidR="004C456F" w:rsidRPr="00EE0E68" w:rsidRDefault="004C456F" w:rsidP="004C456F">
            <w:pPr>
              <w:pStyle w:val="Textpoznpodarou"/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7730" w:type="dxa"/>
          </w:tcPr>
          <w:p w14:paraId="5FF70F3F" w14:textId="526F6E3A" w:rsidR="004C456F" w:rsidRPr="00EE0E68" w:rsidRDefault="004C456F" w:rsidP="00EE0E68">
            <w:pPr>
              <w:rPr>
                <w:lang w:eastAsia="en-US"/>
              </w:rPr>
            </w:pPr>
            <w:r w:rsidRPr="00EE0E68">
              <w:rPr>
                <w:lang w:eastAsia="en-US"/>
              </w:rPr>
              <w:t>Výkon všech odvětví ekonomiky, zachycený prostřednictvím hrubé přidané hodnoty (HPH)</w:t>
            </w:r>
            <w:r w:rsidRPr="00EE0E68">
              <w:rPr>
                <w:rStyle w:val="Znakapoznpodarou"/>
                <w:color w:val="0D0D0D" w:themeColor="text1" w:themeTint="F2"/>
              </w:rPr>
              <w:footnoteReference w:id="1"/>
            </w:r>
            <w:r w:rsidRPr="00EE0E68">
              <w:rPr>
                <w:lang w:eastAsia="en-US"/>
              </w:rPr>
              <w:t>, se letos na počátku roku mezikvartálně zvýšil o 0,9 %, ve 2. čtvrtletí pak o</w:t>
            </w:r>
            <w:r w:rsidR="00EE0E68">
              <w:rPr>
                <w:lang w:eastAsia="en-US"/>
              </w:rPr>
              <w:t> </w:t>
            </w:r>
            <w:r w:rsidRPr="00EE0E68">
              <w:rPr>
                <w:lang w:eastAsia="en-US"/>
              </w:rPr>
              <w:t>0,5</w:t>
            </w:r>
            <w:r w:rsidR="00EE0E68">
              <w:rPr>
                <w:lang w:eastAsia="en-US"/>
              </w:rPr>
              <w:t> </w:t>
            </w:r>
            <w:r w:rsidRPr="00EE0E68">
              <w:rPr>
                <w:lang w:eastAsia="en-US"/>
              </w:rPr>
              <w:t xml:space="preserve">%. Pokračoval tak trend mírného zotavování tuzemského hospodářství, patrný i po většinu loňského roku. V rámci odvětví hmotné výroby se letos nejvíce zvyšoval výkon stavebnictví, mimo to se rozvíjela i drtivá většina služeb – zejména váhově dominantní uskupení obchod, doprava, ubytování a pohostinství. </w:t>
            </w:r>
            <w:r w:rsidRPr="00EE0E68">
              <w:rPr>
                <w:color w:val="0D0D0D" w:themeColor="text1" w:themeTint="F2"/>
              </w:rPr>
              <w:t xml:space="preserve">Celkový výkon odvětví ekonomiky se tak letos ve 2. čtvrtletí nacházel o 3,9 % nad vrcholem z období poslední konjunktury (4. čtvrtletí 2019), téměř výhradně ovšem zásluhou služeb (zejména ICT, finančnictví </w:t>
            </w:r>
            <w:r w:rsidRPr="00EE0E68">
              <w:rPr>
                <w:color w:val="0D0D0D" w:themeColor="text1" w:themeTint="F2"/>
              </w:rPr>
              <w:br/>
              <w:t>a vyspělých služeb pro podniky)</w:t>
            </w:r>
            <w:r w:rsidRPr="00EE0E68">
              <w:rPr>
                <w:rStyle w:val="Znakapoznpodarou"/>
                <w:color w:val="0D0D0D" w:themeColor="text1" w:themeTint="F2"/>
              </w:rPr>
              <w:footnoteReference w:id="2"/>
            </w:r>
            <w:r w:rsidRPr="00EE0E68">
              <w:rPr>
                <w:color w:val="0D0D0D" w:themeColor="text1" w:themeTint="F2"/>
              </w:rPr>
              <w:t>.</w:t>
            </w:r>
            <w:r w:rsidRPr="00EE0E68">
              <w:rPr>
                <w:lang w:eastAsia="en-US"/>
              </w:rPr>
              <w:t xml:space="preserve"> </w:t>
            </w:r>
          </w:p>
        </w:tc>
      </w:tr>
      <w:tr w:rsidR="004C456F" w14:paraId="112E36AB" w14:textId="77777777" w:rsidTr="004C456F">
        <w:trPr>
          <w:trHeight w:val="145"/>
        </w:trPr>
        <w:tc>
          <w:tcPr>
            <w:tcW w:w="1737" w:type="dxa"/>
          </w:tcPr>
          <w:p w14:paraId="327C0C89" w14:textId="77777777" w:rsidR="004C456F" w:rsidRPr="00EE0E68" w:rsidRDefault="004C456F" w:rsidP="004C456F">
            <w:pPr>
              <w:pStyle w:val="Marginlie"/>
              <w:rPr>
                <w:color w:val="000000" w:themeColor="text1"/>
                <w:spacing w:val="0"/>
                <w:lang w:eastAsia="en-US"/>
              </w:rPr>
            </w:pPr>
            <w:r w:rsidRPr="00EE0E68">
              <w:rPr>
                <w:color w:val="000000" w:themeColor="text1"/>
                <w:spacing w:val="0"/>
                <w:lang w:eastAsia="en-US"/>
              </w:rPr>
              <w:t>Meziroční růst HPH významně zrychlil. Klíčovou roli měly nadále služby, kde pokračoval nejvíce růst výkonu v oblasti ICT.</w:t>
            </w:r>
          </w:p>
        </w:tc>
        <w:tc>
          <w:tcPr>
            <w:tcW w:w="179" w:type="dxa"/>
          </w:tcPr>
          <w:p w14:paraId="5BF9AE52" w14:textId="77777777" w:rsidR="004C456F" w:rsidRPr="00EE0E68" w:rsidRDefault="004C456F" w:rsidP="004C456F">
            <w:pPr>
              <w:pStyle w:val="Textpoznpodarou"/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7730" w:type="dxa"/>
          </w:tcPr>
          <w:p w14:paraId="14A175BB" w14:textId="77777777" w:rsidR="004C456F" w:rsidRPr="00EE0E68" w:rsidRDefault="004C456F" w:rsidP="004C456F">
            <w:pPr>
              <w:rPr>
                <w:color w:val="000000" w:themeColor="text1"/>
                <w:lang w:eastAsia="en-US"/>
              </w:rPr>
            </w:pPr>
            <w:r w:rsidRPr="00EE0E68">
              <w:rPr>
                <w:color w:val="000000" w:themeColor="text1"/>
                <w:lang w:eastAsia="en-US"/>
              </w:rPr>
              <w:t>Za celé 1. pololetí meziroční růst celkové HPH zrychlil na 2,7 % (podobným tempem v obou letošních kvartálech), tedy na tříleté maximum. Stejně jako po celý loňský rok poháněly letos tuzemskou ekonomiku zejména služby (příspěvek +1,9 p. b., růst sektoru o rovná 3 %). Celá třetina prorůstového vlivu terciárního sektoru připadala na shluk odvětví obchod, doprava, ubytování a pohostinství, které těžilo z rostoucí poptávky tuzemských spotřebitelů a také pokračujícího rozvoje příjezdového cestovního ruchu. Nejdynamičtější oblast služeb ale nadále představovaly informační a komunikační činnosti, kde svižný růst HPH (7,4 %) probíhal při citelném posilování produktivity práce</w:t>
            </w:r>
            <w:r w:rsidRPr="00EE0E68">
              <w:rPr>
                <w:rStyle w:val="Znakapoznpodarou"/>
                <w:color w:val="000000" w:themeColor="text1"/>
                <w:lang w:eastAsia="en-US"/>
              </w:rPr>
              <w:footnoteReference w:id="3"/>
            </w:r>
            <w:r w:rsidRPr="00EE0E68">
              <w:rPr>
                <w:color w:val="000000" w:themeColor="text1"/>
                <w:lang w:eastAsia="en-US"/>
              </w:rPr>
              <w:t>. Mírně nadprůměrný růst HPH vykázaly i vyspělé služby pro podniky</w:t>
            </w:r>
            <w:r w:rsidRPr="00EE0E68">
              <w:rPr>
                <w:rStyle w:val="Znakapoznpodarou"/>
                <w:color w:val="000000" w:themeColor="text1"/>
                <w:lang w:eastAsia="en-US"/>
              </w:rPr>
              <w:footnoteReference w:id="4"/>
            </w:r>
            <w:r w:rsidRPr="00EE0E68">
              <w:rPr>
                <w:color w:val="000000" w:themeColor="text1"/>
                <w:lang w:eastAsia="en-US"/>
              </w:rPr>
              <w:t>, finančnictví a také menší různorodé seskupení ostatních činností služeb, kde hrají významnou roli kulturní, zábavní a rekreační činnosti. Naopak nižší dynamika přetrvávala v odvětvích s převahou veřejného sektoru</w:t>
            </w:r>
            <w:r w:rsidRPr="00EE0E68">
              <w:rPr>
                <w:rStyle w:val="Znakapoznpodarou"/>
                <w:color w:val="000000" w:themeColor="text1"/>
                <w:lang w:eastAsia="en-US"/>
              </w:rPr>
              <w:footnoteReference w:id="5"/>
            </w:r>
            <w:r w:rsidRPr="00EE0E68">
              <w:rPr>
                <w:color w:val="000000" w:themeColor="text1"/>
                <w:lang w:eastAsia="en-US"/>
              </w:rPr>
              <w:t xml:space="preserve"> a také v činnostech v oblasti nemovitostí, kde se HPH (i přes rostoucí zaměstnanost v předchozích letech) stále nacházela pouze na úrovni roku 2019.</w:t>
            </w:r>
          </w:p>
        </w:tc>
      </w:tr>
      <w:tr w:rsidR="004C456F" w:rsidRPr="004D4FDB" w14:paraId="4EC82CF8" w14:textId="77777777" w:rsidTr="004C456F">
        <w:trPr>
          <w:trHeight w:val="145"/>
        </w:trPr>
        <w:tc>
          <w:tcPr>
            <w:tcW w:w="1737" w:type="dxa"/>
            <w:shd w:val="clear" w:color="auto" w:fill="auto"/>
            <w:tcMar>
              <w:left w:w="0" w:type="dxa"/>
            </w:tcMar>
          </w:tcPr>
          <w:p w14:paraId="34F3E649" w14:textId="77777777" w:rsidR="004C456F" w:rsidRPr="00EE0E68" w:rsidRDefault="004C456F" w:rsidP="004C456F">
            <w:pPr>
              <w:pStyle w:val="Marginlie"/>
              <w:spacing w:after="240"/>
              <w:rPr>
                <w:color w:val="000000" w:themeColor="text1"/>
                <w:spacing w:val="0"/>
              </w:rPr>
            </w:pPr>
            <w:r w:rsidRPr="00EE0E68">
              <w:rPr>
                <w:color w:val="000000" w:themeColor="text1"/>
                <w:spacing w:val="0"/>
              </w:rPr>
              <w:t xml:space="preserve">V průmyslu došlo letos k pozitivnímu obratu. Dařilo se i stavebnictví, kde HPH vzrostla nejvíce za posledních jedenáct let. V primárním sektoru byla situace stabilizovaná. </w:t>
            </w:r>
          </w:p>
        </w:tc>
        <w:tc>
          <w:tcPr>
            <w:tcW w:w="179" w:type="dxa"/>
            <w:shd w:val="clear" w:color="auto" w:fill="auto"/>
            <w:tcMar>
              <w:left w:w="0" w:type="dxa"/>
            </w:tcMar>
          </w:tcPr>
          <w:p w14:paraId="0BD63FC9" w14:textId="77777777" w:rsidR="004C456F" w:rsidRPr="00EE0E68" w:rsidRDefault="004C456F" w:rsidP="004C456F">
            <w:pPr>
              <w:pStyle w:val="Textpoznpodarou"/>
              <w:spacing w:after="240"/>
              <w:jc w:val="both"/>
              <w:rPr>
                <w:color w:val="000000" w:themeColor="text1"/>
              </w:rPr>
            </w:pPr>
          </w:p>
        </w:tc>
        <w:tc>
          <w:tcPr>
            <w:tcW w:w="7730" w:type="dxa"/>
            <w:shd w:val="clear" w:color="auto" w:fill="auto"/>
            <w:tcMar>
              <w:left w:w="0" w:type="dxa"/>
            </w:tcMar>
          </w:tcPr>
          <w:p w14:paraId="3559BD83" w14:textId="6EC710C2" w:rsidR="004C456F" w:rsidRPr="00EE0E68" w:rsidRDefault="004C456F" w:rsidP="00EE0E68">
            <w:pPr>
              <w:spacing w:after="200"/>
              <w:rPr>
                <w:color w:val="000000" w:themeColor="text1"/>
              </w:rPr>
            </w:pPr>
            <w:r w:rsidRPr="00EE0E68">
              <w:rPr>
                <w:color w:val="000000" w:themeColor="text1"/>
              </w:rPr>
              <w:t>K pozitivnímu obratu došlo letos v průmyslu, kde se na mírném růstu HPH (za pololetí meziročně o 1,7 %) podílely jak zpracovatelské obory, tak energetika. Příspěvek celého odvětví k růstu ekonomiky byl však zatím poměrně nízký.  Zrychlení růstu tempa investic do budov a staveb se odrazilo ve výkonech stavebnictví. Jeho HPH letos posílila o 5,1</w:t>
            </w:r>
            <w:r w:rsidR="00EE0E68">
              <w:rPr>
                <w:color w:val="000000" w:themeColor="text1"/>
              </w:rPr>
              <w:t> </w:t>
            </w:r>
            <w:r w:rsidRPr="00EE0E68">
              <w:rPr>
                <w:color w:val="000000" w:themeColor="text1"/>
              </w:rPr>
              <w:t xml:space="preserve">% (vyšší tempo bylo naposledy zaznamenáno v 1. pololetí 2014, kdy zrychlila finalizace infrastrukturálních projektů vlivem možnosti čerpání prostředků z EU fondů). </w:t>
            </w:r>
            <w:r w:rsidRPr="00EE0E68">
              <w:rPr>
                <w:color w:val="000000" w:themeColor="text1"/>
                <w:lang w:eastAsia="en-US"/>
              </w:rPr>
              <w:t xml:space="preserve">Mírný růst HPH zaznamenal v 1. pololetí 2025 (+1,8 %), podobně jako v úhrnu za loňský rok, primární sektor ekonomiky. </w:t>
            </w:r>
            <w:r w:rsidRPr="00EE0E68">
              <w:t xml:space="preserve">V živočišné výrobě </w:t>
            </w:r>
            <w:r w:rsidRPr="00EE0E68">
              <w:rPr>
                <w:rStyle w:val="normaltextrun"/>
                <w:rFonts w:eastAsia="MS Gothic" w:cs="Arial"/>
                <w:szCs w:val="20"/>
              </w:rPr>
              <w:t>i přes pokračující citelné cenové pohyby hlavních komodit (z</w:t>
            </w:r>
            <w:r w:rsidRPr="00EE0E68">
              <w:rPr>
                <w:rStyle w:val="normaltextrun"/>
                <w:rFonts w:eastAsia="MS Gothic" w:cs="Arial"/>
              </w:rPr>
              <w:t>ejména hovězího a vepřového masa) i</w:t>
            </w:r>
            <w:r w:rsidRPr="00EE0E68">
              <w:t> zvýšená</w:t>
            </w:r>
            <w:r w:rsidRPr="00EE0E68">
              <w:rPr>
                <w:rStyle w:val="normaltextrun"/>
                <w:rFonts w:eastAsia="MS Gothic" w:cs="Arial"/>
                <w:szCs w:val="20"/>
              </w:rPr>
              <w:t xml:space="preserve"> hygienická rizika (především na přelomu letošního roku) zůstala situace tuzemských producentů stabilizovaná</w:t>
            </w:r>
            <w:r w:rsidRPr="00EE0E68">
              <w:rPr>
                <w:rStyle w:val="Znakapoznpodarou"/>
                <w:rFonts w:eastAsia="MS Gothic"/>
                <w:szCs w:val="20"/>
              </w:rPr>
              <w:footnoteReference w:id="6"/>
            </w:r>
            <w:r w:rsidRPr="00EE0E68">
              <w:rPr>
                <w:rStyle w:val="normaltextrun"/>
                <w:rFonts w:eastAsia="MS Gothic" w:cs="Arial"/>
                <w:szCs w:val="20"/>
              </w:rPr>
              <w:t xml:space="preserve">. </w:t>
            </w:r>
            <w:r w:rsidRPr="00EE0E68">
              <w:t xml:space="preserve">V lesnictví pokračoval po ústupu kůrovcové kalamity návrat ke </w:t>
            </w:r>
            <w:r w:rsidRPr="00EE0E68">
              <w:lastRenderedPageBreak/>
              <w:t>standardnímu režimu hospodaření, jež se vyznačuje stabilnějším vývojem těžby dřeva</w:t>
            </w:r>
            <w:r w:rsidRPr="00EE0E68">
              <w:rPr>
                <w:rStyle w:val="Znakapoznpodarou"/>
              </w:rPr>
              <w:footnoteReference w:id="7"/>
            </w:r>
            <w:r w:rsidRPr="00EE0E68">
              <w:t>. V rostlinné produkci patrně ještě dozníval vliv loňské slabší sklizně (základních obilovin, řepky, ovoce). Ve vývoji v dalších částech letošního roku by se postupně mohly projevit dopady letošní sklizně, jež by dle dosavadních odhadů měla být dobrá</w:t>
            </w:r>
            <w:r w:rsidRPr="00EE0E68">
              <w:rPr>
                <w:rStyle w:val="Znakapoznpodarou"/>
              </w:rPr>
              <w:footnoteReference w:id="8"/>
            </w:r>
            <w:r w:rsidRPr="00EE0E68">
              <w:t xml:space="preserve">. </w:t>
            </w:r>
          </w:p>
        </w:tc>
      </w:tr>
      <w:tr w:rsidR="004C456F" w:rsidRPr="004D4FDB" w14:paraId="00C51671" w14:textId="77777777" w:rsidTr="004C456F">
        <w:trPr>
          <w:trHeight w:val="145"/>
        </w:trPr>
        <w:tc>
          <w:tcPr>
            <w:tcW w:w="1737" w:type="dxa"/>
            <w:shd w:val="clear" w:color="auto" w:fill="auto"/>
            <w:tcMar>
              <w:left w:w="0" w:type="dxa"/>
            </w:tcMar>
          </w:tcPr>
          <w:p w14:paraId="707212E3" w14:textId="77777777" w:rsidR="004C456F" w:rsidRPr="00EE0E68" w:rsidRDefault="004C456F" w:rsidP="004C456F">
            <w:pPr>
              <w:pStyle w:val="Marginlie"/>
              <w:spacing w:after="240"/>
              <w:rPr>
                <w:color w:val="000000" w:themeColor="text1"/>
                <w:spacing w:val="0"/>
              </w:rPr>
            </w:pPr>
            <w:r w:rsidRPr="00EE0E68">
              <w:rPr>
                <w:color w:val="000000" w:themeColor="text1"/>
                <w:spacing w:val="0"/>
              </w:rPr>
              <w:lastRenderedPageBreak/>
              <w:t>Slabý růst tuzemského průmyslu souvisel s nepříznivě působícími vnějšími faktory.</w:t>
            </w:r>
          </w:p>
        </w:tc>
        <w:tc>
          <w:tcPr>
            <w:tcW w:w="179" w:type="dxa"/>
            <w:shd w:val="clear" w:color="auto" w:fill="auto"/>
            <w:tcMar>
              <w:left w:w="0" w:type="dxa"/>
            </w:tcMar>
          </w:tcPr>
          <w:p w14:paraId="634B84C6" w14:textId="77777777" w:rsidR="004C456F" w:rsidRPr="00EE0E68" w:rsidRDefault="004C456F" w:rsidP="004C456F">
            <w:pPr>
              <w:pStyle w:val="Textpoznpodarou"/>
              <w:spacing w:after="240"/>
              <w:jc w:val="both"/>
              <w:rPr>
                <w:color w:val="000000" w:themeColor="text1"/>
              </w:rPr>
            </w:pPr>
          </w:p>
        </w:tc>
        <w:tc>
          <w:tcPr>
            <w:tcW w:w="7730" w:type="dxa"/>
            <w:shd w:val="clear" w:color="auto" w:fill="auto"/>
            <w:tcMar>
              <w:left w:w="0" w:type="dxa"/>
            </w:tcMar>
          </w:tcPr>
          <w:p w14:paraId="633198F0" w14:textId="77777777" w:rsidR="004C456F" w:rsidRPr="00EE0E68" w:rsidRDefault="004C456F" w:rsidP="004C456F">
            <w:pPr>
              <w:spacing w:after="200"/>
              <w:rPr>
                <w:color w:val="000000" w:themeColor="text1"/>
              </w:rPr>
            </w:pPr>
            <w:r w:rsidRPr="00EE0E68">
              <w:rPr>
                <w:color w:val="000000" w:themeColor="text1"/>
              </w:rPr>
              <w:t xml:space="preserve">Tuzemský průmysl, jenž byl v letech 2022 i 2023 zasažen mírnou recesí, se i v 1. pololetí letošního roku nacházel v obtížné situaci. Navzdory mírnému oživení zůstával hospodářský růst české ekonomiky i jejich klíčových obchodních partnerů slabý. Promítaly se do něj vzrůstající nejistota a rizika plynoucí ze zhoršené geopolitické situace i možné eskalace obchodních válek. Tyto faktory se v tuzemské ekonomice potkávaly se stále oslabenou investiční aktivitou umocněnou přetrvávajícími ztíženými možnostmi úvěrového financování. V oblasti nákladových tlaků došlo k dílčí úlevě vlivem stabilizace i následného poklesu cen některých druhů energií (zejména světových cen ropy), nicméně ceny některých důležitých komodit se stále nacházely výrazně nad úrovní z počátku současné dekády (např. elektřiny). </w:t>
            </w:r>
          </w:p>
        </w:tc>
      </w:tr>
      <w:tr w:rsidR="004C456F" w:rsidRPr="004D4FDB" w14:paraId="786251A5" w14:textId="77777777" w:rsidTr="004C456F">
        <w:trPr>
          <w:trHeight w:val="145"/>
        </w:trPr>
        <w:tc>
          <w:tcPr>
            <w:tcW w:w="1737" w:type="dxa"/>
            <w:shd w:val="clear" w:color="auto" w:fill="auto"/>
            <w:tcMar>
              <w:left w:w="0" w:type="dxa"/>
            </w:tcMar>
          </w:tcPr>
          <w:p w14:paraId="23FAAC11" w14:textId="77777777" w:rsidR="004C456F" w:rsidRPr="00EE0E68" w:rsidRDefault="004C456F" w:rsidP="004C456F">
            <w:pPr>
              <w:pStyle w:val="Marginlie"/>
              <w:spacing w:after="240"/>
              <w:rPr>
                <w:color w:val="000000" w:themeColor="text1"/>
                <w:spacing w:val="0"/>
              </w:rPr>
            </w:pPr>
            <w:r w:rsidRPr="00EE0E68">
              <w:rPr>
                <w:color w:val="000000" w:themeColor="text1"/>
                <w:spacing w:val="0"/>
              </w:rPr>
              <w:t>K oživení průmyslu na počátku roku pomohla energetika a také některé exportní obory, jež mohly být ovlivněny snahou obchodních partnerů Česka o předzásobení kvůli změně obchodní politiky USA.</w:t>
            </w:r>
          </w:p>
        </w:tc>
        <w:tc>
          <w:tcPr>
            <w:tcW w:w="179" w:type="dxa"/>
            <w:shd w:val="clear" w:color="auto" w:fill="auto"/>
            <w:tcMar>
              <w:left w:w="0" w:type="dxa"/>
            </w:tcMar>
          </w:tcPr>
          <w:p w14:paraId="62A7D8CC" w14:textId="77777777" w:rsidR="004C456F" w:rsidRPr="00EE0E68" w:rsidRDefault="004C456F" w:rsidP="004C456F">
            <w:pPr>
              <w:pStyle w:val="Textpoznpodarou"/>
              <w:spacing w:after="240"/>
              <w:jc w:val="both"/>
              <w:rPr>
                <w:color w:val="000000" w:themeColor="text1"/>
              </w:rPr>
            </w:pPr>
          </w:p>
        </w:tc>
        <w:tc>
          <w:tcPr>
            <w:tcW w:w="7730" w:type="dxa"/>
            <w:shd w:val="clear" w:color="auto" w:fill="auto"/>
            <w:tcMar>
              <w:left w:w="0" w:type="dxa"/>
            </w:tcMar>
          </w:tcPr>
          <w:p w14:paraId="5C350088" w14:textId="77777777" w:rsidR="004C456F" w:rsidRPr="00EE0E68" w:rsidRDefault="004C456F" w:rsidP="004C456F">
            <w:pPr>
              <w:spacing w:after="200"/>
              <w:rPr>
                <w:color w:val="000000" w:themeColor="text1"/>
              </w:rPr>
            </w:pPr>
            <w:r w:rsidRPr="00EE0E68">
              <w:rPr>
                <w:color w:val="000000" w:themeColor="text1"/>
              </w:rPr>
              <w:t>Průmyslová produkce</w:t>
            </w:r>
            <w:r w:rsidRPr="00EE0E68">
              <w:rPr>
                <w:rStyle w:val="Znakapoznpodarou"/>
                <w:color w:val="000000" w:themeColor="text1"/>
              </w:rPr>
              <w:footnoteReference w:id="9"/>
            </w:r>
            <w:r w:rsidRPr="00EE0E68">
              <w:rPr>
                <w:color w:val="000000" w:themeColor="text1"/>
              </w:rPr>
              <w:t xml:space="preserve"> v Česku se na počátku letošního roku mezikvartálně zvýšila </w:t>
            </w:r>
            <w:r w:rsidRPr="00EE0E68">
              <w:rPr>
                <w:color w:val="000000" w:themeColor="text1"/>
              </w:rPr>
              <w:br/>
              <w:t xml:space="preserve">o 1,5 % a zaznamenala nejvýraznější oživení od konce roku 2023. Přispěla k tomu zejména energetika, strojírenství a některé významnější obory zaměřené na výrobu meziproduktů (elektrotechnika, hutnictví a slévárenství, výroba stavebních materiálů). Posílení některých exportních oborů mohlo souviset se snahou obchodních partnerů </w:t>
            </w:r>
            <w:r w:rsidRPr="00EE0E68">
              <w:rPr>
                <w:color w:val="000000" w:themeColor="text1"/>
              </w:rPr>
              <w:br/>
              <w:t xml:space="preserve">o předzásobení se před účinností opatření vlády USA v oblasti obchodní politiky. Ve </w:t>
            </w:r>
            <w:r w:rsidRPr="00EE0E68">
              <w:rPr>
                <w:color w:val="000000" w:themeColor="text1"/>
              </w:rPr>
              <w:br/>
              <w:t>2. čtvrtletí 2025 se výkon tuzemského průmyslu zvýšil jen o 0,3 %. Za zpomalením mezikvartálního tempa stála zejména energetika a také strojírenství (u nějž je tradičně zahraniční poptávka relativně více orientována na mimoevropská teritoria). S přetrvávající nedostatečnou poptávkou se potýkaly chemický i elektronický průmysl. Naopak k pozitivnímu obratu produkce došlo v odvětvích výroby dopravních prostředků. Celková průmyslová produkce tak letos v 2. čtvrtletí za svým vrcholem z období předpandemické konjunktury (2. čtvrtletí 2019) mírně zaostala (o 1,1 %)</w:t>
            </w:r>
            <w:r w:rsidRPr="00EE0E68">
              <w:rPr>
                <w:rStyle w:val="Znakapoznpodarou"/>
                <w:color w:val="000000" w:themeColor="text1"/>
              </w:rPr>
              <w:footnoteReference w:id="10"/>
            </w:r>
            <w:r w:rsidRPr="00EE0E68">
              <w:rPr>
                <w:color w:val="000000" w:themeColor="text1"/>
              </w:rPr>
              <w:t>.</w:t>
            </w:r>
          </w:p>
        </w:tc>
      </w:tr>
      <w:tr w:rsidR="004C456F" w:rsidRPr="004D4FDB" w14:paraId="09E1DB3A" w14:textId="77777777" w:rsidTr="004C456F">
        <w:trPr>
          <w:trHeight w:val="145"/>
        </w:trPr>
        <w:tc>
          <w:tcPr>
            <w:tcW w:w="1737" w:type="dxa"/>
            <w:shd w:val="clear" w:color="auto" w:fill="auto"/>
            <w:tcMar>
              <w:left w:w="0" w:type="dxa"/>
            </w:tcMar>
          </w:tcPr>
          <w:p w14:paraId="6EE32AE3" w14:textId="77777777" w:rsidR="004C456F" w:rsidRPr="00EE0E68" w:rsidRDefault="004C456F" w:rsidP="004C456F">
            <w:pPr>
              <w:pStyle w:val="Marginlie"/>
              <w:spacing w:after="240"/>
              <w:rPr>
                <w:color w:val="000000" w:themeColor="text1"/>
                <w:spacing w:val="0"/>
              </w:rPr>
            </w:pPr>
            <w:r w:rsidRPr="00EE0E68">
              <w:rPr>
                <w:color w:val="000000" w:themeColor="text1"/>
                <w:spacing w:val="0"/>
              </w:rPr>
              <w:t xml:space="preserve">Vývoj průmyslové produkce byl letos zdaleka nejvíce ovlivněn energetikou. Ve vyšší poptávce po energiích </w:t>
            </w:r>
            <w:r w:rsidRPr="00EE0E68">
              <w:rPr>
                <w:color w:val="000000" w:themeColor="text1"/>
                <w:spacing w:val="0"/>
              </w:rPr>
              <w:lastRenderedPageBreak/>
              <w:t xml:space="preserve">se projevilo chladnější počasí i neochota domácností k dalším úsporám. </w:t>
            </w:r>
          </w:p>
        </w:tc>
        <w:tc>
          <w:tcPr>
            <w:tcW w:w="179" w:type="dxa"/>
            <w:shd w:val="clear" w:color="auto" w:fill="auto"/>
            <w:tcMar>
              <w:left w:w="0" w:type="dxa"/>
            </w:tcMar>
          </w:tcPr>
          <w:p w14:paraId="1BF141B9" w14:textId="77777777" w:rsidR="004C456F" w:rsidRPr="00EE0E68" w:rsidRDefault="004C456F" w:rsidP="004C456F">
            <w:pPr>
              <w:pStyle w:val="Textpoznpodarou"/>
              <w:spacing w:after="240"/>
              <w:jc w:val="both"/>
              <w:rPr>
                <w:color w:val="000000" w:themeColor="text1"/>
              </w:rPr>
            </w:pPr>
          </w:p>
        </w:tc>
        <w:tc>
          <w:tcPr>
            <w:tcW w:w="7730" w:type="dxa"/>
            <w:shd w:val="clear" w:color="auto" w:fill="auto"/>
            <w:tcMar>
              <w:left w:w="0" w:type="dxa"/>
            </w:tcMar>
          </w:tcPr>
          <w:p w14:paraId="11732868" w14:textId="77777777" w:rsidR="004C456F" w:rsidRPr="00EE0E68" w:rsidRDefault="004C456F" w:rsidP="004C456F">
            <w:pPr>
              <w:spacing w:after="200"/>
              <w:rPr>
                <w:color w:val="000000" w:themeColor="text1"/>
              </w:rPr>
            </w:pPr>
            <w:r w:rsidRPr="00EE0E68">
              <w:rPr>
                <w:color w:val="000000" w:themeColor="text1"/>
              </w:rPr>
              <w:t xml:space="preserve">V úhrnu za 1. pololetí 2025 se průmyslová produkce zvýšila meziročně o 1,0 %. O kladný výsledek průmyslu se zásadně zasloužila energetika, jejíž výkon vzrostl o 8,3 % (nejvíce od první poloviny roku 2003) a k růstu celého průmyslu přispěla 0,7 p. b. Rostla výroba </w:t>
            </w:r>
            <w:r w:rsidRPr="00EE0E68">
              <w:rPr>
                <w:color w:val="000000" w:themeColor="text1"/>
              </w:rPr>
              <w:lastRenderedPageBreak/>
              <w:t>i spotřeba elektřiny</w:t>
            </w:r>
            <w:r w:rsidRPr="00EE0E68">
              <w:rPr>
                <w:rStyle w:val="Znakapoznpodarou"/>
                <w:color w:val="000000" w:themeColor="text1"/>
              </w:rPr>
              <w:footnoteReference w:id="11"/>
            </w:r>
            <w:r w:rsidRPr="00EE0E68">
              <w:rPr>
                <w:color w:val="000000" w:themeColor="text1"/>
              </w:rPr>
              <w:t xml:space="preserve"> i plynu</w:t>
            </w:r>
            <w:r w:rsidRPr="00EE0E68">
              <w:rPr>
                <w:rStyle w:val="Znakapoznpodarou"/>
                <w:color w:val="000000" w:themeColor="text1"/>
              </w:rPr>
              <w:footnoteReference w:id="12"/>
            </w:r>
            <w:r w:rsidRPr="00EE0E68">
              <w:rPr>
                <w:color w:val="000000" w:themeColor="text1"/>
              </w:rPr>
              <w:t>. To souvisí zejména s tím, že počátek letošního roku nebyl teplotně natolik nadprůměrný jako ten loňský. Vliv ale mělo i to, že efekt nedávných úsporných opatření v domácnostech i firmách se již patrně vyčerpává. Motivace k úsporám, především v domácnostech, klesá i vlivem stabilizace a následného zlevňování cen energií, jež bylo znatelnější hlavně u zemního plynu. Do vyšší spotřeby se promítá i loňské obnovení růstu reálných příjmů domácností, jakož i mírné oživení celkového výkonu ekonomiky doprovázené stabilizací poptávky v některých energeticky náročných průmyslových oborech.</w:t>
            </w:r>
          </w:p>
        </w:tc>
      </w:tr>
      <w:tr w:rsidR="004C456F" w:rsidRPr="00884AAD" w14:paraId="77B197A7" w14:textId="77777777" w:rsidTr="004C456F">
        <w:trPr>
          <w:trHeight w:val="145"/>
        </w:trPr>
        <w:tc>
          <w:tcPr>
            <w:tcW w:w="1737" w:type="dxa"/>
            <w:shd w:val="clear" w:color="auto" w:fill="auto"/>
            <w:tcMar>
              <w:left w:w="0" w:type="dxa"/>
            </w:tcMar>
          </w:tcPr>
          <w:p w14:paraId="38A3F173" w14:textId="77777777" w:rsidR="004C456F" w:rsidRPr="00EE0E68" w:rsidRDefault="004C456F" w:rsidP="004C456F">
            <w:pPr>
              <w:pStyle w:val="Marginlie"/>
              <w:spacing w:after="240"/>
              <w:rPr>
                <w:color w:val="000000" w:themeColor="text1"/>
                <w:spacing w:val="0"/>
              </w:rPr>
            </w:pPr>
            <w:r w:rsidRPr="00EE0E68">
              <w:rPr>
                <w:color w:val="000000" w:themeColor="text1"/>
                <w:spacing w:val="0"/>
              </w:rPr>
              <w:lastRenderedPageBreak/>
              <w:t>Dařilo se většině oborů zaměřených na výrobu meziproduktů.</w:t>
            </w:r>
          </w:p>
        </w:tc>
        <w:tc>
          <w:tcPr>
            <w:tcW w:w="179" w:type="dxa"/>
            <w:shd w:val="clear" w:color="auto" w:fill="auto"/>
            <w:tcMar>
              <w:left w:w="0" w:type="dxa"/>
            </w:tcMar>
          </w:tcPr>
          <w:p w14:paraId="04729728" w14:textId="77777777" w:rsidR="004C456F" w:rsidRPr="00EE0E68" w:rsidRDefault="004C456F" w:rsidP="004C456F">
            <w:pPr>
              <w:pStyle w:val="Textpoznpodarou"/>
              <w:spacing w:after="240"/>
              <w:jc w:val="both"/>
              <w:rPr>
                <w:color w:val="000000" w:themeColor="text1"/>
              </w:rPr>
            </w:pPr>
          </w:p>
        </w:tc>
        <w:tc>
          <w:tcPr>
            <w:tcW w:w="7730" w:type="dxa"/>
            <w:shd w:val="clear" w:color="auto" w:fill="auto"/>
            <w:tcMar>
              <w:left w:w="0" w:type="dxa"/>
            </w:tcMar>
          </w:tcPr>
          <w:p w14:paraId="3B1D8CDC" w14:textId="1DC36F41" w:rsidR="004C456F" w:rsidRPr="00EE0E68" w:rsidRDefault="004C456F" w:rsidP="00EE0E68">
            <w:pPr>
              <w:spacing w:after="200"/>
              <w:rPr>
                <w:b/>
                <w:color w:val="000000" w:themeColor="text1"/>
              </w:rPr>
            </w:pPr>
            <w:r w:rsidRPr="00EE0E68">
              <w:rPr>
                <w:color w:val="000000" w:themeColor="text1"/>
              </w:rPr>
              <w:t>Průmyslu letos pomohla také většina oborů vyrábějících meziprodukty. Zejména rozvoj tuzemského stavebnictví se promítl do výroby ostatních nekovových minerálních výrobků, kde produkce v 1. pololetí vzrostla meziročně o 3,9 % (nejvíce ze všech zpracovatelských oborů). Po slabších loňských výsledcích došlo vlivem domácí i</w:t>
            </w:r>
            <w:r w:rsidR="00EE0E68">
              <w:rPr>
                <w:color w:val="000000" w:themeColor="text1"/>
              </w:rPr>
              <w:t> </w:t>
            </w:r>
            <w:r w:rsidRPr="00EE0E68">
              <w:rPr>
                <w:color w:val="000000" w:themeColor="text1"/>
              </w:rPr>
              <w:t>zahraniční poptávky k pozitivnímu obratu v hlavních subdodavatelských oborech automobilového průmyslu (elektrotechnice, gumárenství, plastikářství). Po více než třech letech se objevily první náznaky oživení i v hutnictví a slévárenství (+3,7 %). Nicméně pokračující nepříznivý vývoj zahraničních zakázek, jakož i přetrvávající mírný pokles výkonu tohoto odvětví v EU aktuální růst produkce v Česku poněkud relativizují. Mnohem pevnější základy má naopak růst v menším oboru papírenského průmyslu (+1,0 %), jenž se díky dřívějším investicím do výrobních zařízení v Česku dlouhodobě rozvíjí (letos k tomu přispívá spíše tuzemská poptávka). Výše uvedené obory přispěly letos souhrnně k meziročnímu růstu celého průmyslu 0,5 p. b.</w:t>
            </w:r>
          </w:p>
        </w:tc>
      </w:tr>
      <w:tr w:rsidR="004C456F" w:rsidRPr="00884AAD" w14:paraId="021DBBCF" w14:textId="77777777" w:rsidTr="004C456F">
        <w:trPr>
          <w:trHeight w:val="145"/>
        </w:trPr>
        <w:tc>
          <w:tcPr>
            <w:tcW w:w="1737" w:type="dxa"/>
            <w:shd w:val="clear" w:color="auto" w:fill="auto"/>
            <w:tcMar>
              <w:left w:w="0" w:type="dxa"/>
            </w:tcMar>
          </w:tcPr>
          <w:p w14:paraId="7313E9A9" w14:textId="77777777" w:rsidR="004C456F" w:rsidRPr="00EE0E68" w:rsidRDefault="004C456F" w:rsidP="004C456F">
            <w:pPr>
              <w:pStyle w:val="Marginlie"/>
              <w:spacing w:after="240"/>
              <w:rPr>
                <w:color w:val="000000" w:themeColor="text1"/>
                <w:spacing w:val="0"/>
              </w:rPr>
            </w:pPr>
            <w:r w:rsidRPr="00EE0E68">
              <w:rPr>
                <w:color w:val="000000" w:themeColor="text1"/>
                <w:spacing w:val="0"/>
              </w:rPr>
              <w:t>Ve vyšších výkonech kovodělného průmyslu se odráží i rychlý rozvoj jeho zbrojního segmentu. Dařilo se i dlouhodobě se rozvíjející výrobě kolejových dopravních prostředků.</w:t>
            </w:r>
          </w:p>
        </w:tc>
        <w:tc>
          <w:tcPr>
            <w:tcW w:w="179" w:type="dxa"/>
            <w:shd w:val="clear" w:color="auto" w:fill="auto"/>
            <w:tcMar>
              <w:left w:w="0" w:type="dxa"/>
            </w:tcMar>
          </w:tcPr>
          <w:p w14:paraId="5DF7EC4F" w14:textId="77777777" w:rsidR="004C456F" w:rsidRPr="00EE0E68" w:rsidRDefault="004C456F" w:rsidP="004C456F">
            <w:pPr>
              <w:pStyle w:val="Textpoznpodarou"/>
              <w:spacing w:after="240"/>
              <w:jc w:val="both"/>
              <w:rPr>
                <w:color w:val="000000" w:themeColor="text1"/>
              </w:rPr>
            </w:pPr>
          </w:p>
        </w:tc>
        <w:tc>
          <w:tcPr>
            <w:tcW w:w="7730" w:type="dxa"/>
            <w:shd w:val="clear" w:color="auto" w:fill="auto"/>
            <w:tcMar>
              <w:left w:w="0" w:type="dxa"/>
            </w:tcMar>
          </w:tcPr>
          <w:p w14:paraId="0B316C8B" w14:textId="665591B0" w:rsidR="004C456F" w:rsidRPr="00EE0E68" w:rsidRDefault="004C456F" w:rsidP="00EE0E68">
            <w:pPr>
              <w:spacing w:after="200"/>
              <w:rPr>
                <w:bCs/>
                <w:color w:val="000000" w:themeColor="text1"/>
              </w:rPr>
            </w:pPr>
            <w:r w:rsidRPr="00EE0E68">
              <w:rPr>
                <w:bCs/>
                <w:color w:val="000000" w:themeColor="text1"/>
              </w:rPr>
              <w:t>Z investičně zaměřených oborů bylo z pohledu celého průmyslu nejvýznamnější zotavení ve výrobě kovových konstrukci a kovodělných výrobků, k němuž došlo již ve 2.</w:t>
            </w:r>
            <w:r w:rsidR="00EE0E68">
              <w:rPr>
                <w:bCs/>
                <w:color w:val="000000" w:themeColor="text1"/>
              </w:rPr>
              <w:t> </w:t>
            </w:r>
            <w:r w:rsidRPr="00EE0E68">
              <w:rPr>
                <w:bCs/>
                <w:color w:val="000000" w:themeColor="text1"/>
              </w:rPr>
              <w:t>pololetí 2024. Mírný letošní růst výkonu tohoto oboru (+1,3 %) je spojen s vyšší domácí i zahraniční poptávkou a v</w:t>
            </w:r>
            <w:r w:rsidRPr="00EE0E68">
              <w:rPr>
                <w:color w:val="000000" w:themeColor="text1"/>
              </w:rPr>
              <w:t>ýznamný růstový impuls zde již několik čtvrtletí představuje „renesance“ zbrojního průmyslu. Dařilo se i dlouhodobě rostoucímu oboru opravy a instalace strojů a zařízení zaměřenému tradičně spíše na domácí trh (např. opravy jaderných zařízení). K jeho letošnímu růstu produkce (+2,7 %) ale přispěla i vyšší poptávka ze zahraničí (což naznačuje téměř dvojciferný meziroční růst nominálních tržeb z přímého vývozu). Mírně se letos zvýšil výkon i ve výrobě ostatních (především kolejov</w:t>
            </w:r>
            <w:r w:rsidR="002C5568" w:rsidRPr="00EE0E68">
              <w:rPr>
                <w:color w:val="000000" w:themeColor="text1"/>
              </w:rPr>
              <w:t xml:space="preserve">ých) dopravních prostředků </w:t>
            </w:r>
            <w:r w:rsidRPr="00EE0E68">
              <w:rPr>
                <w:color w:val="000000" w:themeColor="text1"/>
              </w:rPr>
              <w:t>(+1,9 %). Produkce v tomto relativně malém oboru má však tradičně volatilní charakter a projevuje se zde dopad nepravidelné fakturace větších zakázek. Na rozdíl od loňského roku se zde pozitivně projevila vyšší poptávka ze zahraničí. Výše uvedené obory při</w:t>
            </w:r>
            <w:r w:rsidR="002C5568" w:rsidRPr="00EE0E68">
              <w:rPr>
                <w:color w:val="000000" w:themeColor="text1"/>
              </w:rPr>
              <w:t xml:space="preserve">spěly letos </w:t>
            </w:r>
            <w:r w:rsidRPr="00EE0E68">
              <w:rPr>
                <w:color w:val="000000" w:themeColor="text1"/>
              </w:rPr>
              <w:t xml:space="preserve">k růstu průmyslu jen 0,2 p. b. </w:t>
            </w:r>
          </w:p>
        </w:tc>
      </w:tr>
      <w:tr w:rsidR="004C456F" w:rsidRPr="00884AAD" w14:paraId="5911410F" w14:textId="77777777" w:rsidTr="004C456F">
        <w:trPr>
          <w:trHeight w:val="145"/>
        </w:trPr>
        <w:tc>
          <w:tcPr>
            <w:tcW w:w="1737" w:type="dxa"/>
            <w:shd w:val="clear" w:color="auto" w:fill="auto"/>
            <w:tcMar>
              <w:left w:w="0" w:type="dxa"/>
            </w:tcMar>
          </w:tcPr>
          <w:p w14:paraId="49BAA73A" w14:textId="77777777" w:rsidR="004C456F" w:rsidRPr="00EE0E68" w:rsidRDefault="004C456F" w:rsidP="004C456F">
            <w:pPr>
              <w:pStyle w:val="Marginlie"/>
              <w:spacing w:after="240"/>
              <w:rPr>
                <w:color w:val="000000" w:themeColor="text1"/>
                <w:spacing w:val="0"/>
              </w:rPr>
            </w:pPr>
            <w:r w:rsidRPr="00EE0E68">
              <w:rPr>
                <w:color w:val="000000" w:themeColor="text1"/>
                <w:spacing w:val="0"/>
              </w:rPr>
              <w:t>Zvyšující se kupní síla domácností dále podporovala rozvoj potravinářství. Růst produkce zde však oproti loňskému roku zmírnil.</w:t>
            </w:r>
          </w:p>
        </w:tc>
        <w:tc>
          <w:tcPr>
            <w:tcW w:w="179" w:type="dxa"/>
            <w:shd w:val="clear" w:color="auto" w:fill="auto"/>
            <w:tcMar>
              <w:left w:w="0" w:type="dxa"/>
            </w:tcMar>
          </w:tcPr>
          <w:p w14:paraId="18AE2A4D" w14:textId="77777777" w:rsidR="004C456F" w:rsidRPr="00EE0E68" w:rsidRDefault="004C456F" w:rsidP="004C456F">
            <w:pPr>
              <w:pStyle w:val="Textpoznpodarou"/>
              <w:spacing w:after="240"/>
              <w:jc w:val="both"/>
              <w:rPr>
                <w:color w:val="000000" w:themeColor="text1"/>
              </w:rPr>
            </w:pPr>
          </w:p>
        </w:tc>
        <w:tc>
          <w:tcPr>
            <w:tcW w:w="7730" w:type="dxa"/>
            <w:shd w:val="clear" w:color="auto" w:fill="auto"/>
            <w:tcMar>
              <w:left w:w="0" w:type="dxa"/>
            </w:tcMar>
          </w:tcPr>
          <w:p w14:paraId="6C99885D" w14:textId="23B13D6F" w:rsidR="004C456F" w:rsidRPr="00EE0E68" w:rsidRDefault="004C456F" w:rsidP="00EE0E68">
            <w:pPr>
              <w:rPr>
                <w:color w:val="000000" w:themeColor="text1"/>
              </w:rPr>
            </w:pPr>
            <w:r w:rsidRPr="00EE0E68">
              <w:rPr>
                <w:color w:val="000000" w:themeColor="text1"/>
              </w:rPr>
              <w:t>Z oborů vyrábějících spotřební zboží se díky rostoucí kupní síle domácností dařilo potravinářství. Nicméně růst produkce v tomto oboru ve srovnání s loňským 1. pololetím zvolnilo zhruba o polovinu (na 3,2 %). Obdobné platí i pro ostatní zpracovatelský průmysl (+1,8 %) zahrnující mj. i výrobu sportovních potřeb, her a hraček. Produkce se v 1.</w:t>
            </w:r>
            <w:r w:rsidR="00EE0E68">
              <w:rPr>
                <w:color w:val="000000" w:themeColor="text1"/>
              </w:rPr>
              <w:t> </w:t>
            </w:r>
            <w:r w:rsidRPr="00EE0E68">
              <w:rPr>
                <w:color w:val="000000" w:themeColor="text1"/>
              </w:rPr>
              <w:t>pololetí navýšila i v nábytkářském průmyslu o 3,0 %. Zatímco na přelomu let 2024 a</w:t>
            </w:r>
            <w:r w:rsidR="00EE0E68">
              <w:rPr>
                <w:color w:val="000000" w:themeColor="text1"/>
              </w:rPr>
              <w:t> </w:t>
            </w:r>
            <w:r w:rsidRPr="00EE0E68">
              <w:rPr>
                <w:color w:val="000000" w:themeColor="text1"/>
              </w:rPr>
              <w:t>2025 k tomu přispívala pouze sílící zahraniční poptávka, letos ve 2. čtvrtletí je patrný mírný růst tržeb z tuzemska. Postupn</w:t>
            </w:r>
            <w:r w:rsidR="002C5568" w:rsidRPr="00EE0E68">
              <w:rPr>
                <w:color w:val="000000" w:themeColor="text1"/>
              </w:rPr>
              <w:t>é</w:t>
            </w:r>
            <w:r w:rsidRPr="00EE0E68">
              <w:rPr>
                <w:color w:val="000000" w:themeColor="text1"/>
              </w:rPr>
              <w:t xml:space="preserve"> zlepš</w:t>
            </w:r>
            <w:r w:rsidR="002C5568" w:rsidRPr="00EE0E68">
              <w:rPr>
                <w:color w:val="000000" w:themeColor="text1"/>
              </w:rPr>
              <w:t>ení</w:t>
            </w:r>
            <w:r w:rsidRPr="00EE0E68">
              <w:rPr>
                <w:color w:val="000000" w:themeColor="text1"/>
              </w:rPr>
              <w:t xml:space="preserve"> finanční situace domácností se tak již </w:t>
            </w:r>
            <w:r w:rsidRPr="00EE0E68">
              <w:rPr>
                <w:color w:val="000000" w:themeColor="text1"/>
              </w:rPr>
              <w:lastRenderedPageBreak/>
              <w:t>neprojevuje jen ve vyšší poptávce po zboží krátkodobé spotřeby, ale zvolna se rozšiřuje i na další komodity. Obory vyrábějící převážně spotřební zboží letos souhrnně podpořily růst celého průmyslu 0,2 p. b.</w:t>
            </w:r>
          </w:p>
        </w:tc>
      </w:tr>
      <w:tr w:rsidR="004C456F" w:rsidRPr="00884AAD" w14:paraId="00C331CF" w14:textId="77777777" w:rsidTr="004C456F">
        <w:trPr>
          <w:trHeight w:val="145"/>
        </w:trPr>
        <w:tc>
          <w:tcPr>
            <w:tcW w:w="1737" w:type="dxa"/>
            <w:shd w:val="clear" w:color="auto" w:fill="auto"/>
            <w:tcMar>
              <w:left w:w="0" w:type="dxa"/>
            </w:tcMar>
          </w:tcPr>
          <w:p w14:paraId="16631461" w14:textId="77777777" w:rsidR="004C456F" w:rsidRPr="00EE0E68" w:rsidRDefault="004C456F" w:rsidP="004C456F">
            <w:pPr>
              <w:pStyle w:val="Marginlie"/>
              <w:spacing w:after="240"/>
              <w:rPr>
                <w:color w:val="0D0D0D" w:themeColor="text1" w:themeTint="F2"/>
                <w:spacing w:val="0"/>
              </w:rPr>
            </w:pPr>
          </w:p>
        </w:tc>
        <w:tc>
          <w:tcPr>
            <w:tcW w:w="179" w:type="dxa"/>
            <w:shd w:val="clear" w:color="auto" w:fill="auto"/>
            <w:tcMar>
              <w:left w:w="0" w:type="dxa"/>
            </w:tcMar>
          </w:tcPr>
          <w:p w14:paraId="72118355" w14:textId="77777777" w:rsidR="004C456F" w:rsidRPr="00EE0E68" w:rsidRDefault="004C456F" w:rsidP="004C456F">
            <w:pPr>
              <w:pStyle w:val="Textpoznpodarou"/>
              <w:spacing w:after="240"/>
              <w:jc w:val="both"/>
            </w:pPr>
          </w:p>
        </w:tc>
        <w:tc>
          <w:tcPr>
            <w:tcW w:w="7730" w:type="dxa"/>
            <w:shd w:val="clear" w:color="auto" w:fill="auto"/>
            <w:tcMar>
              <w:left w:w="0" w:type="dxa"/>
            </w:tcMar>
          </w:tcPr>
          <w:p w14:paraId="24E859A1" w14:textId="77777777" w:rsidR="004C456F" w:rsidRPr="00EE0E68" w:rsidRDefault="004C456F" w:rsidP="004C456F">
            <w:pPr>
              <w:spacing w:after="40"/>
              <w:rPr>
                <w:color w:val="0D0D0D" w:themeColor="text1" w:themeTint="F2"/>
              </w:rPr>
            </w:pPr>
            <w:r w:rsidRPr="00EE0E68">
              <w:rPr>
                <w:b/>
                <w:color w:val="0D0D0D" w:themeColor="text1" w:themeTint="F2"/>
              </w:rPr>
              <w:t>Graf č. 4 Příspěvky dílčích odvětví k meziroční změně průmyslové produkce v ČR</w:t>
            </w:r>
            <w:r w:rsidRPr="00EE0E68">
              <w:rPr>
                <w:color w:val="0D0D0D" w:themeColor="text1" w:themeTint="F2"/>
              </w:rPr>
              <w:t xml:space="preserve"> (očištěno o kalendářní vlivy, reálně, v p. b.) </w:t>
            </w:r>
            <w:r w:rsidRPr="00EE0E68">
              <w:rPr>
                <w:b/>
                <w:color w:val="0D0D0D" w:themeColor="text1" w:themeTint="F2"/>
              </w:rPr>
              <w:t>a produkce v celém průmyslu v ČR, Německu a EU27</w:t>
            </w:r>
            <w:r w:rsidRPr="00EE0E68">
              <w:rPr>
                <w:i/>
                <w:color w:val="0D0D0D" w:themeColor="text1" w:themeTint="F2"/>
              </w:rPr>
              <w:t xml:space="preserve"> </w:t>
            </w:r>
            <w:r w:rsidRPr="00EE0E68">
              <w:rPr>
                <w:color w:val="0D0D0D" w:themeColor="text1" w:themeTint="F2"/>
              </w:rPr>
              <w:t>(sezónně očištěno, úroveň roku 2021=100, pravá osa)</w:t>
            </w:r>
          </w:p>
        </w:tc>
      </w:tr>
      <w:tr w:rsidR="004C456F" w:rsidRPr="0067514E" w14:paraId="175F331C" w14:textId="77777777" w:rsidTr="004C456F">
        <w:tblPrEx>
          <w:tblCellMar>
            <w:left w:w="70" w:type="dxa"/>
            <w:right w:w="70" w:type="dxa"/>
          </w:tblCellMar>
        </w:tblPrEx>
        <w:trPr>
          <w:trHeight w:val="145"/>
        </w:trPr>
        <w:tc>
          <w:tcPr>
            <w:tcW w:w="1737" w:type="dxa"/>
            <w:shd w:val="clear" w:color="auto" w:fill="auto"/>
          </w:tcPr>
          <w:p w14:paraId="5B5A8E24" w14:textId="77777777" w:rsidR="004C456F" w:rsidRPr="00EE0E68" w:rsidRDefault="004C456F" w:rsidP="004C456F">
            <w:pPr>
              <w:pStyle w:val="Marginlie"/>
              <w:spacing w:after="240"/>
              <w:rPr>
                <w:color w:val="0D0D0D" w:themeColor="text1" w:themeTint="F2"/>
                <w:spacing w:val="0"/>
              </w:rPr>
            </w:pPr>
          </w:p>
        </w:tc>
        <w:tc>
          <w:tcPr>
            <w:tcW w:w="179" w:type="dxa"/>
            <w:shd w:val="clear" w:color="auto" w:fill="auto"/>
          </w:tcPr>
          <w:p w14:paraId="3C0BE0E8" w14:textId="77777777" w:rsidR="004C456F" w:rsidRPr="00EE0E68" w:rsidRDefault="004C456F" w:rsidP="004C456F">
            <w:pPr>
              <w:pStyle w:val="Textpoznpodarou"/>
              <w:spacing w:after="240"/>
              <w:jc w:val="both"/>
            </w:pPr>
          </w:p>
        </w:tc>
        <w:tc>
          <w:tcPr>
            <w:tcW w:w="7730" w:type="dxa"/>
            <w:shd w:val="clear" w:color="auto" w:fill="auto"/>
          </w:tcPr>
          <w:p w14:paraId="2EC003D1" w14:textId="77777777" w:rsidR="004C456F" w:rsidRPr="00EE0E68" w:rsidRDefault="004C456F" w:rsidP="004C456F">
            <w:pPr>
              <w:spacing w:before="40" w:after="40"/>
              <w:rPr>
                <w:color w:val="0D0D0D" w:themeColor="text1" w:themeTint="F2"/>
              </w:rPr>
            </w:pPr>
            <w:r w:rsidRPr="00EE0E68">
              <w:rPr>
                <w:noProof/>
              </w:rPr>
              <w:drawing>
                <wp:inline distT="0" distB="0" distL="0" distR="0" wp14:anchorId="3A124D5D" wp14:editId="6B2EC877">
                  <wp:extent cx="4754880" cy="3606800"/>
                  <wp:effectExtent l="0" t="0" r="7620" b="0"/>
                  <wp:docPr id="16" name="Graf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6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4C456F" w:rsidRPr="00E52D45" w14:paraId="7F501502" w14:textId="77777777" w:rsidTr="004C456F">
        <w:trPr>
          <w:trHeight w:val="145"/>
        </w:trPr>
        <w:tc>
          <w:tcPr>
            <w:tcW w:w="1737" w:type="dxa"/>
            <w:shd w:val="clear" w:color="auto" w:fill="auto"/>
            <w:tcMar>
              <w:left w:w="0" w:type="dxa"/>
            </w:tcMar>
          </w:tcPr>
          <w:p w14:paraId="3A3865E8" w14:textId="77777777" w:rsidR="004C456F" w:rsidRPr="00EE0E68" w:rsidRDefault="004C456F" w:rsidP="004C456F">
            <w:pPr>
              <w:pStyle w:val="Marginlie"/>
              <w:spacing w:after="240"/>
              <w:rPr>
                <w:color w:val="0D0D0D" w:themeColor="text1" w:themeTint="F2"/>
                <w:spacing w:val="0"/>
              </w:rPr>
            </w:pPr>
          </w:p>
        </w:tc>
        <w:tc>
          <w:tcPr>
            <w:tcW w:w="179" w:type="dxa"/>
            <w:shd w:val="clear" w:color="auto" w:fill="auto"/>
            <w:tcMar>
              <w:left w:w="0" w:type="dxa"/>
            </w:tcMar>
          </w:tcPr>
          <w:p w14:paraId="20AA399E" w14:textId="77777777" w:rsidR="004C456F" w:rsidRPr="00EE0E68" w:rsidRDefault="004C456F" w:rsidP="004C456F">
            <w:pPr>
              <w:pStyle w:val="Textpoznpodarou"/>
              <w:spacing w:after="240"/>
              <w:jc w:val="both"/>
            </w:pPr>
          </w:p>
        </w:tc>
        <w:tc>
          <w:tcPr>
            <w:tcW w:w="7730" w:type="dxa"/>
            <w:shd w:val="clear" w:color="auto" w:fill="auto"/>
            <w:tcMar>
              <w:left w:w="0" w:type="dxa"/>
            </w:tcMar>
          </w:tcPr>
          <w:p w14:paraId="3D712F0D" w14:textId="77777777" w:rsidR="004C456F" w:rsidRPr="00EE0E68" w:rsidRDefault="004C456F" w:rsidP="004C456F">
            <w:pPr>
              <w:spacing w:after="0"/>
              <w:rPr>
                <w:color w:val="0D0D0D" w:themeColor="text1" w:themeTint="F2"/>
                <w:sz w:val="14"/>
                <w:szCs w:val="14"/>
              </w:rPr>
            </w:pPr>
            <w:r w:rsidRPr="00EE0E68">
              <w:rPr>
                <w:color w:val="0D0D0D" w:themeColor="text1" w:themeTint="F2"/>
                <w:sz w:val="14"/>
                <w:szCs w:val="14"/>
              </w:rPr>
              <w:t>*Příspěvek zbývajícího zpracovatelského průmyslu zahrnuje i vliv celkové metodické diskrepance pramenící ze změny vah.</w:t>
            </w:r>
          </w:p>
          <w:p w14:paraId="3A26D898" w14:textId="77777777" w:rsidR="004C456F" w:rsidRPr="00EE0E68" w:rsidRDefault="004C456F" w:rsidP="004C456F">
            <w:pPr>
              <w:spacing w:after="200"/>
              <w:jc w:val="right"/>
              <w:rPr>
                <w:color w:val="0D0D0D" w:themeColor="text1" w:themeTint="F2"/>
              </w:rPr>
            </w:pPr>
            <w:r w:rsidRPr="00EE0E68">
              <w:rPr>
                <w:color w:val="0D0D0D" w:themeColor="text1" w:themeTint="F2"/>
                <w:sz w:val="14"/>
                <w:szCs w:val="14"/>
              </w:rPr>
              <w:t>Zdroj: ČSÚ, Eurostat</w:t>
            </w:r>
          </w:p>
        </w:tc>
      </w:tr>
      <w:tr w:rsidR="00EE0E68" w:rsidRPr="009658AC" w14:paraId="3F8E18E4" w14:textId="77777777" w:rsidTr="004C456F">
        <w:trPr>
          <w:trHeight w:val="145"/>
        </w:trPr>
        <w:tc>
          <w:tcPr>
            <w:tcW w:w="1737" w:type="dxa"/>
            <w:shd w:val="clear" w:color="auto" w:fill="auto"/>
            <w:tcMar>
              <w:left w:w="0" w:type="dxa"/>
            </w:tcMar>
          </w:tcPr>
          <w:p w14:paraId="350FD2B1" w14:textId="523DA11C" w:rsidR="00EE0E68" w:rsidRPr="00EE0E68" w:rsidRDefault="00EE0E68" w:rsidP="00EE0E68">
            <w:pPr>
              <w:pStyle w:val="Marginlie"/>
              <w:spacing w:after="240"/>
              <w:rPr>
                <w:color w:val="000000" w:themeColor="text1"/>
                <w:spacing w:val="0"/>
              </w:rPr>
            </w:pPr>
            <w:r w:rsidRPr="00EE0E68">
              <w:rPr>
                <w:color w:val="000000" w:themeColor="text1"/>
                <w:spacing w:val="0"/>
              </w:rPr>
              <w:t>Meziroční pokles produkce v automobilovém průmyslu pokračoval třetí pololetí v řadě. Letos na jaře se ale zahraniční odbyt zlepšil. K oživení poptávky došlo také v segmentu elektrických vozidel.</w:t>
            </w:r>
          </w:p>
        </w:tc>
        <w:tc>
          <w:tcPr>
            <w:tcW w:w="179" w:type="dxa"/>
            <w:shd w:val="clear" w:color="auto" w:fill="auto"/>
            <w:tcMar>
              <w:left w:w="0" w:type="dxa"/>
            </w:tcMar>
          </w:tcPr>
          <w:p w14:paraId="3B12A8F1" w14:textId="77777777" w:rsidR="00EE0E68" w:rsidRPr="00EE0E68" w:rsidRDefault="00EE0E68" w:rsidP="00EE0E68">
            <w:pPr>
              <w:pStyle w:val="Textpoznpodarou"/>
              <w:spacing w:after="240"/>
              <w:jc w:val="both"/>
              <w:rPr>
                <w:color w:val="000000" w:themeColor="text1"/>
              </w:rPr>
            </w:pPr>
          </w:p>
        </w:tc>
        <w:tc>
          <w:tcPr>
            <w:tcW w:w="7730" w:type="dxa"/>
            <w:shd w:val="clear" w:color="auto" w:fill="auto"/>
            <w:tcMar>
              <w:left w:w="0" w:type="dxa"/>
            </w:tcMar>
          </w:tcPr>
          <w:p w14:paraId="55E7FAD1" w14:textId="215A82A5" w:rsidR="00EE0E68" w:rsidRPr="00EE0E68" w:rsidRDefault="00EE0E68" w:rsidP="00EE0E68">
            <w:pPr>
              <w:spacing w:after="0"/>
              <w:rPr>
                <w:color w:val="000000" w:themeColor="text1"/>
              </w:rPr>
            </w:pPr>
            <w:r w:rsidRPr="00EE0E68">
              <w:rPr>
                <w:color w:val="000000" w:themeColor="text1"/>
              </w:rPr>
              <w:t>Růst výkonu průmyslu v 1. pololetí brzdily především některé významné investičně zaměřené obory. Ve výrobě dopravních prostředků se produkce snížila o 0,6 % a</w:t>
            </w:r>
            <w:r>
              <w:rPr>
                <w:color w:val="000000" w:themeColor="text1"/>
              </w:rPr>
              <w:t> </w:t>
            </w:r>
            <w:r w:rsidRPr="00EE0E68">
              <w:rPr>
                <w:color w:val="000000" w:themeColor="text1"/>
              </w:rPr>
              <w:t xml:space="preserve">meziročně tak klesla třetí pololetí v řadě. Zatímco loňská </w:t>
            </w:r>
            <w:r w:rsidRPr="00EE0E68">
              <w:rPr>
                <w:color w:val="0D0D0D" w:themeColor="text1" w:themeTint="F2"/>
              </w:rPr>
              <w:t>prohlubující se recese tohoto oboru souvisela se zhoršenou situací přímých tuzemských subdodavatelů autodílů (působících v rámci odvětví automobilového průmyslu), letos se na ní podíleli i samotní finální výrobci vozidel</w:t>
            </w:r>
            <w:r w:rsidRPr="00EE0E68">
              <w:rPr>
                <w:rStyle w:val="Znakapoznpodarou"/>
                <w:color w:val="0D0D0D" w:themeColor="text1" w:themeTint="F2"/>
              </w:rPr>
              <w:footnoteReference w:id="13"/>
            </w:r>
            <w:r w:rsidRPr="00EE0E68">
              <w:rPr>
                <w:color w:val="0D0D0D" w:themeColor="text1" w:themeTint="F2"/>
              </w:rPr>
              <w:t>. Situace se zde ale během 2. čtvrtletí zlepšovala, neboť posílil odbyt vozidel v zahraničí. To se projevilo jak na růstu produkce v červnu (+3,9 %), tak i</w:t>
            </w:r>
            <w:r>
              <w:rPr>
                <w:color w:val="0D0D0D" w:themeColor="text1" w:themeTint="F2"/>
              </w:rPr>
              <w:t> </w:t>
            </w:r>
            <w:r w:rsidRPr="00EE0E68">
              <w:rPr>
                <w:color w:val="0D0D0D" w:themeColor="text1" w:themeTint="F2"/>
              </w:rPr>
              <w:t xml:space="preserve">na </w:t>
            </w:r>
            <w:r w:rsidRPr="00EE0E68">
              <w:rPr>
                <w:color w:val="000000" w:themeColor="text1"/>
              </w:rPr>
              <w:t xml:space="preserve">růstu využití výrobních kapacit podniků na počátku 3. čtvrtletí. V investičně zaměřeném oboru výroby počítačů, elektronických a optických přístrojů, vyznačujícím se vysokou dovozní náročností a současně i výrazně proexportním zaměřením, se po příznivém vývoji v předchozích letech letos produkce </w:t>
            </w:r>
            <w:r w:rsidRPr="00EE0E68">
              <w:rPr>
                <w:color w:val="0D0D0D" w:themeColor="text1" w:themeTint="F2"/>
              </w:rPr>
              <w:t>snížila (o −3,7 %). Efekt slábnoucí zahraniční poptávky v tomto oboru zastínil příznivější vývoj domácí poptávky související s pokračujícím rozvojem fotovoltaiky. Ve váhově významném oboru strojírenství se po krátkodobém oživení na počátku letošního roku produkce opět snížila (za celé 1. pololetí o 1,3 %). Výše uvedené investiční obory tak souhrnně letos působily proti růstu celého průmyslu silou 0,3 p. b.</w:t>
            </w:r>
          </w:p>
        </w:tc>
      </w:tr>
      <w:tr w:rsidR="00EE0E68" w:rsidRPr="009658AC" w14:paraId="76405F04" w14:textId="77777777" w:rsidTr="004C456F">
        <w:trPr>
          <w:trHeight w:val="145"/>
        </w:trPr>
        <w:tc>
          <w:tcPr>
            <w:tcW w:w="1737" w:type="dxa"/>
            <w:shd w:val="clear" w:color="auto" w:fill="auto"/>
            <w:tcMar>
              <w:left w:w="0" w:type="dxa"/>
            </w:tcMar>
          </w:tcPr>
          <w:p w14:paraId="3E42ED1B" w14:textId="77777777" w:rsidR="00EE0E68" w:rsidRPr="00EE0E68" w:rsidRDefault="00EE0E68" w:rsidP="00EE0E68">
            <w:pPr>
              <w:pStyle w:val="Marginlie"/>
              <w:spacing w:after="240"/>
              <w:rPr>
                <w:color w:val="000000" w:themeColor="text1"/>
                <w:spacing w:val="0"/>
              </w:rPr>
            </w:pPr>
            <w:r w:rsidRPr="00EE0E68">
              <w:rPr>
                <w:color w:val="000000" w:themeColor="text1"/>
                <w:spacing w:val="0"/>
              </w:rPr>
              <w:lastRenderedPageBreak/>
              <w:t>Pokles produkce chemického průmyslu souvisí hlavně se slabší poptávkou a útlumem některých energeticky náročných, aktuálně málo rentabilních výrob.</w:t>
            </w:r>
          </w:p>
        </w:tc>
        <w:tc>
          <w:tcPr>
            <w:tcW w:w="179" w:type="dxa"/>
            <w:shd w:val="clear" w:color="auto" w:fill="auto"/>
            <w:tcMar>
              <w:left w:w="0" w:type="dxa"/>
            </w:tcMar>
          </w:tcPr>
          <w:p w14:paraId="288EF68F" w14:textId="77777777" w:rsidR="00EE0E68" w:rsidRPr="00EE0E68" w:rsidRDefault="00EE0E68" w:rsidP="00EE0E68">
            <w:pPr>
              <w:pStyle w:val="Textpoznpodarou"/>
              <w:spacing w:after="240"/>
              <w:jc w:val="both"/>
              <w:rPr>
                <w:color w:val="000000" w:themeColor="text1"/>
              </w:rPr>
            </w:pPr>
          </w:p>
        </w:tc>
        <w:tc>
          <w:tcPr>
            <w:tcW w:w="7730" w:type="dxa"/>
            <w:shd w:val="clear" w:color="auto" w:fill="auto"/>
            <w:tcMar>
              <w:left w:w="0" w:type="dxa"/>
            </w:tcMar>
          </w:tcPr>
          <w:p w14:paraId="0F9585F2" w14:textId="6E2DAD1E" w:rsidR="00EE0E68" w:rsidRPr="00EE0E68" w:rsidRDefault="00EE0E68" w:rsidP="00EE0E68">
            <w:pPr>
              <w:spacing w:after="200"/>
              <w:rPr>
                <w:color w:val="000000" w:themeColor="text1"/>
              </w:rPr>
            </w:pPr>
            <w:r w:rsidRPr="00EE0E68">
              <w:rPr>
                <w:color w:val="000000" w:themeColor="text1"/>
              </w:rPr>
              <w:t>S hlubšími problémy se stále potýkaly některé vesměs energeticky náročné obory vyrábějící meziprodukty. Šlo především o chemický průmysl, kde</w:t>
            </w:r>
            <w:r w:rsidRPr="00EE0E68">
              <w:rPr>
                <w:color w:val="0D0D0D" w:themeColor="text1" w:themeTint="F2"/>
              </w:rPr>
              <w:t xml:space="preserve"> se po dočasné stabilizaci v loňském roce v 1. pololetí 2025 výkon opět snížil (−3,2 % meziročně), což souviselo se slabší domácí i zahraniční poptávkou. Z</w:t>
            </w:r>
            <w:r w:rsidRPr="00EE0E68">
              <w:rPr>
                <w:color w:val="000000" w:themeColor="text1"/>
              </w:rPr>
              <w:t xml:space="preserve">a nižší produkcí stálo i postupné snižování výrobních kapacit spojené s útlumem některých dříve tradičních výrob. </w:t>
            </w:r>
            <w:r w:rsidRPr="00EE0E68">
              <w:rPr>
                <w:color w:val="0D0D0D" w:themeColor="text1" w:themeTint="F2"/>
              </w:rPr>
              <w:t>Podobným tempem se snížil výkon v textilním průmyslu (již třetí rok v řadě), jehož klíčovou část tvoří výroba umělých textilií k užití v průmyslu i stavebnictví. Pokračoval i</w:t>
            </w:r>
            <w:r>
              <w:rPr>
                <w:color w:val="0D0D0D" w:themeColor="text1" w:themeTint="F2"/>
              </w:rPr>
              <w:t> </w:t>
            </w:r>
            <w:r w:rsidRPr="00EE0E68">
              <w:rPr>
                <w:color w:val="0D0D0D" w:themeColor="text1" w:themeTint="F2"/>
              </w:rPr>
              <w:t>hlubší pokles produkce v těžbě stavebních materiálů (−8,9 %), naopak v hlavním segmentu těžebního průmyslu – dobývání uhlí – se pokles patrně dočasně zastavil (+5,7</w:t>
            </w:r>
            <w:r>
              <w:rPr>
                <w:color w:val="0D0D0D" w:themeColor="text1" w:themeTint="F2"/>
              </w:rPr>
              <w:t> </w:t>
            </w:r>
            <w:r w:rsidRPr="00EE0E68">
              <w:rPr>
                <w:color w:val="0D0D0D" w:themeColor="text1" w:themeTint="F2"/>
              </w:rPr>
              <w:t>%), především vlivem nízké loňské základny.</w:t>
            </w:r>
          </w:p>
        </w:tc>
      </w:tr>
      <w:tr w:rsidR="00EE0E68" w:rsidRPr="009658AC" w14:paraId="782DB5C6" w14:textId="77777777" w:rsidTr="004C456F">
        <w:trPr>
          <w:trHeight w:val="145"/>
        </w:trPr>
        <w:tc>
          <w:tcPr>
            <w:tcW w:w="1737" w:type="dxa"/>
            <w:shd w:val="clear" w:color="auto" w:fill="auto"/>
            <w:tcMar>
              <w:left w:w="0" w:type="dxa"/>
            </w:tcMar>
          </w:tcPr>
          <w:p w14:paraId="1E8A0EF2" w14:textId="77777777" w:rsidR="00EE0E68" w:rsidRPr="00EE0E68" w:rsidRDefault="00EE0E68" w:rsidP="00EE0E68">
            <w:pPr>
              <w:pStyle w:val="Marginlie"/>
              <w:spacing w:after="240"/>
              <w:rPr>
                <w:color w:val="000000" w:themeColor="text1"/>
                <w:spacing w:val="0"/>
              </w:rPr>
            </w:pPr>
            <w:r w:rsidRPr="00EE0E68">
              <w:rPr>
                <w:color w:val="000000" w:themeColor="text1"/>
                <w:spacing w:val="0"/>
              </w:rPr>
              <w:t xml:space="preserve">Největší útlum produkce postihl drobné odvětví obuvnického </w:t>
            </w:r>
            <w:r w:rsidRPr="00EE0E68">
              <w:rPr>
                <w:color w:val="000000" w:themeColor="text1"/>
                <w:spacing w:val="0"/>
              </w:rPr>
              <w:br/>
              <w:t>a kožedělného průmyslu. Nedařilo se ani oděvnictví.</w:t>
            </w:r>
          </w:p>
        </w:tc>
        <w:tc>
          <w:tcPr>
            <w:tcW w:w="179" w:type="dxa"/>
            <w:shd w:val="clear" w:color="auto" w:fill="auto"/>
            <w:tcMar>
              <w:left w:w="0" w:type="dxa"/>
            </w:tcMar>
          </w:tcPr>
          <w:p w14:paraId="316C225F" w14:textId="77777777" w:rsidR="00EE0E68" w:rsidRPr="00EE0E68" w:rsidRDefault="00EE0E68" w:rsidP="00EE0E68">
            <w:pPr>
              <w:pStyle w:val="Textpoznpodarou"/>
              <w:spacing w:after="240"/>
              <w:jc w:val="both"/>
              <w:rPr>
                <w:color w:val="000000" w:themeColor="text1"/>
              </w:rPr>
            </w:pPr>
          </w:p>
        </w:tc>
        <w:tc>
          <w:tcPr>
            <w:tcW w:w="7730" w:type="dxa"/>
            <w:shd w:val="clear" w:color="auto" w:fill="auto"/>
            <w:tcMar>
              <w:left w:w="0" w:type="dxa"/>
            </w:tcMar>
          </w:tcPr>
          <w:p w14:paraId="1C6F62CB" w14:textId="77777777" w:rsidR="00EE0E68" w:rsidRPr="00EE0E68" w:rsidRDefault="00EE0E68" w:rsidP="00EE0E68">
            <w:pPr>
              <w:spacing w:after="200"/>
              <w:rPr>
                <w:color w:val="000000" w:themeColor="text1"/>
              </w:rPr>
            </w:pPr>
            <w:r w:rsidRPr="00EE0E68">
              <w:rPr>
                <w:color w:val="000000" w:themeColor="text1"/>
              </w:rPr>
              <w:t>Téměř ve všech malých oborech zaměřených na tvorbu produktů krátkodobé spotřeby loňský růst již letos nepokračoval. Největší propad přitom postihl kožedělný a obuvnický průmysl (</w:t>
            </w:r>
            <w:r w:rsidRPr="00EE0E68">
              <w:rPr>
                <w:color w:val="0D0D0D" w:themeColor="text1" w:themeTint="F2"/>
              </w:rPr>
              <w:t>−</w:t>
            </w:r>
            <w:r w:rsidRPr="00EE0E68">
              <w:rPr>
                <w:color w:val="000000" w:themeColor="text1"/>
              </w:rPr>
              <w:t>14,7 %), a to výhradně vlivem výpadku zahraniční poptávky. Stejný faktor stál za citelným úbytkem produkce oděvnictví (</w:t>
            </w:r>
            <w:r w:rsidRPr="00EE0E68">
              <w:rPr>
                <w:color w:val="0D0D0D" w:themeColor="text1" w:themeTint="F2"/>
              </w:rPr>
              <w:t>−</w:t>
            </w:r>
            <w:r w:rsidRPr="00EE0E68">
              <w:rPr>
                <w:color w:val="000000" w:themeColor="text1"/>
              </w:rPr>
              <w:t>9,6 %), nejvyšším od propuknutí pandemie covidu-19. Řádově méně klesl výkon výrobců nápojů. Slabší dynamika vývozů zde zastínila příznivěji se vyvíjecí domácí poptávku, poháněnou pokračujícím rozvojem příjezdového cestovního ruchu. Ve výrazně exportně orientovaném farmaceutickém průmyslu se v 1. pololetí produkce meziročně snížila jen o rovná 3 %, šlo ale o první pololetní pokles od konce roku 2014. Naopak vlivem slabší poptávky z tuzemska klesl letos výkon tiskárenského průmyslu (</w:t>
            </w:r>
            <w:r w:rsidRPr="00EE0E68">
              <w:rPr>
                <w:color w:val="0D0D0D" w:themeColor="text1" w:themeTint="F2"/>
              </w:rPr>
              <w:t>−</w:t>
            </w:r>
            <w:r w:rsidRPr="00EE0E68">
              <w:rPr>
                <w:color w:val="000000" w:themeColor="text1"/>
              </w:rPr>
              <w:t xml:space="preserve">6,3 %). </w:t>
            </w:r>
          </w:p>
        </w:tc>
      </w:tr>
      <w:tr w:rsidR="00EE0E68" w:rsidRPr="00705C3E" w14:paraId="1C3D3F49" w14:textId="77777777" w:rsidTr="004C456F">
        <w:trPr>
          <w:trHeight w:val="145"/>
        </w:trPr>
        <w:tc>
          <w:tcPr>
            <w:tcW w:w="1737" w:type="dxa"/>
            <w:shd w:val="clear" w:color="auto" w:fill="auto"/>
            <w:tcMar>
              <w:left w:w="0" w:type="dxa"/>
            </w:tcMar>
          </w:tcPr>
          <w:p w14:paraId="4BE29B89" w14:textId="77777777" w:rsidR="00EE0E68" w:rsidRPr="00EE0E68" w:rsidRDefault="00EE0E68" w:rsidP="00EE0E68">
            <w:pPr>
              <w:pStyle w:val="Marginlie"/>
              <w:spacing w:after="240"/>
              <w:rPr>
                <w:color w:val="0D0D0D" w:themeColor="text1" w:themeTint="F2"/>
                <w:spacing w:val="0"/>
              </w:rPr>
            </w:pPr>
          </w:p>
        </w:tc>
        <w:tc>
          <w:tcPr>
            <w:tcW w:w="179" w:type="dxa"/>
            <w:shd w:val="clear" w:color="auto" w:fill="auto"/>
            <w:tcMar>
              <w:left w:w="0" w:type="dxa"/>
            </w:tcMar>
          </w:tcPr>
          <w:p w14:paraId="4F75B208" w14:textId="77777777" w:rsidR="00EE0E68" w:rsidRPr="00EE0E68" w:rsidRDefault="00EE0E68" w:rsidP="00EE0E68">
            <w:pPr>
              <w:pStyle w:val="Textpoznpodarou"/>
              <w:spacing w:after="240"/>
              <w:jc w:val="both"/>
            </w:pPr>
          </w:p>
        </w:tc>
        <w:tc>
          <w:tcPr>
            <w:tcW w:w="7730" w:type="dxa"/>
            <w:shd w:val="clear" w:color="auto" w:fill="auto"/>
            <w:tcMar>
              <w:left w:w="0" w:type="dxa"/>
            </w:tcMar>
          </w:tcPr>
          <w:p w14:paraId="713BBFE2" w14:textId="77777777" w:rsidR="00EE0E68" w:rsidRPr="00EE0E68" w:rsidRDefault="00EE0E68" w:rsidP="00EE0E68">
            <w:pPr>
              <w:spacing w:after="40"/>
              <w:rPr>
                <w:color w:val="0D0D0D" w:themeColor="text1" w:themeTint="F2"/>
              </w:rPr>
            </w:pPr>
            <w:r w:rsidRPr="00EE0E68">
              <w:rPr>
                <w:b/>
                <w:color w:val="0D0D0D" w:themeColor="text1" w:themeTint="F2"/>
              </w:rPr>
              <w:t>Graf č. 5 Nové zakázky v průmyslu</w:t>
            </w:r>
            <w:r w:rsidRPr="00EE0E68">
              <w:rPr>
                <w:color w:val="0D0D0D" w:themeColor="text1" w:themeTint="F2"/>
              </w:rPr>
              <w:t xml:space="preserve"> (nominálně, meziročně, v %)</w:t>
            </w:r>
            <w:r w:rsidRPr="00EE0E68">
              <w:rPr>
                <w:b/>
                <w:color w:val="0D0D0D" w:themeColor="text1" w:themeTint="F2"/>
              </w:rPr>
              <w:t>, využití výrobních kapacit v průmyslu, vybrané bariéry růstu*</w:t>
            </w:r>
            <w:r w:rsidRPr="00EE0E68">
              <w:rPr>
                <w:color w:val="0D0D0D" w:themeColor="text1" w:themeTint="F2"/>
              </w:rPr>
              <w:t xml:space="preserve"> (v %, pravá osa) </w:t>
            </w:r>
            <w:r w:rsidRPr="00EE0E68">
              <w:rPr>
                <w:b/>
                <w:color w:val="0D0D0D" w:themeColor="text1" w:themeTint="F2"/>
              </w:rPr>
              <w:t>a saldo důvěry podnikatelů v průmyslu*</w:t>
            </w:r>
            <w:r w:rsidRPr="00EE0E68">
              <w:rPr>
                <w:color w:val="0D0D0D" w:themeColor="text1" w:themeTint="F2"/>
              </w:rPr>
              <w:t xml:space="preserve"> (v p. b., pravá osa)</w:t>
            </w:r>
          </w:p>
        </w:tc>
      </w:tr>
      <w:tr w:rsidR="00EE0E68" w:rsidRPr="00705C3E" w14:paraId="416C0A28" w14:textId="77777777" w:rsidTr="004C456F">
        <w:tblPrEx>
          <w:tblCellMar>
            <w:left w:w="70" w:type="dxa"/>
            <w:right w:w="70" w:type="dxa"/>
          </w:tblCellMar>
        </w:tblPrEx>
        <w:trPr>
          <w:trHeight w:val="145"/>
        </w:trPr>
        <w:tc>
          <w:tcPr>
            <w:tcW w:w="1737" w:type="dxa"/>
            <w:shd w:val="clear" w:color="auto" w:fill="auto"/>
          </w:tcPr>
          <w:p w14:paraId="74B1827F" w14:textId="77777777" w:rsidR="00EE0E68" w:rsidRPr="00EE0E68" w:rsidRDefault="00EE0E68" w:rsidP="00EE0E68">
            <w:pPr>
              <w:pStyle w:val="Marginlie"/>
              <w:spacing w:after="240"/>
              <w:rPr>
                <w:color w:val="0D0D0D" w:themeColor="text1" w:themeTint="F2"/>
                <w:spacing w:val="0"/>
              </w:rPr>
            </w:pPr>
          </w:p>
        </w:tc>
        <w:tc>
          <w:tcPr>
            <w:tcW w:w="179" w:type="dxa"/>
            <w:shd w:val="clear" w:color="auto" w:fill="auto"/>
          </w:tcPr>
          <w:p w14:paraId="58E83E11" w14:textId="77777777" w:rsidR="00EE0E68" w:rsidRPr="00EE0E68" w:rsidRDefault="00EE0E68" w:rsidP="00EE0E68">
            <w:pPr>
              <w:pStyle w:val="Textpoznpodarou"/>
              <w:spacing w:after="240"/>
              <w:jc w:val="both"/>
            </w:pPr>
          </w:p>
        </w:tc>
        <w:tc>
          <w:tcPr>
            <w:tcW w:w="7730" w:type="dxa"/>
            <w:shd w:val="clear" w:color="auto" w:fill="auto"/>
          </w:tcPr>
          <w:p w14:paraId="60A1FCCC" w14:textId="77777777" w:rsidR="00EE0E68" w:rsidRPr="00EE0E68" w:rsidRDefault="00EE0E68" w:rsidP="00EE0E68">
            <w:pPr>
              <w:spacing w:before="40" w:after="40"/>
              <w:rPr>
                <w:color w:val="0D0D0D" w:themeColor="text1" w:themeTint="F2"/>
              </w:rPr>
            </w:pPr>
            <w:r w:rsidRPr="00EE0E68">
              <w:rPr>
                <w:noProof/>
              </w:rPr>
              <w:drawing>
                <wp:inline distT="0" distB="0" distL="0" distR="0" wp14:anchorId="7CCD7BB5" wp14:editId="720FBFF8">
                  <wp:extent cx="4747565" cy="3636645"/>
                  <wp:effectExtent l="0" t="0" r="0" b="1905"/>
                  <wp:docPr id="24" name="Graf 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7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EE0E68" w:rsidRPr="00705C3E" w14:paraId="04C8EFC1" w14:textId="77777777" w:rsidTr="004C456F">
        <w:trPr>
          <w:trHeight w:val="145"/>
        </w:trPr>
        <w:tc>
          <w:tcPr>
            <w:tcW w:w="1737" w:type="dxa"/>
            <w:shd w:val="clear" w:color="auto" w:fill="auto"/>
            <w:tcMar>
              <w:left w:w="0" w:type="dxa"/>
            </w:tcMar>
          </w:tcPr>
          <w:p w14:paraId="68CE7785" w14:textId="77777777" w:rsidR="00EE0E68" w:rsidRPr="00EE0E68" w:rsidRDefault="00EE0E68" w:rsidP="00EE0E68">
            <w:pPr>
              <w:pStyle w:val="Marginlie"/>
              <w:spacing w:after="240"/>
              <w:rPr>
                <w:color w:val="0D0D0D" w:themeColor="text1" w:themeTint="F2"/>
                <w:spacing w:val="0"/>
              </w:rPr>
            </w:pPr>
          </w:p>
        </w:tc>
        <w:tc>
          <w:tcPr>
            <w:tcW w:w="179" w:type="dxa"/>
            <w:shd w:val="clear" w:color="auto" w:fill="auto"/>
            <w:tcMar>
              <w:left w:w="0" w:type="dxa"/>
            </w:tcMar>
          </w:tcPr>
          <w:p w14:paraId="53CC2519" w14:textId="77777777" w:rsidR="00EE0E68" w:rsidRPr="00EE0E68" w:rsidRDefault="00EE0E68" w:rsidP="00EE0E68">
            <w:pPr>
              <w:pStyle w:val="Textpoznpodarou"/>
              <w:spacing w:after="240"/>
              <w:jc w:val="both"/>
            </w:pPr>
          </w:p>
        </w:tc>
        <w:tc>
          <w:tcPr>
            <w:tcW w:w="7730" w:type="dxa"/>
            <w:shd w:val="clear" w:color="auto" w:fill="auto"/>
            <w:tcMar>
              <w:left w:w="0" w:type="dxa"/>
            </w:tcMar>
          </w:tcPr>
          <w:p w14:paraId="59B80C9E" w14:textId="77777777" w:rsidR="00EE0E68" w:rsidRPr="00EE0E68" w:rsidRDefault="00EE0E68" w:rsidP="00EE0E68">
            <w:pPr>
              <w:spacing w:after="200"/>
              <w:jc w:val="left"/>
              <w:rPr>
                <w:color w:val="0D0D0D" w:themeColor="text1" w:themeTint="F2"/>
                <w:sz w:val="14"/>
                <w:szCs w:val="14"/>
              </w:rPr>
            </w:pPr>
            <w:r w:rsidRPr="00EE0E68">
              <w:rPr>
                <w:color w:val="0D0D0D" w:themeColor="text1" w:themeTint="F2"/>
                <w:sz w:val="14"/>
                <w:szCs w:val="14"/>
              </w:rPr>
              <w:t>*Využití průmyslových kapacit i bariéry růstu vyjadřují stav v prvním měsíci daného čtvrtletí, saldo důvěry podnikatelů je vztaženo ke druhému měsíci čtvrtletí. Zakázky jsou očištěny o kalendářní vlivy, ostatní ukazatele jsou sezónně očištěny. Podniky mohly uvést více hlavních růstových bariér současně.                                                                                                                                Zdroj: ČSÚ, Eurostat</w:t>
            </w:r>
          </w:p>
        </w:tc>
      </w:tr>
      <w:tr w:rsidR="00EE0E68" w:rsidRPr="00710F53" w14:paraId="6C6C571F" w14:textId="77777777" w:rsidTr="004C456F">
        <w:trPr>
          <w:trHeight w:val="145"/>
        </w:trPr>
        <w:tc>
          <w:tcPr>
            <w:tcW w:w="1737" w:type="dxa"/>
            <w:shd w:val="clear" w:color="auto" w:fill="auto"/>
            <w:tcMar>
              <w:left w:w="0" w:type="dxa"/>
            </w:tcMar>
          </w:tcPr>
          <w:p w14:paraId="4D104D75" w14:textId="77777777" w:rsidR="00EE0E68" w:rsidRPr="00EE0E68" w:rsidRDefault="00EE0E68" w:rsidP="00EE0E68">
            <w:pPr>
              <w:pStyle w:val="Marginlie"/>
              <w:spacing w:after="240"/>
              <w:rPr>
                <w:color w:val="0D0D0D" w:themeColor="text1" w:themeTint="F2"/>
                <w:spacing w:val="0"/>
              </w:rPr>
            </w:pPr>
            <w:r w:rsidRPr="00EE0E68">
              <w:rPr>
                <w:color w:val="0D0D0D" w:themeColor="text1" w:themeTint="F2"/>
                <w:spacing w:val="0"/>
              </w:rPr>
              <w:lastRenderedPageBreak/>
              <w:t xml:space="preserve">Hodnota nových zakázek vykázala ve 2. čtvrtletí 2025 náznak mírného oživení. Pozitivní obrat nastal v automobilovém průmyslu a návazných oborech. </w:t>
            </w:r>
          </w:p>
          <w:p w14:paraId="05785787" w14:textId="77777777" w:rsidR="00EE0E68" w:rsidRPr="00EE0E68" w:rsidRDefault="00EE0E68" w:rsidP="00EE0E68">
            <w:pPr>
              <w:pStyle w:val="Marginlie"/>
              <w:spacing w:after="240"/>
              <w:rPr>
                <w:color w:val="0D0D0D" w:themeColor="text1" w:themeTint="F2"/>
                <w:spacing w:val="0"/>
              </w:rPr>
            </w:pPr>
          </w:p>
          <w:p w14:paraId="3920A400" w14:textId="74C2773C" w:rsidR="00EE0E68" w:rsidRPr="00EE0E68" w:rsidRDefault="00EE0E68" w:rsidP="00EE0E68">
            <w:pPr>
              <w:pStyle w:val="Marginlie"/>
              <w:rPr>
                <w:color w:val="0D0D0D" w:themeColor="text1" w:themeTint="F2"/>
                <w:spacing w:val="0"/>
              </w:rPr>
            </w:pPr>
            <w:r w:rsidRPr="00EE0E68">
              <w:rPr>
                <w:color w:val="0D0D0D" w:themeColor="text1" w:themeTint="F2"/>
                <w:spacing w:val="0"/>
              </w:rPr>
              <w:t xml:space="preserve">S dlouhodobě oslabenou poptávkou se stále potýká hutnictví </w:t>
            </w:r>
            <w:r w:rsidRPr="00EE0E68">
              <w:rPr>
                <w:color w:val="0D0D0D" w:themeColor="text1" w:themeTint="F2"/>
                <w:spacing w:val="0"/>
              </w:rPr>
              <w:br/>
              <w:t>a chemický průmysl.</w:t>
            </w:r>
          </w:p>
        </w:tc>
        <w:tc>
          <w:tcPr>
            <w:tcW w:w="179" w:type="dxa"/>
            <w:shd w:val="clear" w:color="auto" w:fill="auto"/>
            <w:tcMar>
              <w:left w:w="0" w:type="dxa"/>
            </w:tcMar>
          </w:tcPr>
          <w:p w14:paraId="34407256" w14:textId="77777777" w:rsidR="00EE0E68" w:rsidRPr="00EE0E68" w:rsidRDefault="00EE0E68" w:rsidP="00EE0E68">
            <w:pPr>
              <w:pStyle w:val="Textpoznpodarou"/>
              <w:spacing w:after="240"/>
              <w:jc w:val="both"/>
              <w:rPr>
                <w:color w:val="0D0D0D" w:themeColor="text1" w:themeTint="F2"/>
              </w:rPr>
            </w:pPr>
          </w:p>
        </w:tc>
        <w:tc>
          <w:tcPr>
            <w:tcW w:w="7730" w:type="dxa"/>
            <w:shd w:val="clear" w:color="auto" w:fill="auto"/>
            <w:tcMar>
              <w:left w:w="0" w:type="dxa"/>
            </w:tcMar>
          </w:tcPr>
          <w:p w14:paraId="276F1B05" w14:textId="6365248B" w:rsidR="00EE0E68" w:rsidRPr="00EE0E68" w:rsidRDefault="00EE0E68" w:rsidP="00EE0E68">
            <w:pPr>
              <w:spacing w:after="200"/>
              <w:rPr>
                <w:color w:val="0D0D0D" w:themeColor="text1" w:themeTint="F2"/>
              </w:rPr>
            </w:pPr>
            <w:r w:rsidRPr="00EE0E68">
              <w:rPr>
                <w:color w:val="000000" w:themeColor="text1"/>
              </w:rPr>
              <w:t>Růst nominální hodnoty nových průmyslových zakázek</w:t>
            </w:r>
            <w:r w:rsidRPr="00EE0E68">
              <w:rPr>
                <w:color w:val="000000" w:themeColor="text1"/>
                <w:vertAlign w:val="superscript"/>
              </w:rPr>
              <w:footnoteReference w:id="14"/>
            </w:r>
            <w:r w:rsidRPr="00EE0E68">
              <w:rPr>
                <w:color w:val="000000" w:themeColor="text1"/>
              </w:rPr>
              <w:t xml:space="preserve"> již během druhé poloviny loňského roku zvolňoval a v 1. čtvrtletí 2025 se vinou slabší poptávky po klíčových exportních oborech zcela zastavil (−0,6 %). V následujícím kvartálu však došlo k dílčímu oživení, když celkové zakázky meziročně vzrostly o 3,1 %, převážně díky poptávce ze zahraničí. Důležité bylo, že tento obrat se týkal klíčového oboru výroby motorových vozidel (+7,0 %) i návazného oboru elektrotechniky (+7,2 %). Nejvýrazněji ovšem posílila poptávka v kovodělném průmyslu (+8,4 %, nejvíce za posledních deset kvartálů). Naopak po krátkém oživení na přelomu let 2024 a 2025 se opět snížila hodnota zakázek ve strojírenství (−3,3 %). S hlubšími problémy se potýká chemický průmysl, kde poptávka klesla v obou letošních čtvrtletích (v úhrnu o 5 %), a to jak na domácím trhu, tak i v zahraničí. Dlouhodobý, byť aktuálně již relativně mírnější pokles poptávky je pak signalizován v hutnictví a slévárenství. Mezi menšími obory postihl hlubší pokles zakázek oděvnictví (−9,8 %), naproti tomu se letos ve 2. čtvrtletí (stejně jako po celý loňský rok) zvyšovala poptávka po produktech papírenského průmyslu.</w:t>
            </w:r>
          </w:p>
        </w:tc>
      </w:tr>
      <w:tr w:rsidR="00EE0E68" w:rsidRPr="00710F53" w14:paraId="059E26AF" w14:textId="77777777" w:rsidTr="004C456F">
        <w:trPr>
          <w:trHeight w:val="145"/>
        </w:trPr>
        <w:tc>
          <w:tcPr>
            <w:tcW w:w="1737" w:type="dxa"/>
            <w:shd w:val="clear" w:color="auto" w:fill="auto"/>
            <w:tcMar>
              <w:left w:w="0" w:type="dxa"/>
            </w:tcMar>
          </w:tcPr>
          <w:p w14:paraId="346237C0" w14:textId="77777777" w:rsidR="00EE0E68" w:rsidRPr="00EE0E68" w:rsidRDefault="00EE0E68" w:rsidP="00EE0E68">
            <w:pPr>
              <w:pStyle w:val="Marginlie"/>
              <w:rPr>
                <w:color w:val="0D0D0D" w:themeColor="text1" w:themeTint="F2"/>
                <w:spacing w:val="0"/>
              </w:rPr>
            </w:pPr>
            <w:r w:rsidRPr="00EE0E68">
              <w:rPr>
                <w:color w:val="0D0D0D" w:themeColor="text1" w:themeTint="F2"/>
                <w:spacing w:val="0"/>
              </w:rPr>
              <w:t xml:space="preserve">Důvěra firem v průmyslu se letos neměnila a setrvávala v lehce negativním pásmu. Mírně pozitivní byla očekávání výroby, nikoli však zaměstnanosti. Polovinu firem stále limitovala nedostatečná poptávka. </w:t>
            </w:r>
          </w:p>
          <w:p w14:paraId="2A41A7EC" w14:textId="77777777" w:rsidR="00EE0E68" w:rsidRPr="00EE0E68" w:rsidRDefault="00EE0E68" w:rsidP="00EE0E68">
            <w:pPr>
              <w:pStyle w:val="Marginlie"/>
              <w:rPr>
                <w:color w:val="0D0D0D" w:themeColor="text1" w:themeTint="F2"/>
                <w:spacing w:val="0"/>
              </w:rPr>
            </w:pPr>
          </w:p>
        </w:tc>
        <w:tc>
          <w:tcPr>
            <w:tcW w:w="179" w:type="dxa"/>
            <w:shd w:val="clear" w:color="auto" w:fill="auto"/>
            <w:tcMar>
              <w:left w:w="0" w:type="dxa"/>
            </w:tcMar>
          </w:tcPr>
          <w:p w14:paraId="33D3E040" w14:textId="77777777" w:rsidR="00EE0E68" w:rsidRPr="00EE0E68" w:rsidRDefault="00EE0E68" w:rsidP="00EE0E68">
            <w:pPr>
              <w:pStyle w:val="Textpoznpodarou"/>
              <w:spacing w:after="240"/>
              <w:jc w:val="both"/>
              <w:rPr>
                <w:color w:val="0D0D0D" w:themeColor="text1" w:themeTint="F2"/>
              </w:rPr>
            </w:pPr>
          </w:p>
        </w:tc>
        <w:tc>
          <w:tcPr>
            <w:tcW w:w="7730" w:type="dxa"/>
            <w:shd w:val="clear" w:color="auto" w:fill="auto"/>
            <w:tcMar>
              <w:left w:w="0" w:type="dxa"/>
            </w:tcMar>
          </w:tcPr>
          <w:p w14:paraId="624ED715" w14:textId="37019203" w:rsidR="00EE0E68" w:rsidRPr="00EE0E68" w:rsidRDefault="00EE0E68" w:rsidP="00EE0E68">
            <w:pPr>
              <w:spacing w:after="200"/>
              <w:rPr>
                <w:color w:val="0D0D0D" w:themeColor="text1" w:themeTint="F2"/>
              </w:rPr>
            </w:pPr>
            <w:r w:rsidRPr="00EE0E68">
              <w:rPr>
                <w:color w:val="0D0D0D" w:themeColor="text1" w:themeTint="F2"/>
              </w:rPr>
              <w:t xml:space="preserve">Důvěra podnikatelů v průmyslu se od počátku letošního roku téměř neměnila a setrvala tak v lehce negativním pásmu (v srpnu činilo saldo −6 p. b.). </w:t>
            </w:r>
            <w:r w:rsidRPr="00EE0E68">
              <w:rPr>
                <w:rStyle w:val="normaltextrun"/>
                <w:rFonts w:eastAsia="MS Gothic" w:cs="Arial"/>
                <w:szCs w:val="20"/>
              </w:rPr>
              <w:t>Stabilně necelá pětina podniků hodnotí aktuální poptávku nepříznivě (nedostatečná poptávka je hlavní růstovou bariérou</w:t>
            </w:r>
            <w:r w:rsidRPr="00EE0E68">
              <w:rPr>
                <w:rStyle w:val="Znakapoznpodarou"/>
                <w:rFonts w:eastAsia="MS Gothic"/>
                <w:szCs w:val="20"/>
              </w:rPr>
              <w:footnoteReference w:id="15"/>
            </w:r>
            <w:r w:rsidRPr="00EE0E68">
              <w:rPr>
                <w:rStyle w:val="normaltextrun"/>
                <w:rFonts w:eastAsia="MS Gothic" w:cs="Arial"/>
                <w:szCs w:val="20"/>
              </w:rPr>
              <w:t xml:space="preserve"> v průmyslu dvanáct čtvrtletí v řadě, aktuálně s</w:t>
            </w:r>
            <w:r w:rsidRPr="00EE0E68">
              <w:rPr>
                <w:rStyle w:val="normaltextrun"/>
                <w:rFonts w:eastAsia="MS Gothic" w:cs="Arial"/>
              </w:rPr>
              <w:t xml:space="preserve">e </w:t>
            </w:r>
            <w:r w:rsidRPr="00EE0E68">
              <w:rPr>
                <w:rStyle w:val="normaltextrun"/>
                <w:rFonts w:eastAsia="MS Gothic" w:cs="Arial"/>
                <w:szCs w:val="20"/>
              </w:rPr>
              <w:t>již vyjádřilo 53 % podniků). K mírnému zlepšení dochází od letošního jara u zahraniční poptávky, kde přibývá firem s jejím kladným hodnocením (v srpnu již 14 % podniků). K</w:t>
            </w:r>
            <w:r w:rsidRPr="00EE0E68">
              <w:rPr>
                <w:rStyle w:val="normaltextrun"/>
                <w:rFonts w:eastAsia="MS Gothic" w:cs="Arial"/>
              </w:rPr>
              <w:t xml:space="preserve">rátkodobá očekávání výroby </w:t>
            </w:r>
            <w:r w:rsidRPr="00EE0E68">
              <w:rPr>
                <w:rStyle w:val="normaltextrun"/>
                <w:rFonts w:eastAsia="MS Gothic" w:cs="Arial"/>
              </w:rPr>
              <w:br/>
              <w:t>i ekonomické situace podniků byla mírně pozitivní</w:t>
            </w:r>
            <w:r w:rsidRPr="00EE0E68">
              <w:rPr>
                <w:rStyle w:val="Znakapoznpodarou"/>
                <w:rFonts w:eastAsia="MS Gothic"/>
              </w:rPr>
              <w:footnoteReference w:id="16"/>
            </w:r>
            <w:r w:rsidRPr="00EE0E68">
              <w:rPr>
                <w:rStyle w:val="normaltextrun"/>
                <w:rFonts w:eastAsia="MS Gothic" w:cs="Arial"/>
              </w:rPr>
              <w:t xml:space="preserve">. </w:t>
            </w:r>
            <w:r w:rsidRPr="00EE0E68">
              <w:rPr>
                <w:rStyle w:val="normaltextrun"/>
                <w:rFonts w:eastAsia="MS Gothic"/>
              </w:rPr>
              <w:t>Tyto předpoklady se ale zdaleka nepromítají do zaměstnanosti, kde dochází k dalšímu úbytku pracovních míst, a také ve výhledech stále převládá mírný pesimismus</w:t>
            </w:r>
            <w:r w:rsidRPr="00EE0E68">
              <w:rPr>
                <w:rStyle w:val="Znakapoznpodarou"/>
                <w:rFonts w:eastAsia="MS Gothic"/>
              </w:rPr>
              <w:footnoteReference w:id="17"/>
            </w:r>
            <w:r w:rsidRPr="00EE0E68">
              <w:rPr>
                <w:rStyle w:val="normaltextrun"/>
                <w:rFonts w:eastAsia="MS Gothic"/>
              </w:rPr>
              <w:t>. Příznivé je, že mírně roste využití výrobních kapacit firem (v červenci přesáhlo 84 % a těsně se přiblížilo úrovni z konjunkturního období let 2015 až 2019). V nedávné minulosti se rovněž utlumily výraznější periodické potíže s dostupností materiálu a výrobních zařízení. To spolu s částečným zmírněním některých nákladových tlaků v oblasti energií vyústilo ve zklidnění inflačních očekávání podniků.</w:t>
            </w:r>
          </w:p>
        </w:tc>
      </w:tr>
      <w:tr w:rsidR="00EE0E68" w:rsidRPr="00710F53" w14:paraId="6CCFDD1E" w14:textId="77777777" w:rsidTr="004C456F">
        <w:trPr>
          <w:trHeight w:val="145"/>
        </w:trPr>
        <w:tc>
          <w:tcPr>
            <w:tcW w:w="1737" w:type="dxa"/>
            <w:shd w:val="clear" w:color="auto" w:fill="auto"/>
            <w:tcMar>
              <w:left w:w="0" w:type="dxa"/>
            </w:tcMar>
          </w:tcPr>
          <w:p w14:paraId="2BA2773C" w14:textId="77777777" w:rsidR="00EE0E68" w:rsidRPr="00EE0E68" w:rsidRDefault="00EE0E68" w:rsidP="00EE0E68">
            <w:pPr>
              <w:pStyle w:val="Marginlie"/>
              <w:rPr>
                <w:color w:val="0D0D0D" w:themeColor="text1" w:themeTint="F2"/>
                <w:spacing w:val="0"/>
              </w:rPr>
            </w:pPr>
            <w:r w:rsidRPr="00EE0E68">
              <w:rPr>
                <w:color w:val="0D0D0D" w:themeColor="text1" w:themeTint="F2"/>
                <w:spacing w:val="0"/>
              </w:rPr>
              <w:t xml:space="preserve">Výrazné loňské oživení pokračovalo i na počátku letošního roku. Tempo mezikvartálního růstu produkce vystoupalo na téměř tříleté maximum. </w:t>
            </w:r>
          </w:p>
        </w:tc>
        <w:tc>
          <w:tcPr>
            <w:tcW w:w="179" w:type="dxa"/>
            <w:shd w:val="clear" w:color="auto" w:fill="auto"/>
            <w:tcMar>
              <w:left w:w="0" w:type="dxa"/>
            </w:tcMar>
          </w:tcPr>
          <w:p w14:paraId="12C51483" w14:textId="77777777" w:rsidR="00EE0E68" w:rsidRPr="00EE0E68" w:rsidRDefault="00EE0E68" w:rsidP="00EE0E68">
            <w:pPr>
              <w:pStyle w:val="Textpoznpodarou"/>
              <w:spacing w:after="240"/>
              <w:jc w:val="both"/>
              <w:rPr>
                <w:color w:val="0D0D0D" w:themeColor="text1" w:themeTint="F2"/>
              </w:rPr>
            </w:pPr>
          </w:p>
        </w:tc>
        <w:tc>
          <w:tcPr>
            <w:tcW w:w="7730" w:type="dxa"/>
            <w:shd w:val="clear" w:color="auto" w:fill="auto"/>
            <w:tcMar>
              <w:left w:w="0" w:type="dxa"/>
            </w:tcMar>
          </w:tcPr>
          <w:p w14:paraId="2DB0A5A8" w14:textId="11067380" w:rsidR="00EE0E68" w:rsidRPr="00EE0E68" w:rsidRDefault="00EE0E68" w:rsidP="00EE0E68">
            <w:pPr>
              <w:spacing w:after="200"/>
              <w:rPr>
                <w:rFonts w:eastAsia="MS Gothic" w:cs="Arial"/>
                <w:szCs w:val="20"/>
              </w:rPr>
            </w:pPr>
            <w:r w:rsidRPr="00EE0E68">
              <w:rPr>
                <w:color w:val="0D0D0D" w:themeColor="text1" w:themeTint="F2"/>
              </w:rPr>
              <w:t>Situace ve stavebnictví se postupně zlepšovala, zřetelné náznaky pozitivního obratu byly patrné již ve druhé polovině roku 2024. Stavební produkce</w:t>
            </w:r>
            <w:r w:rsidRPr="00EE0E68">
              <w:rPr>
                <w:rStyle w:val="Znakapoznpodarou"/>
                <w:color w:val="0D0D0D" w:themeColor="text1" w:themeTint="F2"/>
              </w:rPr>
              <w:footnoteReference w:id="18"/>
            </w:r>
            <w:r w:rsidRPr="00EE0E68">
              <w:rPr>
                <w:color w:val="0D0D0D" w:themeColor="text1" w:themeTint="F2"/>
              </w:rPr>
              <w:t xml:space="preserve"> se na počátku letošního roku mezikvartálně zvýšila již potřetí za sebou a tento růst zrychloval (až na 3,9 %). Toto výrazné oživení bylo podporováno všemi segmenty odvětví (nejvíce výstavbou budov). Ve 2. čtvrtletí narazil růst stavebnictví na určité limity a růst jeho produkce zvolnil (</w:t>
            </w:r>
            <w:r w:rsidRPr="00EE0E68">
              <w:rPr>
                <w:color w:val="0D0D0D" w:themeColor="text1" w:themeTint="F2"/>
                <w:sz w:val="16"/>
                <w:szCs w:val="16"/>
              </w:rPr>
              <w:t>+</w:t>
            </w:r>
            <w:r w:rsidRPr="00EE0E68">
              <w:rPr>
                <w:color w:val="0D0D0D" w:themeColor="text1" w:themeTint="F2"/>
              </w:rPr>
              <w:t>0,9</w:t>
            </w:r>
            <w:r>
              <w:rPr>
                <w:color w:val="0D0D0D" w:themeColor="text1" w:themeTint="F2"/>
              </w:rPr>
              <w:t> </w:t>
            </w:r>
            <w:r w:rsidRPr="00EE0E68">
              <w:rPr>
                <w:color w:val="0D0D0D" w:themeColor="text1" w:themeTint="F2"/>
              </w:rPr>
              <w:t>%). Rozvoji odvětví pomáhají především rostoucí veřejné investice do dopravní infrastruktury. Letos patrně dochází i k částečnému zotavování soukromých investic vlivem pozvolného posilování růstu ekonomiky i důvěry v ní. Významnou roli zde hrají i</w:t>
            </w:r>
            <w:r>
              <w:rPr>
                <w:color w:val="0D0D0D" w:themeColor="text1" w:themeTint="F2"/>
              </w:rPr>
              <w:t> </w:t>
            </w:r>
            <w:r w:rsidRPr="00EE0E68">
              <w:rPr>
                <w:color w:val="0D0D0D" w:themeColor="text1" w:themeTint="F2"/>
              </w:rPr>
              <w:t>cenové</w:t>
            </w:r>
            <w:r>
              <w:rPr>
                <w:color w:val="0D0D0D" w:themeColor="text1" w:themeTint="F2"/>
              </w:rPr>
              <w:t xml:space="preserve"> vlivy – na jedné straně došlo </w:t>
            </w:r>
            <w:r w:rsidRPr="00EE0E68">
              <w:rPr>
                <w:color w:val="0D0D0D" w:themeColor="text1" w:themeTint="F2"/>
              </w:rPr>
              <w:t xml:space="preserve">k dílčímu zmírnění nákladových tlaků (vlivem příznivějšího vývoje cen některých energií a také stavebních materiálů), současně ale výrazně posiloval růst cen nemovitostí (vlivem zvýšené poptávky ze strany domácností, k níž dochází i při relativně vysokých hypotečních sazbách). </w:t>
            </w:r>
          </w:p>
        </w:tc>
      </w:tr>
      <w:tr w:rsidR="00EE0E68" w:rsidRPr="00D232BB" w14:paraId="347215D5" w14:textId="77777777" w:rsidTr="004C456F">
        <w:trPr>
          <w:trHeight w:val="145"/>
        </w:trPr>
        <w:tc>
          <w:tcPr>
            <w:tcW w:w="1737" w:type="dxa"/>
            <w:shd w:val="clear" w:color="auto" w:fill="auto"/>
            <w:tcMar>
              <w:left w:w="0" w:type="dxa"/>
            </w:tcMar>
          </w:tcPr>
          <w:p w14:paraId="7D62C5D9" w14:textId="77777777" w:rsidR="00EE0E68" w:rsidRPr="00EE0E68" w:rsidRDefault="00EE0E68" w:rsidP="00EE0E68">
            <w:pPr>
              <w:pStyle w:val="Marginlie"/>
              <w:rPr>
                <w:color w:val="0D0D0D" w:themeColor="text1" w:themeTint="F2"/>
                <w:spacing w:val="0"/>
              </w:rPr>
            </w:pPr>
            <w:r w:rsidRPr="00EE0E68">
              <w:rPr>
                <w:color w:val="0D0D0D" w:themeColor="text1" w:themeTint="F2"/>
                <w:spacing w:val="0"/>
              </w:rPr>
              <w:t xml:space="preserve">Ke svižnému meziročnímu růstu produkce letos přispěly </w:t>
            </w:r>
            <w:r w:rsidRPr="00EE0E68">
              <w:rPr>
                <w:color w:val="0D0D0D" w:themeColor="text1" w:themeTint="F2"/>
                <w:spacing w:val="0"/>
              </w:rPr>
              <w:lastRenderedPageBreak/>
              <w:t xml:space="preserve">všechny segmenty stavebnictví. </w:t>
            </w:r>
          </w:p>
          <w:p w14:paraId="514D2312" w14:textId="77777777" w:rsidR="00EE0E68" w:rsidRPr="00EE0E68" w:rsidRDefault="00EE0E68" w:rsidP="00EE0E68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17475284" w14:textId="77777777" w:rsidR="00EE0E68" w:rsidRPr="00EE0E68" w:rsidRDefault="00EE0E68" w:rsidP="00EE0E68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263557CA" w14:textId="77777777" w:rsidR="00EE0E68" w:rsidRPr="00EE0E68" w:rsidRDefault="00EE0E68" w:rsidP="00EE0E68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67759EF2" w14:textId="77777777" w:rsidR="00EE0E68" w:rsidRPr="00EE0E68" w:rsidRDefault="00EE0E68" w:rsidP="00EE0E68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265F9D75" w14:textId="77777777" w:rsidR="00EE0E68" w:rsidRPr="00EE0E68" w:rsidRDefault="00EE0E68" w:rsidP="00EE0E68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3D28486D" w14:textId="77777777" w:rsidR="00EE0E68" w:rsidRPr="00EE0E68" w:rsidRDefault="00EE0E68" w:rsidP="00EE0E68">
            <w:pPr>
              <w:pStyle w:val="Marginlie"/>
              <w:spacing w:after="240"/>
              <w:rPr>
                <w:color w:val="0D0D0D" w:themeColor="text1" w:themeTint="F2"/>
                <w:spacing w:val="0"/>
              </w:rPr>
            </w:pPr>
            <w:r w:rsidRPr="00EE0E68">
              <w:rPr>
                <w:color w:val="0D0D0D" w:themeColor="text1" w:themeTint="F2"/>
                <w:spacing w:val="0"/>
              </w:rPr>
              <w:t xml:space="preserve">Zahájených </w:t>
            </w:r>
            <w:r w:rsidRPr="00EE0E68">
              <w:rPr>
                <w:color w:val="0D0D0D" w:themeColor="text1" w:themeTint="F2"/>
                <w:spacing w:val="0"/>
              </w:rPr>
              <w:br/>
              <w:t>i dokončených bytů mírně ubylo, rychle se však rozvíjel malý segment konverzí stávajících bytových objektů i nebytových budov.</w:t>
            </w:r>
          </w:p>
        </w:tc>
        <w:tc>
          <w:tcPr>
            <w:tcW w:w="179" w:type="dxa"/>
            <w:shd w:val="clear" w:color="auto" w:fill="auto"/>
            <w:tcMar>
              <w:left w:w="0" w:type="dxa"/>
            </w:tcMar>
          </w:tcPr>
          <w:p w14:paraId="4D6F5CE8" w14:textId="77777777" w:rsidR="00EE0E68" w:rsidRPr="00EE0E68" w:rsidRDefault="00EE0E68" w:rsidP="00EE0E68">
            <w:pPr>
              <w:pStyle w:val="Textpoznpodarou"/>
              <w:spacing w:after="240"/>
              <w:jc w:val="both"/>
            </w:pPr>
          </w:p>
        </w:tc>
        <w:tc>
          <w:tcPr>
            <w:tcW w:w="7730" w:type="dxa"/>
            <w:shd w:val="clear" w:color="auto" w:fill="auto"/>
            <w:tcMar>
              <w:left w:w="0" w:type="dxa"/>
            </w:tcMar>
          </w:tcPr>
          <w:p w14:paraId="444C0BEB" w14:textId="268CAC3E" w:rsidR="00EE0E68" w:rsidRPr="00EE0E68" w:rsidRDefault="00EE0E68" w:rsidP="00EE0E68">
            <w:pPr>
              <w:spacing w:after="200"/>
              <w:rPr>
                <w:color w:val="0D0D0D" w:themeColor="text1" w:themeTint="F2"/>
              </w:rPr>
            </w:pPr>
            <w:r w:rsidRPr="00EE0E68">
              <w:rPr>
                <w:color w:val="0D0D0D" w:themeColor="text1" w:themeTint="F2"/>
              </w:rPr>
              <w:t xml:space="preserve">Za celé 1. pololetí 2025 se stavební produkce meziročně zvýšila o 9,4 % (vyšší růst za pololetí byl naposled zaznamenán v první polovině roku 2018). Rychle se rozvíjelo inženýrské stavitelství, kde výkon rostl dvojciferným tempem. K růstu celého odvětví ale </w:t>
            </w:r>
            <w:r w:rsidRPr="00EE0E68">
              <w:rPr>
                <w:color w:val="0D0D0D" w:themeColor="text1" w:themeTint="F2"/>
              </w:rPr>
              <w:lastRenderedPageBreak/>
              <w:t>silněji přispělo pozemní stavitelství (+5,6 p. b.), kde se dařilo zejména výstavbě budov (+13,9 %). Segment specializovaných stavebních činností, který je zpravidla doménou menších stavebních podniků, posílil „jen“ o 4,9 %. Rozvoji pozemního stavitelství zatím letos příliš nepomáhá utlumená bytová výstavba. Počet zahájených bytů se meziro</w:t>
            </w:r>
            <w:r>
              <w:rPr>
                <w:color w:val="0D0D0D" w:themeColor="text1" w:themeTint="F2"/>
              </w:rPr>
              <w:t xml:space="preserve">čně snížil třetí rok v řadě </w:t>
            </w:r>
            <w:r w:rsidRPr="00EE0E68">
              <w:rPr>
                <w:color w:val="0D0D0D" w:themeColor="text1" w:themeTint="F2"/>
              </w:rPr>
              <w:t>(v 1. pololetí o 5,4 %), a to na nejnižší úroveň za posledních osm let (16,3 tis. bytů). Také dokončených bytů mírně ubylo (−2,4 %), objem výstavby (17,1</w:t>
            </w:r>
            <w:r>
              <w:rPr>
                <w:color w:val="0D0D0D" w:themeColor="text1" w:themeTint="F2"/>
              </w:rPr>
              <w:t> </w:t>
            </w:r>
            <w:r w:rsidRPr="00EE0E68">
              <w:rPr>
                <w:color w:val="0D0D0D" w:themeColor="text1" w:themeTint="F2"/>
              </w:rPr>
              <w:t xml:space="preserve">tis.) byl však vyšší alespoň ve srovnání s 2. pololetím 2024 (kdy vzniklo nejméně bytů za posledních 8,5 roku: 12,7 tis.). Na slabší bytové výstavbě se významně podílí rodinné domy, jejichž zahajování i finalizace jsou v dlouhodobém útlumu. Aktuálně se naopak rozvíjí </w:t>
            </w:r>
            <w:r w:rsidRPr="00EE0E68">
              <w:rPr>
                <w:rFonts w:eastAsia="Arial" w:cs="Arial"/>
                <w:szCs w:val="20"/>
              </w:rPr>
              <w:t>výstavba v malém segmentu konverzí (zejména u bytových domů) a také u bytů v nebytových domech, což může souviset s jednodušším povolovacím procesem</w:t>
            </w:r>
            <w:r w:rsidRPr="00EE0E68">
              <w:rPr>
                <w:rStyle w:val="Znakapoznpodarou"/>
                <w:rFonts w:eastAsia="Arial"/>
                <w:szCs w:val="20"/>
              </w:rPr>
              <w:footnoteReference w:id="19"/>
            </w:r>
            <w:r w:rsidRPr="00EE0E68">
              <w:rPr>
                <w:rFonts w:eastAsia="Arial" w:cs="Arial"/>
                <w:szCs w:val="20"/>
              </w:rPr>
              <w:t>. K meziročnímu poklesu dokončených bytů přispěla letos nejvíce Praha, kde v 1. pololetí vzniklo jen 2,7 tis. bytů (naopak mírně ožila výstavba ve středních Čechách). U zahájených bytů se nejvíce projevil pokles v</w:t>
            </w:r>
            <w:r w:rsidRPr="00EE0E68">
              <w:rPr>
                <w:color w:val="0D0D0D" w:themeColor="text1" w:themeTint="F2"/>
              </w:rPr>
              <w:t> </w:t>
            </w:r>
            <w:r w:rsidRPr="00EE0E68">
              <w:rPr>
                <w:rFonts w:eastAsia="Arial" w:cs="Arial"/>
                <w:szCs w:val="20"/>
              </w:rPr>
              <w:t>Plzeňském a Jihomoravském kraji, rostla však výstavba v Praze (na 4,6 tis., což je více než ve stejném období konjunkturních let 2006 až 2008).</w:t>
            </w:r>
          </w:p>
        </w:tc>
      </w:tr>
      <w:tr w:rsidR="00EE0E68" w:rsidRPr="00D232BB" w14:paraId="4C726D44" w14:textId="77777777" w:rsidTr="004C456F">
        <w:trPr>
          <w:trHeight w:val="145"/>
        </w:trPr>
        <w:tc>
          <w:tcPr>
            <w:tcW w:w="1737" w:type="dxa"/>
            <w:shd w:val="clear" w:color="auto" w:fill="auto"/>
            <w:tcMar>
              <w:left w:w="0" w:type="dxa"/>
            </w:tcMar>
          </w:tcPr>
          <w:p w14:paraId="738B93C8" w14:textId="77777777" w:rsidR="00EE0E68" w:rsidRPr="00EE0E68" w:rsidRDefault="00EE0E68" w:rsidP="00EE0E68">
            <w:pPr>
              <w:pStyle w:val="Marginlie"/>
              <w:spacing w:after="240"/>
              <w:rPr>
                <w:color w:val="0D0D0D" w:themeColor="text1" w:themeTint="F2"/>
                <w:spacing w:val="0"/>
              </w:rPr>
            </w:pPr>
          </w:p>
        </w:tc>
        <w:tc>
          <w:tcPr>
            <w:tcW w:w="179" w:type="dxa"/>
            <w:shd w:val="clear" w:color="auto" w:fill="auto"/>
            <w:tcMar>
              <w:left w:w="0" w:type="dxa"/>
            </w:tcMar>
          </w:tcPr>
          <w:p w14:paraId="4CB152E5" w14:textId="77777777" w:rsidR="00EE0E68" w:rsidRPr="00EE0E68" w:rsidRDefault="00EE0E68" w:rsidP="00EE0E68">
            <w:pPr>
              <w:pStyle w:val="Textpoznpodarou"/>
              <w:spacing w:after="240"/>
              <w:jc w:val="both"/>
            </w:pPr>
          </w:p>
        </w:tc>
        <w:tc>
          <w:tcPr>
            <w:tcW w:w="7730" w:type="dxa"/>
            <w:shd w:val="clear" w:color="auto" w:fill="auto"/>
            <w:tcMar>
              <w:left w:w="0" w:type="dxa"/>
            </w:tcMar>
          </w:tcPr>
          <w:p w14:paraId="49C6031E" w14:textId="77777777" w:rsidR="00EE0E68" w:rsidRPr="00EE0E68" w:rsidRDefault="00EE0E68" w:rsidP="00EE0E68">
            <w:pPr>
              <w:spacing w:after="40"/>
              <w:rPr>
                <w:color w:val="0D0D0D" w:themeColor="text1" w:themeTint="F2"/>
              </w:rPr>
            </w:pPr>
            <w:r w:rsidRPr="00EE0E68">
              <w:rPr>
                <w:b/>
                <w:color w:val="0D0D0D" w:themeColor="text1" w:themeTint="F2"/>
              </w:rPr>
              <w:t>Graf č. 6 Příspěvky odvětví k meziroční změně stavební produkce (reálně, v p. b.),</w:t>
            </w:r>
            <w:r w:rsidRPr="00EE0E68">
              <w:rPr>
                <w:b/>
                <w:color w:val="0D0D0D" w:themeColor="text1" w:themeTint="F2"/>
              </w:rPr>
              <w:br/>
              <w:t>nové stavební zakázky</w:t>
            </w:r>
            <w:r w:rsidRPr="00EE0E68">
              <w:rPr>
                <w:color w:val="0D0D0D" w:themeColor="text1" w:themeTint="F2"/>
              </w:rPr>
              <w:t xml:space="preserve"> (nominálně, meziročně, v %), </w:t>
            </w:r>
            <w:r w:rsidRPr="00EE0E68">
              <w:rPr>
                <w:b/>
                <w:color w:val="0D0D0D" w:themeColor="text1" w:themeTint="F2"/>
              </w:rPr>
              <w:t>saldo důvěry podnikatelů ve stavebnictví*</w:t>
            </w:r>
            <w:r w:rsidRPr="00EE0E68">
              <w:rPr>
                <w:color w:val="0D0D0D" w:themeColor="text1" w:themeTint="F2"/>
              </w:rPr>
              <w:t xml:space="preserve"> (v p. b., pravá osa) </w:t>
            </w:r>
            <w:r w:rsidRPr="00EE0E68">
              <w:rPr>
                <w:b/>
                <w:color w:val="0D0D0D" w:themeColor="text1" w:themeTint="F2"/>
              </w:rPr>
              <w:t>a vybrané bariéry růstu*</w:t>
            </w:r>
            <w:r w:rsidRPr="00EE0E68">
              <w:rPr>
                <w:color w:val="0D0D0D" w:themeColor="text1" w:themeTint="F2"/>
              </w:rPr>
              <w:t xml:space="preserve"> (v %, pravá osa)</w:t>
            </w:r>
          </w:p>
        </w:tc>
      </w:tr>
      <w:tr w:rsidR="00EE0E68" w:rsidRPr="0067514E" w14:paraId="481ACFD2" w14:textId="77777777" w:rsidTr="004C456F">
        <w:tblPrEx>
          <w:tblCellMar>
            <w:left w:w="70" w:type="dxa"/>
            <w:right w:w="70" w:type="dxa"/>
          </w:tblCellMar>
        </w:tblPrEx>
        <w:trPr>
          <w:trHeight w:val="145"/>
        </w:trPr>
        <w:tc>
          <w:tcPr>
            <w:tcW w:w="1737" w:type="dxa"/>
            <w:shd w:val="clear" w:color="auto" w:fill="auto"/>
          </w:tcPr>
          <w:p w14:paraId="5CD69B99" w14:textId="77777777" w:rsidR="00EE0E68" w:rsidRPr="00EE0E68" w:rsidRDefault="00EE0E68" w:rsidP="00EE0E68">
            <w:pPr>
              <w:pStyle w:val="Marginlie"/>
              <w:spacing w:after="240"/>
              <w:rPr>
                <w:color w:val="0D0D0D" w:themeColor="text1" w:themeTint="F2"/>
                <w:spacing w:val="0"/>
              </w:rPr>
            </w:pPr>
          </w:p>
        </w:tc>
        <w:tc>
          <w:tcPr>
            <w:tcW w:w="179" w:type="dxa"/>
            <w:shd w:val="clear" w:color="auto" w:fill="auto"/>
          </w:tcPr>
          <w:p w14:paraId="301C2AE1" w14:textId="77777777" w:rsidR="00EE0E68" w:rsidRPr="00EE0E68" w:rsidRDefault="00EE0E68" w:rsidP="00EE0E68">
            <w:pPr>
              <w:pStyle w:val="Textpoznpodarou"/>
              <w:spacing w:after="240"/>
              <w:jc w:val="both"/>
            </w:pPr>
          </w:p>
        </w:tc>
        <w:tc>
          <w:tcPr>
            <w:tcW w:w="7730" w:type="dxa"/>
            <w:shd w:val="clear" w:color="auto" w:fill="auto"/>
          </w:tcPr>
          <w:p w14:paraId="43A5BB9A" w14:textId="77777777" w:rsidR="00EE0E68" w:rsidRPr="00EE0E68" w:rsidRDefault="00EE0E68" w:rsidP="00EE0E68">
            <w:pPr>
              <w:spacing w:before="40" w:after="40"/>
              <w:rPr>
                <w:color w:val="0D0D0D" w:themeColor="text1" w:themeTint="F2"/>
              </w:rPr>
            </w:pPr>
            <w:r w:rsidRPr="00EE0E68">
              <w:rPr>
                <w:noProof/>
              </w:rPr>
              <w:drawing>
                <wp:inline distT="0" distB="0" distL="0" distR="0" wp14:anchorId="6144789D" wp14:editId="1AD4120D">
                  <wp:extent cx="4769485" cy="3430829"/>
                  <wp:effectExtent l="0" t="0" r="0" b="0"/>
                  <wp:docPr id="25" name="Graf 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E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EE0E68" w:rsidRPr="00EC434A" w14:paraId="04E0C047" w14:textId="77777777" w:rsidTr="004C456F">
        <w:trPr>
          <w:trHeight w:val="145"/>
        </w:trPr>
        <w:tc>
          <w:tcPr>
            <w:tcW w:w="1737" w:type="dxa"/>
            <w:shd w:val="clear" w:color="auto" w:fill="auto"/>
            <w:tcMar>
              <w:left w:w="0" w:type="dxa"/>
            </w:tcMar>
          </w:tcPr>
          <w:p w14:paraId="47A39311" w14:textId="77777777" w:rsidR="00EE0E68" w:rsidRPr="00EE0E68" w:rsidRDefault="00EE0E68" w:rsidP="00EE0E68">
            <w:pPr>
              <w:pStyle w:val="Marginlie"/>
              <w:spacing w:after="240"/>
              <w:rPr>
                <w:color w:val="0D0D0D" w:themeColor="text1" w:themeTint="F2"/>
                <w:spacing w:val="0"/>
              </w:rPr>
            </w:pPr>
          </w:p>
        </w:tc>
        <w:tc>
          <w:tcPr>
            <w:tcW w:w="179" w:type="dxa"/>
            <w:shd w:val="clear" w:color="auto" w:fill="auto"/>
            <w:tcMar>
              <w:left w:w="0" w:type="dxa"/>
            </w:tcMar>
          </w:tcPr>
          <w:p w14:paraId="694DBC9A" w14:textId="77777777" w:rsidR="00EE0E68" w:rsidRPr="00EE0E68" w:rsidRDefault="00EE0E68" w:rsidP="00EE0E68">
            <w:pPr>
              <w:pStyle w:val="Textpoznpodarou"/>
              <w:spacing w:after="240"/>
              <w:jc w:val="both"/>
            </w:pPr>
          </w:p>
        </w:tc>
        <w:tc>
          <w:tcPr>
            <w:tcW w:w="7730" w:type="dxa"/>
            <w:shd w:val="clear" w:color="auto" w:fill="auto"/>
            <w:tcMar>
              <w:left w:w="0" w:type="dxa"/>
            </w:tcMar>
          </w:tcPr>
          <w:p w14:paraId="66496072" w14:textId="77777777" w:rsidR="00EE0E68" w:rsidRPr="00EE0E68" w:rsidRDefault="00EE0E68" w:rsidP="00EE0E68">
            <w:pPr>
              <w:spacing w:after="0"/>
              <w:rPr>
                <w:color w:val="0D0D0D" w:themeColor="text1" w:themeTint="F2"/>
                <w:sz w:val="14"/>
                <w:szCs w:val="14"/>
              </w:rPr>
            </w:pPr>
            <w:r w:rsidRPr="00EE0E68">
              <w:rPr>
                <w:color w:val="0D0D0D" w:themeColor="text1" w:themeTint="F2"/>
                <w:sz w:val="14"/>
                <w:szCs w:val="14"/>
              </w:rPr>
              <w:t>Poznámka: Údaje o stavební produkci jsou očištěny o kalendářní vlivy.</w:t>
            </w:r>
          </w:p>
          <w:p w14:paraId="2805E2F6" w14:textId="77777777" w:rsidR="00EE0E68" w:rsidRPr="00EE0E68" w:rsidRDefault="00EE0E68" w:rsidP="00EE0E68">
            <w:pPr>
              <w:spacing w:after="0"/>
              <w:rPr>
                <w:color w:val="0D0D0D" w:themeColor="text1" w:themeTint="F2"/>
                <w:sz w:val="16"/>
                <w:szCs w:val="16"/>
              </w:rPr>
            </w:pPr>
            <w:r w:rsidRPr="00EE0E68">
              <w:rPr>
                <w:color w:val="0D0D0D" w:themeColor="text1" w:themeTint="F2"/>
                <w:sz w:val="14"/>
                <w:szCs w:val="14"/>
              </w:rPr>
              <w:t>*Saldo důvěry podnikatelů i bariéry růstu jsou sezónně očištěny a vyjadřují stav ve druhém měsíci daného čtvrtletí. Podniky mohly uvést více hlavních bariér současně.                                                                                                                                Zdroj: ČSÚ, Eurostat</w:t>
            </w:r>
          </w:p>
        </w:tc>
      </w:tr>
      <w:tr w:rsidR="00EE0E68" w14:paraId="53526920" w14:textId="77777777" w:rsidTr="004C456F">
        <w:trPr>
          <w:trHeight w:val="170"/>
        </w:trPr>
        <w:tc>
          <w:tcPr>
            <w:tcW w:w="1737" w:type="dxa"/>
            <w:shd w:val="clear" w:color="auto" w:fill="auto"/>
            <w:tcMar>
              <w:left w:w="0" w:type="dxa"/>
            </w:tcMar>
          </w:tcPr>
          <w:p w14:paraId="5B29F111" w14:textId="77777777" w:rsidR="00EE0E68" w:rsidRPr="00EE0E68" w:rsidRDefault="00EE0E68" w:rsidP="00EE0E68">
            <w:pPr>
              <w:pStyle w:val="Marginlie"/>
              <w:rPr>
                <w:color w:val="0D0D0D" w:themeColor="text1" w:themeTint="F2"/>
                <w:spacing w:val="0"/>
              </w:rPr>
            </w:pPr>
            <w:r w:rsidRPr="00EE0E68">
              <w:rPr>
                <w:color w:val="0D0D0D" w:themeColor="text1" w:themeTint="F2"/>
                <w:spacing w:val="0"/>
              </w:rPr>
              <w:t>Hodnota nových stavebních zakázek fakticky roste již dva roky v řadě. Letos ji táhne téměř výhradně jen inženýrské stavitelství.</w:t>
            </w:r>
          </w:p>
          <w:p w14:paraId="73120FC9" w14:textId="77777777" w:rsidR="00EE0E68" w:rsidRPr="00EE0E68" w:rsidRDefault="00EE0E68" w:rsidP="00EE0E68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16F48077" w14:textId="77777777" w:rsidR="00EE0E68" w:rsidRPr="00EE0E68" w:rsidRDefault="00EE0E68" w:rsidP="00EE0E68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3CF1252E" w14:textId="77777777" w:rsidR="00EE0E68" w:rsidRPr="00EE0E68" w:rsidRDefault="00EE0E68" w:rsidP="00EE0E68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0A2C2849" w14:textId="77777777" w:rsidR="00EE0E68" w:rsidRPr="00EE0E68" w:rsidRDefault="00EE0E68" w:rsidP="00EE0E68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5B123270" w14:textId="77777777" w:rsidR="00EE0E68" w:rsidRPr="00EE0E68" w:rsidRDefault="00EE0E68" w:rsidP="00EE0E68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6425DC2F" w14:textId="77777777" w:rsidR="00EE0E68" w:rsidRPr="00EE0E68" w:rsidRDefault="00EE0E68" w:rsidP="00EE0E68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56429A99" w14:textId="1B7CEDB0" w:rsidR="00EE0E68" w:rsidRPr="00EE0E68" w:rsidRDefault="00EE0E68" w:rsidP="00EE0E68">
            <w:pPr>
              <w:pStyle w:val="Marginlie"/>
              <w:rPr>
                <w:spacing w:val="0"/>
              </w:rPr>
            </w:pPr>
            <w:r w:rsidRPr="00EE0E68">
              <w:rPr>
                <w:color w:val="0D0D0D" w:themeColor="text1" w:themeTint="F2"/>
                <w:spacing w:val="0"/>
              </w:rPr>
              <w:t>Hodnota povolených staveb meziročně klesá již od loňského jara. Letos se projevuje zejména u nebytových budov a inženýrských nedopravních staveb.</w:t>
            </w:r>
          </w:p>
        </w:tc>
        <w:tc>
          <w:tcPr>
            <w:tcW w:w="179" w:type="dxa"/>
            <w:shd w:val="clear" w:color="auto" w:fill="auto"/>
            <w:tcMar>
              <w:left w:w="0" w:type="dxa"/>
            </w:tcMar>
          </w:tcPr>
          <w:p w14:paraId="5431BE97" w14:textId="77777777" w:rsidR="00EE0E68" w:rsidRPr="00EE0E68" w:rsidRDefault="00EE0E68" w:rsidP="00EE0E68">
            <w:pPr>
              <w:pStyle w:val="Textpoznpodarou"/>
              <w:jc w:val="both"/>
            </w:pPr>
          </w:p>
        </w:tc>
        <w:tc>
          <w:tcPr>
            <w:tcW w:w="7730" w:type="dxa"/>
            <w:shd w:val="clear" w:color="auto" w:fill="auto"/>
            <w:tcMar>
              <w:left w:w="0" w:type="dxa"/>
            </w:tcMar>
          </w:tcPr>
          <w:p w14:paraId="13698CFC" w14:textId="22B74105" w:rsidR="00EE0E68" w:rsidRPr="00EE0E68" w:rsidRDefault="00EE0E68" w:rsidP="00EE0E68">
            <w:pPr>
              <w:spacing w:after="200"/>
              <w:rPr>
                <w:color w:val="0D0D0D" w:themeColor="text1" w:themeTint="F2"/>
              </w:rPr>
            </w:pPr>
            <w:r w:rsidRPr="00EE0E68">
              <w:rPr>
                <w:color w:val="0D0D0D" w:themeColor="text1" w:themeTint="F2"/>
              </w:rPr>
              <w:t>Významná část předstihových ukazatelů naznačuje, že rozvoj stavební produkce by mohl v nejbližším období pokračovat. Hodnota nově uzavřených stavebních zakázek v</w:t>
            </w:r>
            <w:r>
              <w:rPr>
                <w:color w:val="0D0D0D" w:themeColor="text1" w:themeTint="F2"/>
              </w:rPr>
              <w:t> </w:t>
            </w:r>
            <w:r w:rsidRPr="00EE0E68">
              <w:rPr>
                <w:color w:val="0D0D0D" w:themeColor="text1" w:themeTint="F2"/>
              </w:rPr>
              <w:t>ČR (v běžných cenách, v podnicích nad 50 zaměstnanců) byla letos v 1. pololetí meziročně skoro o pětinu vyšší (zvyšovala se čtvrté pololetí v řadě). Aktuální růst byl tažen inženýrským stavitelstvím, v tom pozemním se totiž očekáváná poptávka nepatrně snížila (−1,1 %). Větší koncentrace nových zakázek v oblasti dopravně-inženýrských staveb vede k tomu, že průměrná hodnota zakázky roste (v 1. pololetí 2025 činila 7,4</w:t>
            </w:r>
            <w:r>
              <w:rPr>
                <w:color w:val="0D0D0D" w:themeColor="text1" w:themeTint="F2"/>
              </w:rPr>
              <w:t> </w:t>
            </w:r>
            <w:r w:rsidRPr="00EE0E68">
              <w:rPr>
                <w:color w:val="0D0D0D" w:themeColor="text1" w:themeTint="F2"/>
              </w:rPr>
              <w:t xml:space="preserve">mil. korun a byla meziročně zhruba o polovinu vyšší). Stav celkové zásoby práce (dosud </w:t>
            </w:r>
            <w:r w:rsidRPr="00EE0E68">
              <w:rPr>
                <w:color w:val="0D0D0D" w:themeColor="text1" w:themeTint="F2"/>
              </w:rPr>
              <w:lastRenderedPageBreak/>
              <w:t xml:space="preserve">nerealizované zakázky) překročil letos na </w:t>
            </w:r>
            <w:r>
              <w:rPr>
                <w:color w:val="0D0D0D" w:themeColor="text1" w:themeTint="F2"/>
              </w:rPr>
              <w:t xml:space="preserve">konci </w:t>
            </w:r>
            <w:r w:rsidRPr="00EE0E68">
              <w:rPr>
                <w:color w:val="0D0D0D" w:themeColor="text1" w:themeTint="F2"/>
              </w:rPr>
              <w:t>2. čtvrtletí hranici 400 mld. korun a</w:t>
            </w:r>
            <w:r>
              <w:rPr>
                <w:color w:val="0D0D0D" w:themeColor="text1" w:themeTint="F2"/>
              </w:rPr>
              <w:t> </w:t>
            </w:r>
            <w:r w:rsidRPr="00EE0E68">
              <w:rPr>
                <w:color w:val="0D0D0D" w:themeColor="text1" w:themeTint="F2"/>
              </w:rPr>
              <w:t xml:space="preserve">meziročně byl o čtvrtinu vyšší. K tomu z drtivé části přispěly veřejné zakázky, jejichž objem narostl o 41 % a na stavu celkové zásoby se podílela skoro 70 %. Pozitivní je, že po více než třech letech roste i zásoba práce ze zahraničí. Méně příznivý je vývoj hodnoty povolených staveb. Ta meziročně klesá již od loňského jara a v 1. pololetí 2025 se snížila </w:t>
            </w:r>
            <w:r w:rsidRPr="00EE0E68">
              <w:rPr>
                <w:rFonts w:eastAsia="Arial" w:cs="Arial"/>
                <w:szCs w:val="20"/>
              </w:rPr>
              <w:t>o pětinu</w:t>
            </w:r>
            <w:r w:rsidRPr="00EE0E68">
              <w:rPr>
                <w:rStyle w:val="Znakapoznpodarou"/>
                <w:rFonts w:eastAsia="Arial"/>
                <w:szCs w:val="20"/>
              </w:rPr>
              <w:footnoteReference w:id="20"/>
            </w:r>
            <w:r w:rsidRPr="00EE0E68">
              <w:rPr>
                <w:rFonts w:eastAsia="Arial" w:cs="Arial"/>
                <w:szCs w:val="20"/>
              </w:rPr>
              <w:t>, primárně kvůli výstavbě nebytových budov a inženýrských „nedopravních“ staveb. Klesla i hodnota povolení na novou bytovou výstavbu (</w:t>
            </w:r>
            <w:r w:rsidRPr="00EE0E68">
              <w:rPr>
                <w:color w:val="0D0D0D" w:themeColor="text1" w:themeTint="F2"/>
              </w:rPr>
              <w:t>−</w:t>
            </w:r>
            <w:r w:rsidRPr="00EE0E68">
              <w:rPr>
                <w:rFonts w:eastAsia="Arial" w:cs="Arial"/>
                <w:szCs w:val="20"/>
              </w:rPr>
              <w:t>10 %). Naopak významnější růst nastal jen u modernizací či rekonstrukcí dopravních staveb. Snižující se hodnota povolených staveb při rostoucí zásobě zakázek naznačuje prodlužování již beztak často náročného procesu přípravy stavebních projektů.</w:t>
            </w:r>
          </w:p>
        </w:tc>
      </w:tr>
      <w:tr w:rsidR="00EE0E68" w14:paraId="6F2D4C92" w14:textId="77777777" w:rsidTr="004C456F">
        <w:trPr>
          <w:trHeight w:val="170"/>
        </w:trPr>
        <w:tc>
          <w:tcPr>
            <w:tcW w:w="1737" w:type="dxa"/>
            <w:shd w:val="clear" w:color="auto" w:fill="auto"/>
            <w:tcMar>
              <w:left w:w="0" w:type="dxa"/>
            </w:tcMar>
          </w:tcPr>
          <w:p w14:paraId="3D3D0D27" w14:textId="77777777" w:rsidR="00EE0E68" w:rsidRPr="00EE0E68" w:rsidRDefault="00EE0E68" w:rsidP="00EE0E68">
            <w:pPr>
              <w:pStyle w:val="Marginlie"/>
              <w:rPr>
                <w:spacing w:val="0"/>
              </w:rPr>
            </w:pPr>
            <w:r w:rsidRPr="00EE0E68">
              <w:rPr>
                <w:spacing w:val="0"/>
              </w:rPr>
              <w:lastRenderedPageBreak/>
              <w:t xml:space="preserve">Saldo důvěry podnikatelů ve stavebnictví se po delší přestávce vrátilo do kladného pásma. Zlepšilo se hodnocení poptávky i výhledů v zaměstnanosti. </w:t>
            </w:r>
          </w:p>
        </w:tc>
        <w:tc>
          <w:tcPr>
            <w:tcW w:w="179" w:type="dxa"/>
            <w:shd w:val="clear" w:color="auto" w:fill="auto"/>
            <w:tcMar>
              <w:left w:w="0" w:type="dxa"/>
            </w:tcMar>
          </w:tcPr>
          <w:p w14:paraId="6A2E7532" w14:textId="77777777" w:rsidR="00EE0E68" w:rsidRPr="00EE0E68" w:rsidRDefault="00EE0E68" w:rsidP="00EE0E68">
            <w:pPr>
              <w:pStyle w:val="Textpoznpodarou"/>
              <w:jc w:val="both"/>
            </w:pPr>
          </w:p>
        </w:tc>
        <w:tc>
          <w:tcPr>
            <w:tcW w:w="7730" w:type="dxa"/>
            <w:shd w:val="clear" w:color="auto" w:fill="auto"/>
            <w:tcMar>
              <w:left w:w="0" w:type="dxa"/>
            </w:tcMar>
          </w:tcPr>
          <w:p w14:paraId="1352EBD0" w14:textId="77777777" w:rsidR="00EE0E68" w:rsidRPr="00EE0E68" w:rsidRDefault="00EE0E68" w:rsidP="00EE0E68">
            <w:pPr>
              <w:spacing w:after="200"/>
              <w:rPr>
                <w:bCs/>
              </w:rPr>
            </w:pPr>
            <w:r w:rsidRPr="00EE0E68">
              <w:rPr>
                <w:color w:val="0D0D0D" w:themeColor="text1" w:themeTint="F2"/>
              </w:rPr>
              <w:t>P</w:t>
            </w:r>
            <w:r w:rsidRPr="00EE0E68">
              <w:rPr>
                <w:rStyle w:val="normaltextrun"/>
                <w:rFonts w:eastAsiaTheme="majorEastAsia" w:cs="Arial"/>
                <w:szCs w:val="20"/>
              </w:rPr>
              <w:t xml:space="preserve">esimismus podnikatelů ve stavebnictví se od loňského podzimu zmírňoval a letos v červnu se saldo důvěry firem po více než třech letech vrátilo do kladného pásma, v srpnu vystoupalo na +2,5 bodu. </w:t>
            </w:r>
            <w:r w:rsidRPr="00EE0E68">
              <w:rPr>
                <w:rStyle w:val="normaltextrun"/>
                <w:rFonts w:eastAsia="MS Gothic" w:cs="Arial"/>
                <w:szCs w:val="20"/>
              </w:rPr>
              <w:t>Přibylo podniků hodnotících současnou poptávku příznivě, nicméně jejich podíl (16 %) je stále nižší než u nepříznivých hodnocení (24 %). Pozitivní očekávání nejbližšího vývoje stavební činnosti se odrazila rovněž v plánech na nábor pracovníků</w:t>
            </w:r>
            <w:r w:rsidRPr="00EE0E68">
              <w:rPr>
                <w:rStyle w:val="Znakapoznpodarou"/>
                <w:rFonts w:eastAsia="MS Gothic"/>
                <w:szCs w:val="20"/>
              </w:rPr>
              <w:footnoteReference w:id="21"/>
            </w:r>
            <w:r w:rsidRPr="00EE0E68">
              <w:rPr>
                <w:rStyle w:val="normaltextrun"/>
                <w:rFonts w:eastAsia="MS Gothic" w:cs="Arial"/>
                <w:szCs w:val="20"/>
              </w:rPr>
              <w:t xml:space="preserve"> (nejvyšších za poslední tři a půl roku). O</w:t>
            </w:r>
            <w:r w:rsidRPr="00EE0E68">
              <w:rPr>
                <w:rStyle w:val="normaltextrun"/>
                <w:rFonts w:eastAsia="MS Gothic"/>
              </w:rPr>
              <w:t>čekávání ekonomické situace podniku zůstávala mírně pozitivní</w:t>
            </w:r>
            <w:r w:rsidRPr="00EE0E68">
              <w:rPr>
                <w:rStyle w:val="Znakapoznpodarou"/>
                <w:rFonts w:eastAsia="MS Gothic"/>
              </w:rPr>
              <w:footnoteReference w:id="22"/>
            </w:r>
            <w:r w:rsidRPr="00EE0E68">
              <w:rPr>
                <w:rStyle w:val="normaltextrun"/>
                <w:rFonts w:eastAsia="MS Gothic"/>
              </w:rPr>
              <w:t>. Celé odvětví ale trápí chronické růstové bariéry</w:t>
            </w:r>
            <w:r w:rsidRPr="00EE0E68">
              <w:rPr>
                <w:rStyle w:val="Znakapoznpodarou"/>
                <w:rFonts w:eastAsia="MS Gothic"/>
              </w:rPr>
              <w:footnoteReference w:id="23"/>
            </w:r>
            <w:r w:rsidRPr="00EE0E68">
              <w:rPr>
                <w:rStyle w:val="normaltextrun"/>
                <w:rFonts w:eastAsia="MS Gothic"/>
              </w:rPr>
              <w:t>. Fakticky již sedm let v řadě je tou nejvýznamnější nedostatek (zejména kvalifikovaných) zaměstnanců (</w:t>
            </w:r>
            <w:r w:rsidRPr="00EE0E68">
              <w:rPr>
                <w:rStyle w:val="normaltextrun"/>
                <w:rFonts w:eastAsiaTheme="majorEastAsia" w:cs="Arial"/>
                <w:szCs w:val="20"/>
              </w:rPr>
              <w:t>jako jednu z bariér ji uvedla skoro polovina firem)</w:t>
            </w:r>
            <w:r w:rsidRPr="00EE0E68">
              <w:rPr>
                <w:rStyle w:val="normaltextrun"/>
                <w:rFonts w:eastAsia="MS Gothic"/>
              </w:rPr>
              <w:t>. Nedostatečná poptávka limituje třetinu firem</w:t>
            </w:r>
            <w:r w:rsidRPr="00EE0E68">
              <w:rPr>
                <w:rStyle w:val="Znakapoznpodarou"/>
                <w:rFonts w:eastAsia="MS Gothic"/>
              </w:rPr>
              <w:footnoteReference w:id="24"/>
            </w:r>
            <w:r w:rsidRPr="00EE0E68">
              <w:rPr>
                <w:rStyle w:val="normaltextrun"/>
                <w:rFonts w:eastAsia="MS Gothic"/>
              </w:rPr>
              <w:t xml:space="preserve"> a tento podíl se meziročně mírně zvýšil. Příznivé naopak je, že problém s nedostatkem materiálu či vybavení, který byl významný v letech 2021 až 2024, letos z velké části vymizel. To přispělo ke stabilizaci cen stavebních materiálů i zmírnění růstu cen celkové stavební produkce</w:t>
            </w:r>
            <w:r w:rsidRPr="00EE0E68">
              <w:rPr>
                <w:rStyle w:val="Znakapoznpodarou"/>
                <w:rFonts w:eastAsia="MS Gothic"/>
              </w:rPr>
              <w:footnoteReference w:id="25"/>
            </w:r>
            <w:r w:rsidRPr="00EE0E68">
              <w:rPr>
                <w:rStyle w:val="normaltextrun"/>
                <w:rFonts w:eastAsia="MS Gothic"/>
              </w:rPr>
              <w:t xml:space="preserve">. </w:t>
            </w:r>
          </w:p>
        </w:tc>
      </w:tr>
      <w:tr w:rsidR="00EE0E68" w14:paraId="16187031" w14:textId="77777777" w:rsidTr="004C456F">
        <w:trPr>
          <w:trHeight w:val="170"/>
        </w:trPr>
        <w:tc>
          <w:tcPr>
            <w:tcW w:w="1737" w:type="dxa"/>
            <w:shd w:val="clear" w:color="auto" w:fill="auto"/>
            <w:tcMar>
              <w:left w:w="0" w:type="dxa"/>
            </w:tcMar>
          </w:tcPr>
          <w:p w14:paraId="37DF7E37" w14:textId="77777777" w:rsidR="00EE0E68" w:rsidRPr="00EE0E68" w:rsidRDefault="00EE0E68" w:rsidP="00EE0E68">
            <w:pPr>
              <w:pStyle w:val="Marginlie"/>
              <w:rPr>
                <w:color w:val="0D0D0D" w:themeColor="text1" w:themeTint="F2"/>
                <w:spacing w:val="0"/>
              </w:rPr>
            </w:pPr>
            <w:r w:rsidRPr="00EE0E68">
              <w:rPr>
                <w:color w:val="0D0D0D" w:themeColor="text1" w:themeTint="F2"/>
                <w:spacing w:val="0"/>
              </w:rPr>
              <w:t>Mezikvartální růst tržeb ve službách na počátku letošního roku zrychlil.</w:t>
            </w:r>
          </w:p>
          <w:p w14:paraId="13F9E384" w14:textId="77777777" w:rsidR="00EE0E68" w:rsidRPr="00EE0E68" w:rsidRDefault="00EE0E68" w:rsidP="00EE0E68">
            <w:pPr>
              <w:pStyle w:val="Marginlie"/>
              <w:rPr>
                <w:spacing w:val="0"/>
              </w:rPr>
            </w:pPr>
          </w:p>
        </w:tc>
        <w:tc>
          <w:tcPr>
            <w:tcW w:w="179" w:type="dxa"/>
            <w:shd w:val="clear" w:color="auto" w:fill="auto"/>
            <w:tcMar>
              <w:left w:w="0" w:type="dxa"/>
            </w:tcMar>
          </w:tcPr>
          <w:p w14:paraId="749A0921" w14:textId="77777777" w:rsidR="00EE0E68" w:rsidRPr="00EE0E68" w:rsidRDefault="00EE0E68" w:rsidP="00EE0E68">
            <w:pPr>
              <w:pStyle w:val="Textpoznpodarou"/>
              <w:jc w:val="both"/>
              <w:rPr>
                <w:color w:val="0D0D0D" w:themeColor="text1" w:themeTint="F2"/>
              </w:rPr>
            </w:pPr>
          </w:p>
        </w:tc>
        <w:tc>
          <w:tcPr>
            <w:tcW w:w="7730" w:type="dxa"/>
            <w:shd w:val="clear" w:color="auto" w:fill="auto"/>
            <w:tcMar>
              <w:left w:w="0" w:type="dxa"/>
            </w:tcMar>
          </w:tcPr>
          <w:p w14:paraId="545D3072" w14:textId="4E8598E5" w:rsidR="00EE0E68" w:rsidRPr="00EE0E68" w:rsidRDefault="00EE0E68" w:rsidP="00EE0E68">
            <w:pPr>
              <w:spacing w:after="200"/>
              <w:rPr>
                <w:color w:val="0D0D0D" w:themeColor="text1" w:themeTint="F2"/>
              </w:rPr>
            </w:pPr>
            <w:r w:rsidRPr="00EE0E68">
              <w:rPr>
                <w:color w:val="0D0D0D" w:themeColor="text1" w:themeTint="F2"/>
              </w:rPr>
              <w:t xml:space="preserve">Na přelomu let 2023 a 2024 nastal pozitivní obrat poptávky po službách a tento vývoj pokračoval i na počátku letošního roku. Stabilizace hladiny spotřebitelských cen pomohla opět nastartovat růst reálných mezd zaměstnanců, což se odrazilo v příznivější finanční situaci domácností a následně stimulovalo jejich spotřebu. Na služby působila pozitivně i mírně rostoucí podniková poptávka. Mezikvartální růst </w:t>
            </w:r>
            <w:r w:rsidRPr="00EE0E68">
              <w:rPr>
                <w:rFonts w:cs="Arial"/>
                <w:color w:val="0D0D0D" w:themeColor="text1" w:themeTint="F2"/>
              </w:rPr>
              <w:t>tržeb ve službách</w:t>
            </w:r>
            <w:r w:rsidRPr="00EE0E68">
              <w:rPr>
                <w:color w:val="0D0D0D" w:themeColor="text1" w:themeTint="F2"/>
                <w:vertAlign w:val="superscript"/>
              </w:rPr>
              <w:footnoteReference w:id="26"/>
            </w:r>
            <w:r w:rsidRPr="00EE0E68">
              <w:rPr>
                <w:rFonts w:cs="Arial"/>
                <w:color w:val="0D0D0D" w:themeColor="text1" w:themeTint="F2"/>
              </w:rPr>
              <w:t xml:space="preserve"> na počátku letošního roku zrychlil (na 1,6 %) a velmi mírným tempem pokračoval také ve 2.</w:t>
            </w:r>
            <w:r>
              <w:rPr>
                <w:rFonts w:cs="Arial"/>
                <w:color w:val="0D0D0D" w:themeColor="text1" w:themeTint="F2"/>
              </w:rPr>
              <w:t> </w:t>
            </w:r>
            <w:r w:rsidRPr="00EE0E68">
              <w:rPr>
                <w:rFonts w:cs="Arial"/>
                <w:color w:val="0D0D0D" w:themeColor="text1" w:themeTint="F2"/>
              </w:rPr>
              <w:t>čtvrtletí. Zatímco na počátku roku pomohla rozvoji služeb téměř všechna hlavní odvětví (nejvíce informační a komunikační činnosti), ve 2. kvartálu především ubytování, stravování a pohostinství. Celkové tržby ve službách se nyní nacházely mírně nad úrovní z vrcholu předpandemické konjunktury</w:t>
            </w:r>
            <w:r w:rsidRPr="00EE0E68">
              <w:rPr>
                <w:rStyle w:val="Znakapoznpodarou"/>
                <w:color w:val="0D0D0D" w:themeColor="text1" w:themeTint="F2"/>
              </w:rPr>
              <w:footnoteReference w:id="27"/>
            </w:r>
            <w:r w:rsidRPr="00EE0E68">
              <w:rPr>
                <w:rFonts w:cs="Arial"/>
                <w:color w:val="0D0D0D" w:themeColor="text1" w:themeTint="F2"/>
              </w:rPr>
              <w:t>.</w:t>
            </w:r>
          </w:p>
        </w:tc>
      </w:tr>
      <w:tr w:rsidR="00EE0E68" w14:paraId="732B5B28" w14:textId="77777777" w:rsidTr="004C456F">
        <w:trPr>
          <w:trHeight w:val="170"/>
        </w:trPr>
        <w:tc>
          <w:tcPr>
            <w:tcW w:w="1737" w:type="dxa"/>
            <w:shd w:val="clear" w:color="auto" w:fill="auto"/>
            <w:tcMar>
              <w:left w:w="0" w:type="dxa"/>
            </w:tcMar>
          </w:tcPr>
          <w:p w14:paraId="4294B50F" w14:textId="77777777" w:rsidR="00EE0E68" w:rsidRPr="00EE0E68" w:rsidRDefault="00EE0E68" w:rsidP="00EE0E68">
            <w:pPr>
              <w:pStyle w:val="Marginlie"/>
              <w:rPr>
                <w:spacing w:val="0"/>
              </w:rPr>
            </w:pPr>
            <w:r w:rsidRPr="00EE0E68">
              <w:rPr>
                <w:spacing w:val="0"/>
              </w:rPr>
              <w:t xml:space="preserve">K meziročnímu růstu tržeb ve službách letos přispívala nejvíce oblast ICT, kde se dařilo zejména telekomunikacím.  </w:t>
            </w:r>
          </w:p>
        </w:tc>
        <w:tc>
          <w:tcPr>
            <w:tcW w:w="179" w:type="dxa"/>
            <w:shd w:val="clear" w:color="auto" w:fill="auto"/>
            <w:tcMar>
              <w:left w:w="0" w:type="dxa"/>
            </w:tcMar>
          </w:tcPr>
          <w:p w14:paraId="5DF2CF33" w14:textId="77777777" w:rsidR="00EE0E68" w:rsidRPr="00EE0E68" w:rsidRDefault="00EE0E68" w:rsidP="00EE0E68">
            <w:pPr>
              <w:pStyle w:val="Textpoznpodarou"/>
              <w:jc w:val="both"/>
              <w:rPr>
                <w:color w:val="0D0D0D" w:themeColor="text1" w:themeTint="F2"/>
              </w:rPr>
            </w:pPr>
          </w:p>
        </w:tc>
        <w:tc>
          <w:tcPr>
            <w:tcW w:w="7730" w:type="dxa"/>
            <w:shd w:val="clear" w:color="auto" w:fill="auto"/>
            <w:tcMar>
              <w:left w:w="0" w:type="dxa"/>
            </w:tcMar>
          </w:tcPr>
          <w:p w14:paraId="4703ADB2" w14:textId="77777777" w:rsidR="00EE0E68" w:rsidRPr="00EE0E68" w:rsidRDefault="00EE0E68" w:rsidP="00EE0E68">
            <w:pPr>
              <w:spacing w:after="200"/>
              <w:rPr>
                <w:color w:val="0D0D0D" w:themeColor="text1" w:themeTint="F2"/>
              </w:rPr>
            </w:pPr>
            <w:r w:rsidRPr="00EE0E68">
              <w:rPr>
                <w:bCs/>
                <w:color w:val="0D0D0D" w:themeColor="text1" w:themeTint="F2"/>
              </w:rPr>
              <w:t>Za celé 1. pololetí 2025 se</w:t>
            </w:r>
            <w:r w:rsidRPr="00EE0E68">
              <w:rPr>
                <w:color w:val="0D0D0D" w:themeColor="text1" w:themeTint="F2"/>
              </w:rPr>
              <w:t xml:space="preserve"> tržby ve službách zvýšily meziročně o 2,6 %, nejvíce od konce roku 2022. Na tomto růstu se podílely zejména informační a komunikační činnosti (příspěvek +1,0 p. b., růst odvětví +4,2 %). Oblast ICT těžila hlavně z výrazného oživení výkonu telekomunikací (+10,0 %, nejvyššího od roku 2005), svižně však rostly i tržby vydavatelským činnostem (nejvíce v oblasti SW) a také </w:t>
            </w:r>
            <w:r w:rsidRPr="00EE0E68">
              <w:rPr>
                <w:rFonts w:cs="Arial"/>
                <w:color w:val="0D0D0D" w:themeColor="text1" w:themeTint="F2"/>
              </w:rPr>
              <w:t>informačním činnostem</w:t>
            </w:r>
            <w:r w:rsidRPr="00EE0E68">
              <w:rPr>
                <w:rStyle w:val="Znakapoznpodarou"/>
                <w:color w:val="0D0D0D" w:themeColor="text1" w:themeTint="F2"/>
              </w:rPr>
              <w:footnoteReference w:id="28"/>
            </w:r>
            <w:r w:rsidRPr="00EE0E68">
              <w:rPr>
                <w:rFonts w:cs="Arial"/>
                <w:color w:val="0D0D0D" w:themeColor="text1" w:themeTint="F2"/>
              </w:rPr>
              <w:t xml:space="preserve">, v nichž se dříve dynamický růst poptávky v předchozích třech letech zastavil. </w:t>
            </w:r>
            <w:r w:rsidRPr="00EE0E68">
              <w:rPr>
                <w:rFonts w:cs="Arial"/>
                <w:color w:val="0D0D0D" w:themeColor="text1" w:themeTint="F2"/>
              </w:rPr>
              <w:lastRenderedPageBreak/>
              <w:t>V dlouhodobě se rozvíjejících činnostech v oblasti IT</w:t>
            </w:r>
            <w:r w:rsidRPr="00EE0E68">
              <w:rPr>
                <w:rStyle w:val="Znakapoznpodarou"/>
                <w:color w:val="0D0D0D" w:themeColor="text1" w:themeTint="F2"/>
              </w:rPr>
              <w:footnoteReference w:id="29"/>
            </w:r>
            <w:r w:rsidRPr="00EE0E68">
              <w:rPr>
                <w:rFonts w:cs="Arial"/>
                <w:color w:val="0D0D0D" w:themeColor="text1" w:themeTint="F2"/>
              </w:rPr>
              <w:t xml:space="preserve"> rostly letos tržby mírněji (+2,4 %). V malém segmentu ICT – filmovém a hudebním průmyslu – tržby po loňském propadu</w:t>
            </w:r>
            <w:r w:rsidRPr="00EE0E68">
              <w:rPr>
                <w:rStyle w:val="Znakapoznpodarou"/>
                <w:color w:val="0D0D0D" w:themeColor="text1" w:themeTint="F2"/>
              </w:rPr>
              <w:footnoteReference w:id="30"/>
            </w:r>
            <w:r w:rsidRPr="00EE0E68">
              <w:rPr>
                <w:rFonts w:cs="Arial"/>
                <w:color w:val="0D0D0D" w:themeColor="text1" w:themeTint="F2"/>
              </w:rPr>
              <w:t xml:space="preserve"> téměř stagnovaly</w:t>
            </w:r>
            <w:r w:rsidRPr="00EE0E68">
              <w:rPr>
                <w:rStyle w:val="Znakapoznpodarou"/>
                <w:color w:val="0D0D0D" w:themeColor="text1" w:themeTint="F2"/>
              </w:rPr>
              <w:footnoteReference w:id="31"/>
            </w:r>
            <w:r w:rsidRPr="00EE0E68">
              <w:rPr>
                <w:rFonts w:cs="Arial"/>
                <w:color w:val="0D0D0D" w:themeColor="text1" w:themeTint="F2"/>
              </w:rPr>
              <w:t xml:space="preserve"> a oproti roku 2019 byly nižší o více než třetinu. V tvorbě televizních a rozhlasových programů, ve které jako jednom z mála dílčích odvětví služeb výrazněji nepropadla poptávka během „pandemického roku“ 2020, letos tržby proti loňsku klesly skoro o sedminu.</w:t>
            </w:r>
          </w:p>
        </w:tc>
      </w:tr>
      <w:tr w:rsidR="00EE0E68" w14:paraId="6259629C" w14:textId="77777777" w:rsidTr="004C456F">
        <w:trPr>
          <w:trHeight w:val="170"/>
        </w:trPr>
        <w:tc>
          <w:tcPr>
            <w:tcW w:w="1737" w:type="dxa"/>
            <w:shd w:val="clear" w:color="auto" w:fill="auto"/>
            <w:tcMar>
              <w:left w:w="0" w:type="dxa"/>
            </w:tcMar>
          </w:tcPr>
          <w:p w14:paraId="6154F109" w14:textId="77777777" w:rsidR="00EE0E68" w:rsidRPr="00EE0E68" w:rsidRDefault="00EE0E68" w:rsidP="00EE0E68">
            <w:pPr>
              <w:pStyle w:val="Marginlie"/>
              <w:rPr>
                <w:spacing w:val="0"/>
              </w:rPr>
            </w:pPr>
            <w:r w:rsidRPr="00EE0E68">
              <w:rPr>
                <w:spacing w:val="0"/>
              </w:rPr>
              <w:lastRenderedPageBreak/>
              <w:t>Růst tržeb ve vyspělých službách pro podniky letos zrychlil. Nejvíce rostla poptávka v oblasti právních činností. Naopak mírný útlum poptávky pokračoval v reklamě.</w:t>
            </w:r>
          </w:p>
        </w:tc>
        <w:tc>
          <w:tcPr>
            <w:tcW w:w="179" w:type="dxa"/>
            <w:shd w:val="clear" w:color="auto" w:fill="auto"/>
            <w:tcMar>
              <w:left w:w="0" w:type="dxa"/>
            </w:tcMar>
          </w:tcPr>
          <w:p w14:paraId="12AFC881" w14:textId="77777777" w:rsidR="00EE0E68" w:rsidRPr="00EE0E68" w:rsidRDefault="00EE0E68" w:rsidP="00EE0E68">
            <w:pPr>
              <w:pStyle w:val="Textpoznpodarou"/>
              <w:jc w:val="both"/>
              <w:rPr>
                <w:color w:val="0D0D0D" w:themeColor="text1" w:themeTint="F2"/>
              </w:rPr>
            </w:pPr>
          </w:p>
        </w:tc>
        <w:tc>
          <w:tcPr>
            <w:tcW w:w="7730" w:type="dxa"/>
            <w:shd w:val="clear" w:color="auto" w:fill="auto"/>
            <w:tcMar>
              <w:left w:w="0" w:type="dxa"/>
            </w:tcMar>
          </w:tcPr>
          <w:p w14:paraId="7CABB55B" w14:textId="6EA5C6F2" w:rsidR="00EE0E68" w:rsidRPr="00EE0E68" w:rsidRDefault="00EE0E68" w:rsidP="00EE0E68">
            <w:pPr>
              <w:spacing w:after="200"/>
              <w:rPr>
                <w:bCs/>
                <w:color w:val="0D0D0D" w:themeColor="text1" w:themeTint="F2"/>
              </w:rPr>
            </w:pPr>
            <w:r w:rsidRPr="00EE0E68">
              <w:rPr>
                <w:rFonts w:cs="Arial"/>
                <w:color w:val="0D0D0D" w:themeColor="text1" w:themeTint="F2"/>
                <w:szCs w:val="20"/>
              </w:rPr>
              <w:t>Rozvoj poptávky po podnikových službách byl letos soustředěn téměř výhradně do odvětví profesních, vědeckých a technických činností, v němž v 1. pololetí meziroční růst tržeb zrychlil na 3,7 % (posílení celkových tržeb ve službách podpořil 0,8 p. b.). S výjimkou reklamních činností</w:t>
            </w:r>
            <w:r w:rsidRPr="00EE0E68">
              <w:rPr>
                <w:rStyle w:val="Znakapoznpodarou"/>
                <w:color w:val="0D0D0D" w:themeColor="text1" w:themeTint="F2"/>
                <w:szCs w:val="20"/>
              </w:rPr>
              <w:footnoteReference w:id="32"/>
            </w:r>
            <w:r w:rsidRPr="00EE0E68">
              <w:rPr>
                <w:rFonts w:cs="Arial"/>
                <w:color w:val="0D0D0D" w:themeColor="text1" w:themeTint="F2"/>
                <w:szCs w:val="20"/>
              </w:rPr>
              <w:t xml:space="preserve"> se zde dařilo všem dílčím oborům. Rozvoj celého odvětví byl tažen činnostmi vedení podniků a poradenstvím v oblasti řízení, kde růst tržeb zrychlil na 12,9 % (nejvyšší tempo od konce roku 2021). Rovněž poptávka v dlouhodobě rostoucích právnických a účetnických činnostech aktuálně posilovala (na 5,2 %)</w:t>
            </w:r>
            <w:r w:rsidRPr="00EE0E68">
              <w:rPr>
                <w:rStyle w:val="Znakapoznpodarou"/>
                <w:color w:val="0D0D0D" w:themeColor="text1" w:themeTint="F2"/>
                <w:szCs w:val="20"/>
              </w:rPr>
              <w:footnoteReference w:id="33"/>
            </w:r>
            <w:r w:rsidRPr="00EE0E68">
              <w:rPr>
                <w:rFonts w:cs="Arial"/>
                <w:color w:val="0D0D0D" w:themeColor="text1" w:themeTint="F2"/>
                <w:szCs w:val="20"/>
              </w:rPr>
              <w:t>. V</w:t>
            </w:r>
            <w:r w:rsidRPr="00EE0E68">
              <w:t xml:space="preserve"> a</w:t>
            </w:r>
            <w:r w:rsidRPr="00EE0E68">
              <w:rPr>
                <w:rFonts w:cs="Arial"/>
                <w:color w:val="0D0D0D" w:themeColor="text1" w:themeTint="F2"/>
                <w:szCs w:val="20"/>
              </w:rPr>
              <w:t xml:space="preserve">rchitektonických a inženýrských činnostech vzrostly tržby navzdory aktuálně svižnému rozvoji stavebnictví jen mírně (+1,6 %). Dynamičtější růst poptávky pokračoval druhým rokem v diverzifikovaném segmentu </w:t>
            </w:r>
            <w:r w:rsidRPr="00EE0E68">
              <w:t>ostatních profesních, vědeckých a</w:t>
            </w:r>
            <w:r>
              <w:t> </w:t>
            </w:r>
            <w:r w:rsidRPr="00EE0E68">
              <w:t>technických činností (+7,1 %)</w:t>
            </w:r>
            <w:r w:rsidRPr="00EE0E68">
              <w:rPr>
                <w:rStyle w:val="Znakapoznpodarou"/>
              </w:rPr>
              <w:footnoteReference w:id="34"/>
            </w:r>
            <w:r w:rsidRPr="00EE0E68">
              <w:t xml:space="preserve"> a v samotném 2. čtvrtletí 2025 se zde tržby dorovnaly úrovni ze stejného období roku 2019.</w:t>
            </w:r>
          </w:p>
        </w:tc>
      </w:tr>
      <w:tr w:rsidR="00EE0E68" w14:paraId="45FFEC7B" w14:textId="77777777" w:rsidTr="004C456F">
        <w:trPr>
          <w:trHeight w:val="170"/>
        </w:trPr>
        <w:tc>
          <w:tcPr>
            <w:tcW w:w="1737" w:type="dxa"/>
            <w:shd w:val="clear" w:color="auto" w:fill="auto"/>
            <w:tcMar>
              <w:left w:w="0" w:type="dxa"/>
            </w:tcMar>
          </w:tcPr>
          <w:p w14:paraId="1A28F2EF" w14:textId="77777777" w:rsidR="00EE0E68" w:rsidRPr="00EE0E68" w:rsidRDefault="00EE0E68" w:rsidP="00EE0E68">
            <w:pPr>
              <w:pStyle w:val="Marginlie"/>
              <w:rPr>
                <w:spacing w:val="0"/>
              </w:rPr>
            </w:pPr>
            <w:r w:rsidRPr="00EE0E68">
              <w:rPr>
                <w:spacing w:val="0"/>
              </w:rPr>
              <w:t xml:space="preserve">K mírnému růstu tržeb v dopravě a skladování přispěly všechny dílčí obory vyjma letecké dopravy. </w:t>
            </w:r>
          </w:p>
        </w:tc>
        <w:tc>
          <w:tcPr>
            <w:tcW w:w="179" w:type="dxa"/>
            <w:shd w:val="clear" w:color="auto" w:fill="auto"/>
            <w:tcMar>
              <w:left w:w="0" w:type="dxa"/>
            </w:tcMar>
          </w:tcPr>
          <w:p w14:paraId="2FFC82C2" w14:textId="77777777" w:rsidR="00EE0E68" w:rsidRPr="00EE0E68" w:rsidRDefault="00EE0E68" w:rsidP="00EE0E68">
            <w:pPr>
              <w:pStyle w:val="Textpoznpodarou"/>
              <w:jc w:val="both"/>
              <w:rPr>
                <w:color w:val="0D0D0D" w:themeColor="text1" w:themeTint="F2"/>
              </w:rPr>
            </w:pPr>
          </w:p>
        </w:tc>
        <w:tc>
          <w:tcPr>
            <w:tcW w:w="7730" w:type="dxa"/>
            <w:shd w:val="clear" w:color="auto" w:fill="auto"/>
            <w:tcMar>
              <w:left w:w="0" w:type="dxa"/>
            </w:tcMar>
          </w:tcPr>
          <w:p w14:paraId="05310E58" w14:textId="5F5EF708" w:rsidR="00EE0E68" w:rsidRPr="00EE0E68" w:rsidRDefault="00EE0E68" w:rsidP="00EE0E68">
            <w:pPr>
              <w:spacing w:after="200"/>
              <w:rPr>
                <w:rFonts w:cs="Arial"/>
                <w:color w:val="0D0D0D" w:themeColor="text1" w:themeTint="F2"/>
                <w:szCs w:val="20"/>
              </w:rPr>
            </w:pPr>
            <w:r w:rsidRPr="00EE0E68">
              <w:rPr>
                <w:rFonts w:cs="Arial"/>
                <w:color w:val="0D0D0D" w:themeColor="text1" w:themeTint="F2"/>
                <w:szCs w:val="20"/>
              </w:rPr>
              <w:t>Posledním odvětvím, jež letos významněji podpořilo růst služeb, byla doprava a</w:t>
            </w:r>
            <w:r>
              <w:rPr>
                <w:rFonts w:cs="Arial"/>
                <w:color w:val="0D0D0D" w:themeColor="text1" w:themeTint="F2"/>
                <w:szCs w:val="20"/>
              </w:rPr>
              <w:t> </w:t>
            </w:r>
            <w:r w:rsidRPr="00EE0E68">
              <w:rPr>
                <w:rFonts w:cs="Arial"/>
                <w:color w:val="0D0D0D" w:themeColor="text1" w:themeTint="F2"/>
                <w:szCs w:val="20"/>
              </w:rPr>
              <w:t>skladování, kde tržby meziročně posílily o 2,5 % a k růstu služeb přispěly 0,6 p. b. Rozhodující vliv zde měl váhově významný segment skladování (vč. vedlejších činností v dopravě), ve kterém se tržby zvýšily o 3,9 % a ve srovnání s rokem 2019 byly vyšší zhruba o šestinu. Podobně na tom v obou ohledech byly poštovní a kurýrní činnosti, jež těží ze současného dynamického rozvoje internetového prodeje. V pozemní a potrubní dopravě rostly letos tržby volněji (+1,8 %), když rostla poptávka zejména v železniční osobní dopravě a také v silniční nákladní dopravě. Ve váhově okrajovém segmentu letecké dopravy rychlé zotavování poptávky z předchozích let již nepokračovalo a tržby se meziročně mírně snížily (o 1,6 %). Stále tak mírně zaostávaly za rokem 2019 (</w:t>
            </w:r>
            <w:r w:rsidRPr="00EE0E68">
              <w:rPr>
                <w:color w:val="0D0D0D" w:themeColor="text1" w:themeTint="F2"/>
              </w:rPr>
              <w:t>−</w:t>
            </w:r>
            <w:r w:rsidRPr="00EE0E68">
              <w:rPr>
                <w:rFonts w:cs="Arial"/>
                <w:color w:val="0D0D0D" w:themeColor="text1" w:themeTint="F2"/>
                <w:szCs w:val="20"/>
              </w:rPr>
              <w:t>7,9</w:t>
            </w:r>
            <w:r>
              <w:rPr>
                <w:rFonts w:cs="Arial"/>
                <w:color w:val="0D0D0D" w:themeColor="text1" w:themeTint="F2"/>
                <w:szCs w:val="20"/>
              </w:rPr>
              <w:t> </w:t>
            </w:r>
            <w:r w:rsidRPr="00EE0E68">
              <w:rPr>
                <w:rFonts w:cs="Arial"/>
                <w:color w:val="0D0D0D" w:themeColor="text1" w:themeTint="F2"/>
                <w:szCs w:val="20"/>
              </w:rPr>
              <w:t>%), což platí i pro vodní dopravu (</w:t>
            </w:r>
            <w:r w:rsidRPr="00EE0E68">
              <w:rPr>
                <w:color w:val="0D0D0D" w:themeColor="text1" w:themeTint="F2"/>
              </w:rPr>
              <w:t>−</w:t>
            </w:r>
            <w:r w:rsidRPr="00EE0E68">
              <w:rPr>
                <w:rFonts w:cs="Arial"/>
                <w:color w:val="0D0D0D" w:themeColor="text1" w:themeTint="F2"/>
                <w:szCs w:val="20"/>
              </w:rPr>
              <w:t>17,4 %).</w:t>
            </w:r>
          </w:p>
        </w:tc>
      </w:tr>
      <w:tr w:rsidR="00EE0E68" w14:paraId="603A47EE" w14:textId="77777777" w:rsidTr="004C456F">
        <w:trPr>
          <w:trHeight w:val="170"/>
        </w:trPr>
        <w:tc>
          <w:tcPr>
            <w:tcW w:w="1737" w:type="dxa"/>
            <w:shd w:val="clear" w:color="auto" w:fill="auto"/>
            <w:tcMar>
              <w:left w:w="0" w:type="dxa"/>
            </w:tcMar>
          </w:tcPr>
          <w:p w14:paraId="06201277" w14:textId="77777777" w:rsidR="00EE0E68" w:rsidRPr="00EE0E68" w:rsidRDefault="00EE0E68" w:rsidP="00EE0E68">
            <w:pPr>
              <w:pStyle w:val="Marginlie"/>
              <w:rPr>
                <w:spacing w:val="0"/>
              </w:rPr>
            </w:pPr>
            <w:r w:rsidRPr="00EE0E68">
              <w:rPr>
                <w:spacing w:val="0"/>
              </w:rPr>
              <w:t xml:space="preserve">Mírný meziroční růst tržeb ve stravování </w:t>
            </w:r>
            <w:r w:rsidRPr="00EE0E68">
              <w:rPr>
                <w:spacing w:val="0"/>
              </w:rPr>
              <w:br/>
              <w:t>a pohostinství se letos obnovil. V ubytování však pokračoval lehký pokles tržeb čtvrté pololetí v řadě.</w:t>
            </w:r>
          </w:p>
        </w:tc>
        <w:tc>
          <w:tcPr>
            <w:tcW w:w="179" w:type="dxa"/>
            <w:shd w:val="clear" w:color="auto" w:fill="auto"/>
            <w:tcMar>
              <w:left w:w="0" w:type="dxa"/>
            </w:tcMar>
          </w:tcPr>
          <w:p w14:paraId="1771024D" w14:textId="77777777" w:rsidR="00EE0E68" w:rsidRPr="00EE0E68" w:rsidRDefault="00EE0E68" w:rsidP="00EE0E68">
            <w:pPr>
              <w:pStyle w:val="Textpoznpodarou"/>
              <w:jc w:val="both"/>
              <w:rPr>
                <w:color w:val="0D0D0D" w:themeColor="text1" w:themeTint="F2"/>
              </w:rPr>
            </w:pPr>
          </w:p>
        </w:tc>
        <w:tc>
          <w:tcPr>
            <w:tcW w:w="7730" w:type="dxa"/>
            <w:shd w:val="clear" w:color="auto" w:fill="auto"/>
            <w:tcMar>
              <w:left w:w="0" w:type="dxa"/>
            </w:tcMar>
          </w:tcPr>
          <w:p w14:paraId="6571F7BF" w14:textId="77777777" w:rsidR="00EE0E68" w:rsidRPr="00EE0E68" w:rsidRDefault="00EE0E68" w:rsidP="00EE0E68">
            <w:pPr>
              <w:spacing w:after="200"/>
              <w:rPr>
                <w:rFonts w:cs="Arial"/>
                <w:color w:val="0D0D0D" w:themeColor="text1" w:themeTint="F2"/>
                <w:szCs w:val="20"/>
              </w:rPr>
            </w:pPr>
            <w:r w:rsidRPr="00EE0E68">
              <w:rPr>
                <w:bCs/>
              </w:rPr>
              <w:t>V ubytování, stravování a pohostinství se po mírném poklesu poptávky ve druhé polovině loňského roku tržby v 1. pololetí 2025 opět meziročně mírně zvýšily (+1,2 %). Na tomto oživení se podílel pouze segment stravování a pohostinství, jemuž pomohly rostoucí příjmy domácností. Naopak u</w:t>
            </w:r>
            <w:r w:rsidRPr="00EE0E68">
              <w:rPr>
                <w:rFonts w:cs="Arial"/>
                <w:color w:val="0D0D0D" w:themeColor="text1" w:themeTint="F2"/>
              </w:rPr>
              <w:t xml:space="preserve"> subjektů, jejichž převažující ekonomická činnost spočívá v ubytování, tržby nepatrně klesly (</w:t>
            </w:r>
            <w:r w:rsidRPr="00EE0E68">
              <w:rPr>
                <w:bCs/>
              </w:rPr>
              <w:t>o 0,4 %) a trend slabší poptávky zde přetrvával již čtvrté pololetí v řadě. To může souviset i s rychlým růstem cen těchto služeb</w:t>
            </w:r>
            <w:r w:rsidRPr="00EE0E68">
              <w:rPr>
                <w:rStyle w:val="Znakapoznpodarou"/>
                <w:color w:val="0D0D0D" w:themeColor="text1" w:themeTint="F2"/>
              </w:rPr>
              <w:footnoteReference w:id="35"/>
            </w:r>
            <w:r w:rsidRPr="00EE0E68">
              <w:rPr>
                <w:bCs/>
              </w:rPr>
              <w:t xml:space="preserve">. </w:t>
            </w:r>
            <w:r w:rsidRPr="00EE0E68">
              <w:rPr>
                <w:rFonts w:cs="Arial"/>
                <w:color w:val="0D0D0D" w:themeColor="text1" w:themeTint="F2"/>
              </w:rPr>
              <w:t xml:space="preserve">Naturální ukazatele v oblasti příjezdového cestovního ruchu naznačují oproti reálným tržbám mírně lepší výsledky. </w:t>
            </w:r>
            <w:r w:rsidRPr="00EE0E68">
              <w:rPr>
                <w:rFonts w:eastAsia="Arial" w:cs="Arial"/>
                <w:szCs w:val="20"/>
              </w:rPr>
              <w:t>Tuzemští poskytovatelé hromadného ubytování (HUZ) registrovali ve 2.</w:t>
            </w:r>
            <w:r w:rsidRPr="00EE0E68">
              <w:rPr>
                <w:rFonts w:cs="Arial"/>
                <w:color w:val="0D0D0D" w:themeColor="text1" w:themeTint="F2"/>
              </w:rPr>
              <w:t> </w:t>
            </w:r>
            <w:r w:rsidRPr="00EE0E68">
              <w:rPr>
                <w:rFonts w:eastAsia="Arial" w:cs="Arial"/>
                <w:szCs w:val="20"/>
              </w:rPr>
              <w:t>čtvrtletí 6,3 mil. hostů (z toho 2,9 mil. ze zahraničí), kteří zde strávili 15,0 mil. nocí. Meziročně přibylo jak hostů (+5,6 %), tak jejich přenocování (6,9 %)</w:t>
            </w:r>
            <w:r w:rsidRPr="00EE0E68">
              <w:rPr>
                <w:rStyle w:val="Znakapoznpodarou"/>
                <w:rFonts w:eastAsia="Arial"/>
                <w:szCs w:val="20"/>
              </w:rPr>
              <w:footnoteReference w:id="36"/>
            </w:r>
            <w:r w:rsidRPr="00EE0E68">
              <w:rPr>
                <w:rFonts w:eastAsia="Arial" w:cs="Arial"/>
                <w:szCs w:val="20"/>
              </w:rPr>
              <w:t>.</w:t>
            </w:r>
          </w:p>
        </w:tc>
      </w:tr>
      <w:tr w:rsidR="00EE0E68" w14:paraId="7E598A17" w14:textId="77777777" w:rsidTr="004C456F">
        <w:trPr>
          <w:trHeight w:val="170"/>
        </w:trPr>
        <w:tc>
          <w:tcPr>
            <w:tcW w:w="1737" w:type="dxa"/>
            <w:shd w:val="clear" w:color="auto" w:fill="auto"/>
            <w:tcMar>
              <w:left w:w="0" w:type="dxa"/>
            </w:tcMar>
          </w:tcPr>
          <w:p w14:paraId="36E664BB" w14:textId="77777777" w:rsidR="00EE0E68" w:rsidRPr="00EE0E68" w:rsidRDefault="00EE0E68" w:rsidP="00EE0E68">
            <w:pPr>
              <w:pStyle w:val="Marginlie"/>
              <w:rPr>
                <w:spacing w:val="0"/>
              </w:rPr>
            </w:pPr>
          </w:p>
        </w:tc>
        <w:tc>
          <w:tcPr>
            <w:tcW w:w="179" w:type="dxa"/>
            <w:shd w:val="clear" w:color="auto" w:fill="auto"/>
            <w:tcMar>
              <w:left w:w="0" w:type="dxa"/>
            </w:tcMar>
          </w:tcPr>
          <w:p w14:paraId="3FB329A8" w14:textId="77777777" w:rsidR="00EE0E68" w:rsidRPr="00EE0E68" w:rsidRDefault="00EE0E68" w:rsidP="00EE0E68">
            <w:pPr>
              <w:pStyle w:val="Textpoznpodarou"/>
              <w:jc w:val="both"/>
            </w:pPr>
          </w:p>
        </w:tc>
        <w:tc>
          <w:tcPr>
            <w:tcW w:w="7730" w:type="dxa"/>
            <w:shd w:val="clear" w:color="auto" w:fill="auto"/>
            <w:tcMar>
              <w:left w:w="0" w:type="dxa"/>
            </w:tcMar>
          </w:tcPr>
          <w:p w14:paraId="5751F60F" w14:textId="77777777" w:rsidR="00EE0E68" w:rsidRPr="00EE0E68" w:rsidRDefault="00EE0E68" w:rsidP="00EE0E68">
            <w:pPr>
              <w:spacing w:after="40"/>
              <w:rPr>
                <w:b/>
              </w:rPr>
            </w:pPr>
            <w:r w:rsidRPr="00EE0E68">
              <w:rPr>
                <w:b/>
              </w:rPr>
              <w:t xml:space="preserve">Graf č. 7 </w:t>
            </w:r>
            <w:r w:rsidRPr="00EE0E68">
              <w:rPr>
                <w:b/>
                <w:bCs/>
              </w:rPr>
              <w:t>Příspěvky dílčích odvětví k meziroční změně tržeb ve službách*</w:t>
            </w:r>
            <w:r w:rsidRPr="00EE0E68">
              <w:rPr>
                <w:b/>
              </w:rPr>
              <w:br/>
            </w:r>
            <w:r w:rsidRPr="00EE0E68">
              <w:t>(reálně, v p. b),</w:t>
            </w:r>
            <w:r w:rsidRPr="00EE0E68">
              <w:rPr>
                <w:b/>
              </w:rPr>
              <w:t xml:space="preserve"> </w:t>
            </w:r>
            <w:r w:rsidRPr="00EE0E68">
              <w:rPr>
                <w:b/>
                <w:bCs/>
              </w:rPr>
              <w:t xml:space="preserve">celkové tržby ve službách* </w:t>
            </w:r>
            <w:r w:rsidRPr="00EE0E68">
              <w:t>(báze 2021=100, pravá osa),</w:t>
            </w:r>
            <w:r w:rsidRPr="00EE0E68">
              <w:rPr>
                <w:b/>
              </w:rPr>
              <w:t xml:space="preserve"> </w:t>
            </w:r>
            <w:r w:rsidRPr="00EE0E68">
              <w:rPr>
                <w:b/>
                <w:bCs/>
              </w:rPr>
              <w:t>saldo důvěry podnikatelů ve službách**</w:t>
            </w:r>
            <w:r w:rsidRPr="00EE0E68">
              <w:rPr>
                <w:b/>
              </w:rPr>
              <w:t xml:space="preserve"> </w:t>
            </w:r>
            <w:r w:rsidRPr="00EE0E68">
              <w:t>(v p. b., pravá osa)</w:t>
            </w:r>
            <w:r w:rsidRPr="00EE0E68">
              <w:rPr>
                <w:b/>
                <w:bCs/>
              </w:rPr>
              <w:t xml:space="preserve"> a bariéry růstu**</w:t>
            </w:r>
            <w:r w:rsidRPr="00EE0E68">
              <w:rPr>
                <w:b/>
              </w:rPr>
              <w:t xml:space="preserve"> </w:t>
            </w:r>
            <w:r w:rsidRPr="00EE0E68">
              <w:t xml:space="preserve">(v %, pravá osa) </w:t>
            </w:r>
          </w:p>
        </w:tc>
      </w:tr>
      <w:tr w:rsidR="00EE0E68" w14:paraId="32970B9F" w14:textId="77777777" w:rsidTr="004C456F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1737" w:type="dxa"/>
            <w:shd w:val="clear" w:color="auto" w:fill="auto"/>
          </w:tcPr>
          <w:p w14:paraId="4C13A318" w14:textId="77777777" w:rsidR="00EE0E68" w:rsidRPr="00EE0E68" w:rsidRDefault="00EE0E68" w:rsidP="00EE0E68">
            <w:pPr>
              <w:pStyle w:val="Marginlie"/>
              <w:rPr>
                <w:spacing w:val="0"/>
              </w:rPr>
            </w:pPr>
          </w:p>
        </w:tc>
        <w:tc>
          <w:tcPr>
            <w:tcW w:w="179" w:type="dxa"/>
            <w:shd w:val="clear" w:color="auto" w:fill="auto"/>
          </w:tcPr>
          <w:p w14:paraId="2864AA9C" w14:textId="77777777" w:rsidR="00EE0E68" w:rsidRPr="00EE0E68" w:rsidRDefault="00EE0E68" w:rsidP="00EE0E68">
            <w:pPr>
              <w:pStyle w:val="Textpoznpodarou"/>
              <w:jc w:val="both"/>
            </w:pPr>
          </w:p>
        </w:tc>
        <w:tc>
          <w:tcPr>
            <w:tcW w:w="7730" w:type="dxa"/>
            <w:shd w:val="clear" w:color="auto" w:fill="auto"/>
          </w:tcPr>
          <w:p w14:paraId="38F1E2D0" w14:textId="77777777" w:rsidR="00EE0E68" w:rsidRPr="00EE0E68" w:rsidRDefault="00EE0E68" w:rsidP="00EE0E68">
            <w:pPr>
              <w:spacing w:before="40" w:after="40"/>
              <w:rPr>
                <w:rFonts w:cs="Arial"/>
                <w:sz w:val="14"/>
                <w:szCs w:val="14"/>
              </w:rPr>
            </w:pPr>
            <w:r w:rsidRPr="00EE0E68">
              <w:rPr>
                <w:noProof/>
              </w:rPr>
              <w:drawing>
                <wp:inline distT="0" distB="0" distL="0" distR="0" wp14:anchorId="54C54F98" wp14:editId="308B5003">
                  <wp:extent cx="4754880" cy="3636645"/>
                  <wp:effectExtent l="0" t="0" r="7620" b="1905"/>
                  <wp:docPr id="26" name="Graf 2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11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EE0E68" w14:paraId="5D35A087" w14:textId="77777777" w:rsidTr="004C456F">
        <w:trPr>
          <w:trHeight w:val="170"/>
        </w:trPr>
        <w:tc>
          <w:tcPr>
            <w:tcW w:w="1737" w:type="dxa"/>
            <w:shd w:val="clear" w:color="auto" w:fill="auto"/>
            <w:tcMar>
              <w:left w:w="0" w:type="dxa"/>
            </w:tcMar>
          </w:tcPr>
          <w:p w14:paraId="67A5A63B" w14:textId="77777777" w:rsidR="00EE0E68" w:rsidRPr="00EE0E68" w:rsidRDefault="00EE0E68" w:rsidP="00EE0E68">
            <w:pPr>
              <w:pStyle w:val="Marginlie"/>
              <w:rPr>
                <w:spacing w:val="0"/>
              </w:rPr>
            </w:pPr>
          </w:p>
        </w:tc>
        <w:tc>
          <w:tcPr>
            <w:tcW w:w="179" w:type="dxa"/>
            <w:shd w:val="clear" w:color="auto" w:fill="auto"/>
            <w:tcMar>
              <w:left w:w="0" w:type="dxa"/>
            </w:tcMar>
          </w:tcPr>
          <w:p w14:paraId="58E70C9C" w14:textId="77777777" w:rsidR="00EE0E68" w:rsidRPr="00EE0E68" w:rsidRDefault="00EE0E68" w:rsidP="00EE0E68">
            <w:pPr>
              <w:pStyle w:val="Textpoznpodarou"/>
              <w:jc w:val="both"/>
            </w:pPr>
          </w:p>
        </w:tc>
        <w:tc>
          <w:tcPr>
            <w:tcW w:w="7730" w:type="dxa"/>
            <w:shd w:val="clear" w:color="auto" w:fill="auto"/>
            <w:tcMar>
              <w:left w:w="0" w:type="dxa"/>
            </w:tcMar>
          </w:tcPr>
          <w:p w14:paraId="32DB9B15" w14:textId="77777777" w:rsidR="00EE0E68" w:rsidRPr="00EE0E68" w:rsidRDefault="00EE0E68" w:rsidP="00EE0E68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EE0E68">
              <w:rPr>
                <w:rFonts w:cs="Arial"/>
                <w:sz w:val="14"/>
                <w:szCs w:val="14"/>
              </w:rPr>
              <w:t>Poznámka: všechny údaje jsou sezónně očištěny, pouze příspěvky dílčích odvětví k růstu tržeb jsou očištěny jen o kalendářní vlivy.</w:t>
            </w:r>
          </w:p>
          <w:p w14:paraId="2DD94960" w14:textId="77777777" w:rsidR="00EE0E68" w:rsidRPr="00EE0E68" w:rsidRDefault="00EE0E68" w:rsidP="00EE0E68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EE0E68">
              <w:rPr>
                <w:rFonts w:cs="Arial"/>
                <w:sz w:val="14"/>
                <w:szCs w:val="14"/>
              </w:rPr>
              <w:t>*Bez odvětví obchodu, peněžnictví, pojišťovnictví, vědy, výzkumu a veřejných služeb.</w:t>
            </w:r>
          </w:p>
          <w:p w14:paraId="03E0AC10" w14:textId="77777777" w:rsidR="00EE0E68" w:rsidRPr="00EE0E68" w:rsidRDefault="00EE0E68" w:rsidP="00EE0E68">
            <w:pPr>
              <w:spacing w:after="200" w:line="240" w:lineRule="auto"/>
              <w:rPr>
                <w:rFonts w:cs="Arial"/>
                <w:sz w:val="14"/>
                <w:szCs w:val="14"/>
              </w:rPr>
            </w:pPr>
            <w:r w:rsidRPr="00EE0E68">
              <w:rPr>
                <w:rFonts w:cs="Arial"/>
                <w:sz w:val="14"/>
                <w:szCs w:val="14"/>
              </w:rPr>
              <w:t>.**Zahrnuje i finanční sektor. Bariéry růstu vyjadřují stav k prvnímu měsíci daného čtvrtletí, saldo důvěry podnikatelů pak ke druhému měsíci. Podniky mohly uvést více hlavních bariér současně.                        Zdroj: ČSÚ, Eurostat</w:t>
            </w:r>
          </w:p>
        </w:tc>
      </w:tr>
      <w:tr w:rsidR="00EE0E68" w14:paraId="5E1320F2" w14:textId="77777777" w:rsidTr="004C456F">
        <w:trPr>
          <w:trHeight w:val="155"/>
        </w:trPr>
        <w:tc>
          <w:tcPr>
            <w:tcW w:w="1737" w:type="dxa"/>
            <w:shd w:val="clear" w:color="auto" w:fill="auto"/>
            <w:tcMar>
              <w:left w:w="0" w:type="dxa"/>
            </w:tcMar>
          </w:tcPr>
          <w:p w14:paraId="6D5C3627" w14:textId="77777777" w:rsidR="00EE0E68" w:rsidRPr="00EE0E68" w:rsidRDefault="00EE0E68" w:rsidP="00EE0E68">
            <w:pPr>
              <w:pStyle w:val="Marginlie"/>
              <w:rPr>
                <w:spacing w:val="0"/>
              </w:rPr>
            </w:pPr>
            <w:r w:rsidRPr="00EE0E68">
              <w:rPr>
                <w:spacing w:val="0"/>
              </w:rPr>
              <w:t>Dříve dynamický růst tržeb cestovních agentur a kanceláří dále zvolňoval. Stabilní poptávku si udržoval pronájem a operativní leasing.</w:t>
            </w:r>
          </w:p>
          <w:p w14:paraId="05967194" w14:textId="77777777" w:rsidR="00EE0E68" w:rsidRPr="00EE0E68" w:rsidRDefault="00EE0E68" w:rsidP="00EE0E68">
            <w:pPr>
              <w:pStyle w:val="Marginlie"/>
              <w:rPr>
                <w:spacing w:val="0"/>
              </w:rPr>
            </w:pPr>
          </w:p>
          <w:p w14:paraId="778FF488" w14:textId="77777777" w:rsidR="00EE0E68" w:rsidRPr="00EE0E68" w:rsidRDefault="00EE0E68" w:rsidP="00EE0E68">
            <w:pPr>
              <w:pStyle w:val="Marginlie"/>
              <w:rPr>
                <w:spacing w:val="0"/>
              </w:rPr>
            </w:pPr>
          </w:p>
          <w:p w14:paraId="68A50754" w14:textId="77777777" w:rsidR="00EE0E68" w:rsidRPr="00EE0E68" w:rsidRDefault="00EE0E68" w:rsidP="00EE0E68">
            <w:pPr>
              <w:pStyle w:val="Marginlie"/>
              <w:rPr>
                <w:spacing w:val="0"/>
              </w:rPr>
            </w:pPr>
          </w:p>
          <w:p w14:paraId="1E172085" w14:textId="77777777" w:rsidR="00EE0E68" w:rsidRPr="00EE0E68" w:rsidRDefault="00EE0E68" w:rsidP="00EE0E68">
            <w:pPr>
              <w:pStyle w:val="Marginlie"/>
              <w:rPr>
                <w:spacing w:val="0"/>
              </w:rPr>
            </w:pPr>
          </w:p>
          <w:p w14:paraId="78476395" w14:textId="77777777" w:rsidR="00EE0E68" w:rsidRPr="00EE0E68" w:rsidRDefault="00EE0E68" w:rsidP="00EE0E68">
            <w:pPr>
              <w:pStyle w:val="Marginlie"/>
              <w:rPr>
                <w:spacing w:val="0"/>
              </w:rPr>
            </w:pPr>
          </w:p>
          <w:p w14:paraId="65C44017" w14:textId="77777777" w:rsidR="00EE0E68" w:rsidRPr="00EE0E68" w:rsidRDefault="00EE0E68" w:rsidP="00EE0E68">
            <w:pPr>
              <w:pStyle w:val="Marginlie"/>
              <w:rPr>
                <w:spacing w:val="0"/>
              </w:rPr>
            </w:pPr>
            <w:r w:rsidRPr="00EE0E68">
              <w:rPr>
                <w:spacing w:val="0"/>
              </w:rPr>
              <w:t xml:space="preserve">Pokles poptávky po bezpečnostních </w:t>
            </w:r>
            <w:r w:rsidRPr="00EE0E68">
              <w:rPr>
                <w:spacing w:val="0"/>
              </w:rPr>
              <w:br/>
              <w:t>a pátracích činnostech se výrazně prohloubil.</w:t>
            </w:r>
          </w:p>
          <w:p w14:paraId="34DBA107" w14:textId="77777777" w:rsidR="00EE0E68" w:rsidRPr="00EE0E68" w:rsidRDefault="00EE0E68" w:rsidP="00EE0E68">
            <w:pPr>
              <w:pStyle w:val="Marginlie"/>
              <w:rPr>
                <w:spacing w:val="0"/>
              </w:rPr>
            </w:pPr>
          </w:p>
        </w:tc>
        <w:tc>
          <w:tcPr>
            <w:tcW w:w="179" w:type="dxa"/>
            <w:shd w:val="clear" w:color="auto" w:fill="auto"/>
            <w:tcMar>
              <w:left w:w="0" w:type="dxa"/>
            </w:tcMar>
          </w:tcPr>
          <w:p w14:paraId="68BD47E2" w14:textId="77777777" w:rsidR="00EE0E68" w:rsidRPr="00EE0E68" w:rsidRDefault="00EE0E68" w:rsidP="00EE0E68">
            <w:pPr>
              <w:pStyle w:val="Textpoznpodarou"/>
              <w:jc w:val="both"/>
              <w:rPr>
                <w:bCs/>
              </w:rPr>
            </w:pPr>
          </w:p>
        </w:tc>
        <w:tc>
          <w:tcPr>
            <w:tcW w:w="7730" w:type="dxa"/>
            <w:shd w:val="clear" w:color="auto" w:fill="auto"/>
            <w:tcMar>
              <w:left w:w="0" w:type="dxa"/>
            </w:tcMar>
          </w:tcPr>
          <w:p w14:paraId="407B87BC" w14:textId="0615766F" w:rsidR="00EE0E68" w:rsidRPr="00EE0E68" w:rsidRDefault="00EE0E68" w:rsidP="00EE0E68">
            <w:pPr>
              <w:spacing w:after="200"/>
              <w:rPr>
                <w:bCs/>
              </w:rPr>
            </w:pPr>
            <w:r w:rsidRPr="00EE0E68">
              <w:rPr>
                <w:bCs/>
              </w:rPr>
              <w:t xml:space="preserve">V činnostech v oblasti nemovitostí v 1. pololetí tržby meziročně významně nezměnily </w:t>
            </w:r>
            <w:r w:rsidRPr="00EE0E68">
              <w:rPr>
                <w:bCs/>
              </w:rPr>
              <w:br/>
              <w:t xml:space="preserve">(+0,8 %) a navázaly na trend z předchozího </w:t>
            </w:r>
            <w:r w:rsidRPr="00EE0E68">
              <w:rPr>
                <w:bCs/>
                <w:color w:val="0D0D0D" w:themeColor="text1" w:themeTint="F2"/>
              </w:rPr>
              <w:t xml:space="preserve">roku. V odvětví </w:t>
            </w:r>
            <w:r w:rsidRPr="00EE0E68">
              <w:rPr>
                <w:color w:val="0D0D0D" w:themeColor="text1" w:themeTint="F2"/>
              </w:rPr>
              <w:t>administrativních a</w:t>
            </w:r>
            <w:r>
              <w:rPr>
                <w:color w:val="0D0D0D" w:themeColor="text1" w:themeTint="F2"/>
              </w:rPr>
              <w:t> </w:t>
            </w:r>
            <w:r w:rsidRPr="00EE0E68">
              <w:rPr>
                <w:color w:val="0D0D0D" w:themeColor="text1" w:themeTint="F2"/>
              </w:rPr>
              <w:t>podpůrných činností, poskytujících hlavně podnikům zpravidla služby s nižší přidanou hodnotou, se letos tržby zvýšily jen velmi mírně (+0,5 %). K vyšší poptávce zde nejvíce přispěly administrativní, kancelářské a jiné podpůrné činnosti pro podnikání</w:t>
            </w:r>
            <w:r w:rsidRPr="00EE0E68">
              <w:rPr>
                <w:rStyle w:val="Znakapoznpodarou"/>
                <w:color w:val="0D0D0D" w:themeColor="text1" w:themeTint="F2"/>
              </w:rPr>
              <w:footnoteReference w:id="37"/>
            </w:r>
            <w:r w:rsidRPr="00EE0E68">
              <w:rPr>
                <w:color w:val="0D0D0D" w:themeColor="text1" w:themeTint="F2"/>
              </w:rPr>
              <w:t xml:space="preserve">. Pokračoval i dlouhodobější rozvoj cestovních agentur a kanceláří. Jejich tržby se ovšem letos meziročně zvyšovaly mnohem mírněji než v předchozích letech (+0,6 %). I tak </w:t>
            </w:r>
            <w:r w:rsidRPr="00EE0E68">
              <w:rPr>
                <w:color w:val="0D0D0D" w:themeColor="text1" w:themeTint="F2"/>
              </w:rPr>
              <w:lastRenderedPageBreak/>
              <w:t>převýšily úroveň z roku 2019 již o desetinu.</w:t>
            </w:r>
            <w:r w:rsidRPr="00EE0E68">
              <w:rPr>
                <w:rStyle w:val="Znakapoznpodarou"/>
                <w:color w:val="0D0D0D" w:themeColor="text1" w:themeTint="F2"/>
              </w:rPr>
              <w:footnoteReference w:id="38"/>
            </w:r>
            <w:r w:rsidRPr="00EE0E68">
              <w:rPr>
                <w:color w:val="0D0D0D" w:themeColor="text1" w:themeTint="F2"/>
              </w:rPr>
              <w:t xml:space="preserve"> Vyšší poptávka domácností i podniků</w:t>
            </w:r>
            <w:r w:rsidRPr="00EE0E68">
              <w:rPr>
                <w:rStyle w:val="Znakapoznpodarou"/>
                <w:color w:val="0D0D0D" w:themeColor="text1" w:themeTint="F2"/>
              </w:rPr>
              <w:footnoteReference w:id="39"/>
            </w:r>
            <w:r w:rsidRPr="00EE0E68">
              <w:rPr>
                <w:color w:val="0D0D0D" w:themeColor="text1" w:themeTint="F2"/>
              </w:rPr>
              <w:t xml:space="preserve"> se promítla do růstu tržeb za pronájem a operativní leasing (+5,3 %), který tak navázal na loňské oživení. Naopak u řady méně sofistikovaných podnikových služeb stále přetrvávala slabší poptávka. Citelný pokles pracovních agentur pokračoval, jejich tržby se snižovaly převážně dvojciferným tempem již čtvrtým rokem v řadě</w:t>
            </w:r>
            <w:r w:rsidRPr="00EE0E68">
              <w:rPr>
                <w:rStyle w:val="Znakapoznpodarou"/>
                <w:color w:val="0D0D0D" w:themeColor="text1" w:themeTint="F2"/>
              </w:rPr>
              <w:footnoteReference w:id="40"/>
            </w:r>
            <w:r w:rsidRPr="00EE0E68">
              <w:rPr>
                <w:color w:val="0D0D0D" w:themeColor="text1" w:themeTint="F2"/>
              </w:rPr>
              <w:t>. Tlak na snižování nákladů spojený i s rozvojem digitalizace se odrazil v poklesu tržeb bezpečnostních a pátracích činností. Ten trvá již dva a půl roku a letos v 1. pololetí se prohloubil na 7,6 % (nejníže od konce roku 2009).</w:t>
            </w:r>
          </w:p>
        </w:tc>
      </w:tr>
      <w:tr w:rsidR="00EE0E68" w14:paraId="0E3BE422" w14:textId="77777777" w:rsidTr="004C456F">
        <w:trPr>
          <w:trHeight w:val="155"/>
        </w:trPr>
        <w:tc>
          <w:tcPr>
            <w:tcW w:w="1737" w:type="dxa"/>
            <w:shd w:val="clear" w:color="auto" w:fill="auto"/>
            <w:tcMar>
              <w:left w:w="0" w:type="dxa"/>
            </w:tcMar>
          </w:tcPr>
          <w:p w14:paraId="1EE3C21A" w14:textId="77777777" w:rsidR="00EE0E68" w:rsidRPr="00EE0E68" w:rsidRDefault="00EE0E68" w:rsidP="00EE0E68">
            <w:pPr>
              <w:pStyle w:val="Marginlie"/>
              <w:rPr>
                <w:spacing w:val="0"/>
              </w:rPr>
            </w:pPr>
            <w:r w:rsidRPr="00EE0E68">
              <w:rPr>
                <w:spacing w:val="0"/>
              </w:rPr>
              <w:lastRenderedPageBreak/>
              <w:t xml:space="preserve">Mezikvartální růst maloobchodních tržeb ve 2. čtvrtletí zrychlil, zejména zásluhou prodeje PHM </w:t>
            </w:r>
            <w:r w:rsidRPr="00EE0E68">
              <w:rPr>
                <w:spacing w:val="0"/>
              </w:rPr>
              <w:br/>
              <w:t>a internetových prodejů.</w:t>
            </w:r>
          </w:p>
        </w:tc>
        <w:tc>
          <w:tcPr>
            <w:tcW w:w="179" w:type="dxa"/>
            <w:shd w:val="clear" w:color="auto" w:fill="auto"/>
            <w:tcMar>
              <w:left w:w="0" w:type="dxa"/>
            </w:tcMar>
          </w:tcPr>
          <w:p w14:paraId="229A1F49" w14:textId="77777777" w:rsidR="00EE0E68" w:rsidRPr="00EE0E68" w:rsidRDefault="00EE0E68" w:rsidP="00EE0E68">
            <w:pPr>
              <w:pStyle w:val="Textpoznpodarou"/>
              <w:jc w:val="both"/>
            </w:pPr>
          </w:p>
        </w:tc>
        <w:tc>
          <w:tcPr>
            <w:tcW w:w="7730" w:type="dxa"/>
            <w:shd w:val="clear" w:color="auto" w:fill="auto"/>
            <w:tcMar>
              <w:left w:w="0" w:type="dxa"/>
            </w:tcMar>
          </w:tcPr>
          <w:p w14:paraId="0DAF0412" w14:textId="77777777" w:rsidR="00EE0E68" w:rsidRPr="00EE0E68" w:rsidRDefault="00EE0E68" w:rsidP="00EE0E68">
            <w:pPr>
              <w:spacing w:after="200"/>
              <w:rPr>
                <w:rFonts w:cs="Arial"/>
                <w:szCs w:val="20"/>
              </w:rPr>
            </w:pPr>
            <w:r w:rsidRPr="00EE0E68">
              <w:rPr>
                <w:rFonts w:cs="Arial"/>
                <w:color w:val="0D0D0D" w:themeColor="text1" w:themeTint="F2"/>
                <w:szCs w:val="20"/>
              </w:rPr>
              <w:t>Tržby v maloobchodu</w:t>
            </w:r>
            <w:r w:rsidRPr="00EE0E68">
              <w:rPr>
                <w:rStyle w:val="Znakapoznpodarou"/>
                <w:color w:val="0D0D0D" w:themeColor="text1" w:themeTint="F2"/>
              </w:rPr>
              <w:footnoteReference w:id="41"/>
            </w:r>
            <w:r w:rsidRPr="00EE0E68">
              <w:rPr>
                <w:rFonts w:cs="Arial"/>
                <w:color w:val="0D0D0D" w:themeColor="text1" w:themeTint="F2"/>
                <w:szCs w:val="20"/>
              </w:rPr>
              <w:t>, jež se mezikvartálně zvyšují nepřetržitě od poloviny roku 2023, letos v 1. čtvrtletí 2025 dále vzrostly o 0,8 % (obdobně posílily i na sklonku loňského roku). V následném období jejich tempo zrychlilo (na 1,5 %). Aktuální růst nastal prakticky napříč všemi segmenty maloobchodu</w:t>
            </w:r>
            <w:r w:rsidRPr="00EE0E68">
              <w:rPr>
                <w:rStyle w:val="Znakapoznpodarou"/>
                <w:color w:val="0D0D0D" w:themeColor="text1" w:themeTint="F2"/>
                <w:szCs w:val="20"/>
              </w:rPr>
              <w:footnoteReference w:id="42"/>
            </w:r>
            <w:r w:rsidRPr="00EE0E68">
              <w:rPr>
                <w:rFonts w:cs="Arial"/>
                <w:color w:val="0D0D0D" w:themeColor="text1" w:themeTint="F2"/>
                <w:szCs w:val="20"/>
              </w:rPr>
              <w:t>. Současná úroveň tržeb se nacházela nepatrně nad vrcholem z předkrizové konjunktury (4. čtvrtletí 2019), a to o 1,0 %</w:t>
            </w:r>
            <w:r w:rsidRPr="00EE0E68">
              <w:rPr>
                <w:rStyle w:val="Znakapoznpodarou"/>
                <w:color w:val="0D0D0D" w:themeColor="text1" w:themeTint="F2"/>
                <w:szCs w:val="20"/>
              </w:rPr>
              <w:footnoteReference w:id="43"/>
            </w:r>
            <w:r w:rsidRPr="00EE0E68">
              <w:rPr>
                <w:rFonts w:cs="Arial"/>
                <w:color w:val="0D0D0D" w:themeColor="text1" w:themeTint="F2"/>
                <w:szCs w:val="20"/>
              </w:rPr>
              <w:t>, nicméně za absolutním maximem z období před započetím energetické krize (3. čtvrtletí 2021) stále zaostávala (o 2,3 %).</w:t>
            </w:r>
          </w:p>
        </w:tc>
      </w:tr>
      <w:tr w:rsidR="00EE0E68" w14:paraId="2B754FF1" w14:textId="77777777" w:rsidTr="004C456F">
        <w:trPr>
          <w:trHeight w:val="155"/>
        </w:trPr>
        <w:tc>
          <w:tcPr>
            <w:tcW w:w="1737" w:type="dxa"/>
            <w:shd w:val="clear" w:color="auto" w:fill="auto"/>
            <w:tcMar>
              <w:left w:w="0" w:type="dxa"/>
            </w:tcMar>
          </w:tcPr>
          <w:p w14:paraId="459E57E6" w14:textId="77777777" w:rsidR="00EE0E68" w:rsidRPr="00EE0E68" w:rsidRDefault="00EE0E68" w:rsidP="00EE0E68">
            <w:pPr>
              <w:pStyle w:val="Marginlie"/>
              <w:rPr>
                <w:spacing w:val="0"/>
              </w:rPr>
            </w:pPr>
            <w:r w:rsidRPr="00EE0E68">
              <w:rPr>
                <w:spacing w:val="0"/>
              </w:rPr>
              <w:t>Dvojciferný meziroční růst tržeb za prodej přes internet přetrvával. Velmi příznivé ceny PHM v Česku stimulovaly české i zahraniční motoristy k vyšší poptávce.</w:t>
            </w:r>
          </w:p>
          <w:p w14:paraId="669EF4A2" w14:textId="77777777" w:rsidR="00EE0E68" w:rsidRPr="00EE0E68" w:rsidRDefault="00EE0E68" w:rsidP="00EE0E68">
            <w:pPr>
              <w:pStyle w:val="Marginlie"/>
              <w:rPr>
                <w:spacing w:val="0"/>
              </w:rPr>
            </w:pPr>
          </w:p>
          <w:p w14:paraId="7B1BE222" w14:textId="77777777" w:rsidR="00EE0E68" w:rsidRPr="00EE0E68" w:rsidRDefault="00EE0E68" w:rsidP="00EE0E68">
            <w:pPr>
              <w:pStyle w:val="Marginlie"/>
              <w:rPr>
                <w:spacing w:val="0"/>
              </w:rPr>
            </w:pPr>
            <w:r w:rsidRPr="00EE0E68">
              <w:rPr>
                <w:spacing w:val="0"/>
              </w:rPr>
              <w:t>Růst tržeb za prodej potravin zvolnil, k oživení ale došlo u malých specializovaných prodejen.</w:t>
            </w:r>
          </w:p>
          <w:p w14:paraId="7DDC374B" w14:textId="77777777" w:rsidR="00EE0E68" w:rsidRPr="00EE0E68" w:rsidRDefault="00EE0E68" w:rsidP="00EE0E68">
            <w:pPr>
              <w:pStyle w:val="Marginlie"/>
              <w:rPr>
                <w:spacing w:val="0"/>
              </w:rPr>
            </w:pPr>
          </w:p>
        </w:tc>
        <w:tc>
          <w:tcPr>
            <w:tcW w:w="179" w:type="dxa"/>
            <w:shd w:val="clear" w:color="auto" w:fill="auto"/>
            <w:tcMar>
              <w:left w:w="0" w:type="dxa"/>
            </w:tcMar>
          </w:tcPr>
          <w:p w14:paraId="04423468" w14:textId="77777777" w:rsidR="00EE0E68" w:rsidRPr="00EE0E68" w:rsidRDefault="00EE0E68" w:rsidP="00EE0E68">
            <w:pPr>
              <w:pStyle w:val="Textpoznpodarou"/>
              <w:jc w:val="both"/>
            </w:pPr>
          </w:p>
        </w:tc>
        <w:tc>
          <w:tcPr>
            <w:tcW w:w="7730" w:type="dxa"/>
            <w:shd w:val="clear" w:color="auto" w:fill="auto"/>
            <w:tcMar>
              <w:left w:w="0" w:type="dxa"/>
            </w:tcMar>
          </w:tcPr>
          <w:p w14:paraId="7AE12C81" w14:textId="5CC486B3" w:rsidR="00EE0E68" w:rsidRPr="00EE0E68" w:rsidRDefault="00EE0E68" w:rsidP="00EE0E68">
            <w:pPr>
              <w:rPr>
                <w:rFonts w:cs="Arial"/>
                <w:color w:val="0D0D0D" w:themeColor="text1" w:themeTint="F2"/>
                <w:szCs w:val="20"/>
              </w:rPr>
            </w:pPr>
            <w:r w:rsidRPr="00EE0E68">
              <w:rPr>
                <w:rFonts w:cs="Arial"/>
                <w:color w:val="0D0D0D" w:themeColor="text1" w:themeTint="F2"/>
                <w:szCs w:val="20"/>
              </w:rPr>
              <w:t>Meziročně se tržby za 1. pololetí 2025 zvýšily o 4,2 % a byly stej</w:t>
            </w:r>
            <w:r>
              <w:rPr>
                <w:rFonts w:cs="Arial"/>
                <w:color w:val="0D0D0D" w:themeColor="text1" w:themeTint="F2"/>
                <w:szCs w:val="20"/>
              </w:rPr>
              <w:t xml:space="preserve">ně jako po celý loňský rok </w:t>
            </w:r>
            <w:r w:rsidRPr="00EE0E68">
              <w:rPr>
                <w:rFonts w:cs="Arial"/>
                <w:color w:val="0D0D0D" w:themeColor="text1" w:themeTint="F2"/>
                <w:szCs w:val="20"/>
              </w:rPr>
              <w:t xml:space="preserve">i letos taženy hlavně vyšší poptávkou po nepotravinářském zboží (příspěvek k růstu </w:t>
            </w:r>
            <w:r w:rsidRPr="00EE0E68">
              <w:rPr>
                <w:rFonts w:cs="Arial"/>
                <w:color w:val="0D0D0D" w:themeColor="text1" w:themeTint="F2"/>
                <w:szCs w:val="20"/>
              </w:rPr>
              <w:br/>
              <w:t>+2,6 p. b.), do níž zásadně promlouvaly tržby v oblasti prodeje prostřednictvím internetu nebo zásilkové služby. Ty se zvýšily o 12,8 % a dvojciferným tempem rostly nepřetržitě od počátku loňského roku</w:t>
            </w:r>
            <w:r w:rsidRPr="00EE0E68">
              <w:rPr>
                <w:rStyle w:val="Znakapoznpodarou"/>
                <w:color w:val="0D0D0D" w:themeColor="text1" w:themeTint="F2"/>
                <w:szCs w:val="20"/>
              </w:rPr>
              <w:footnoteReference w:id="44"/>
            </w:r>
            <w:r w:rsidRPr="00EE0E68">
              <w:rPr>
                <w:rFonts w:cs="Arial"/>
                <w:color w:val="0D0D0D" w:themeColor="text1" w:themeTint="F2"/>
                <w:szCs w:val="20"/>
              </w:rPr>
              <w:t>. V rámci specializovaných obchodů</w:t>
            </w:r>
            <w:r w:rsidRPr="00EE0E68">
              <w:rPr>
                <w:rStyle w:val="Znakapoznpodarou"/>
                <w:color w:val="0D0D0D" w:themeColor="text1" w:themeTint="F2"/>
                <w:szCs w:val="20"/>
              </w:rPr>
              <w:footnoteReference w:id="45"/>
            </w:r>
            <w:r w:rsidRPr="00EE0E68">
              <w:rPr>
                <w:rFonts w:cs="Arial"/>
                <w:color w:val="0D0D0D" w:themeColor="text1" w:themeTint="F2"/>
                <w:szCs w:val="20"/>
              </w:rPr>
              <w:t xml:space="preserve"> se nadále svižně zvyšovala poptávka po kosmetických a toaletních výrobcích (+9,2 %) i po farmaceutickém a zdravotnickém zboží (+5,9 %). Sílila poptávka po pohonných hmotách, jež pramenila hlavně z jejich příznivého cenového vývoje</w:t>
            </w:r>
            <w:r w:rsidRPr="00EE0E68">
              <w:rPr>
                <w:rStyle w:val="Znakapoznpodarou"/>
                <w:color w:val="0D0D0D" w:themeColor="text1" w:themeTint="F2"/>
                <w:szCs w:val="20"/>
              </w:rPr>
              <w:footnoteReference w:id="46"/>
            </w:r>
            <w:r w:rsidRPr="00EE0E68">
              <w:rPr>
                <w:rFonts w:cs="Arial"/>
                <w:color w:val="0D0D0D" w:themeColor="text1" w:themeTint="F2"/>
                <w:szCs w:val="20"/>
              </w:rPr>
              <w:t>. Meziroční růst tržeb za jejich prodej dosáhl 10,0 %</w:t>
            </w:r>
            <w:r w:rsidRPr="00EE0E68">
              <w:rPr>
                <w:rStyle w:val="Znakapoznpodarou"/>
                <w:color w:val="0D0D0D" w:themeColor="text1" w:themeTint="F2"/>
                <w:szCs w:val="20"/>
              </w:rPr>
              <w:footnoteReference w:id="47"/>
            </w:r>
            <w:r w:rsidRPr="00EE0E68">
              <w:rPr>
                <w:rFonts w:cs="Arial"/>
                <w:color w:val="0D0D0D" w:themeColor="text1" w:themeTint="F2"/>
                <w:szCs w:val="20"/>
              </w:rPr>
              <w:t xml:space="preserve"> (nejvyšší tempo od 2. pololetí 2008) a k růstu celého maloobchodu přispěl 1,2 p. b. (tedy skoro trojnásobně oproti např. prodeji potravin). Tržby v některých sortimentních skupinách obchodů ovšem pouze stagnovaly – s počítačovým a komunikačním zařízením, s výrobky převážně pro domácnost</w:t>
            </w:r>
            <w:r w:rsidRPr="00EE0E68">
              <w:rPr>
                <w:rStyle w:val="Znakapoznpodarou"/>
                <w:color w:val="0D0D0D" w:themeColor="text1" w:themeTint="F2"/>
                <w:szCs w:val="20"/>
              </w:rPr>
              <w:footnoteReference w:id="48"/>
            </w:r>
            <w:r w:rsidRPr="00EE0E68">
              <w:rPr>
                <w:rFonts w:cs="Arial"/>
                <w:color w:val="0D0D0D" w:themeColor="text1" w:themeTint="F2"/>
                <w:szCs w:val="20"/>
              </w:rPr>
              <w:t xml:space="preserve"> a</w:t>
            </w:r>
            <w:r>
              <w:rPr>
                <w:rFonts w:cs="Arial"/>
                <w:color w:val="0D0D0D" w:themeColor="text1" w:themeTint="F2"/>
                <w:szCs w:val="20"/>
              </w:rPr>
              <w:t> </w:t>
            </w:r>
            <w:r w:rsidRPr="00EE0E68">
              <w:rPr>
                <w:rFonts w:cs="Arial"/>
                <w:color w:val="0D0D0D" w:themeColor="text1" w:themeTint="F2"/>
                <w:szCs w:val="20"/>
              </w:rPr>
              <w:t>s</w:t>
            </w:r>
            <w:r>
              <w:rPr>
                <w:rFonts w:cs="Arial"/>
                <w:color w:val="0D0D0D" w:themeColor="text1" w:themeTint="F2"/>
                <w:szCs w:val="20"/>
              </w:rPr>
              <w:t> </w:t>
            </w:r>
            <w:r w:rsidRPr="00EE0E68">
              <w:rPr>
                <w:rFonts w:cs="Arial"/>
                <w:color w:val="0D0D0D" w:themeColor="text1" w:themeTint="F2"/>
                <w:szCs w:val="20"/>
              </w:rPr>
              <w:t xml:space="preserve">oděvy, obuví a koženým zbožím. Jen mírně se letos meziročně zvyšovaly tržby za prodej potravin a jejich tempo bylo navíc oproti loňskému 1. pololetí pouze poloviční (+1,2 %). Ke zmírnění tempa došlo výhradně ve velkých nespecializovaných prodejnách </w:t>
            </w:r>
            <w:r w:rsidRPr="00EE0E68">
              <w:rPr>
                <w:rFonts w:cs="Arial"/>
                <w:color w:val="0D0D0D" w:themeColor="text1" w:themeTint="F2"/>
                <w:szCs w:val="20"/>
              </w:rPr>
              <w:lastRenderedPageBreak/>
              <w:t>(řetězcích), naopak v malém segmentu specializovaných prodejen</w:t>
            </w:r>
            <w:r w:rsidRPr="00EE0E68">
              <w:rPr>
                <w:rStyle w:val="Znakapoznpodarou"/>
                <w:color w:val="0D0D0D" w:themeColor="text1" w:themeTint="F2"/>
                <w:szCs w:val="20"/>
              </w:rPr>
              <w:footnoteReference w:id="49"/>
            </w:r>
            <w:r w:rsidRPr="00EE0E68">
              <w:rPr>
                <w:rFonts w:cs="Arial"/>
                <w:color w:val="0D0D0D" w:themeColor="text1" w:themeTint="F2"/>
                <w:szCs w:val="20"/>
              </w:rPr>
              <w:t xml:space="preserve"> se tržby zvýšily o</w:t>
            </w:r>
            <w:r>
              <w:rPr>
                <w:rFonts w:cs="Arial"/>
                <w:color w:val="0D0D0D" w:themeColor="text1" w:themeTint="F2"/>
                <w:szCs w:val="20"/>
              </w:rPr>
              <w:t> </w:t>
            </w:r>
            <w:r w:rsidRPr="00EE0E68">
              <w:rPr>
                <w:rFonts w:cs="Arial"/>
                <w:color w:val="0D0D0D" w:themeColor="text1" w:themeTint="F2"/>
                <w:szCs w:val="20"/>
              </w:rPr>
              <w:t>1,9 % a rostly popr</w:t>
            </w:r>
            <w:r>
              <w:rPr>
                <w:rFonts w:cs="Arial"/>
                <w:color w:val="0D0D0D" w:themeColor="text1" w:themeTint="F2"/>
                <w:szCs w:val="20"/>
              </w:rPr>
              <w:t xml:space="preserve">vé od poloviny roku 2022. </w:t>
            </w:r>
          </w:p>
        </w:tc>
      </w:tr>
      <w:tr w:rsidR="00EE0E68" w14:paraId="753A7AC6" w14:textId="77777777" w:rsidTr="004C456F">
        <w:trPr>
          <w:trHeight w:val="155"/>
        </w:trPr>
        <w:tc>
          <w:tcPr>
            <w:tcW w:w="1737" w:type="dxa"/>
            <w:vMerge w:val="restart"/>
            <w:shd w:val="clear" w:color="auto" w:fill="auto"/>
            <w:tcMar>
              <w:left w:w="0" w:type="dxa"/>
            </w:tcMar>
          </w:tcPr>
          <w:p w14:paraId="2AABABAB" w14:textId="77777777" w:rsidR="00EE0E68" w:rsidRPr="00EE0E68" w:rsidRDefault="00EE0E68" w:rsidP="00EE0E68">
            <w:pPr>
              <w:pStyle w:val="Marginlie"/>
              <w:rPr>
                <w:spacing w:val="0"/>
              </w:rPr>
            </w:pPr>
          </w:p>
        </w:tc>
        <w:tc>
          <w:tcPr>
            <w:tcW w:w="179" w:type="dxa"/>
            <w:vMerge w:val="restart"/>
            <w:shd w:val="clear" w:color="auto" w:fill="auto"/>
            <w:tcMar>
              <w:left w:w="0" w:type="dxa"/>
            </w:tcMar>
          </w:tcPr>
          <w:p w14:paraId="16E58542" w14:textId="77777777" w:rsidR="00EE0E68" w:rsidRPr="00EE0E68" w:rsidRDefault="00EE0E68" w:rsidP="00EE0E68">
            <w:pPr>
              <w:pStyle w:val="Textpoznpodarou"/>
              <w:jc w:val="both"/>
            </w:pPr>
          </w:p>
        </w:tc>
        <w:tc>
          <w:tcPr>
            <w:tcW w:w="7730" w:type="dxa"/>
            <w:shd w:val="clear" w:color="auto" w:fill="auto"/>
            <w:tcMar>
              <w:left w:w="0" w:type="dxa"/>
            </w:tcMar>
          </w:tcPr>
          <w:p w14:paraId="7E35E90C" w14:textId="77777777" w:rsidR="00EE0E68" w:rsidRPr="00EE0E68" w:rsidRDefault="00EE0E68" w:rsidP="00EE0E68">
            <w:pPr>
              <w:spacing w:after="0"/>
              <w:rPr>
                <w:rFonts w:cs="Arial"/>
                <w:color w:val="0D0D0D" w:themeColor="text1" w:themeTint="F2"/>
                <w:szCs w:val="20"/>
              </w:rPr>
            </w:pPr>
            <w:r w:rsidRPr="00EE0E68">
              <w:rPr>
                <w:b/>
              </w:rPr>
              <w:t xml:space="preserve">Graf č. 8 </w:t>
            </w:r>
            <w:r w:rsidRPr="00EE0E68">
              <w:rPr>
                <w:rFonts w:cs="Arial"/>
                <w:b/>
                <w:bCs/>
                <w:color w:val="0D0D0D" w:themeColor="text1" w:themeTint="F2"/>
              </w:rPr>
              <w:t xml:space="preserve">Příspěvky dílčích odvětví k meziroční změně tržeb v maloobchodu* </w:t>
            </w:r>
            <w:r w:rsidRPr="00EE0E68">
              <w:rPr>
                <w:rFonts w:cs="Arial"/>
                <w:color w:val="0D0D0D" w:themeColor="text1" w:themeTint="F2"/>
              </w:rPr>
              <w:t xml:space="preserve">(reálně, v p. b.), </w:t>
            </w:r>
            <w:r w:rsidRPr="00EE0E68">
              <w:rPr>
                <w:rFonts w:cs="Arial"/>
                <w:b/>
                <w:bCs/>
                <w:color w:val="0D0D0D" w:themeColor="text1" w:themeTint="F2"/>
              </w:rPr>
              <w:t xml:space="preserve">tržby v maloobchodu a v motoristickém segmentu obchodu** </w:t>
            </w:r>
            <w:r w:rsidRPr="00EE0E68">
              <w:rPr>
                <w:rFonts w:cs="Arial"/>
                <w:color w:val="0D0D0D" w:themeColor="text1" w:themeTint="F2"/>
              </w:rPr>
              <w:t xml:space="preserve">(reálně, úroveň roku 2021=100, pravá osa), </w:t>
            </w:r>
            <w:r w:rsidRPr="00EE0E68">
              <w:rPr>
                <w:rFonts w:cs="Arial"/>
                <w:b/>
                <w:bCs/>
                <w:color w:val="0D0D0D" w:themeColor="text1" w:themeTint="F2"/>
              </w:rPr>
              <w:t xml:space="preserve">saldo důvěry spotřebitelů i obchodníků*** </w:t>
            </w:r>
            <w:r w:rsidRPr="00EE0E68">
              <w:rPr>
                <w:rFonts w:cs="Arial"/>
                <w:color w:val="0D0D0D" w:themeColor="text1" w:themeTint="F2"/>
              </w:rPr>
              <w:t>(v p. b., pr. osa)</w:t>
            </w:r>
          </w:p>
        </w:tc>
      </w:tr>
      <w:tr w:rsidR="00EE0E68" w14:paraId="76E279F1" w14:textId="77777777" w:rsidTr="004C456F">
        <w:tblPrEx>
          <w:tblCellMar>
            <w:left w:w="70" w:type="dxa"/>
            <w:right w:w="70" w:type="dxa"/>
          </w:tblCellMar>
        </w:tblPrEx>
        <w:trPr>
          <w:trHeight w:val="155"/>
        </w:trPr>
        <w:tc>
          <w:tcPr>
            <w:tcW w:w="1737" w:type="dxa"/>
            <w:vMerge/>
            <w:shd w:val="clear" w:color="auto" w:fill="auto"/>
          </w:tcPr>
          <w:p w14:paraId="5F85033A" w14:textId="77777777" w:rsidR="00EE0E68" w:rsidRPr="00EE0E68" w:rsidRDefault="00EE0E68" w:rsidP="00EE0E68">
            <w:pPr>
              <w:pStyle w:val="Marginlie"/>
              <w:rPr>
                <w:spacing w:val="0"/>
              </w:rPr>
            </w:pPr>
          </w:p>
        </w:tc>
        <w:tc>
          <w:tcPr>
            <w:tcW w:w="179" w:type="dxa"/>
            <w:vMerge/>
            <w:shd w:val="clear" w:color="auto" w:fill="auto"/>
          </w:tcPr>
          <w:p w14:paraId="0CD9A74F" w14:textId="77777777" w:rsidR="00EE0E68" w:rsidRPr="00EE0E68" w:rsidRDefault="00EE0E68" w:rsidP="00EE0E68">
            <w:pPr>
              <w:pStyle w:val="Textpoznpodarou"/>
              <w:jc w:val="both"/>
            </w:pPr>
          </w:p>
        </w:tc>
        <w:tc>
          <w:tcPr>
            <w:tcW w:w="7730" w:type="dxa"/>
            <w:shd w:val="clear" w:color="auto" w:fill="auto"/>
          </w:tcPr>
          <w:p w14:paraId="14F43002" w14:textId="77777777" w:rsidR="00EE0E68" w:rsidRPr="00EE0E68" w:rsidRDefault="00EE0E68" w:rsidP="00EE0E68">
            <w:pPr>
              <w:spacing w:before="40" w:after="40"/>
              <w:rPr>
                <w:rFonts w:cs="Arial"/>
                <w:color w:val="0D0D0D" w:themeColor="text1" w:themeTint="F2"/>
                <w:szCs w:val="20"/>
              </w:rPr>
            </w:pPr>
            <w:r w:rsidRPr="00EE0E68">
              <w:rPr>
                <w:noProof/>
              </w:rPr>
              <w:drawing>
                <wp:inline distT="0" distB="0" distL="0" distR="0" wp14:anchorId="6B895C1A" wp14:editId="0F9F498F">
                  <wp:extent cx="4781550" cy="3857625"/>
                  <wp:effectExtent l="0" t="0" r="0" b="0"/>
                  <wp:docPr id="28" name="Graf 2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15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EE0E68" w14:paraId="72A9FEFB" w14:textId="77777777" w:rsidTr="004C456F">
        <w:trPr>
          <w:trHeight w:val="155"/>
        </w:trPr>
        <w:tc>
          <w:tcPr>
            <w:tcW w:w="1737" w:type="dxa"/>
            <w:vMerge/>
            <w:shd w:val="clear" w:color="auto" w:fill="auto"/>
            <w:tcMar>
              <w:left w:w="0" w:type="dxa"/>
            </w:tcMar>
          </w:tcPr>
          <w:p w14:paraId="696CFBBF" w14:textId="77777777" w:rsidR="00EE0E68" w:rsidRPr="00EE0E68" w:rsidRDefault="00EE0E68" w:rsidP="00EE0E68">
            <w:pPr>
              <w:pStyle w:val="Marginlie"/>
              <w:rPr>
                <w:spacing w:val="0"/>
              </w:rPr>
            </w:pPr>
          </w:p>
        </w:tc>
        <w:tc>
          <w:tcPr>
            <w:tcW w:w="179" w:type="dxa"/>
            <w:vMerge/>
            <w:shd w:val="clear" w:color="auto" w:fill="auto"/>
            <w:tcMar>
              <w:left w:w="0" w:type="dxa"/>
            </w:tcMar>
          </w:tcPr>
          <w:p w14:paraId="1502CF7E" w14:textId="77777777" w:rsidR="00EE0E68" w:rsidRPr="00EE0E68" w:rsidRDefault="00EE0E68" w:rsidP="00EE0E68">
            <w:pPr>
              <w:pStyle w:val="Textpoznpodarou"/>
              <w:jc w:val="both"/>
            </w:pPr>
          </w:p>
        </w:tc>
        <w:tc>
          <w:tcPr>
            <w:tcW w:w="7730" w:type="dxa"/>
            <w:shd w:val="clear" w:color="auto" w:fill="auto"/>
            <w:tcMar>
              <w:left w:w="0" w:type="dxa"/>
            </w:tcMar>
          </w:tcPr>
          <w:p w14:paraId="27DEC6FA" w14:textId="77777777" w:rsidR="00EE0E68" w:rsidRPr="00EE0E68" w:rsidRDefault="00EE0E68" w:rsidP="00EE0E68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EE0E68">
              <w:rPr>
                <w:rFonts w:cs="Arial"/>
                <w:color w:val="0D0D0D" w:themeColor="text1" w:themeTint="F2"/>
              </w:rPr>
              <w:t>*</w:t>
            </w:r>
            <w:r w:rsidRPr="00EE0E68">
              <w:rPr>
                <w:rFonts w:cs="Arial"/>
                <w:sz w:val="14"/>
                <w:szCs w:val="14"/>
              </w:rPr>
              <w:t xml:space="preserve"> Tržby jsou očištěny o kalendářní vlivy.       ** Tržby jsou sezónně i kalendářně očištěny.</w:t>
            </w:r>
          </w:p>
          <w:p w14:paraId="64367D90" w14:textId="2B4411D2" w:rsidR="00EE0E68" w:rsidRDefault="00EE0E68" w:rsidP="00EE0E68">
            <w:pPr>
              <w:spacing w:after="0"/>
              <w:rPr>
                <w:rFonts w:cs="Arial"/>
                <w:color w:val="0D0D0D" w:themeColor="text1" w:themeTint="F2"/>
                <w:sz w:val="14"/>
                <w:szCs w:val="14"/>
              </w:rPr>
            </w:pPr>
            <w:r w:rsidRPr="00EE0E68">
              <w:rPr>
                <w:rFonts w:cs="Arial"/>
                <w:color w:val="0D0D0D" w:themeColor="text1" w:themeTint="F2"/>
                <w:sz w:val="14"/>
                <w:szCs w:val="14"/>
              </w:rPr>
              <w:t xml:space="preserve">*** Salda důvěry jsou sezónně očištěna a vyjadřují stav ve druhém měsíci daného čtvrtletí.            </w:t>
            </w:r>
          </w:p>
          <w:p w14:paraId="2884331F" w14:textId="54CD54AE" w:rsidR="00EE0E68" w:rsidRPr="00EE0E68" w:rsidRDefault="00EE0E68" w:rsidP="00EE0E68">
            <w:pPr>
              <w:rPr>
                <w:rFonts w:cs="Arial"/>
                <w:color w:val="0D0D0D" w:themeColor="text1" w:themeTint="F2"/>
                <w:szCs w:val="20"/>
              </w:rPr>
            </w:pPr>
            <w:r w:rsidRPr="00EE0E68">
              <w:rPr>
                <w:rFonts w:cs="Arial"/>
                <w:color w:val="0D0D0D" w:themeColor="text1" w:themeTint="F2"/>
                <w:sz w:val="14"/>
                <w:szCs w:val="14"/>
              </w:rPr>
              <w:t>Zdroj: ČSÚ</w:t>
            </w:r>
          </w:p>
        </w:tc>
      </w:tr>
      <w:tr w:rsidR="00EE0E68" w14:paraId="23B51CD8" w14:textId="77777777" w:rsidTr="004C456F">
        <w:trPr>
          <w:trHeight w:val="170"/>
        </w:trPr>
        <w:tc>
          <w:tcPr>
            <w:tcW w:w="1737" w:type="dxa"/>
            <w:shd w:val="clear" w:color="auto" w:fill="auto"/>
            <w:tcMar>
              <w:left w:w="0" w:type="dxa"/>
            </w:tcMar>
          </w:tcPr>
          <w:p w14:paraId="4435FA06" w14:textId="77777777" w:rsidR="00EE0E68" w:rsidRPr="00EE0E68" w:rsidRDefault="00EE0E68" w:rsidP="00EE0E68">
            <w:pPr>
              <w:pStyle w:val="Marginlie"/>
              <w:rPr>
                <w:spacing w:val="0"/>
              </w:rPr>
            </w:pPr>
            <w:r w:rsidRPr="00EE0E68">
              <w:rPr>
                <w:spacing w:val="0"/>
              </w:rPr>
              <w:t xml:space="preserve">Pokračoval velmi mírný růst poptávky ve většině oblastí motoristického segmentu obchodu. Tržby za prodej dílů </w:t>
            </w:r>
            <w:r w:rsidRPr="00EE0E68">
              <w:rPr>
                <w:spacing w:val="0"/>
              </w:rPr>
              <w:br/>
              <w:t>a příslušenství ovšem dále klesaly.</w:t>
            </w:r>
          </w:p>
        </w:tc>
        <w:tc>
          <w:tcPr>
            <w:tcW w:w="179" w:type="dxa"/>
            <w:shd w:val="clear" w:color="auto" w:fill="auto"/>
            <w:tcMar>
              <w:left w:w="0" w:type="dxa"/>
            </w:tcMar>
          </w:tcPr>
          <w:p w14:paraId="65C58A73" w14:textId="77777777" w:rsidR="00EE0E68" w:rsidRPr="00EE0E68" w:rsidRDefault="00EE0E68" w:rsidP="00EE0E68">
            <w:pPr>
              <w:pStyle w:val="Textpoznpodarou"/>
              <w:jc w:val="both"/>
              <w:rPr>
                <w:color w:val="0D0D0D" w:themeColor="text1" w:themeTint="F2"/>
              </w:rPr>
            </w:pPr>
          </w:p>
        </w:tc>
        <w:tc>
          <w:tcPr>
            <w:tcW w:w="7730" w:type="dxa"/>
            <w:shd w:val="clear" w:color="auto" w:fill="auto"/>
            <w:tcMar>
              <w:left w:w="0" w:type="dxa"/>
            </w:tcMar>
          </w:tcPr>
          <w:p w14:paraId="665D488C" w14:textId="77777777" w:rsidR="00EE0E68" w:rsidRPr="00EE0E68" w:rsidRDefault="00EE0E68" w:rsidP="00EE0E68">
            <w:pPr>
              <w:spacing w:after="0"/>
              <w:rPr>
                <w:rFonts w:cs="Arial"/>
                <w:color w:val="0D0D0D" w:themeColor="text1" w:themeTint="F2"/>
                <w:szCs w:val="20"/>
              </w:rPr>
            </w:pPr>
            <w:r w:rsidRPr="00EE0E68">
              <w:rPr>
                <w:rFonts w:cs="Arial"/>
                <w:color w:val="0D0D0D" w:themeColor="text1" w:themeTint="F2"/>
                <w:szCs w:val="20"/>
              </w:rPr>
              <w:t xml:space="preserve">V motoristickém segmentu obchodu se letos v 1. pololetí tržby meziročně zvýšily </w:t>
            </w:r>
            <w:r w:rsidRPr="00EE0E68">
              <w:rPr>
                <w:rFonts w:cs="Arial"/>
                <w:color w:val="0D0D0D" w:themeColor="text1" w:themeTint="F2"/>
                <w:szCs w:val="20"/>
              </w:rPr>
              <w:br/>
              <w:t xml:space="preserve">o 1,5 % (jen mírný růst poptávky byl přitom patrný i po většinu loňského roku). V klíčovém segmentu prodeje motorových vozidel (kormě motocyklů), jehož výsledek závisí hlavně na firemní poptávce, se tržby zvýšily o 2,2 % (ve srovnání s předkrizovým vrcholem </w:t>
            </w:r>
            <w:r w:rsidRPr="00EE0E68">
              <w:rPr>
                <w:rFonts w:cs="Arial"/>
                <w:color w:val="0D0D0D" w:themeColor="text1" w:themeTint="F2"/>
                <w:szCs w:val="20"/>
              </w:rPr>
              <w:br/>
              <w:t xml:space="preserve">z 1. pololetí roce 2017 ale stále o více než 7 % zaostávaly). Mírný růst poptávky nastal </w:t>
            </w:r>
            <w:r w:rsidRPr="00EE0E68">
              <w:rPr>
                <w:rFonts w:cs="Arial"/>
                <w:color w:val="0D0D0D" w:themeColor="text1" w:themeTint="F2"/>
                <w:szCs w:val="20"/>
              </w:rPr>
              <w:br/>
              <w:t>i v dalších motoristických segmentech, kromě obchodu s díly i příslušenstvím, kde tržby klesly o 1,1 % a snižovaly se šesté pololetí v řadě.</w:t>
            </w:r>
          </w:p>
        </w:tc>
      </w:tr>
    </w:tbl>
    <w:p w14:paraId="76205937" w14:textId="77777777" w:rsidR="004C456F" w:rsidRPr="00004D2D" w:rsidRDefault="004C456F" w:rsidP="00F25ED5">
      <w:pPr>
        <w:spacing w:after="0" w:line="240" w:lineRule="auto"/>
        <w:jc w:val="left"/>
        <w:rPr>
          <w:rFonts w:eastAsia="MS Gothic"/>
          <w:b/>
          <w:bCs/>
          <w:color w:val="71818C"/>
          <w:sz w:val="2"/>
          <w:szCs w:val="2"/>
        </w:rPr>
      </w:pPr>
      <w:bookmarkStart w:id="3" w:name="_GoBack"/>
      <w:bookmarkEnd w:id="3"/>
    </w:p>
    <w:bookmarkEnd w:id="2"/>
    <w:sectPr w:rsidR="004C456F" w:rsidRPr="00004D2D" w:rsidSect="00F25ED5">
      <w:headerReference w:type="even" r:id="rId16"/>
      <w:headerReference w:type="default" r:id="rId17"/>
      <w:footerReference w:type="even" r:id="rId18"/>
      <w:footerReference w:type="default" r:id="rId19"/>
      <w:pgSz w:w="11906" w:h="16838" w:code="9"/>
      <w:pgMar w:top="1134" w:right="1134" w:bottom="1418" w:left="1134" w:header="680" w:footer="680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15D4F" w14:textId="77777777" w:rsidR="004C456F" w:rsidRDefault="004C456F" w:rsidP="00E71A58">
      <w:r>
        <w:separator/>
      </w:r>
    </w:p>
  </w:endnote>
  <w:endnote w:type="continuationSeparator" w:id="0">
    <w:p w14:paraId="1872982C" w14:textId="77777777" w:rsidR="004C456F" w:rsidRDefault="004C456F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62E7" w14:textId="13D40767" w:rsidR="004C456F" w:rsidRPr="00932443" w:rsidRDefault="004C456F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0" behindDoc="0" locked="0" layoutInCell="1" allowOverlap="1" wp14:anchorId="2143298A" wp14:editId="2143298B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21" name="Picture 15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fldChar w:fldCharType="begin"/>
    </w:r>
    <w:r w:rsidRPr="00932443">
      <w:rPr>
        <w:szCs w:val="16"/>
      </w:rPr>
      <w:instrText>PAGE   \* MERGEFORMAT</w:instrText>
    </w:r>
    <w:r w:rsidRPr="00932443">
      <w:rPr>
        <w:szCs w:val="16"/>
      </w:rPr>
      <w:fldChar w:fldCharType="separate"/>
    </w:r>
    <w:r w:rsidR="00F25ED5">
      <w:rPr>
        <w:szCs w:val="16"/>
      </w:rPr>
      <w:t>20</w:t>
    </w:r>
    <w:r w:rsidRPr="00932443">
      <w:rPr>
        <w:szCs w:val="16"/>
      </w:rPr>
      <w:fldChar w:fldCharType="end"/>
    </w:r>
    <w:r w:rsidRPr="00932443">
      <w:rPr>
        <w:szCs w:val="16"/>
      </w:rPr>
      <w:tab/>
    </w:r>
    <w:r>
      <w:rPr>
        <w:szCs w:val="16"/>
      </w:rPr>
      <w:t>1. pololetí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32989" w14:textId="77FABAA0" w:rsidR="004C456F" w:rsidRPr="00932443" w:rsidRDefault="004C456F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7216" behindDoc="0" locked="0" layoutInCell="1" allowOverlap="1" wp14:anchorId="2143298C" wp14:editId="2143298D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22" name="Picture 16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tab/>
    </w:r>
    <w:r>
      <w:rPr>
        <w:szCs w:val="16"/>
      </w:rPr>
      <w:t>1. pololetí 2025</w:t>
    </w:r>
    <w:r w:rsidRPr="00932443">
      <w:rPr>
        <w:szCs w:val="16"/>
      </w:rPr>
      <w:tab/>
    </w:r>
    <w:r w:rsidRPr="00932443">
      <w:rPr>
        <w:rStyle w:val="ZpatChar"/>
        <w:szCs w:val="16"/>
      </w:rPr>
      <w:fldChar w:fldCharType="begin"/>
    </w:r>
    <w:r w:rsidRPr="00932443">
      <w:rPr>
        <w:rStyle w:val="ZpatChar"/>
        <w:szCs w:val="16"/>
      </w:rPr>
      <w:instrText>PAGE   \* MERGEFORMAT</w:instrText>
    </w:r>
    <w:r w:rsidRPr="00932443">
      <w:rPr>
        <w:rStyle w:val="ZpatChar"/>
        <w:szCs w:val="16"/>
      </w:rPr>
      <w:fldChar w:fldCharType="separate"/>
    </w:r>
    <w:r w:rsidR="00F25ED5">
      <w:rPr>
        <w:rStyle w:val="ZpatChar"/>
        <w:szCs w:val="16"/>
      </w:rPr>
      <w:t>21</w:t>
    </w:r>
    <w:r w:rsidRPr="00932443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A2FFA" w14:textId="77777777" w:rsidR="004C456F" w:rsidRDefault="004C456F" w:rsidP="00EA4302">
      <w:pPr>
        <w:spacing w:after="0"/>
      </w:pPr>
      <w:r>
        <w:separator/>
      </w:r>
    </w:p>
  </w:footnote>
  <w:footnote w:type="continuationSeparator" w:id="0">
    <w:p w14:paraId="41362B96" w14:textId="77777777" w:rsidR="004C456F" w:rsidRDefault="004C456F" w:rsidP="00E71A58">
      <w:r>
        <w:continuationSeparator/>
      </w:r>
    </w:p>
  </w:footnote>
  <w:footnote w:id="1">
    <w:p w14:paraId="6CD5AD04" w14:textId="77777777" w:rsidR="004C456F" w:rsidRPr="007163BD" w:rsidRDefault="004C456F" w:rsidP="004C456F">
      <w:pPr>
        <w:pStyle w:val="Textpoznpodarou"/>
        <w:rPr>
          <w:rFonts w:cs="Arial"/>
          <w:color w:val="0D0D0D" w:themeColor="text1" w:themeTint="F2"/>
          <w:spacing w:val="-2"/>
          <w:sz w:val="16"/>
          <w:szCs w:val="16"/>
        </w:rPr>
      </w:pPr>
      <w:r w:rsidRPr="007163BD">
        <w:rPr>
          <w:rStyle w:val="Znakapoznpodarou"/>
          <w:rFonts w:cs="Arial"/>
          <w:color w:val="0D0D0D" w:themeColor="text1" w:themeTint="F2"/>
          <w:spacing w:val="-2"/>
          <w:sz w:val="16"/>
          <w:szCs w:val="16"/>
        </w:rPr>
        <w:footnoteRef/>
      </w:r>
      <w:r w:rsidRPr="007163BD">
        <w:rPr>
          <w:rFonts w:cs="Arial"/>
          <w:color w:val="0D0D0D" w:themeColor="text1" w:themeTint="F2"/>
          <w:spacing w:val="-2"/>
          <w:sz w:val="16"/>
          <w:szCs w:val="16"/>
        </w:rPr>
        <w:t xml:space="preserve"> Údaje o HPH jsou vyjádřeny ve stálých cenách a v očištění o sezónní a kalendářní vlivy.</w:t>
      </w:r>
    </w:p>
  </w:footnote>
  <w:footnote w:id="2">
    <w:p w14:paraId="5C5B69E3" w14:textId="77777777" w:rsidR="004C456F" w:rsidRPr="006B6ECC" w:rsidRDefault="004C456F" w:rsidP="004C456F">
      <w:pPr>
        <w:pStyle w:val="Textpoznpodarou"/>
        <w:rPr>
          <w:sz w:val="16"/>
          <w:szCs w:val="16"/>
        </w:rPr>
      </w:pPr>
      <w:r w:rsidRPr="006B6ECC">
        <w:rPr>
          <w:rStyle w:val="Znakapoznpodarou"/>
          <w:sz w:val="16"/>
          <w:szCs w:val="16"/>
        </w:rPr>
        <w:footnoteRef/>
      </w:r>
      <w:r w:rsidRPr="006B6ECC">
        <w:rPr>
          <w:sz w:val="16"/>
          <w:szCs w:val="16"/>
        </w:rPr>
        <w:t xml:space="preserve"> V informačních a komunikačních činnostech převýšila H</w:t>
      </w:r>
      <w:r>
        <w:rPr>
          <w:sz w:val="16"/>
          <w:szCs w:val="16"/>
        </w:rPr>
        <w:t>PH předkrizovou úroveň již o 41 %</w:t>
      </w:r>
      <w:r w:rsidRPr="006B6ECC">
        <w:rPr>
          <w:sz w:val="16"/>
          <w:szCs w:val="16"/>
        </w:rPr>
        <w:t>, v peněž</w:t>
      </w:r>
      <w:r>
        <w:rPr>
          <w:sz w:val="16"/>
          <w:szCs w:val="16"/>
        </w:rPr>
        <w:t>nictví a pojišťovnictví o 18 %</w:t>
      </w:r>
      <w:r w:rsidRPr="006B6ECC">
        <w:rPr>
          <w:sz w:val="16"/>
          <w:szCs w:val="16"/>
        </w:rPr>
        <w:t xml:space="preserve"> v podnikových službách (profesní, vědecké, technické a administrativní činnosti) o </w:t>
      </w:r>
      <w:r>
        <w:rPr>
          <w:sz w:val="16"/>
          <w:szCs w:val="16"/>
        </w:rPr>
        <w:t>17 % a v uskupení</w:t>
      </w:r>
      <w:r w:rsidRPr="0066461F">
        <w:t xml:space="preserve"> </w:t>
      </w:r>
      <w:r>
        <w:rPr>
          <w:sz w:val="16"/>
          <w:szCs w:val="16"/>
        </w:rPr>
        <w:t>v</w:t>
      </w:r>
      <w:r w:rsidRPr="0066461F">
        <w:rPr>
          <w:sz w:val="16"/>
          <w:szCs w:val="16"/>
        </w:rPr>
        <w:t>eřejná správa a obrana, vzdělávání, zdravotní a sociální péče</w:t>
      </w:r>
      <w:r>
        <w:rPr>
          <w:sz w:val="16"/>
          <w:szCs w:val="16"/>
        </w:rPr>
        <w:t xml:space="preserve"> o 8 %.</w:t>
      </w:r>
      <w:r w:rsidRPr="006B6ECC">
        <w:rPr>
          <w:sz w:val="16"/>
          <w:szCs w:val="16"/>
        </w:rPr>
        <w:t xml:space="preserve"> Naopak výkon </w:t>
      </w:r>
      <w:r>
        <w:rPr>
          <w:sz w:val="16"/>
          <w:szCs w:val="16"/>
        </w:rPr>
        <w:t xml:space="preserve">v </w:t>
      </w:r>
      <w:r w:rsidRPr="006B6ECC">
        <w:rPr>
          <w:sz w:val="16"/>
          <w:szCs w:val="16"/>
        </w:rPr>
        <w:t>průmysl</w:t>
      </w:r>
      <w:r>
        <w:rPr>
          <w:sz w:val="16"/>
          <w:szCs w:val="16"/>
        </w:rPr>
        <w:t>u za 4. čtvrtletím 2019 zaostával o 4</w:t>
      </w:r>
      <w:r w:rsidRPr="006B6ECC">
        <w:rPr>
          <w:sz w:val="16"/>
          <w:szCs w:val="16"/>
        </w:rPr>
        <w:t xml:space="preserve"> %</w:t>
      </w:r>
      <w:r>
        <w:rPr>
          <w:sz w:val="16"/>
          <w:szCs w:val="16"/>
        </w:rPr>
        <w:t xml:space="preserve"> (a to jeho zpracovatelská část: </w:t>
      </w:r>
      <w:r>
        <w:rPr>
          <w:color w:val="0D0D0D" w:themeColor="text1" w:themeTint="F2"/>
          <w:spacing w:val="-1"/>
          <w:sz w:val="16"/>
          <w:szCs w:val="16"/>
        </w:rPr>
        <w:t>−</w:t>
      </w:r>
      <w:r>
        <w:rPr>
          <w:sz w:val="16"/>
          <w:szCs w:val="16"/>
        </w:rPr>
        <w:t>1 %)</w:t>
      </w:r>
      <w:r w:rsidRPr="006B6ECC">
        <w:rPr>
          <w:sz w:val="16"/>
          <w:szCs w:val="16"/>
        </w:rPr>
        <w:t xml:space="preserve">, </w:t>
      </w:r>
      <w:r>
        <w:rPr>
          <w:sz w:val="16"/>
          <w:szCs w:val="16"/>
        </w:rPr>
        <w:t>ve stavebnictví potom dokonce o 9</w:t>
      </w:r>
      <w:r w:rsidRPr="006B6ECC">
        <w:rPr>
          <w:sz w:val="16"/>
          <w:szCs w:val="16"/>
        </w:rPr>
        <w:t xml:space="preserve"> %. </w:t>
      </w:r>
    </w:p>
  </w:footnote>
  <w:footnote w:id="3">
    <w:p w14:paraId="39FA17FC" w14:textId="77777777" w:rsidR="004C456F" w:rsidRPr="004602FC" w:rsidRDefault="004C456F" w:rsidP="004C456F">
      <w:pPr>
        <w:pStyle w:val="Textpoznpodarou"/>
        <w:rPr>
          <w:sz w:val="16"/>
          <w:szCs w:val="16"/>
        </w:rPr>
      </w:pPr>
      <w:r w:rsidRPr="004602FC">
        <w:rPr>
          <w:rStyle w:val="Znakapoznpodarou"/>
          <w:sz w:val="16"/>
          <w:szCs w:val="16"/>
        </w:rPr>
        <w:footnoteRef/>
      </w:r>
      <w:r w:rsidRPr="004602FC">
        <w:rPr>
          <w:sz w:val="16"/>
          <w:szCs w:val="16"/>
        </w:rPr>
        <w:t xml:space="preserve"> Počet odpracovaných hodin v tomto odvětví se meziročn</w:t>
      </w:r>
      <w:r>
        <w:rPr>
          <w:sz w:val="16"/>
          <w:szCs w:val="16"/>
        </w:rPr>
        <w:t>ě</w:t>
      </w:r>
      <w:r w:rsidRPr="004602FC">
        <w:rPr>
          <w:sz w:val="16"/>
          <w:szCs w:val="16"/>
        </w:rPr>
        <w:t xml:space="preserve"> významně nezměnil (</w:t>
      </w:r>
      <w:r w:rsidRPr="004602FC">
        <w:rPr>
          <w:color w:val="0D0D0D" w:themeColor="text1" w:themeTint="F2"/>
          <w:spacing w:val="-1"/>
          <w:sz w:val="16"/>
          <w:szCs w:val="16"/>
        </w:rPr>
        <w:t>−</w:t>
      </w:r>
      <w:r w:rsidRPr="004602FC">
        <w:rPr>
          <w:sz w:val="16"/>
          <w:szCs w:val="16"/>
        </w:rPr>
        <w:t>0,7 %).</w:t>
      </w:r>
    </w:p>
  </w:footnote>
  <w:footnote w:id="4">
    <w:p w14:paraId="4A76F550" w14:textId="77777777" w:rsidR="004C456F" w:rsidRPr="0084587B" w:rsidRDefault="004C456F" w:rsidP="004C456F">
      <w:pPr>
        <w:pStyle w:val="Textpoznpodarou"/>
        <w:rPr>
          <w:sz w:val="16"/>
          <w:szCs w:val="16"/>
        </w:rPr>
      </w:pPr>
      <w:r w:rsidRPr="0084587B">
        <w:rPr>
          <w:rStyle w:val="Znakapoznpodarou"/>
          <w:sz w:val="16"/>
          <w:szCs w:val="16"/>
        </w:rPr>
        <w:footnoteRef/>
      </w:r>
      <w:r w:rsidRPr="0084587B">
        <w:rPr>
          <w:sz w:val="16"/>
          <w:szCs w:val="16"/>
        </w:rPr>
        <w:t xml:space="preserve"> Ty zahrnují rozhodují</w:t>
      </w:r>
      <w:r>
        <w:rPr>
          <w:sz w:val="16"/>
          <w:szCs w:val="16"/>
        </w:rPr>
        <w:t>cí</w:t>
      </w:r>
      <w:r w:rsidRPr="0084587B">
        <w:rPr>
          <w:sz w:val="16"/>
          <w:szCs w:val="16"/>
        </w:rPr>
        <w:t xml:space="preserve"> část odvětví profesní, vědecké, technické a administrativní činnosti.</w:t>
      </w:r>
    </w:p>
  </w:footnote>
  <w:footnote w:id="5">
    <w:p w14:paraId="50ADE4F0" w14:textId="77777777" w:rsidR="004C456F" w:rsidRPr="0068589B" w:rsidRDefault="004C456F" w:rsidP="004C456F">
      <w:pPr>
        <w:pStyle w:val="Textpoznpodarou"/>
        <w:rPr>
          <w:sz w:val="16"/>
          <w:szCs w:val="16"/>
        </w:rPr>
      </w:pPr>
      <w:r w:rsidRPr="0068589B">
        <w:rPr>
          <w:rStyle w:val="Znakapoznpodarou"/>
          <w:sz w:val="16"/>
          <w:szCs w:val="16"/>
        </w:rPr>
        <w:footnoteRef/>
      </w:r>
      <w:r w:rsidRPr="0068589B">
        <w:rPr>
          <w:sz w:val="16"/>
          <w:szCs w:val="16"/>
        </w:rPr>
        <w:t xml:space="preserve"> </w:t>
      </w:r>
      <w:r>
        <w:rPr>
          <w:sz w:val="16"/>
          <w:szCs w:val="16"/>
        </w:rPr>
        <w:t>Ty o</w:t>
      </w:r>
      <w:r w:rsidRPr="0068589B">
        <w:rPr>
          <w:sz w:val="16"/>
          <w:szCs w:val="16"/>
        </w:rPr>
        <w:t>bsahuj</w:t>
      </w:r>
      <w:r>
        <w:rPr>
          <w:sz w:val="16"/>
          <w:szCs w:val="16"/>
        </w:rPr>
        <w:t>í</w:t>
      </w:r>
      <w:r w:rsidRPr="0068589B">
        <w:rPr>
          <w:sz w:val="16"/>
          <w:szCs w:val="16"/>
        </w:rPr>
        <w:t xml:space="preserve"> veřejnou správu, obranu, vzdělávání, zdravotní a sociální péči.</w:t>
      </w:r>
    </w:p>
  </w:footnote>
  <w:footnote w:id="6">
    <w:p w14:paraId="3A34B416" w14:textId="77777777" w:rsidR="004C456F" w:rsidRPr="001B024E" w:rsidRDefault="004C456F" w:rsidP="004C456F">
      <w:pPr>
        <w:pStyle w:val="paragraph"/>
        <w:spacing w:before="0" w:beforeAutospacing="0" w:after="0" w:afterAutospacing="0"/>
        <w:textAlignment w:val="baseline"/>
        <w:rPr>
          <w:rFonts w:ascii="Arial" w:eastAsia="Calibri" w:hAnsi="Arial"/>
          <w:sz w:val="16"/>
          <w:szCs w:val="16"/>
        </w:rPr>
      </w:pPr>
      <w:r w:rsidRPr="001B024E">
        <w:rPr>
          <w:rStyle w:val="Znakapoznpodarou"/>
          <w:rFonts w:ascii="Arial" w:eastAsia="Calibri" w:hAnsi="Arial"/>
          <w:sz w:val="16"/>
          <w:szCs w:val="16"/>
        </w:rPr>
        <w:footnoteRef/>
      </w:r>
      <w:r w:rsidRPr="001B024E">
        <w:rPr>
          <w:rStyle w:val="Znakapoznpodarou"/>
          <w:rFonts w:ascii="Arial" w:eastAsia="Calibri" w:hAnsi="Arial"/>
          <w:sz w:val="16"/>
          <w:szCs w:val="16"/>
        </w:rPr>
        <w:t xml:space="preserve"> </w:t>
      </w:r>
      <w:r w:rsidRPr="001B024E">
        <w:rPr>
          <w:rFonts w:ascii="Arial" w:eastAsia="Calibri" w:hAnsi="Arial"/>
          <w:sz w:val="16"/>
          <w:szCs w:val="16"/>
        </w:rPr>
        <w:t xml:space="preserve">Trend dlouhodobě mírně rostoucí výroby mléka </w:t>
      </w:r>
      <w:r>
        <w:rPr>
          <w:rFonts w:ascii="Arial" w:eastAsia="Calibri" w:hAnsi="Arial"/>
          <w:sz w:val="16"/>
          <w:szCs w:val="16"/>
        </w:rPr>
        <w:t>pokračoval</w:t>
      </w:r>
      <w:r w:rsidRPr="001B024E">
        <w:rPr>
          <w:rFonts w:ascii="Arial" w:eastAsia="Calibri" w:hAnsi="Arial"/>
          <w:sz w:val="16"/>
          <w:szCs w:val="16"/>
        </w:rPr>
        <w:t xml:space="preserve">, </w:t>
      </w:r>
      <w:r>
        <w:rPr>
          <w:rFonts w:ascii="Arial" w:eastAsia="Calibri" w:hAnsi="Arial"/>
          <w:sz w:val="16"/>
          <w:szCs w:val="16"/>
        </w:rPr>
        <w:t xml:space="preserve">byť v 1. pololetí 2025 </w:t>
      </w:r>
      <w:r w:rsidRPr="001B024E">
        <w:rPr>
          <w:rFonts w:ascii="Arial" w:eastAsia="Calibri" w:hAnsi="Arial"/>
          <w:sz w:val="16"/>
          <w:szCs w:val="16"/>
        </w:rPr>
        <w:t>meziročn</w:t>
      </w:r>
      <w:r>
        <w:rPr>
          <w:rFonts w:ascii="Arial" w:eastAsia="Calibri" w:hAnsi="Arial"/>
          <w:sz w:val="16"/>
          <w:szCs w:val="16"/>
        </w:rPr>
        <w:t>ě slabším tempem</w:t>
      </w:r>
      <w:r w:rsidRPr="001B024E">
        <w:rPr>
          <w:rFonts w:ascii="Arial" w:eastAsia="Calibri" w:hAnsi="Arial"/>
          <w:sz w:val="16"/>
          <w:szCs w:val="16"/>
        </w:rPr>
        <w:t xml:space="preserve">. Přímý nákup mléka od tuzemských producentů (prvními kupujícími) činil letos </w:t>
      </w:r>
      <w:r>
        <w:rPr>
          <w:rFonts w:ascii="Arial" w:eastAsia="Calibri" w:hAnsi="Arial"/>
          <w:sz w:val="16"/>
          <w:szCs w:val="16"/>
        </w:rPr>
        <w:t>1650</w:t>
      </w:r>
      <w:r w:rsidRPr="001B024E">
        <w:rPr>
          <w:rFonts w:ascii="Arial" w:eastAsia="Calibri" w:hAnsi="Arial"/>
          <w:sz w:val="16"/>
          <w:szCs w:val="16"/>
        </w:rPr>
        <w:t xml:space="preserve"> mil. </w:t>
      </w:r>
      <w:r>
        <w:rPr>
          <w:rFonts w:ascii="Arial" w:eastAsia="Calibri" w:hAnsi="Arial"/>
          <w:sz w:val="16"/>
          <w:szCs w:val="16"/>
        </w:rPr>
        <w:t>l</w:t>
      </w:r>
      <w:r w:rsidRPr="001B024E">
        <w:rPr>
          <w:rFonts w:ascii="Arial" w:eastAsia="Calibri" w:hAnsi="Arial"/>
          <w:sz w:val="16"/>
          <w:szCs w:val="16"/>
        </w:rPr>
        <w:t>itrů</w:t>
      </w:r>
      <w:r>
        <w:rPr>
          <w:rFonts w:ascii="Arial" w:eastAsia="Calibri" w:hAnsi="Arial"/>
          <w:sz w:val="16"/>
          <w:szCs w:val="16"/>
        </w:rPr>
        <w:t xml:space="preserve"> (+0,5 %)</w:t>
      </w:r>
      <w:r w:rsidRPr="001B024E">
        <w:rPr>
          <w:rFonts w:ascii="Arial" w:eastAsia="Calibri" w:hAnsi="Arial"/>
          <w:sz w:val="16"/>
          <w:szCs w:val="16"/>
        </w:rPr>
        <w:t xml:space="preserve">. Z toho </w:t>
      </w:r>
      <w:r>
        <w:rPr>
          <w:rFonts w:ascii="Arial" w:eastAsia="Calibri" w:hAnsi="Arial"/>
          <w:sz w:val="16"/>
          <w:szCs w:val="16"/>
        </w:rPr>
        <w:t xml:space="preserve">samotný </w:t>
      </w:r>
      <w:r w:rsidRPr="001B024E">
        <w:rPr>
          <w:rFonts w:ascii="Arial" w:eastAsia="Calibri" w:hAnsi="Arial"/>
          <w:sz w:val="16"/>
          <w:szCs w:val="16"/>
        </w:rPr>
        <w:t xml:space="preserve">nákup mlékárnami </w:t>
      </w:r>
      <w:r>
        <w:rPr>
          <w:rFonts w:ascii="Arial" w:eastAsia="Calibri" w:hAnsi="Arial"/>
          <w:sz w:val="16"/>
          <w:szCs w:val="16"/>
        </w:rPr>
        <w:t>(1391</w:t>
      </w:r>
      <w:r w:rsidRPr="001B024E">
        <w:rPr>
          <w:rFonts w:ascii="Arial" w:eastAsia="Calibri" w:hAnsi="Arial"/>
          <w:sz w:val="16"/>
          <w:szCs w:val="16"/>
        </w:rPr>
        <w:t xml:space="preserve"> mil. </w:t>
      </w:r>
      <w:r>
        <w:rPr>
          <w:rFonts w:ascii="Arial" w:eastAsia="Calibri" w:hAnsi="Arial"/>
          <w:sz w:val="16"/>
          <w:szCs w:val="16"/>
        </w:rPr>
        <w:t>litrů)</w:t>
      </w:r>
      <w:r w:rsidRPr="001B024E">
        <w:rPr>
          <w:rFonts w:ascii="Arial" w:eastAsia="Calibri" w:hAnsi="Arial"/>
          <w:sz w:val="16"/>
          <w:szCs w:val="16"/>
        </w:rPr>
        <w:t xml:space="preserve"> </w:t>
      </w:r>
      <w:r>
        <w:rPr>
          <w:rFonts w:ascii="Arial" w:eastAsia="Calibri" w:hAnsi="Arial"/>
          <w:sz w:val="16"/>
          <w:szCs w:val="16"/>
        </w:rPr>
        <w:t>se však</w:t>
      </w:r>
      <w:r w:rsidRPr="001B024E">
        <w:rPr>
          <w:rFonts w:ascii="Arial" w:eastAsia="Calibri" w:hAnsi="Arial"/>
          <w:sz w:val="16"/>
          <w:szCs w:val="16"/>
        </w:rPr>
        <w:t xml:space="preserve"> meziročně </w:t>
      </w:r>
      <w:r>
        <w:rPr>
          <w:rFonts w:ascii="Arial" w:eastAsia="Calibri" w:hAnsi="Arial"/>
          <w:sz w:val="16"/>
          <w:szCs w:val="16"/>
        </w:rPr>
        <w:t>snížil</w:t>
      </w:r>
      <w:r w:rsidRPr="001B024E">
        <w:rPr>
          <w:rFonts w:ascii="Arial" w:eastAsia="Calibri" w:hAnsi="Arial"/>
          <w:sz w:val="16"/>
          <w:szCs w:val="16"/>
        </w:rPr>
        <w:t xml:space="preserve"> </w:t>
      </w:r>
      <w:r>
        <w:rPr>
          <w:rFonts w:ascii="Arial" w:eastAsia="Calibri" w:hAnsi="Arial"/>
          <w:sz w:val="16"/>
          <w:szCs w:val="16"/>
        </w:rPr>
        <w:t>(</w:t>
      </w:r>
      <w:r w:rsidRPr="001B024E">
        <w:rPr>
          <w:rFonts w:ascii="Arial" w:eastAsia="Calibri" w:hAnsi="Arial"/>
          <w:sz w:val="16"/>
          <w:szCs w:val="16"/>
        </w:rPr>
        <w:t xml:space="preserve">o </w:t>
      </w:r>
      <w:r>
        <w:rPr>
          <w:rFonts w:ascii="Arial" w:eastAsia="Calibri" w:hAnsi="Arial"/>
          <w:sz w:val="16"/>
          <w:szCs w:val="16"/>
        </w:rPr>
        <w:t xml:space="preserve">1,9 %, </w:t>
      </w:r>
      <w:r w:rsidRPr="001B024E">
        <w:rPr>
          <w:rFonts w:ascii="Arial" w:eastAsia="Calibri" w:hAnsi="Arial"/>
          <w:sz w:val="16"/>
          <w:szCs w:val="16"/>
        </w:rPr>
        <w:t>nejvíce za posledních pět a půl roku</w:t>
      </w:r>
      <w:r>
        <w:rPr>
          <w:rFonts w:ascii="Arial" w:eastAsia="Calibri" w:hAnsi="Arial"/>
          <w:sz w:val="16"/>
          <w:szCs w:val="16"/>
        </w:rPr>
        <w:t xml:space="preserve">). </w:t>
      </w:r>
      <w:r w:rsidRPr="004461CD">
        <w:rPr>
          <w:rFonts w:ascii="Arial" w:eastAsia="Calibri" w:hAnsi="Arial"/>
          <w:spacing w:val="-2"/>
          <w:sz w:val="16"/>
          <w:szCs w:val="16"/>
        </w:rPr>
        <w:t>Výroba masa na tuzemských j</w:t>
      </w:r>
      <w:r>
        <w:rPr>
          <w:rFonts w:ascii="Arial" w:eastAsia="Calibri" w:hAnsi="Arial"/>
          <w:spacing w:val="-2"/>
          <w:sz w:val="16"/>
          <w:szCs w:val="16"/>
        </w:rPr>
        <w:t>atkách rostla</w:t>
      </w:r>
      <w:r w:rsidRPr="004461CD">
        <w:rPr>
          <w:rFonts w:ascii="Arial" w:eastAsia="Calibri" w:hAnsi="Arial"/>
          <w:spacing w:val="-2"/>
          <w:sz w:val="16"/>
          <w:szCs w:val="16"/>
        </w:rPr>
        <w:t>. V 1. pololetí se meziročně zvýšil</w:t>
      </w:r>
      <w:r>
        <w:rPr>
          <w:rFonts w:ascii="Arial" w:eastAsia="Calibri" w:hAnsi="Arial"/>
          <w:spacing w:val="-2"/>
          <w:sz w:val="16"/>
          <w:szCs w:val="16"/>
        </w:rPr>
        <w:t>a</w:t>
      </w:r>
      <w:r w:rsidRPr="004461CD">
        <w:rPr>
          <w:rFonts w:ascii="Arial" w:eastAsia="Calibri" w:hAnsi="Arial"/>
          <w:spacing w:val="-2"/>
          <w:sz w:val="16"/>
          <w:szCs w:val="16"/>
        </w:rPr>
        <w:t xml:space="preserve"> o 4,8 % (za celý loňský rok o 3,3 %). Zatímco loni táhlo celkovou výrobu vepřové maso, letos jeho růst lehce zmírnil (na 4,7 %) a klíčovou roli převzala výroba drůbežího masa (+7,4 %). Klesla naopak výroba hovězího (</w:t>
      </w:r>
      <w:r w:rsidRPr="004461CD">
        <w:rPr>
          <w:color w:val="0D0D0D" w:themeColor="text1" w:themeTint="F2"/>
          <w:spacing w:val="-2"/>
          <w:sz w:val="16"/>
          <w:szCs w:val="16"/>
        </w:rPr>
        <w:t>−</w:t>
      </w:r>
      <w:r w:rsidRPr="004461CD">
        <w:rPr>
          <w:rFonts w:ascii="Arial" w:eastAsia="Calibri" w:hAnsi="Arial"/>
          <w:spacing w:val="-2"/>
          <w:sz w:val="16"/>
          <w:szCs w:val="16"/>
        </w:rPr>
        <w:t xml:space="preserve">1,4 %), byť nepatrně mírněji než vloni. </w:t>
      </w:r>
      <w:r>
        <w:rPr>
          <w:rFonts w:ascii="Arial" w:eastAsia="Calibri" w:hAnsi="Arial"/>
          <w:spacing w:val="-2"/>
          <w:sz w:val="16"/>
          <w:szCs w:val="16"/>
        </w:rPr>
        <w:t>Nicméně h</w:t>
      </w:r>
      <w:r w:rsidRPr="004461CD">
        <w:rPr>
          <w:rFonts w:ascii="Arial" w:eastAsia="Calibri" w:hAnsi="Arial"/>
          <w:spacing w:val="-2"/>
          <w:sz w:val="16"/>
          <w:szCs w:val="16"/>
        </w:rPr>
        <w:t>rubá tuzemská produkce (vyjádřená v jatečné hmotnosti masa) hovězího se letos (i za celý loňský rok) nepatrně zvýšila (shodně o necelé 1 %), neboť vlivem rostoucích výkupních cen svižně rostl export živých zvířat k porážce (v 1. pololetí meziročně o 6,1 %). Vyvezla se celá čtvrtina v Česku vykrmeného skotu, hlavně do Rakouska, posílil např</w:t>
      </w:r>
      <w:r>
        <w:rPr>
          <w:rFonts w:ascii="Arial" w:eastAsia="Calibri" w:hAnsi="Arial"/>
          <w:spacing w:val="-2"/>
          <w:sz w:val="16"/>
          <w:szCs w:val="16"/>
        </w:rPr>
        <w:t>.</w:t>
      </w:r>
      <w:r w:rsidRPr="004461CD">
        <w:rPr>
          <w:rFonts w:ascii="Arial" w:eastAsia="Calibri" w:hAnsi="Arial"/>
          <w:spacing w:val="-2"/>
          <w:sz w:val="16"/>
          <w:szCs w:val="16"/>
        </w:rPr>
        <w:t xml:space="preserve"> vývoz do Itálie. Vzrostl i export živé drůbeže (+13 %), naopak u živých prasat se snížil (</w:t>
      </w:r>
      <w:r w:rsidRPr="004461CD">
        <w:rPr>
          <w:color w:val="0D0D0D" w:themeColor="text1" w:themeTint="F2"/>
          <w:spacing w:val="-2"/>
          <w:sz w:val="16"/>
          <w:szCs w:val="16"/>
        </w:rPr>
        <w:t>−</w:t>
      </w:r>
      <w:r w:rsidRPr="004461CD">
        <w:rPr>
          <w:rFonts w:ascii="Arial" w:eastAsia="Calibri" w:hAnsi="Arial"/>
          <w:spacing w:val="-2"/>
          <w:sz w:val="16"/>
          <w:szCs w:val="16"/>
        </w:rPr>
        <w:t>18 %), v obou případech to však nemělo významnější dopad na dynamiku tuzemské produkce. Po započítání bilance dovozu a vývozu masa (jež je u všech tří hlavních druhů z pohledu Česka dlouhodobě záporná a u vepřového masa se meziročně dále prohloubila) se předběžně kalkulovaná spotřeba masa v ČR v 1. pololetí 2025 meziročně propadla u hovězího (</w:t>
      </w:r>
      <w:r w:rsidRPr="004461CD">
        <w:rPr>
          <w:color w:val="0D0D0D" w:themeColor="text1" w:themeTint="F2"/>
          <w:spacing w:val="-2"/>
          <w:sz w:val="16"/>
          <w:szCs w:val="16"/>
        </w:rPr>
        <w:t>−</w:t>
      </w:r>
      <w:r w:rsidRPr="004461CD">
        <w:rPr>
          <w:rFonts w:ascii="Arial" w:eastAsia="Calibri" w:hAnsi="Arial"/>
          <w:spacing w:val="-2"/>
          <w:sz w:val="16"/>
          <w:szCs w:val="16"/>
        </w:rPr>
        <w:t>9 %, po stagnaci v roce 2024), naopak u vepřového a drůbežího mírně rostla (shodně o 4 %) a navázala na trend z loňského roku. Spotřebu masa ovlivňují dlouhodobé preference tuzemských konzumentů i krátkodobější výkyvy dané např. reakcí domácností na vývoj spotřebitelských cen masa (např. současný vysoký růst u hovězího).</w:t>
      </w:r>
    </w:p>
  </w:footnote>
  <w:footnote w:id="7">
    <w:p w14:paraId="12ED9539" w14:textId="77777777" w:rsidR="004C456F" w:rsidRDefault="004C456F" w:rsidP="004C456F">
      <w:pPr>
        <w:pStyle w:val="Textpoznpodarou"/>
      </w:pPr>
      <w:r w:rsidRPr="00321A23">
        <w:rPr>
          <w:rStyle w:val="Znakapoznpodarou"/>
          <w:sz w:val="16"/>
          <w:szCs w:val="16"/>
        </w:rPr>
        <w:footnoteRef/>
      </w:r>
      <w:r w:rsidRPr="00321A23">
        <w:rPr>
          <w:sz w:val="16"/>
          <w:szCs w:val="16"/>
        </w:rPr>
        <w:t xml:space="preserve"> Někteří významní producenti dřeva zaznamenali letos v 1. pololetí mírný meziroční růst těžby, a to zejména v dlouhodobě odkládaných výchovách porostů středního věku.</w:t>
      </w:r>
    </w:p>
  </w:footnote>
  <w:footnote w:id="8">
    <w:p w14:paraId="3F826E65" w14:textId="77777777" w:rsidR="004C456F" w:rsidRPr="004C5CB7" w:rsidRDefault="004C456F" w:rsidP="004C456F">
      <w:pPr>
        <w:spacing w:after="0" w:line="240" w:lineRule="auto"/>
        <w:jc w:val="left"/>
        <w:rPr>
          <w:rFonts w:eastAsia="Arial" w:cs="Arial"/>
          <w:szCs w:val="20"/>
        </w:rPr>
      </w:pPr>
      <w:r w:rsidRPr="004C5CB7">
        <w:rPr>
          <w:rStyle w:val="Znakapoznpodarou"/>
          <w:sz w:val="16"/>
          <w:szCs w:val="16"/>
        </w:rPr>
        <w:footnoteRef/>
      </w:r>
      <w:r w:rsidRPr="004C5CB7">
        <w:rPr>
          <w:sz w:val="16"/>
          <w:szCs w:val="16"/>
        </w:rPr>
        <w:t xml:space="preserve"> </w:t>
      </w:r>
      <w:r w:rsidRPr="004C5CB7">
        <w:rPr>
          <w:rFonts w:eastAsia="Arial" w:cs="Arial"/>
          <w:sz w:val="16"/>
          <w:szCs w:val="16"/>
        </w:rPr>
        <w:t xml:space="preserve">Dle 2. letošního odhadu sklizně (uzávěrka šetření ČSÚ k 16. červenci) je v Česku pro rok 2025 očekávána úroda základních obilovin </w:t>
      </w:r>
      <w:r>
        <w:rPr>
          <w:rFonts w:eastAsia="Arial" w:cs="Arial"/>
          <w:sz w:val="16"/>
          <w:szCs w:val="16"/>
        </w:rPr>
        <w:t xml:space="preserve">ve výši </w:t>
      </w:r>
      <w:r w:rsidRPr="004C5CB7">
        <w:rPr>
          <w:rFonts w:eastAsia="Arial" w:cs="Arial"/>
          <w:sz w:val="16"/>
          <w:szCs w:val="16"/>
        </w:rPr>
        <w:t>6 980 tis. tun, řepky 994 tis. tun a máku 30 tis. tun. Odhady jsou ve srovnání s definitivní loňskou sklizní mírně vyšší: obilovi</w:t>
      </w:r>
      <w:r>
        <w:rPr>
          <w:rFonts w:eastAsia="Arial" w:cs="Arial"/>
          <w:sz w:val="16"/>
          <w:szCs w:val="16"/>
        </w:rPr>
        <w:t>ny (+3</w:t>
      </w:r>
      <w:r>
        <w:rPr>
          <w:rFonts w:eastAsia="Calibri"/>
          <w:sz w:val="16"/>
          <w:szCs w:val="16"/>
        </w:rPr>
        <w:t> </w:t>
      </w:r>
      <w:r w:rsidRPr="004C5CB7">
        <w:rPr>
          <w:rFonts w:eastAsia="Arial" w:cs="Arial"/>
          <w:sz w:val="16"/>
          <w:szCs w:val="16"/>
        </w:rPr>
        <w:t>%), řepka (+5 %), mák (+9 %), nicméně zatím mírně zaostávají v dlouhodobém kontextu: proti pětiletému průměru by měla být letošní sklizeň nižší u obilovin (</w:t>
      </w:r>
      <w:r>
        <w:rPr>
          <w:color w:val="0D0D0D" w:themeColor="text1" w:themeTint="F2"/>
          <w:spacing w:val="-4"/>
          <w:sz w:val="16"/>
          <w:szCs w:val="16"/>
        </w:rPr>
        <w:t>−</w:t>
      </w:r>
      <w:r w:rsidRPr="004C5CB7">
        <w:rPr>
          <w:rFonts w:eastAsia="Arial" w:cs="Arial"/>
          <w:sz w:val="16"/>
          <w:szCs w:val="16"/>
        </w:rPr>
        <w:t>4 %) i řepky (</w:t>
      </w:r>
      <w:r>
        <w:rPr>
          <w:color w:val="0D0D0D" w:themeColor="text1" w:themeTint="F2"/>
          <w:spacing w:val="-4"/>
          <w:sz w:val="16"/>
          <w:szCs w:val="16"/>
        </w:rPr>
        <w:t>−</w:t>
      </w:r>
      <w:r w:rsidRPr="004C5CB7">
        <w:rPr>
          <w:rFonts w:eastAsia="Arial" w:cs="Arial"/>
          <w:sz w:val="16"/>
          <w:szCs w:val="16"/>
        </w:rPr>
        <w:t xml:space="preserve">13 %), naopak u máku se očekává úroda velmi dobrá (+18 %). Toto zaostávání odráží hlavně vliv setrvalého poklesu osevní plochy </w:t>
      </w:r>
      <w:r>
        <w:rPr>
          <w:color w:val="0D0D0D" w:themeColor="text1" w:themeTint="F2"/>
          <w:spacing w:val="-4"/>
          <w:sz w:val="16"/>
          <w:szCs w:val="16"/>
        </w:rPr>
        <w:t>–</w:t>
      </w:r>
      <w:r w:rsidRPr="004C5CB7">
        <w:rPr>
          <w:rFonts w:eastAsia="Arial" w:cs="Arial"/>
          <w:sz w:val="16"/>
          <w:szCs w:val="16"/>
        </w:rPr>
        <w:t xml:space="preserve"> tato u obilovin (1 211 tis. ha) byla letos nejnižší ve srovnatelné řadě od roku 2002 (což v</w:t>
      </w:r>
      <w:r>
        <w:rPr>
          <w:rFonts w:eastAsia="Arial" w:cs="Arial"/>
          <w:sz w:val="16"/>
          <w:szCs w:val="16"/>
        </w:rPr>
        <w:t> </w:t>
      </w:r>
      <w:r w:rsidRPr="004C5CB7">
        <w:rPr>
          <w:rFonts w:eastAsia="Arial" w:cs="Arial"/>
          <w:sz w:val="16"/>
          <w:szCs w:val="16"/>
        </w:rPr>
        <w:t>detailu platí např. pro ječmen či žito), u řepky byla pak nejnižší za posledních 19 let (336 tis. ha). Z jednotlivých obilovin se čeká v meziročním srovnání vyšší úroda zejména váhově spíše okrajových plodin: ovsa (+24 %), triticale (+10 %) a pšenice jarní (+5 %), většinou výhradně díky lepším hektarovým výnosů</w:t>
      </w:r>
      <w:r>
        <w:rPr>
          <w:rFonts w:eastAsia="Arial" w:cs="Arial"/>
          <w:sz w:val="16"/>
          <w:szCs w:val="16"/>
        </w:rPr>
        <w:t>m</w:t>
      </w:r>
      <w:r w:rsidRPr="004C5CB7">
        <w:rPr>
          <w:rFonts w:eastAsia="Arial" w:cs="Arial"/>
          <w:sz w:val="16"/>
          <w:szCs w:val="16"/>
        </w:rPr>
        <w:t xml:space="preserve"> (jen </w:t>
      </w:r>
      <w:r>
        <w:rPr>
          <w:rFonts w:eastAsia="Arial" w:cs="Arial"/>
          <w:sz w:val="16"/>
          <w:szCs w:val="16"/>
        </w:rPr>
        <w:t>u</w:t>
      </w:r>
      <w:r w:rsidRPr="004C5CB7">
        <w:rPr>
          <w:rFonts w:eastAsia="Arial" w:cs="Arial"/>
          <w:sz w:val="16"/>
          <w:szCs w:val="16"/>
        </w:rPr>
        <w:t xml:space="preserve"> ovsa j</w:t>
      </w:r>
      <w:r>
        <w:rPr>
          <w:rFonts w:eastAsia="Arial" w:cs="Arial"/>
          <w:sz w:val="16"/>
          <w:szCs w:val="16"/>
        </w:rPr>
        <w:t>d</w:t>
      </w:r>
      <w:r w:rsidRPr="004C5CB7">
        <w:rPr>
          <w:rFonts w:eastAsia="Arial" w:cs="Arial"/>
          <w:sz w:val="16"/>
          <w:szCs w:val="16"/>
        </w:rPr>
        <w:t>e výlučně o vliv ploch osevů, které u něj druhým rokem v řadě svižně rostou). U klíčové obiloviny – pšenice ozimé – se v mírném růstu očekávané úrody (+3 %) rovnoměrně odráží vyšší plocha i výnos. Oproti průměru sklizní z let 2020</w:t>
      </w:r>
      <w:r>
        <w:rPr>
          <w:rFonts w:eastAsia="Arial" w:cs="Arial"/>
          <w:sz w:val="16"/>
          <w:szCs w:val="16"/>
        </w:rPr>
        <w:t>–</w:t>
      </w:r>
      <w:r w:rsidRPr="004C5CB7">
        <w:rPr>
          <w:rFonts w:eastAsia="Arial" w:cs="Arial"/>
          <w:sz w:val="16"/>
          <w:szCs w:val="16"/>
        </w:rPr>
        <w:t xml:space="preserve">2024 by měla být letos úroda většiny obilovin nižší </w:t>
      </w:r>
      <w:r>
        <w:rPr>
          <w:rFonts w:eastAsia="Arial" w:cs="Arial"/>
          <w:sz w:val="16"/>
          <w:szCs w:val="16"/>
        </w:rPr>
        <w:t>–</w:t>
      </w:r>
      <w:r w:rsidRPr="004C5CB7">
        <w:rPr>
          <w:rFonts w:eastAsia="Arial" w:cs="Arial"/>
          <w:sz w:val="16"/>
          <w:szCs w:val="16"/>
        </w:rPr>
        <w:t xml:space="preserve"> pšenice jarní (</w:t>
      </w:r>
      <w:r>
        <w:rPr>
          <w:color w:val="0D0D0D" w:themeColor="text1" w:themeTint="F2"/>
          <w:spacing w:val="-4"/>
          <w:sz w:val="16"/>
          <w:szCs w:val="16"/>
        </w:rPr>
        <w:t>−</w:t>
      </w:r>
      <w:r w:rsidRPr="004C5CB7">
        <w:rPr>
          <w:rFonts w:eastAsia="Arial" w:cs="Arial"/>
          <w:sz w:val="16"/>
          <w:szCs w:val="16"/>
        </w:rPr>
        <w:t>50 %), žita (</w:t>
      </w:r>
      <w:r>
        <w:rPr>
          <w:color w:val="0D0D0D" w:themeColor="text1" w:themeTint="F2"/>
          <w:spacing w:val="-4"/>
          <w:sz w:val="16"/>
          <w:szCs w:val="16"/>
        </w:rPr>
        <w:t>−</w:t>
      </w:r>
      <w:r w:rsidRPr="004C5CB7">
        <w:rPr>
          <w:rFonts w:eastAsia="Arial" w:cs="Arial"/>
          <w:sz w:val="16"/>
          <w:szCs w:val="16"/>
        </w:rPr>
        <w:t>23 %), ječmene (</w:t>
      </w:r>
      <w:r>
        <w:rPr>
          <w:color w:val="0D0D0D" w:themeColor="text1" w:themeTint="F2"/>
          <w:spacing w:val="-4"/>
          <w:sz w:val="16"/>
          <w:szCs w:val="16"/>
        </w:rPr>
        <w:t>−</w:t>
      </w:r>
      <w:r w:rsidRPr="004C5CB7">
        <w:rPr>
          <w:rFonts w:eastAsia="Arial" w:cs="Arial"/>
          <w:sz w:val="16"/>
          <w:szCs w:val="16"/>
        </w:rPr>
        <w:t>8</w:t>
      </w:r>
      <w:r>
        <w:rPr>
          <w:rFonts w:eastAsia="Arial" w:cs="Arial"/>
          <w:sz w:val="16"/>
          <w:szCs w:val="16"/>
        </w:rPr>
        <w:t> </w:t>
      </w:r>
      <w:r w:rsidRPr="004C5CB7">
        <w:rPr>
          <w:rFonts w:eastAsia="Arial" w:cs="Arial"/>
          <w:sz w:val="16"/>
          <w:szCs w:val="16"/>
        </w:rPr>
        <w:t>%), pšenice ozimé (</w:t>
      </w:r>
      <w:r>
        <w:rPr>
          <w:color w:val="0D0D0D" w:themeColor="text1" w:themeTint="F2"/>
          <w:spacing w:val="-4"/>
          <w:sz w:val="16"/>
          <w:szCs w:val="16"/>
        </w:rPr>
        <w:t>−</w:t>
      </w:r>
      <w:r w:rsidRPr="004C5CB7">
        <w:rPr>
          <w:rFonts w:eastAsia="Arial" w:cs="Arial"/>
          <w:sz w:val="16"/>
          <w:szCs w:val="16"/>
        </w:rPr>
        <w:t>3 %), růst se čeká jen u triticale (+6 %) a ovsa (+44 %).</w:t>
      </w:r>
      <w:r>
        <w:rPr>
          <w:rFonts w:eastAsia="Arial" w:cs="Arial"/>
          <w:sz w:val="16"/>
          <w:szCs w:val="16"/>
        </w:rPr>
        <w:t xml:space="preserve"> Dle vzorků testovaných v resortních organizacích MZE by měla být letošní sklizeň </w:t>
      </w:r>
      <w:r w:rsidRPr="004C5CB7">
        <w:rPr>
          <w:rFonts w:eastAsia="Arial" w:cs="Arial"/>
          <w:sz w:val="16"/>
          <w:szCs w:val="16"/>
        </w:rPr>
        <w:t xml:space="preserve">potravinářské </w:t>
      </w:r>
      <w:r>
        <w:rPr>
          <w:rFonts w:eastAsia="Arial" w:cs="Arial"/>
          <w:sz w:val="16"/>
          <w:szCs w:val="16"/>
        </w:rPr>
        <w:t>pšenice a sladovnického ječmene</w:t>
      </w:r>
      <w:r w:rsidRPr="004C5CB7">
        <w:rPr>
          <w:rFonts w:eastAsia="Arial" w:cs="Arial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co do kvality převážně dobrá. Deštivé a chladnější počasí ve 2. polovině července bude mít na kvalitu obilovin patrně menší negativní dopad, než se očekávalo. Naopak teplý a suchý srpen se zřejmě negativně podepíše na sklizni jiných plodin (např. chmele).</w:t>
      </w:r>
    </w:p>
  </w:footnote>
  <w:footnote w:id="9">
    <w:p w14:paraId="09D1E57F" w14:textId="77777777" w:rsidR="004C456F" w:rsidRPr="00E1174E" w:rsidRDefault="004C456F" w:rsidP="004C456F">
      <w:pPr>
        <w:spacing w:after="0" w:line="240" w:lineRule="auto"/>
        <w:jc w:val="left"/>
        <w:rPr>
          <w:rFonts w:cs="Arial"/>
          <w:color w:val="0D0D0D" w:themeColor="text1" w:themeTint="F2"/>
          <w:spacing w:val="-4"/>
          <w:sz w:val="16"/>
          <w:szCs w:val="16"/>
        </w:rPr>
      </w:pPr>
      <w:r w:rsidRPr="008C2F46">
        <w:rPr>
          <w:rStyle w:val="Znakapoznpodarou"/>
          <w:spacing w:val="-4"/>
          <w:sz w:val="16"/>
          <w:szCs w:val="16"/>
        </w:rPr>
        <w:footnoteRef/>
      </w:r>
      <w:r w:rsidRPr="008C2F46">
        <w:rPr>
          <w:spacing w:val="-4"/>
          <w:sz w:val="16"/>
          <w:szCs w:val="16"/>
        </w:rPr>
        <w:t xml:space="preserve"> </w:t>
      </w:r>
      <w:r w:rsidRPr="00E1174E">
        <w:rPr>
          <w:rFonts w:cs="Arial"/>
          <w:color w:val="0D0D0D" w:themeColor="text1" w:themeTint="F2"/>
          <w:spacing w:val="-4"/>
          <w:sz w:val="16"/>
          <w:szCs w:val="16"/>
        </w:rPr>
        <w:t>Zahrnuje odvětví těžby a dobývání, zpracovatelského průmyslu a také energetiky (zde pojímané jako odvětví výroby a rozvodu elektřiny, plynu, tepla a klimatizovaného vzduchu). Všechna meziroční tempa produkce jsou očištěna o kalendářní vlivy, mezičtvrtletní tempa i o vliv sezónnosti.</w:t>
      </w:r>
    </w:p>
  </w:footnote>
  <w:footnote w:id="10">
    <w:p w14:paraId="545DF394" w14:textId="77777777" w:rsidR="004C456F" w:rsidRPr="000872F3" w:rsidRDefault="004C456F" w:rsidP="004C456F">
      <w:pPr>
        <w:pStyle w:val="Textpoznpodarou"/>
        <w:rPr>
          <w:color w:val="0D0D0D" w:themeColor="text1" w:themeTint="F2"/>
          <w:spacing w:val="-1"/>
          <w:sz w:val="16"/>
          <w:szCs w:val="16"/>
        </w:rPr>
      </w:pPr>
      <w:r w:rsidRPr="0013125D">
        <w:rPr>
          <w:rStyle w:val="Znakapoznpodarou"/>
          <w:sz w:val="16"/>
          <w:szCs w:val="16"/>
        </w:rPr>
        <w:footnoteRef/>
      </w:r>
      <w:r w:rsidRPr="0013125D">
        <w:rPr>
          <w:sz w:val="16"/>
          <w:szCs w:val="16"/>
        </w:rPr>
        <w:t xml:space="preserve"> </w:t>
      </w:r>
      <w:r w:rsidRPr="0052184C">
        <w:rPr>
          <w:color w:val="0D0D0D" w:themeColor="text1" w:themeTint="F2"/>
          <w:spacing w:val="-1"/>
          <w:sz w:val="16"/>
          <w:szCs w:val="16"/>
        </w:rPr>
        <w:t xml:space="preserve">Za svým vrcholem z období let 2015 </w:t>
      </w:r>
      <w:r>
        <w:rPr>
          <w:color w:val="0D0D0D" w:themeColor="text1" w:themeTint="F2"/>
          <w:spacing w:val="-1"/>
          <w:sz w:val="16"/>
          <w:szCs w:val="16"/>
        </w:rPr>
        <w:t>až 2019 letos</w:t>
      </w:r>
      <w:r w:rsidRPr="00265220">
        <w:rPr>
          <w:color w:val="0D0D0D" w:themeColor="text1" w:themeTint="F2"/>
          <w:spacing w:val="-1"/>
          <w:sz w:val="16"/>
          <w:szCs w:val="16"/>
        </w:rPr>
        <w:t xml:space="preserve"> ve </w:t>
      </w:r>
      <w:r>
        <w:rPr>
          <w:color w:val="0D0D0D" w:themeColor="text1" w:themeTint="F2"/>
          <w:spacing w:val="-1"/>
          <w:sz w:val="16"/>
          <w:szCs w:val="16"/>
        </w:rPr>
        <w:t xml:space="preserve">2. čtvrtletí zaostaly </w:t>
      </w:r>
      <w:r w:rsidRPr="00265220">
        <w:rPr>
          <w:color w:val="0D0D0D" w:themeColor="text1" w:themeTint="F2"/>
          <w:spacing w:val="-1"/>
          <w:sz w:val="16"/>
          <w:szCs w:val="16"/>
        </w:rPr>
        <w:t>dvě třetiny hlavníc</w:t>
      </w:r>
      <w:r>
        <w:rPr>
          <w:color w:val="0D0D0D" w:themeColor="text1" w:themeTint="F2"/>
          <w:spacing w:val="-1"/>
          <w:sz w:val="16"/>
          <w:szCs w:val="16"/>
        </w:rPr>
        <w:t>h průmyslových oborů – hlavně</w:t>
      </w:r>
      <w:r w:rsidRPr="00265220">
        <w:rPr>
          <w:color w:val="0D0D0D" w:themeColor="text1" w:themeTint="F2"/>
          <w:spacing w:val="-1"/>
          <w:sz w:val="16"/>
          <w:szCs w:val="16"/>
        </w:rPr>
        <w:t xml:space="preserve"> t</w:t>
      </w:r>
      <w:r>
        <w:rPr>
          <w:color w:val="0D0D0D" w:themeColor="text1" w:themeTint="F2"/>
          <w:spacing w:val="-1"/>
          <w:sz w:val="16"/>
          <w:szCs w:val="16"/>
        </w:rPr>
        <w:t>y provázané s výrobou energií</w:t>
      </w:r>
      <w:r w:rsidRPr="00265220">
        <w:rPr>
          <w:color w:val="0D0D0D" w:themeColor="text1" w:themeTint="F2"/>
          <w:spacing w:val="-1"/>
          <w:sz w:val="16"/>
          <w:szCs w:val="16"/>
        </w:rPr>
        <w:t xml:space="preserve"> (</w:t>
      </w:r>
      <w:r>
        <w:rPr>
          <w:color w:val="0D0D0D" w:themeColor="text1" w:themeTint="F2"/>
          <w:spacing w:val="-4"/>
          <w:sz w:val="16"/>
          <w:szCs w:val="16"/>
        </w:rPr>
        <w:t>−</w:t>
      </w:r>
      <w:r>
        <w:rPr>
          <w:color w:val="0D0D0D" w:themeColor="text1" w:themeTint="F2"/>
          <w:spacing w:val="-1"/>
          <w:sz w:val="16"/>
          <w:szCs w:val="16"/>
        </w:rPr>
        <w:t>20</w:t>
      </w:r>
      <w:r w:rsidRPr="00265220">
        <w:rPr>
          <w:color w:val="0D0D0D" w:themeColor="text1" w:themeTint="F2"/>
          <w:spacing w:val="-1"/>
          <w:sz w:val="16"/>
          <w:szCs w:val="16"/>
        </w:rPr>
        <w:t xml:space="preserve"> %) a ty zaměřené na produkci dlouhodobé spotřeby (</w:t>
      </w:r>
      <w:r>
        <w:rPr>
          <w:color w:val="0D0D0D" w:themeColor="text1" w:themeTint="F2"/>
          <w:spacing w:val="-4"/>
          <w:sz w:val="16"/>
          <w:szCs w:val="16"/>
        </w:rPr>
        <w:t>−</w:t>
      </w:r>
      <w:r>
        <w:rPr>
          <w:color w:val="0D0D0D" w:themeColor="text1" w:themeTint="F2"/>
          <w:spacing w:val="-1"/>
          <w:sz w:val="16"/>
          <w:szCs w:val="16"/>
        </w:rPr>
        <w:t>18</w:t>
      </w:r>
      <w:r w:rsidRPr="00265220">
        <w:rPr>
          <w:color w:val="0D0D0D" w:themeColor="text1" w:themeTint="F2"/>
          <w:spacing w:val="-1"/>
          <w:sz w:val="16"/>
          <w:szCs w:val="16"/>
        </w:rPr>
        <w:t xml:space="preserve"> %). Na úrovn</w:t>
      </w:r>
      <w:r>
        <w:rPr>
          <w:color w:val="0D0D0D" w:themeColor="text1" w:themeTint="F2"/>
          <w:spacing w:val="-1"/>
          <w:sz w:val="16"/>
          <w:szCs w:val="16"/>
        </w:rPr>
        <w:t>i jednotlivých oborů šlo v prvé řadě</w:t>
      </w:r>
      <w:r w:rsidRPr="00265220">
        <w:rPr>
          <w:color w:val="0D0D0D" w:themeColor="text1" w:themeTint="F2"/>
          <w:spacing w:val="-1"/>
          <w:sz w:val="16"/>
          <w:szCs w:val="16"/>
        </w:rPr>
        <w:t xml:space="preserve"> o těžbu uhlí (</w:t>
      </w:r>
      <w:r w:rsidRPr="00265220">
        <w:rPr>
          <w:rFonts w:cs="Arial"/>
          <w:color w:val="0D0D0D" w:themeColor="text1" w:themeTint="F2"/>
          <w:spacing w:val="-1"/>
          <w:sz w:val="16"/>
          <w:szCs w:val="16"/>
        </w:rPr>
        <w:t>o </w:t>
      </w:r>
      <w:r>
        <w:rPr>
          <w:color w:val="0D0D0D" w:themeColor="text1" w:themeTint="F2"/>
          <w:spacing w:val="-1"/>
          <w:sz w:val="16"/>
          <w:szCs w:val="16"/>
        </w:rPr>
        <w:t>53</w:t>
      </w:r>
      <w:r w:rsidRPr="00265220">
        <w:rPr>
          <w:rFonts w:cs="Arial"/>
          <w:color w:val="0D0D0D" w:themeColor="text1" w:themeTint="F2"/>
          <w:spacing w:val="-1"/>
          <w:sz w:val="16"/>
          <w:szCs w:val="16"/>
        </w:rPr>
        <w:t> </w:t>
      </w:r>
      <w:r w:rsidRPr="00265220">
        <w:rPr>
          <w:color w:val="0D0D0D" w:themeColor="text1" w:themeTint="F2"/>
          <w:spacing w:val="-1"/>
          <w:sz w:val="16"/>
          <w:szCs w:val="16"/>
        </w:rPr>
        <w:t>%), ob</w:t>
      </w:r>
      <w:r>
        <w:rPr>
          <w:color w:val="0D0D0D" w:themeColor="text1" w:themeTint="F2"/>
          <w:spacing w:val="-1"/>
          <w:sz w:val="16"/>
          <w:szCs w:val="16"/>
        </w:rPr>
        <w:t>uvnický a kožedělný průmysl (−29</w:t>
      </w:r>
      <w:r w:rsidRPr="00265220">
        <w:rPr>
          <w:rFonts w:cs="Arial"/>
          <w:color w:val="0D0D0D" w:themeColor="text1" w:themeTint="F2"/>
          <w:spacing w:val="-1"/>
          <w:sz w:val="16"/>
          <w:szCs w:val="16"/>
        </w:rPr>
        <w:t> </w:t>
      </w:r>
      <w:r>
        <w:rPr>
          <w:color w:val="0D0D0D" w:themeColor="text1" w:themeTint="F2"/>
          <w:spacing w:val="-1"/>
          <w:sz w:val="16"/>
          <w:szCs w:val="16"/>
        </w:rPr>
        <w:t xml:space="preserve">%), </w:t>
      </w:r>
      <w:r w:rsidRPr="00265220">
        <w:rPr>
          <w:color w:val="0D0D0D" w:themeColor="text1" w:themeTint="F2"/>
          <w:spacing w:val="-1"/>
          <w:sz w:val="16"/>
          <w:szCs w:val="16"/>
        </w:rPr>
        <w:t>výrob</w:t>
      </w:r>
      <w:r>
        <w:rPr>
          <w:color w:val="0D0D0D" w:themeColor="text1" w:themeTint="F2"/>
          <w:spacing w:val="-1"/>
          <w:sz w:val="16"/>
          <w:szCs w:val="16"/>
        </w:rPr>
        <w:t>u</w:t>
      </w:r>
      <w:r w:rsidRPr="00265220">
        <w:rPr>
          <w:color w:val="0D0D0D" w:themeColor="text1" w:themeTint="F2"/>
          <w:spacing w:val="-1"/>
          <w:sz w:val="16"/>
          <w:szCs w:val="16"/>
        </w:rPr>
        <w:t xml:space="preserve"> kov</w:t>
      </w:r>
      <w:r>
        <w:rPr>
          <w:color w:val="0D0D0D" w:themeColor="text1" w:themeTint="F2"/>
          <w:spacing w:val="-1"/>
          <w:sz w:val="16"/>
          <w:szCs w:val="16"/>
        </w:rPr>
        <w:t>ů, hutnictví a slévárenství (−27</w:t>
      </w:r>
      <w:r w:rsidRPr="00265220">
        <w:rPr>
          <w:color w:val="0D0D0D" w:themeColor="text1" w:themeTint="F2"/>
          <w:spacing w:val="-1"/>
          <w:sz w:val="16"/>
          <w:szCs w:val="16"/>
        </w:rPr>
        <w:t xml:space="preserve"> %), </w:t>
      </w:r>
      <w:r>
        <w:rPr>
          <w:color w:val="0D0D0D" w:themeColor="text1" w:themeTint="F2"/>
          <w:spacing w:val="-1"/>
          <w:sz w:val="16"/>
          <w:szCs w:val="16"/>
        </w:rPr>
        <w:t>těžbu stavebních materiálů (−26 %), textilní průmysl (−24 </w:t>
      </w:r>
      <w:r w:rsidRPr="00265220">
        <w:rPr>
          <w:color w:val="0D0D0D" w:themeColor="text1" w:themeTint="F2"/>
          <w:spacing w:val="-1"/>
          <w:sz w:val="16"/>
          <w:szCs w:val="16"/>
        </w:rPr>
        <w:t xml:space="preserve">%), </w:t>
      </w:r>
      <w:r>
        <w:rPr>
          <w:color w:val="0D0D0D" w:themeColor="text1" w:themeTint="F2"/>
          <w:spacing w:val="-1"/>
          <w:sz w:val="16"/>
          <w:szCs w:val="16"/>
        </w:rPr>
        <w:t xml:space="preserve">tiskárenství (−21 %). </w:t>
      </w:r>
      <w:r w:rsidRPr="00265220">
        <w:rPr>
          <w:color w:val="0D0D0D" w:themeColor="text1" w:themeTint="F2"/>
          <w:spacing w:val="-1"/>
          <w:sz w:val="16"/>
          <w:szCs w:val="16"/>
        </w:rPr>
        <w:t>Z větší</w:t>
      </w:r>
      <w:r>
        <w:rPr>
          <w:color w:val="0D0D0D" w:themeColor="text1" w:themeTint="F2"/>
          <w:spacing w:val="-1"/>
          <w:sz w:val="16"/>
          <w:szCs w:val="16"/>
        </w:rPr>
        <w:t>ch oborů šlo dále o energetiku (−17</w:t>
      </w:r>
      <w:r w:rsidRPr="00265220">
        <w:rPr>
          <w:rFonts w:cs="Arial"/>
          <w:color w:val="0D0D0D" w:themeColor="text1" w:themeTint="F2"/>
          <w:spacing w:val="-1"/>
          <w:sz w:val="16"/>
          <w:szCs w:val="16"/>
        </w:rPr>
        <w:t> </w:t>
      </w:r>
      <w:r w:rsidRPr="00265220">
        <w:rPr>
          <w:color w:val="0D0D0D" w:themeColor="text1" w:themeTint="F2"/>
          <w:spacing w:val="-1"/>
          <w:sz w:val="16"/>
          <w:szCs w:val="16"/>
        </w:rPr>
        <w:t>%)</w:t>
      </w:r>
      <w:r>
        <w:rPr>
          <w:color w:val="0D0D0D" w:themeColor="text1" w:themeTint="F2"/>
          <w:spacing w:val="-1"/>
          <w:sz w:val="16"/>
          <w:szCs w:val="16"/>
        </w:rPr>
        <w:t>, chemický průmysl (−16</w:t>
      </w:r>
      <w:r w:rsidRPr="00265220">
        <w:rPr>
          <w:rFonts w:cs="Arial"/>
          <w:color w:val="0D0D0D" w:themeColor="text1" w:themeTint="F2"/>
          <w:spacing w:val="-1"/>
          <w:sz w:val="16"/>
          <w:szCs w:val="16"/>
        </w:rPr>
        <w:t> </w:t>
      </w:r>
      <w:r>
        <w:rPr>
          <w:color w:val="0D0D0D" w:themeColor="text1" w:themeTint="F2"/>
          <w:spacing w:val="-1"/>
          <w:sz w:val="16"/>
          <w:szCs w:val="16"/>
        </w:rPr>
        <w:t>%), strojírenství (−15</w:t>
      </w:r>
      <w:r w:rsidRPr="00265220">
        <w:rPr>
          <w:rFonts w:cs="Arial"/>
          <w:color w:val="0D0D0D" w:themeColor="text1" w:themeTint="F2"/>
          <w:spacing w:val="-1"/>
          <w:sz w:val="16"/>
          <w:szCs w:val="16"/>
        </w:rPr>
        <w:t> </w:t>
      </w:r>
      <w:r>
        <w:rPr>
          <w:color w:val="0D0D0D" w:themeColor="text1" w:themeTint="F2"/>
          <w:spacing w:val="-1"/>
          <w:sz w:val="16"/>
          <w:szCs w:val="16"/>
        </w:rPr>
        <w:t xml:space="preserve">%), elektronický průmysl a výrobu stavebních materiálů (shodně −10 %), </w:t>
      </w:r>
      <w:r w:rsidRPr="00265220">
        <w:rPr>
          <w:color w:val="0D0D0D" w:themeColor="text1" w:themeTint="F2"/>
          <w:spacing w:val="-1"/>
          <w:sz w:val="16"/>
          <w:szCs w:val="16"/>
        </w:rPr>
        <w:t>gumárenství a plastikářství</w:t>
      </w:r>
      <w:r>
        <w:rPr>
          <w:color w:val="0D0D0D" w:themeColor="text1" w:themeTint="F2"/>
          <w:spacing w:val="-1"/>
          <w:sz w:val="16"/>
          <w:szCs w:val="16"/>
        </w:rPr>
        <w:t xml:space="preserve"> (−5</w:t>
      </w:r>
      <w:r w:rsidRPr="00265220">
        <w:rPr>
          <w:rFonts w:cs="Arial"/>
          <w:color w:val="0D0D0D" w:themeColor="text1" w:themeTint="F2"/>
          <w:spacing w:val="-1"/>
          <w:sz w:val="16"/>
          <w:szCs w:val="16"/>
        </w:rPr>
        <w:t> </w:t>
      </w:r>
      <w:r>
        <w:rPr>
          <w:color w:val="0D0D0D" w:themeColor="text1" w:themeTint="F2"/>
          <w:spacing w:val="-1"/>
          <w:sz w:val="16"/>
          <w:szCs w:val="16"/>
        </w:rPr>
        <w:t>%) či kovodělný průmysl (−3 %).</w:t>
      </w:r>
      <w:r w:rsidRPr="00265220">
        <w:rPr>
          <w:color w:val="0D0D0D" w:themeColor="text1" w:themeTint="F2"/>
          <w:spacing w:val="-1"/>
          <w:sz w:val="16"/>
          <w:szCs w:val="16"/>
        </w:rPr>
        <w:t xml:space="preserve"> Naopak nad předkrizovou úrovní produkce se aktuálně nacházely </w:t>
      </w:r>
      <w:r>
        <w:rPr>
          <w:color w:val="0D0D0D" w:themeColor="text1" w:themeTint="F2"/>
          <w:spacing w:val="-1"/>
          <w:sz w:val="16"/>
          <w:szCs w:val="16"/>
        </w:rPr>
        <w:t>obory vyrábějící investiční produkty a také ty s produkty krátkodobé spotřeby (shodně +7</w:t>
      </w:r>
      <w:r w:rsidRPr="0052184C">
        <w:rPr>
          <w:color w:val="0D0D0D" w:themeColor="text1" w:themeTint="F2"/>
          <w:spacing w:val="-1"/>
          <w:sz w:val="16"/>
          <w:szCs w:val="16"/>
        </w:rPr>
        <w:t> </w:t>
      </w:r>
      <w:r>
        <w:rPr>
          <w:color w:val="0D0D0D" w:themeColor="text1" w:themeTint="F2"/>
          <w:spacing w:val="-1"/>
          <w:sz w:val="16"/>
          <w:szCs w:val="16"/>
        </w:rPr>
        <w:t>%). Z jednotlivých oborů šlo především o výrobu ostatních dopravních prostředků (+39 %), farmacii</w:t>
      </w:r>
      <w:r w:rsidRPr="00265220">
        <w:rPr>
          <w:color w:val="0D0D0D" w:themeColor="text1" w:themeTint="F2"/>
          <w:spacing w:val="-1"/>
          <w:sz w:val="16"/>
          <w:szCs w:val="16"/>
        </w:rPr>
        <w:t xml:space="preserve"> </w:t>
      </w:r>
      <w:r>
        <w:rPr>
          <w:color w:val="0D0D0D" w:themeColor="text1" w:themeTint="F2"/>
          <w:spacing w:val="-1"/>
          <w:sz w:val="16"/>
          <w:szCs w:val="16"/>
        </w:rPr>
        <w:t>(+20</w:t>
      </w:r>
      <w:r w:rsidRPr="00265220">
        <w:rPr>
          <w:rFonts w:cs="Arial"/>
          <w:color w:val="0D0D0D" w:themeColor="text1" w:themeTint="F2"/>
          <w:spacing w:val="-1"/>
          <w:sz w:val="16"/>
          <w:szCs w:val="16"/>
        </w:rPr>
        <w:t> </w:t>
      </w:r>
      <w:r>
        <w:rPr>
          <w:color w:val="0D0D0D" w:themeColor="text1" w:themeTint="F2"/>
          <w:spacing w:val="-1"/>
          <w:sz w:val="16"/>
          <w:szCs w:val="16"/>
        </w:rPr>
        <w:t>%),</w:t>
      </w:r>
      <w:r w:rsidRPr="00265220">
        <w:rPr>
          <w:color w:val="0D0D0D" w:themeColor="text1" w:themeTint="F2"/>
          <w:spacing w:val="-1"/>
          <w:sz w:val="16"/>
          <w:szCs w:val="16"/>
        </w:rPr>
        <w:t xml:space="preserve"> ostatní zp</w:t>
      </w:r>
      <w:r>
        <w:rPr>
          <w:color w:val="0D0D0D" w:themeColor="text1" w:themeTint="F2"/>
          <w:spacing w:val="-1"/>
          <w:sz w:val="16"/>
          <w:szCs w:val="16"/>
        </w:rPr>
        <w:t xml:space="preserve">racovatelský průmysl a také automobilový průmysl (shodně +15 %), papírenství a elektrotechniku (shodně </w:t>
      </w:r>
      <w:r>
        <w:rPr>
          <w:color w:val="0D0D0D" w:themeColor="text1" w:themeTint="F2"/>
          <w:spacing w:val="-1"/>
          <w:sz w:val="16"/>
          <w:szCs w:val="16"/>
        </w:rPr>
        <w:br/>
        <w:t>+13 %)</w:t>
      </w:r>
      <w:r w:rsidRPr="00265220">
        <w:rPr>
          <w:color w:val="0D0D0D" w:themeColor="text1" w:themeTint="F2"/>
          <w:spacing w:val="-1"/>
          <w:sz w:val="16"/>
          <w:szCs w:val="16"/>
        </w:rPr>
        <w:t xml:space="preserve"> </w:t>
      </w:r>
      <w:r>
        <w:rPr>
          <w:color w:val="0D0D0D" w:themeColor="text1" w:themeTint="F2"/>
          <w:spacing w:val="-1"/>
          <w:sz w:val="16"/>
          <w:szCs w:val="16"/>
        </w:rPr>
        <w:t xml:space="preserve">a dále např. </w:t>
      </w:r>
      <w:r w:rsidRPr="00265220">
        <w:rPr>
          <w:color w:val="0D0D0D" w:themeColor="text1" w:themeTint="F2"/>
          <w:spacing w:val="-1"/>
          <w:sz w:val="16"/>
          <w:szCs w:val="16"/>
        </w:rPr>
        <w:t xml:space="preserve">potravinářství </w:t>
      </w:r>
      <w:r>
        <w:rPr>
          <w:color w:val="0D0D0D" w:themeColor="text1" w:themeTint="F2"/>
          <w:spacing w:val="-1"/>
          <w:sz w:val="16"/>
          <w:szCs w:val="16"/>
        </w:rPr>
        <w:t>(+8</w:t>
      </w:r>
      <w:r w:rsidRPr="000872F3">
        <w:rPr>
          <w:color w:val="0D0D0D" w:themeColor="text1" w:themeTint="F2"/>
          <w:spacing w:val="-1"/>
          <w:sz w:val="16"/>
          <w:szCs w:val="16"/>
        </w:rPr>
        <w:t xml:space="preserve"> %).</w:t>
      </w:r>
    </w:p>
  </w:footnote>
  <w:footnote w:id="11">
    <w:p w14:paraId="335668AE" w14:textId="2DC1647F" w:rsidR="004C456F" w:rsidRPr="000806C3" w:rsidRDefault="004C456F" w:rsidP="004C456F">
      <w:pPr>
        <w:pStyle w:val="Textpoznpodarou"/>
        <w:rPr>
          <w:spacing w:val="-2"/>
          <w:sz w:val="16"/>
          <w:szCs w:val="16"/>
        </w:rPr>
      </w:pPr>
      <w:r w:rsidRPr="00820EE3">
        <w:rPr>
          <w:rStyle w:val="Znakapoznpodarou"/>
          <w:sz w:val="16"/>
          <w:szCs w:val="16"/>
        </w:rPr>
        <w:footnoteRef/>
      </w:r>
      <w:r w:rsidRPr="00820EE3">
        <w:rPr>
          <w:sz w:val="16"/>
          <w:szCs w:val="16"/>
        </w:rPr>
        <w:t xml:space="preserve"> </w:t>
      </w:r>
      <w:r w:rsidRPr="000A2E2C">
        <w:rPr>
          <w:spacing w:val="-2"/>
          <w:sz w:val="16"/>
          <w:szCs w:val="16"/>
        </w:rPr>
        <w:t>Celková čistá výroba elektřiny (tj. bez mezispotřeby, vč. ztrát při výrobě) dosáhla dle předběžných údajů Ener</w:t>
      </w:r>
      <w:r>
        <w:rPr>
          <w:spacing w:val="-2"/>
          <w:sz w:val="16"/>
          <w:szCs w:val="16"/>
        </w:rPr>
        <w:t>getického regulačního úřadu v 1. pololetí 2025 v Česku 36,3 TWh (nejvíce ve shodném období za poslední tři roky) a meziročně se zvýšila o 7,5</w:t>
      </w:r>
      <w:r w:rsidRPr="000A2E2C">
        <w:rPr>
          <w:spacing w:val="-2"/>
          <w:sz w:val="16"/>
          <w:szCs w:val="16"/>
        </w:rPr>
        <w:t xml:space="preserve"> %</w:t>
      </w:r>
      <w:r>
        <w:rPr>
          <w:spacing w:val="-2"/>
          <w:sz w:val="16"/>
          <w:szCs w:val="16"/>
        </w:rPr>
        <w:t>. Rostla zejména produkce</w:t>
      </w:r>
      <w:r w:rsidRPr="000A2E2C">
        <w:rPr>
          <w:spacing w:val="-2"/>
          <w:sz w:val="16"/>
          <w:szCs w:val="16"/>
        </w:rPr>
        <w:t xml:space="preserve"> parních elektráren (</w:t>
      </w:r>
      <w:r>
        <w:rPr>
          <w:color w:val="0D0D0D" w:themeColor="text1" w:themeTint="F2"/>
          <w:spacing w:val="-2"/>
          <w:sz w:val="16"/>
          <w:szCs w:val="16"/>
        </w:rPr>
        <w:t>+</w:t>
      </w:r>
      <w:r>
        <w:rPr>
          <w:spacing w:val="-2"/>
          <w:sz w:val="16"/>
          <w:szCs w:val="16"/>
        </w:rPr>
        <w:t>10</w:t>
      </w:r>
      <w:r w:rsidRPr="000A2E2C">
        <w:rPr>
          <w:spacing w:val="-2"/>
          <w:sz w:val="16"/>
          <w:szCs w:val="16"/>
        </w:rPr>
        <w:t xml:space="preserve"> %),</w:t>
      </w:r>
      <w:r>
        <w:rPr>
          <w:spacing w:val="-2"/>
          <w:sz w:val="16"/>
          <w:szCs w:val="16"/>
        </w:rPr>
        <w:t xml:space="preserve"> dále z jaderných elektráren (+6 %) a přispěla i plynová, paroplynová a fotovoltaická zařízení. Vlivem nedostatku srážek naopak klesla výroba ve vodních a přečerpávacích elektrárnách (</w:t>
      </w:r>
      <w:r w:rsidRPr="000806C3">
        <w:rPr>
          <w:spacing w:val="-2"/>
          <w:sz w:val="16"/>
          <w:szCs w:val="16"/>
        </w:rPr>
        <w:t>−</w:t>
      </w:r>
      <w:r>
        <w:rPr>
          <w:spacing w:val="-2"/>
          <w:sz w:val="16"/>
          <w:szCs w:val="16"/>
        </w:rPr>
        <w:t>28 %) a méně dodaly i větrné elektrárny (11 %). Celková tuzemská čistá spotřeba elektřiny činila v 1. pololetí 30,1 TWh. Její tři roky trvající meziroční pokles se zastavil (+2,6 %). K tomu z drtivé části přispěla vyšší spotřeba domácností (+9,3 %), vzrostla však i poptávka od drobných podnikatelů (+2,7 %), spotřeba velkoodběratelů stagnovala. Oproti roku 2019,</w:t>
      </w:r>
      <w:r w:rsidRPr="00001A46">
        <w:rPr>
          <w:sz w:val="16"/>
          <w:szCs w:val="16"/>
        </w:rPr>
        <w:t xml:space="preserve"> </w:t>
      </w:r>
      <w:r>
        <w:rPr>
          <w:sz w:val="16"/>
          <w:szCs w:val="16"/>
        </w:rPr>
        <w:t>kdy se celková čistá spotřeba nacházela blízko dlouhodobého maxima,</w:t>
      </w:r>
      <w:r>
        <w:rPr>
          <w:spacing w:val="-2"/>
          <w:sz w:val="16"/>
          <w:szCs w:val="16"/>
        </w:rPr>
        <w:t xml:space="preserve"> ale celková spotřeba elektřiny klesla (</w:t>
      </w:r>
      <w:r w:rsidRPr="000806C3">
        <w:rPr>
          <w:spacing w:val="-2"/>
          <w:sz w:val="16"/>
          <w:szCs w:val="16"/>
        </w:rPr>
        <w:t>−</w:t>
      </w:r>
      <w:r>
        <w:rPr>
          <w:spacing w:val="-2"/>
          <w:sz w:val="16"/>
          <w:szCs w:val="16"/>
        </w:rPr>
        <w:t>7,8 %), zejména vlivem velkoodběratelů (</w:t>
      </w:r>
      <w:r w:rsidRPr="000806C3">
        <w:rPr>
          <w:spacing w:val="-2"/>
          <w:sz w:val="16"/>
          <w:szCs w:val="16"/>
        </w:rPr>
        <w:t>−</w:t>
      </w:r>
      <w:r>
        <w:rPr>
          <w:spacing w:val="-2"/>
          <w:sz w:val="16"/>
          <w:szCs w:val="16"/>
        </w:rPr>
        <w:t>8,4 %) a drobných podnikatelů (</w:t>
      </w:r>
      <w:r w:rsidRPr="000806C3">
        <w:rPr>
          <w:spacing w:val="-2"/>
          <w:sz w:val="16"/>
          <w:szCs w:val="16"/>
        </w:rPr>
        <w:t>−</w:t>
      </w:r>
      <w:r>
        <w:rPr>
          <w:spacing w:val="-2"/>
          <w:sz w:val="16"/>
          <w:szCs w:val="16"/>
        </w:rPr>
        <w:t xml:space="preserve">5,3 %), naopak domácnosti odebraly více (+8,4 %). Rozdíl mezi tuzemskou výrobou a spotřebou elektřiny byl vyrovnán přeshraničními toky. Proto stále </w:t>
      </w:r>
      <w:r w:rsidRPr="00001A46">
        <w:rPr>
          <w:spacing w:val="-2"/>
          <w:sz w:val="16"/>
          <w:szCs w:val="16"/>
        </w:rPr>
        <w:t xml:space="preserve">převažoval </w:t>
      </w:r>
      <w:r>
        <w:rPr>
          <w:spacing w:val="-2"/>
          <w:sz w:val="16"/>
          <w:szCs w:val="16"/>
        </w:rPr>
        <w:t xml:space="preserve">její </w:t>
      </w:r>
      <w:r w:rsidRPr="00001A46">
        <w:rPr>
          <w:spacing w:val="-2"/>
          <w:sz w:val="16"/>
          <w:szCs w:val="16"/>
        </w:rPr>
        <w:t xml:space="preserve">export nad importem. Hodnota salda se </w:t>
      </w:r>
      <w:r>
        <w:rPr>
          <w:spacing w:val="-2"/>
          <w:sz w:val="16"/>
          <w:szCs w:val="16"/>
        </w:rPr>
        <w:t xml:space="preserve">navíc </w:t>
      </w:r>
      <w:r w:rsidRPr="00001A46">
        <w:rPr>
          <w:spacing w:val="-2"/>
          <w:sz w:val="16"/>
          <w:szCs w:val="16"/>
        </w:rPr>
        <w:t xml:space="preserve">letos proti loňskému 1. </w:t>
      </w:r>
      <w:r>
        <w:rPr>
          <w:spacing w:val="-2"/>
          <w:sz w:val="16"/>
          <w:szCs w:val="16"/>
        </w:rPr>
        <w:t>pololetí</w:t>
      </w:r>
      <w:r w:rsidRPr="00001A46">
        <w:rPr>
          <w:spacing w:val="-2"/>
          <w:sz w:val="16"/>
          <w:szCs w:val="16"/>
        </w:rPr>
        <w:t xml:space="preserve"> zvýšila </w:t>
      </w:r>
      <w:r>
        <w:rPr>
          <w:spacing w:val="-2"/>
          <w:sz w:val="16"/>
          <w:szCs w:val="16"/>
        </w:rPr>
        <w:t>skoro dvojnásobně (</w:t>
      </w:r>
      <w:r w:rsidRPr="00001A46">
        <w:rPr>
          <w:spacing w:val="-2"/>
          <w:sz w:val="16"/>
          <w:szCs w:val="16"/>
        </w:rPr>
        <w:t xml:space="preserve">na </w:t>
      </w:r>
      <w:r>
        <w:rPr>
          <w:spacing w:val="-2"/>
          <w:sz w:val="16"/>
          <w:szCs w:val="16"/>
        </w:rPr>
        <w:t>+3</w:t>
      </w:r>
      <w:r w:rsidRPr="00001A46">
        <w:rPr>
          <w:spacing w:val="-2"/>
          <w:sz w:val="16"/>
          <w:szCs w:val="16"/>
        </w:rPr>
        <w:t>,9 TWh</w:t>
      </w:r>
      <w:r>
        <w:rPr>
          <w:spacing w:val="-2"/>
          <w:sz w:val="16"/>
          <w:szCs w:val="16"/>
        </w:rPr>
        <w:t>).</w:t>
      </w:r>
    </w:p>
  </w:footnote>
  <w:footnote w:id="12">
    <w:p w14:paraId="14FAB4FA" w14:textId="77777777" w:rsidR="004C456F" w:rsidRPr="00001A46" w:rsidRDefault="004C456F" w:rsidP="004C456F">
      <w:pPr>
        <w:pStyle w:val="Bezmezer"/>
        <w:jc w:val="left"/>
      </w:pPr>
      <w:r w:rsidRPr="000806C3">
        <w:rPr>
          <w:rStyle w:val="Znakapoznpodarou"/>
          <w:sz w:val="16"/>
          <w:szCs w:val="16"/>
        </w:rPr>
        <w:footnoteRef/>
      </w:r>
      <w:r w:rsidRPr="000806C3">
        <w:rPr>
          <w:rStyle w:val="Znakapoznpodarou"/>
          <w:sz w:val="16"/>
          <w:szCs w:val="16"/>
        </w:rPr>
        <w:t xml:space="preserve"> </w:t>
      </w:r>
      <w:r w:rsidRPr="00001A46">
        <w:rPr>
          <w:sz w:val="16"/>
          <w:szCs w:val="16"/>
        </w:rPr>
        <w:t xml:space="preserve">Spotřeba plynu vystoupala letos v 1. čtvrtletí na </w:t>
      </w:r>
      <w:r>
        <w:rPr>
          <w:sz w:val="16"/>
          <w:szCs w:val="16"/>
        </w:rPr>
        <w:t>4,0</w:t>
      </w:r>
      <w:r w:rsidRPr="00001A46">
        <w:rPr>
          <w:sz w:val="16"/>
          <w:szCs w:val="16"/>
        </w:rPr>
        <w:t xml:space="preserve"> mil. </w:t>
      </w:r>
      <w:r w:rsidRPr="00001A46">
        <w:rPr>
          <w:rFonts w:cs="Arial"/>
          <w:spacing w:val="3"/>
          <w:sz w:val="16"/>
          <w:szCs w:val="16"/>
          <w:shd w:val="clear" w:color="auto" w:fill="FFFFFF"/>
        </w:rPr>
        <w:t>m</w:t>
      </w:r>
      <w:r w:rsidRPr="00001A46">
        <w:rPr>
          <w:rFonts w:cs="Arial"/>
          <w:spacing w:val="3"/>
          <w:sz w:val="16"/>
          <w:szCs w:val="16"/>
          <w:shd w:val="clear" w:color="auto" w:fill="FFFFFF"/>
          <w:vertAlign w:val="superscript"/>
        </w:rPr>
        <w:t>3</w:t>
      </w:r>
      <w:r w:rsidRPr="00001A46">
        <w:rPr>
          <w:sz w:val="16"/>
          <w:szCs w:val="16"/>
        </w:rPr>
        <w:t>, meziročně o 1</w:t>
      </w:r>
      <w:r>
        <w:rPr>
          <w:sz w:val="16"/>
          <w:szCs w:val="16"/>
        </w:rPr>
        <w:t>3</w:t>
      </w:r>
      <w:r w:rsidRPr="00001A46">
        <w:rPr>
          <w:sz w:val="16"/>
          <w:szCs w:val="16"/>
        </w:rPr>
        <w:t xml:space="preserve">,2 % (po přepočtení spotřeby na dlouhodobý teplotní normál byl růst </w:t>
      </w:r>
      <w:r>
        <w:rPr>
          <w:sz w:val="16"/>
          <w:szCs w:val="16"/>
        </w:rPr>
        <w:t xml:space="preserve">znatelně </w:t>
      </w:r>
      <w:r w:rsidRPr="00001A46">
        <w:rPr>
          <w:sz w:val="16"/>
          <w:szCs w:val="16"/>
        </w:rPr>
        <w:t>menší: +</w:t>
      </w:r>
      <w:r>
        <w:rPr>
          <w:sz w:val="16"/>
          <w:szCs w:val="16"/>
        </w:rPr>
        <w:t>4,3</w:t>
      </w:r>
      <w:r w:rsidRPr="00001A46">
        <w:rPr>
          <w:sz w:val="16"/>
          <w:szCs w:val="16"/>
        </w:rPr>
        <w:t xml:space="preserve"> %). </w:t>
      </w:r>
      <w:r>
        <w:rPr>
          <w:sz w:val="16"/>
          <w:szCs w:val="16"/>
        </w:rPr>
        <w:t>Dvojciferný r</w:t>
      </w:r>
      <w:r w:rsidRPr="00001A46">
        <w:rPr>
          <w:sz w:val="16"/>
          <w:szCs w:val="16"/>
        </w:rPr>
        <w:t>ůst</w:t>
      </w:r>
      <w:r>
        <w:rPr>
          <w:sz w:val="16"/>
          <w:szCs w:val="16"/>
        </w:rPr>
        <w:t xml:space="preserve"> spotřeby nastal</w:t>
      </w:r>
      <w:r w:rsidRPr="00001A46">
        <w:rPr>
          <w:sz w:val="16"/>
          <w:szCs w:val="16"/>
        </w:rPr>
        <w:t xml:space="preserve"> u </w:t>
      </w:r>
      <w:r>
        <w:rPr>
          <w:sz w:val="16"/>
          <w:szCs w:val="16"/>
        </w:rPr>
        <w:t>všech kategorií odběratelů –</w:t>
      </w:r>
      <w:r w:rsidRPr="00001A4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zejména </w:t>
      </w:r>
      <w:r w:rsidRPr="00001A46">
        <w:rPr>
          <w:sz w:val="16"/>
          <w:szCs w:val="16"/>
        </w:rPr>
        <w:t>u domácností (+1</w:t>
      </w:r>
      <w:r>
        <w:rPr>
          <w:sz w:val="16"/>
          <w:szCs w:val="16"/>
        </w:rPr>
        <w:t>5</w:t>
      </w:r>
      <w:r w:rsidRPr="00001A46">
        <w:rPr>
          <w:sz w:val="16"/>
          <w:szCs w:val="16"/>
        </w:rPr>
        <w:t>,</w:t>
      </w:r>
      <w:r>
        <w:rPr>
          <w:sz w:val="16"/>
          <w:szCs w:val="16"/>
        </w:rPr>
        <w:t>3 </w:t>
      </w:r>
      <w:r w:rsidRPr="00001A46">
        <w:rPr>
          <w:sz w:val="16"/>
          <w:szCs w:val="16"/>
        </w:rPr>
        <w:t>%)</w:t>
      </w:r>
      <w:r>
        <w:rPr>
          <w:sz w:val="16"/>
          <w:szCs w:val="16"/>
        </w:rPr>
        <w:t xml:space="preserve"> a </w:t>
      </w:r>
      <w:r w:rsidRPr="00001A46">
        <w:rPr>
          <w:sz w:val="16"/>
          <w:szCs w:val="16"/>
        </w:rPr>
        <w:t>maloodbě</w:t>
      </w:r>
      <w:r>
        <w:rPr>
          <w:sz w:val="16"/>
          <w:szCs w:val="16"/>
        </w:rPr>
        <w:t>ratelů z řad podnikatelů (+15,0 %)</w:t>
      </w:r>
      <w:r w:rsidRPr="00001A46">
        <w:rPr>
          <w:sz w:val="16"/>
          <w:szCs w:val="16"/>
        </w:rPr>
        <w:t>.</w:t>
      </w:r>
      <w:r w:rsidRPr="00671060">
        <w:rPr>
          <w:sz w:val="16"/>
          <w:szCs w:val="16"/>
        </w:rPr>
        <w:t xml:space="preserve"> Po přepočtu na teplotní normál je meziroční zvýšení celkové spotřeby </w:t>
      </w:r>
      <w:r>
        <w:rPr>
          <w:sz w:val="16"/>
          <w:szCs w:val="16"/>
        </w:rPr>
        <w:t xml:space="preserve">zemního plynu </w:t>
      </w:r>
      <w:r w:rsidRPr="00671060">
        <w:rPr>
          <w:sz w:val="16"/>
          <w:szCs w:val="16"/>
        </w:rPr>
        <w:t xml:space="preserve">patrné již od loňského září a trvá </w:t>
      </w:r>
      <w:r>
        <w:rPr>
          <w:sz w:val="16"/>
          <w:szCs w:val="16"/>
        </w:rPr>
        <w:t xml:space="preserve">tak </w:t>
      </w:r>
      <w:r w:rsidRPr="00671060">
        <w:rPr>
          <w:sz w:val="16"/>
          <w:szCs w:val="16"/>
        </w:rPr>
        <w:t>nepřetržitě de</w:t>
      </w:r>
      <w:r>
        <w:rPr>
          <w:sz w:val="16"/>
          <w:szCs w:val="16"/>
        </w:rPr>
        <w:t>set</w:t>
      </w:r>
      <w:r w:rsidRPr="00671060">
        <w:rPr>
          <w:sz w:val="16"/>
          <w:szCs w:val="16"/>
        </w:rPr>
        <w:t xml:space="preserve"> měsíců.</w:t>
      </w:r>
    </w:p>
  </w:footnote>
  <w:footnote w:id="13">
    <w:p w14:paraId="2852B4C2" w14:textId="77777777" w:rsidR="00EE0E68" w:rsidRDefault="00EE0E68" w:rsidP="004C456F">
      <w:pPr>
        <w:pStyle w:val="Textpoznpodarou"/>
      </w:pPr>
      <w:r w:rsidRPr="004E2B2A">
        <w:rPr>
          <w:rStyle w:val="Znakapoznpodarou"/>
          <w:sz w:val="16"/>
          <w:szCs w:val="16"/>
        </w:rPr>
        <w:footnoteRef/>
      </w:r>
      <w:r w:rsidRPr="004E2B2A">
        <w:rPr>
          <w:sz w:val="16"/>
          <w:szCs w:val="16"/>
        </w:rPr>
        <w:t xml:space="preserve"> </w:t>
      </w:r>
      <w:r w:rsidRPr="004D4FDB">
        <w:rPr>
          <w:color w:val="0D0D0D" w:themeColor="text1" w:themeTint="F2"/>
          <w:sz w:val="16"/>
          <w:szCs w:val="16"/>
        </w:rPr>
        <w:t xml:space="preserve">Dle údajů </w:t>
      </w:r>
      <w:r w:rsidRPr="004D4FDB">
        <w:rPr>
          <w:color w:val="0D0D0D" w:themeColor="text1" w:themeTint="F2"/>
          <w:spacing w:val="-3"/>
          <w:sz w:val="16"/>
          <w:szCs w:val="16"/>
        </w:rPr>
        <w:t>Sdružení</w:t>
      </w:r>
      <w:r w:rsidRPr="004D4FDB">
        <w:rPr>
          <w:color w:val="0D0D0D" w:themeColor="text1" w:themeTint="F2"/>
          <w:sz w:val="16"/>
          <w:szCs w:val="16"/>
        </w:rPr>
        <w:t xml:space="preserve"> automobilového průmyslu </w:t>
      </w:r>
      <w:r>
        <w:rPr>
          <w:color w:val="0D0D0D" w:themeColor="text1" w:themeTint="F2"/>
          <w:sz w:val="16"/>
          <w:szCs w:val="16"/>
        </w:rPr>
        <w:t>se v 1. pololetí 2025 v tuzemsku vyrobilo 747 tis</w:t>
      </w:r>
      <w:r w:rsidRPr="004D4FDB">
        <w:rPr>
          <w:color w:val="0D0D0D" w:themeColor="text1" w:themeTint="F2"/>
          <w:sz w:val="16"/>
          <w:szCs w:val="16"/>
        </w:rPr>
        <w:t>. osobních auto</w:t>
      </w:r>
      <w:r>
        <w:rPr>
          <w:color w:val="0D0D0D" w:themeColor="text1" w:themeTint="F2"/>
          <w:sz w:val="16"/>
          <w:szCs w:val="16"/>
        </w:rPr>
        <w:t xml:space="preserve">mobilů, což bylo ve srovnání s rekordním výsledkem ze stejného období loňského roku o 3,5 % méně. Negativně se projevil zejména slabší rozjezd výroby na počátku (kvůli horšímu odbytu v zahraničí zavedli někteří výrobci krátkodobá omezení výroby), naopak na jaře se situace postupně zlepšovala a červnová výroba (136 tis. vozidel) již byla meziročně znatelně vyšší (a zároveň druhá nejsilnější v tomto měsíci v historii).  </w:t>
      </w:r>
      <w:r>
        <w:rPr>
          <w:sz w:val="16"/>
          <w:szCs w:val="16"/>
        </w:rPr>
        <w:t xml:space="preserve">Po loňském poklesu výrazně ožil segment výroby </w:t>
      </w:r>
      <w:r w:rsidRPr="004D4FDB">
        <w:rPr>
          <w:color w:val="0D0D0D" w:themeColor="text1" w:themeTint="F2"/>
          <w:spacing w:val="-3"/>
          <w:sz w:val="16"/>
          <w:szCs w:val="16"/>
        </w:rPr>
        <w:t>e</w:t>
      </w:r>
      <w:r>
        <w:rPr>
          <w:color w:val="0D0D0D" w:themeColor="text1" w:themeTint="F2"/>
          <w:spacing w:val="-3"/>
          <w:sz w:val="16"/>
          <w:szCs w:val="16"/>
        </w:rPr>
        <w:t>lektrických vozidel (vč. vozů s</w:t>
      </w:r>
      <w:r w:rsidRPr="00224C0C">
        <w:rPr>
          <w:sz w:val="16"/>
          <w:szCs w:val="16"/>
        </w:rPr>
        <w:t> </w:t>
      </w:r>
      <w:r>
        <w:rPr>
          <w:color w:val="0D0D0D" w:themeColor="text1" w:themeTint="F2"/>
          <w:spacing w:val="-3"/>
          <w:sz w:val="16"/>
          <w:szCs w:val="16"/>
        </w:rPr>
        <w:t xml:space="preserve">hybridním pohonem), který se letos na celkové produkci automobilů podílel již celou pětinou. Vedle osobních aut zaznamenala letos pokles výroby i většina producentů ostatních druhů motorových vozidel. </w:t>
      </w:r>
    </w:p>
  </w:footnote>
  <w:footnote w:id="14">
    <w:p w14:paraId="3A37CA21" w14:textId="77777777" w:rsidR="00EE0E68" w:rsidRDefault="00EE0E68" w:rsidP="004C456F">
      <w:pPr>
        <w:pStyle w:val="Textpoznpodarou"/>
        <w:rPr>
          <w:rFonts w:cs="Arial"/>
          <w:color w:val="0D0D0D" w:themeColor="text1" w:themeTint="F2"/>
          <w:spacing w:val="-2"/>
          <w:sz w:val="16"/>
          <w:szCs w:val="16"/>
        </w:rPr>
      </w:pPr>
      <w:r>
        <w:rPr>
          <w:rStyle w:val="Znakapoznpodarou"/>
          <w:rFonts w:cs="Arial"/>
          <w:color w:val="0D0D0D" w:themeColor="text1" w:themeTint="F2"/>
          <w:spacing w:val="-2"/>
          <w:sz w:val="16"/>
          <w:szCs w:val="16"/>
        </w:rPr>
        <w:footnoteRef/>
      </w:r>
      <w:r>
        <w:rPr>
          <w:rFonts w:cs="Arial"/>
          <w:color w:val="0D0D0D" w:themeColor="text1" w:themeTint="F2"/>
          <w:spacing w:val="-2"/>
          <w:sz w:val="16"/>
          <w:szCs w:val="16"/>
        </w:rPr>
        <w:t xml:space="preserve"> Zjišťování zakázek probíhá ve dvanácti zpracovatelských odvětvích vyrábějících převážně na zakázku, s dlouhodobějším výrobním cyklem a s většími zásobami zakázek. Meziroční tempa zakázek jsou očištěna o kalendářní vlivy, mezikvartální tempa také o vliv sezónnosti.</w:t>
      </w:r>
    </w:p>
  </w:footnote>
  <w:footnote w:id="15">
    <w:p w14:paraId="524B4356" w14:textId="77777777" w:rsidR="00EE0E68" w:rsidRPr="005A2F0C" w:rsidRDefault="00EE0E68" w:rsidP="004C456F">
      <w:pPr>
        <w:pStyle w:val="Textpoznpodarou"/>
        <w:rPr>
          <w:sz w:val="16"/>
          <w:szCs w:val="16"/>
        </w:rPr>
      </w:pPr>
      <w:r w:rsidRPr="005A2F0C">
        <w:rPr>
          <w:rStyle w:val="Znakapoznpodarou"/>
          <w:sz w:val="16"/>
          <w:szCs w:val="16"/>
        </w:rPr>
        <w:footnoteRef/>
      </w:r>
      <w:r w:rsidRPr="005A2F0C">
        <w:rPr>
          <w:sz w:val="16"/>
          <w:szCs w:val="16"/>
        </w:rPr>
        <w:t xml:space="preserve"> Podniky mohly uvést více bariér současně.</w:t>
      </w:r>
    </w:p>
  </w:footnote>
  <w:footnote w:id="16">
    <w:p w14:paraId="2C630BEA" w14:textId="77777777" w:rsidR="00EE0E68" w:rsidRPr="00BF158B" w:rsidRDefault="00EE0E68" w:rsidP="004C456F">
      <w:pPr>
        <w:pStyle w:val="Textpoznpodarou"/>
        <w:rPr>
          <w:sz w:val="16"/>
          <w:szCs w:val="16"/>
        </w:rPr>
      </w:pPr>
      <w:r w:rsidRPr="00BF158B">
        <w:rPr>
          <w:rStyle w:val="Znakapoznpodarou"/>
          <w:sz w:val="16"/>
          <w:szCs w:val="16"/>
        </w:rPr>
        <w:footnoteRef/>
      </w:r>
      <w:r w:rsidRPr="00BF158B">
        <w:rPr>
          <w:sz w:val="16"/>
          <w:szCs w:val="16"/>
        </w:rPr>
        <w:t xml:space="preserve"> Letos v srpnu předpokládalo v půlročním horizontu zlepšení ekonomické situace 13 % podniků, zhoršení jen 7 %.</w:t>
      </w:r>
      <w:r>
        <w:rPr>
          <w:sz w:val="16"/>
          <w:szCs w:val="16"/>
        </w:rPr>
        <w:t xml:space="preserve"> Podobné proporce byly patrné také u očekávání výroby (v tříměsíčním výhledu).</w:t>
      </w:r>
    </w:p>
  </w:footnote>
  <w:footnote w:id="17">
    <w:p w14:paraId="6ECCE965" w14:textId="77777777" w:rsidR="00EE0E68" w:rsidRPr="00891F0C" w:rsidRDefault="00EE0E68" w:rsidP="004C456F">
      <w:pPr>
        <w:pStyle w:val="Textpoznpodarou"/>
        <w:rPr>
          <w:sz w:val="16"/>
          <w:szCs w:val="16"/>
        </w:rPr>
      </w:pPr>
      <w:r w:rsidRPr="00891F0C">
        <w:rPr>
          <w:rStyle w:val="Znakapoznpodarou"/>
          <w:sz w:val="16"/>
          <w:szCs w:val="16"/>
        </w:rPr>
        <w:footnoteRef/>
      </w:r>
      <w:r w:rsidRPr="00891F0C">
        <w:rPr>
          <w:sz w:val="16"/>
          <w:szCs w:val="16"/>
        </w:rPr>
        <w:t xml:space="preserve"> Evidenční počet zaměstnanců se v 1. pololetí meziročně snížil o 2 %. Letos v srpnu předpokládalo v tříměsíčním výhledu snižování zaměstnanosti 15 % průmyslových podniků (zvyšování jen 7 %). Nedostatek pracovníků přitom považoval</w:t>
      </w:r>
      <w:r>
        <w:rPr>
          <w:sz w:val="16"/>
          <w:szCs w:val="16"/>
        </w:rPr>
        <w:t>a</w:t>
      </w:r>
      <w:r w:rsidRPr="00891F0C">
        <w:rPr>
          <w:sz w:val="16"/>
          <w:szCs w:val="16"/>
        </w:rPr>
        <w:t xml:space="preserve"> za růstovou bariéru</w:t>
      </w:r>
      <w:r>
        <w:rPr>
          <w:sz w:val="16"/>
          <w:szCs w:val="16"/>
        </w:rPr>
        <w:t xml:space="preserve"> pouze</w:t>
      </w:r>
      <w:r w:rsidRPr="00891F0C">
        <w:rPr>
          <w:sz w:val="16"/>
          <w:szCs w:val="16"/>
        </w:rPr>
        <w:t xml:space="preserve"> desetina podniků, nejméně od roku 2015.</w:t>
      </w:r>
      <w:r>
        <w:rPr>
          <w:sz w:val="16"/>
          <w:szCs w:val="16"/>
        </w:rPr>
        <w:t xml:space="preserve"> </w:t>
      </w:r>
    </w:p>
  </w:footnote>
  <w:footnote w:id="18">
    <w:p w14:paraId="5C1B462D" w14:textId="77777777" w:rsidR="00EE0E68" w:rsidRPr="002D2942" w:rsidRDefault="00EE0E68" w:rsidP="004C456F">
      <w:pPr>
        <w:pStyle w:val="Textpoznpodarou"/>
        <w:jc w:val="both"/>
        <w:rPr>
          <w:sz w:val="16"/>
          <w:szCs w:val="16"/>
        </w:rPr>
      </w:pPr>
      <w:r w:rsidRPr="002D2942">
        <w:rPr>
          <w:rStyle w:val="Znakapoznpodarou"/>
          <w:rFonts w:cs="Arial"/>
          <w:color w:val="0D0D0D" w:themeColor="text1" w:themeTint="F2"/>
          <w:sz w:val="16"/>
          <w:szCs w:val="16"/>
        </w:rPr>
        <w:footnoteRef/>
      </w:r>
      <w:r w:rsidRPr="002D2942">
        <w:rPr>
          <w:rFonts w:cs="Arial"/>
          <w:color w:val="0D0D0D" w:themeColor="text1" w:themeTint="F2"/>
          <w:sz w:val="16"/>
          <w:szCs w:val="16"/>
        </w:rPr>
        <w:t xml:space="preserve"> Údaje o stavební produkci jsou ve stálých cenách, meziroční tempa jsou očištěna o kalendářní vlivy, mezičtvrtletní též o vliv sezónnosti.</w:t>
      </w:r>
    </w:p>
  </w:footnote>
  <w:footnote w:id="19">
    <w:p w14:paraId="1D601147" w14:textId="77777777" w:rsidR="00EE0E68" w:rsidRPr="007616EF" w:rsidRDefault="00EE0E68" w:rsidP="004C456F">
      <w:pPr>
        <w:pStyle w:val="Textpoznpodarou"/>
        <w:rPr>
          <w:sz w:val="16"/>
          <w:szCs w:val="16"/>
        </w:rPr>
      </w:pPr>
      <w:r w:rsidRPr="007616EF">
        <w:rPr>
          <w:rStyle w:val="Znakapoznpodarou"/>
          <w:sz w:val="16"/>
          <w:szCs w:val="16"/>
        </w:rPr>
        <w:footnoteRef/>
      </w:r>
      <w:r w:rsidRPr="007616EF">
        <w:rPr>
          <w:sz w:val="16"/>
          <w:szCs w:val="16"/>
        </w:rPr>
        <w:t xml:space="preserve"> Úpravou stávajících rodinných i bytových domů vzniklo letos v 1. pololetí</w:t>
      </w:r>
      <w:r>
        <w:rPr>
          <w:sz w:val="16"/>
          <w:szCs w:val="16"/>
        </w:rPr>
        <w:t xml:space="preserve"> 3 862</w:t>
      </w:r>
      <w:r w:rsidRPr="007616EF">
        <w:rPr>
          <w:sz w:val="16"/>
          <w:szCs w:val="16"/>
        </w:rPr>
        <w:t xml:space="preserve"> bytů (</w:t>
      </w:r>
      <w:r>
        <w:rPr>
          <w:sz w:val="16"/>
          <w:szCs w:val="16"/>
        </w:rPr>
        <w:t>nejvíce od 2. pololetí 2000</w:t>
      </w:r>
      <w:r w:rsidRPr="007616EF">
        <w:rPr>
          <w:sz w:val="16"/>
          <w:szCs w:val="16"/>
        </w:rPr>
        <w:t>),</w:t>
      </w:r>
      <w:r>
        <w:rPr>
          <w:sz w:val="16"/>
          <w:szCs w:val="16"/>
        </w:rPr>
        <w:t xml:space="preserve"> v nebytových domech pak 526 bytů (nejvíce od 1. pololetí 2009). </w:t>
      </w:r>
    </w:p>
  </w:footnote>
  <w:footnote w:id="20">
    <w:p w14:paraId="6B462C9D" w14:textId="77777777" w:rsidR="00EE0E68" w:rsidRPr="00475BFD" w:rsidRDefault="00EE0E68" w:rsidP="004C456F">
      <w:pPr>
        <w:pStyle w:val="Textpoznpodarou"/>
        <w:rPr>
          <w:sz w:val="16"/>
          <w:szCs w:val="16"/>
        </w:rPr>
      </w:pPr>
      <w:r w:rsidRPr="00475BFD">
        <w:rPr>
          <w:rStyle w:val="Znakapoznpodarou"/>
          <w:sz w:val="16"/>
          <w:szCs w:val="16"/>
        </w:rPr>
        <w:footnoteRef/>
      </w:r>
      <w:r w:rsidRPr="00475BFD">
        <w:rPr>
          <w:sz w:val="16"/>
          <w:szCs w:val="16"/>
        </w:rPr>
        <w:t xml:space="preserve"> Obdobným tempem letos klesal i absolutní počet stavebních povolení.</w:t>
      </w:r>
    </w:p>
  </w:footnote>
  <w:footnote w:id="21">
    <w:p w14:paraId="19501062" w14:textId="77777777" w:rsidR="00EE0E68" w:rsidRPr="002C5568" w:rsidRDefault="00EE0E68" w:rsidP="004C456F">
      <w:pPr>
        <w:pStyle w:val="Textpoznpodarou"/>
        <w:rPr>
          <w:spacing w:val="-4"/>
          <w:sz w:val="16"/>
          <w:szCs w:val="16"/>
        </w:rPr>
      </w:pPr>
      <w:r w:rsidRPr="00F5600D">
        <w:rPr>
          <w:rStyle w:val="Znakapoznpodarou"/>
          <w:sz w:val="16"/>
          <w:szCs w:val="16"/>
        </w:rPr>
        <w:footnoteRef/>
      </w:r>
      <w:r w:rsidRPr="00F5600D">
        <w:rPr>
          <w:sz w:val="16"/>
          <w:szCs w:val="16"/>
        </w:rPr>
        <w:t xml:space="preserve"> </w:t>
      </w:r>
      <w:r w:rsidRPr="002C5568">
        <w:rPr>
          <w:spacing w:val="-4"/>
          <w:sz w:val="16"/>
          <w:szCs w:val="16"/>
        </w:rPr>
        <w:t xml:space="preserve">V srpnu plánovalo (v tříměsíčním horizontu, bez ohledu na sezónnost) nabírat nové pracovníky 15 % stavebních firem, propouštět jen 4 % (ve stejném období loni to bylo analogicky o 8 % vs. 16 %). Nejvíce optimistické byly v tomto ohledu podniky v inženýrském stavitelství. Evidenční počet zaměstnanců ve středních a větších podnicích (s 50 a více pracovníky) se letos v červnu meziročně zvýšil o 0,3 %. </w:t>
      </w:r>
    </w:p>
  </w:footnote>
  <w:footnote w:id="22">
    <w:p w14:paraId="2F91388C" w14:textId="77777777" w:rsidR="00EE0E68" w:rsidRPr="002C5568" w:rsidRDefault="00EE0E68" w:rsidP="004C456F">
      <w:pPr>
        <w:pStyle w:val="Textpoznpodarou"/>
        <w:rPr>
          <w:spacing w:val="-4"/>
          <w:sz w:val="16"/>
          <w:szCs w:val="16"/>
        </w:rPr>
      </w:pPr>
      <w:r w:rsidRPr="002C5568">
        <w:rPr>
          <w:rStyle w:val="Znakapoznpodarou"/>
          <w:spacing w:val="-4"/>
          <w:sz w:val="16"/>
          <w:szCs w:val="16"/>
        </w:rPr>
        <w:footnoteRef/>
      </w:r>
      <w:r w:rsidRPr="002C5568">
        <w:rPr>
          <w:spacing w:val="-4"/>
          <w:sz w:val="16"/>
          <w:szCs w:val="16"/>
        </w:rPr>
        <w:t xml:space="preserve"> V půlročním výhledu předpokládalo zlepšení 14 % firem, zhoršení 7 %. Jde o podobné hodnocení jako na počátku letošního roku, ale příznivější než loni v létě.</w:t>
      </w:r>
    </w:p>
  </w:footnote>
  <w:footnote w:id="23">
    <w:p w14:paraId="71332E7E" w14:textId="77777777" w:rsidR="00EE0E68" w:rsidRPr="002C5568" w:rsidRDefault="00EE0E68" w:rsidP="004C456F">
      <w:pPr>
        <w:pStyle w:val="Textpoznpodarou"/>
        <w:rPr>
          <w:spacing w:val="-4"/>
          <w:sz w:val="16"/>
          <w:szCs w:val="16"/>
        </w:rPr>
      </w:pPr>
      <w:r w:rsidRPr="002C5568">
        <w:rPr>
          <w:rStyle w:val="Znakapoznpodarou"/>
          <w:spacing w:val="-4"/>
          <w:sz w:val="16"/>
          <w:szCs w:val="16"/>
        </w:rPr>
        <w:footnoteRef/>
      </w:r>
      <w:r w:rsidRPr="002C5568">
        <w:rPr>
          <w:spacing w:val="-4"/>
          <w:sz w:val="16"/>
          <w:szCs w:val="16"/>
        </w:rPr>
        <w:t xml:space="preserve"> Pouze necelá pětina firem žádnou z možných růstových bariér neuvedla. Tento podíl, který je o polovinu nižší než v EU či eurozóně, zůstává v Česku v posledních osmi letech v zásadě neměnný.</w:t>
      </w:r>
    </w:p>
  </w:footnote>
  <w:footnote w:id="24">
    <w:p w14:paraId="538B9D98" w14:textId="77777777" w:rsidR="00EE0E68" w:rsidRPr="002C5568" w:rsidRDefault="00EE0E68" w:rsidP="004C456F">
      <w:pPr>
        <w:pStyle w:val="Textpoznpodarou"/>
        <w:rPr>
          <w:spacing w:val="-4"/>
          <w:sz w:val="16"/>
          <w:szCs w:val="16"/>
        </w:rPr>
      </w:pPr>
      <w:r w:rsidRPr="002C5568">
        <w:rPr>
          <w:rStyle w:val="Znakapoznpodarou"/>
          <w:spacing w:val="-4"/>
          <w:sz w:val="16"/>
          <w:szCs w:val="16"/>
        </w:rPr>
        <w:footnoteRef/>
      </w:r>
      <w:r w:rsidRPr="002C5568">
        <w:rPr>
          <w:spacing w:val="-4"/>
          <w:sz w:val="16"/>
          <w:szCs w:val="16"/>
        </w:rPr>
        <w:t xml:space="preserve"> </w:t>
      </w:r>
      <w:r w:rsidRPr="002C5568">
        <w:rPr>
          <w:rStyle w:val="normaltextrun"/>
          <w:rFonts w:eastAsiaTheme="majorEastAsia" w:cs="Arial"/>
          <w:spacing w:val="-4"/>
          <w:sz w:val="16"/>
          <w:szCs w:val="16"/>
        </w:rPr>
        <w:t>Stejně jako u nedostatku pracovníků trápila slabá poptávka nejvíce podniky v segmentu výstavby budov.</w:t>
      </w:r>
    </w:p>
  </w:footnote>
  <w:footnote w:id="25">
    <w:p w14:paraId="2E29B9F2" w14:textId="77777777" w:rsidR="00EE0E68" w:rsidRPr="002C5568" w:rsidRDefault="00EE0E68" w:rsidP="004C456F">
      <w:pPr>
        <w:pStyle w:val="Textpoznpodarou"/>
        <w:rPr>
          <w:spacing w:val="-4"/>
          <w:sz w:val="16"/>
          <w:szCs w:val="16"/>
        </w:rPr>
      </w:pPr>
      <w:r w:rsidRPr="002C5568">
        <w:rPr>
          <w:rStyle w:val="Znakapoznpodarou"/>
          <w:spacing w:val="-4"/>
          <w:sz w:val="16"/>
          <w:szCs w:val="16"/>
        </w:rPr>
        <w:footnoteRef/>
      </w:r>
      <w:r w:rsidRPr="002C5568">
        <w:rPr>
          <w:spacing w:val="-4"/>
          <w:sz w:val="16"/>
          <w:szCs w:val="16"/>
        </w:rPr>
        <w:t xml:space="preserve"> V srpnu předpokládalo (v tříměsíčním výhledu) zvyšování cen vlastní produkce 18 % stavebních firem, o rok dříve 32 %.</w:t>
      </w:r>
    </w:p>
  </w:footnote>
  <w:footnote w:id="26">
    <w:p w14:paraId="11CF37B5" w14:textId="77777777" w:rsidR="00EE0E68" w:rsidRPr="002C5568" w:rsidRDefault="00EE0E68" w:rsidP="004C456F">
      <w:pPr>
        <w:spacing w:after="0" w:line="240" w:lineRule="auto"/>
        <w:jc w:val="left"/>
        <w:rPr>
          <w:spacing w:val="-4"/>
        </w:rPr>
      </w:pPr>
      <w:r w:rsidRPr="002C5568">
        <w:rPr>
          <w:rStyle w:val="Znakapoznpodarou"/>
          <w:color w:val="0D0D0D" w:themeColor="text1" w:themeTint="F2"/>
          <w:spacing w:val="-4"/>
          <w:sz w:val="16"/>
          <w:szCs w:val="16"/>
        </w:rPr>
        <w:footnoteRef/>
      </w:r>
      <w:r w:rsidRPr="002C5568">
        <w:rPr>
          <w:color w:val="0D0D0D" w:themeColor="text1" w:themeTint="F2"/>
          <w:spacing w:val="-4"/>
          <w:sz w:val="16"/>
          <w:szCs w:val="16"/>
        </w:rPr>
        <w:t xml:space="preserve"> Bez obchodu, peněžnictví, pojišťovnictví, vědy, výzkumu a veřejných služeb. Všechny údaje za tržby ve službách jsou ve stálých cenách, meziroční data jsou očištěna o kalendářní vlivy, mezičtvrtletní jsou očištěna o sezónní vlivy (včetně vlivu počtu pracovních dnů).</w:t>
      </w:r>
    </w:p>
  </w:footnote>
  <w:footnote w:id="27">
    <w:p w14:paraId="5598D679" w14:textId="77777777" w:rsidR="00EE0E68" w:rsidRPr="002C5568" w:rsidRDefault="00EE0E68" w:rsidP="004C456F">
      <w:pPr>
        <w:pStyle w:val="Textpoznpodarou"/>
        <w:rPr>
          <w:spacing w:val="-4"/>
          <w:sz w:val="16"/>
          <w:szCs w:val="16"/>
        </w:rPr>
      </w:pPr>
      <w:r w:rsidRPr="002C5568">
        <w:rPr>
          <w:rStyle w:val="Znakapoznpodarou"/>
          <w:spacing w:val="-4"/>
          <w:sz w:val="16"/>
          <w:szCs w:val="16"/>
        </w:rPr>
        <w:footnoteRef/>
      </w:r>
      <w:r w:rsidRPr="002C5568">
        <w:rPr>
          <w:spacing w:val="-4"/>
          <w:sz w:val="16"/>
          <w:szCs w:val="16"/>
        </w:rPr>
        <w:t xml:space="preserve"> Oproti 2. čtvrtletí 2019 byly celkové tržby (po sezónním očištění) ve 2. čtvrtletí 2025 vyšší o 4,0 %. Z hlavních odvětví služeb tuto úroveň překonaly zejména informační a komunikační činnosti (+15,3 %) a profesní, vědecké a technické činnosti (+6,1 %). Naopak tržby stále nejvíce zaostávaly v ubytování, stravování a pohostinství (</w:t>
      </w:r>
      <w:r w:rsidRPr="002C5568">
        <w:rPr>
          <w:color w:val="0D0D0D" w:themeColor="text1" w:themeTint="F2"/>
          <w:spacing w:val="-4"/>
          <w:sz w:val="16"/>
          <w:szCs w:val="16"/>
        </w:rPr>
        <w:t>−</w:t>
      </w:r>
      <w:r w:rsidRPr="002C5568">
        <w:rPr>
          <w:spacing w:val="-4"/>
          <w:sz w:val="16"/>
          <w:szCs w:val="16"/>
        </w:rPr>
        <w:t>13,4 %) a v administrativních a podpůrných činnostech (</w:t>
      </w:r>
      <w:r w:rsidRPr="002C5568">
        <w:rPr>
          <w:color w:val="0D0D0D" w:themeColor="text1" w:themeTint="F2"/>
          <w:spacing w:val="-4"/>
          <w:sz w:val="16"/>
          <w:szCs w:val="16"/>
        </w:rPr>
        <w:t>−</w:t>
      </w:r>
      <w:r w:rsidRPr="002C5568">
        <w:rPr>
          <w:spacing w:val="-4"/>
          <w:sz w:val="16"/>
          <w:szCs w:val="16"/>
        </w:rPr>
        <w:t>7,2 %).</w:t>
      </w:r>
    </w:p>
  </w:footnote>
  <w:footnote w:id="28">
    <w:p w14:paraId="6368B0E1" w14:textId="77777777" w:rsidR="00EE0E68" w:rsidRPr="002C5568" w:rsidRDefault="00EE0E68" w:rsidP="004C456F">
      <w:pPr>
        <w:pStyle w:val="Textpoznpodarou"/>
        <w:rPr>
          <w:spacing w:val="-4"/>
        </w:rPr>
      </w:pPr>
      <w:r w:rsidRPr="002C5568">
        <w:rPr>
          <w:rStyle w:val="Znakapoznpodarou"/>
          <w:spacing w:val="-4"/>
          <w:sz w:val="16"/>
          <w:szCs w:val="16"/>
        </w:rPr>
        <w:footnoteRef/>
      </w:r>
      <w:r w:rsidRPr="002C5568">
        <w:rPr>
          <w:spacing w:val="-4"/>
          <w:sz w:val="16"/>
          <w:szCs w:val="16"/>
        </w:rPr>
        <w:t xml:space="preserve"> Jde především o činnosti webových portálů, zpravodajských tiskových kanceláří a agentur či zpracování dat a hosting.</w:t>
      </w:r>
    </w:p>
  </w:footnote>
  <w:footnote w:id="29">
    <w:p w14:paraId="4256882C" w14:textId="77777777" w:rsidR="00EE0E68" w:rsidRPr="002C5568" w:rsidRDefault="00EE0E68" w:rsidP="004C456F">
      <w:pPr>
        <w:pStyle w:val="Textpoznpodarou"/>
        <w:rPr>
          <w:spacing w:val="-4"/>
          <w:sz w:val="16"/>
          <w:szCs w:val="16"/>
        </w:rPr>
      </w:pPr>
      <w:r w:rsidRPr="002C5568">
        <w:rPr>
          <w:rStyle w:val="Znakapoznpodarou"/>
          <w:spacing w:val="-4"/>
          <w:sz w:val="16"/>
          <w:szCs w:val="16"/>
        </w:rPr>
        <w:footnoteRef/>
      </w:r>
      <w:r w:rsidRPr="002C5568">
        <w:rPr>
          <w:spacing w:val="-4"/>
          <w:sz w:val="16"/>
          <w:szCs w:val="16"/>
        </w:rPr>
        <w:t xml:space="preserve"> Ty </w:t>
      </w:r>
      <w:r w:rsidRPr="002C5568">
        <w:rPr>
          <w:color w:val="0D0D0D" w:themeColor="text1" w:themeTint="F2"/>
          <w:spacing w:val="-4"/>
          <w:sz w:val="16"/>
          <w:szCs w:val="16"/>
        </w:rPr>
        <w:t>zahrnují zejména programování, poradenství v oblasti informačních technologií či správu počítačového vybavení.</w:t>
      </w:r>
    </w:p>
  </w:footnote>
  <w:footnote w:id="30">
    <w:p w14:paraId="0CB2D10F" w14:textId="77777777" w:rsidR="00EE0E68" w:rsidRPr="002C5568" w:rsidRDefault="00EE0E68" w:rsidP="004C456F">
      <w:pPr>
        <w:pStyle w:val="Textpoznpodarou"/>
        <w:rPr>
          <w:spacing w:val="-4"/>
          <w:sz w:val="16"/>
          <w:szCs w:val="16"/>
        </w:rPr>
      </w:pPr>
      <w:r w:rsidRPr="002C5568">
        <w:rPr>
          <w:rStyle w:val="Znakapoznpodarou"/>
          <w:spacing w:val="-4"/>
          <w:sz w:val="16"/>
          <w:szCs w:val="16"/>
        </w:rPr>
        <w:footnoteRef/>
      </w:r>
      <w:r w:rsidRPr="002C5568">
        <w:rPr>
          <w:spacing w:val="-4"/>
          <w:sz w:val="16"/>
          <w:szCs w:val="16"/>
        </w:rPr>
        <w:t xml:space="preserve"> Tento propad poptávky zde mohl souviset s dozvuky </w:t>
      </w:r>
      <w:r w:rsidRPr="002C5568">
        <w:rPr>
          <w:rFonts w:cs="Arial"/>
          <w:color w:val="0D0D0D" w:themeColor="text1" w:themeTint="F2"/>
          <w:spacing w:val="-4"/>
          <w:sz w:val="16"/>
          <w:szCs w:val="16"/>
        </w:rPr>
        <w:t>delší stávky v Hollywoodu (z druhé poloviny roku 2023). Vývoj tržeb filmového hudebního průmyslu v tuzemsku je obecně dosti rozkolísaný, což souvisí s nepravidelnými fakturacemi.</w:t>
      </w:r>
    </w:p>
  </w:footnote>
  <w:footnote w:id="31">
    <w:p w14:paraId="430AF475" w14:textId="77777777" w:rsidR="00EE0E68" w:rsidRDefault="00EE0E68" w:rsidP="004C456F">
      <w:pPr>
        <w:pStyle w:val="Textpoznpodarou"/>
      </w:pPr>
      <w:r w:rsidRPr="002C5568">
        <w:rPr>
          <w:rStyle w:val="Znakapoznpodarou"/>
          <w:spacing w:val="-4"/>
          <w:sz w:val="16"/>
          <w:szCs w:val="16"/>
        </w:rPr>
        <w:footnoteRef/>
      </w:r>
      <w:r w:rsidRPr="002C5568">
        <w:rPr>
          <w:spacing w:val="-4"/>
          <w:sz w:val="16"/>
          <w:szCs w:val="16"/>
        </w:rPr>
        <w:t xml:space="preserve"> Lépe si vedl segment filmové distribuce. </w:t>
      </w:r>
      <w:r w:rsidRPr="002C5568">
        <w:rPr>
          <w:rFonts w:cs="Arial"/>
          <w:color w:val="0D0D0D" w:themeColor="text1" w:themeTint="F2"/>
          <w:spacing w:val="-4"/>
          <w:sz w:val="16"/>
          <w:szCs w:val="16"/>
        </w:rPr>
        <w:t xml:space="preserve">Dle údajů </w:t>
      </w:r>
      <w:r w:rsidRPr="002C5568">
        <w:rPr>
          <w:spacing w:val="-4"/>
          <w:sz w:val="16"/>
          <w:szCs w:val="16"/>
        </w:rPr>
        <w:t>Unie filmových distributorů vzrostly letos v 1. pololetí hrubé nominální tržby provozovatelů tuzemských kin meziročně o 14,4 % (při zvýšení celkové návštěvnosti o 11,9 % a faktické stagnaci počtu odehraných představení). Oproti roku 2019 byla ovšem návštěvnost nižší o 32,4 % a tržby o 15,6 %.</w:t>
      </w:r>
    </w:p>
  </w:footnote>
  <w:footnote w:id="32">
    <w:p w14:paraId="1650F556" w14:textId="1D6A7072" w:rsidR="00EE0E68" w:rsidRPr="001D74A1" w:rsidRDefault="00EE0E68" w:rsidP="004C456F">
      <w:pPr>
        <w:pStyle w:val="Textpoznpodarou"/>
        <w:rPr>
          <w:sz w:val="16"/>
          <w:szCs w:val="16"/>
        </w:rPr>
      </w:pPr>
      <w:r w:rsidRPr="001D74A1">
        <w:rPr>
          <w:rStyle w:val="Znakapoznpodarou"/>
          <w:sz w:val="16"/>
          <w:szCs w:val="16"/>
        </w:rPr>
        <w:footnoteRef/>
      </w:r>
      <w:r w:rsidRPr="001D74A1">
        <w:rPr>
          <w:sz w:val="16"/>
          <w:szCs w:val="16"/>
        </w:rPr>
        <w:t xml:space="preserve"> </w:t>
      </w:r>
      <w:r>
        <w:rPr>
          <w:sz w:val="16"/>
          <w:szCs w:val="16"/>
        </w:rPr>
        <w:t>Neočištěné t</w:t>
      </w:r>
      <w:r w:rsidRPr="001D74A1">
        <w:rPr>
          <w:sz w:val="16"/>
          <w:szCs w:val="16"/>
        </w:rPr>
        <w:t xml:space="preserve">ržby </w:t>
      </w:r>
      <w:r>
        <w:rPr>
          <w:sz w:val="16"/>
          <w:szCs w:val="16"/>
        </w:rPr>
        <w:t>zde</w:t>
      </w:r>
      <w:r w:rsidRPr="001D74A1">
        <w:rPr>
          <w:sz w:val="16"/>
          <w:szCs w:val="16"/>
        </w:rPr>
        <w:t xml:space="preserve"> letos meziročně klesly o necelá 4</w:t>
      </w:r>
      <w:r>
        <w:rPr>
          <w:sz w:val="16"/>
          <w:szCs w:val="16"/>
        </w:rPr>
        <w:t>,5</w:t>
      </w:r>
      <w:r w:rsidRPr="001D74A1">
        <w:rPr>
          <w:sz w:val="16"/>
          <w:szCs w:val="16"/>
        </w:rPr>
        <w:t xml:space="preserve"> % (podobně i v průměru za celý rok 2024). V</w:t>
      </w:r>
      <w:r>
        <w:rPr>
          <w:sz w:val="16"/>
          <w:szCs w:val="16"/>
        </w:rPr>
        <w:t> pozadí poklesu poptávky byl</w:t>
      </w:r>
      <w:r w:rsidRPr="001D74A1">
        <w:rPr>
          <w:sz w:val="16"/>
          <w:szCs w:val="16"/>
        </w:rPr>
        <w:t xml:space="preserve"> silný cenový růst. V běžných cenách totiž tržby za reklamu </w:t>
      </w:r>
      <w:r>
        <w:rPr>
          <w:sz w:val="16"/>
          <w:szCs w:val="16"/>
        </w:rPr>
        <w:t xml:space="preserve">letos v 1. pololetí </w:t>
      </w:r>
      <w:r w:rsidRPr="001D74A1">
        <w:rPr>
          <w:sz w:val="16"/>
          <w:szCs w:val="16"/>
        </w:rPr>
        <w:t>vzrostly o 5,4 %.</w:t>
      </w:r>
    </w:p>
  </w:footnote>
  <w:footnote w:id="33">
    <w:p w14:paraId="3AE0AD00" w14:textId="77777777" w:rsidR="00EE0E68" w:rsidRDefault="00EE0E68" w:rsidP="004C456F">
      <w:pPr>
        <w:pStyle w:val="Textpoznpodarou"/>
      </w:pPr>
      <w:r w:rsidRPr="001D74A1">
        <w:rPr>
          <w:rStyle w:val="Znakapoznpodarou"/>
          <w:sz w:val="16"/>
          <w:szCs w:val="16"/>
        </w:rPr>
        <w:footnoteRef/>
      </w:r>
      <w:r w:rsidRPr="001D74A1">
        <w:rPr>
          <w:sz w:val="16"/>
          <w:szCs w:val="16"/>
        </w:rPr>
        <w:t xml:space="preserve"> Oproti roku</w:t>
      </w:r>
      <w:r>
        <w:rPr>
          <w:sz w:val="16"/>
          <w:szCs w:val="16"/>
        </w:rPr>
        <w:t xml:space="preserve"> 2019 zde byly letos tržby vyšší</w:t>
      </w:r>
      <w:r w:rsidRPr="001D74A1">
        <w:rPr>
          <w:sz w:val="16"/>
          <w:szCs w:val="16"/>
        </w:rPr>
        <w:t xml:space="preserve"> o </w:t>
      </w:r>
      <w:r>
        <w:rPr>
          <w:sz w:val="16"/>
          <w:szCs w:val="16"/>
        </w:rPr>
        <w:t xml:space="preserve">více než </w:t>
      </w:r>
      <w:r w:rsidRPr="001D74A1">
        <w:rPr>
          <w:sz w:val="16"/>
          <w:szCs w:val="16"/>
        </w:rPr>
        <w:t>pětinu.</w:t>
      </w:r>
    </w:p>
  </w:footnote>
  <w:footnote w:id="34">
    <w:p w14:paraId="58599AC9" w14:textId="77777777" w:rsidR="00EE0E68" w:rsidRPr="00F34E27" w:rsidRDefault="00EE0E68" w:rsidP="004C456F">
      <w:pPr>
        <w:pStyle w:val="Textpoznpodarou"/>
        <w:rPr>
          <w:sz w:val="16"/>
          <w:szCs w:val="16"/>
        </w:rPr>
      </w:pPr>
      <w:r w:rsidRPr="00F34E27">
        <w:rPr>
          <w:rStyle w:val="Znakapoznpodarou"/>
          <w:sz w:val="16"/>
          <w:szCs w:val="16"/>
        </w:rPr>
        <w:footnoteRef/>
      </w:r>
      <w:r w:rsidRPr="00F34E27">
        <w:rPr>
          <w:sz w:val="16"/>
          <w:szCs w:val="16"/>
        </w:rPr>
        <w:t xml:space="preserve"> Toto dílčí odvětví, v němž hrají významnou roli drobní podnikatelé, zahrnuje především zprostředkovatelské činnosti, návrhářské, překladatelské a fotografické služby </w:t>
      </w:r>
      <w:r>
        <w:rPr>
          <w:sz w:val="16"/>
          <w:szCs w:val="16"/>
        </w:rPr>
        <w:t>nebo činnosti stavebního dozoru.</w:t>
      </w:r>
    </w:p>
  </w:footnote>
  <w:footnote w:id="35">
    <w:p w14:paraId="0093FD4C" w14:textId="77777777" w:rsidR="00EE0E68" w:rsidRPr="00EB6DBE" w:rsidRDefault="00EE0E68" w:rsidP="004C456F">
      <w:pPr>
        <w:pStyle w:val="Textpoznpodarou"/>
        <w:rPr>
          <w:sz w:val="16"/>
          <w:szCs w:val="16"/>
        </w:rPr>
      </w:pPr>
      <w:r w:rsidRPr="00EB6DBE">
        <w:rPr>
          <w:rStyle w:val="Znakapoznpodarou"/>
          <w:sz w:val="16"/>
          <w:szCs w:val="16"/>
        </w:rPr>
        <w:footnoteRef/>
      </w:r>
      <w:r w:rsidRPr="00EB6DBE">
        <w:rPr>
          <w:sz w:val="16"/>
          <w:szCs w:val="16"/>
        </w:rPr>
        <w:t xml:space="preserve"> </w:t>
      </w:r>
      <w:r>
        <w:rPr>
          <w:sz w:val="16"/>
          <w:szCs w:val="16"/>
        </w:rPr>
        <w:t>V 1. čtvrtletí</w:t>
      </w:r>
      <w:r w:rsidRPr="00EB6DB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2025 </w:t>
      </w:r>
      <w:r w:rsidRPr="00EB6DBE">
        <w:rPr>
          <w:sz w:val="16"/>
          <w:szCs w:val="16"/>
        </w:rPr>
        <w:t xml:space="preserve">se zvýšily ceny ubytovacích služeb </w:t>
      </w:r>
      <w:r>
        <w:rPr>
          <w:sz w:val="16"/>
          <w:szCs w:val="16"/>
        </w:rPr>
        <w:t xml:space="preserve">meziročně </w:t>
      </w:r>
      <w:r w:rsidRPr="00EB6DBE">
        <w:rPr>
          <w:sz w:val="16"/>
          <w:szCs w:val="16"/>
        </w:rPr>
        <w:t xml:space="preserve">o </w:t>
      </w:r>
      <w:r>
        <w:rPr>
          <w:sz w:val="16"/>
          <w:szCs w:val="16"/>
        </w:rPr>
        <w:t>8</w:t>
      </w:r>
      <w:r w:rsidRPr="00EB6DBE">
        <w:rPr>
          <w:sz w:val="16"/>
          <w:szCs w:val="16"/>
        </w:rPr>
        <w:t>,</w:t>
      </w:r>
      <w:r>
        <w:rPr>
          <w:sz w:val="16"/>
          <w:szCs w:val="16"/>
        </w:rPr>
        <w:t>5</w:t>
      </w:r>
      <w:r w:rsidRPr="00EB6DBE">
        <w:rPr>
          <w:sz w:val="16"/>
          <w:szCs w:val="16"/>
        </w:rPr>
        <w:t xml:space="preserve"> % a stravovacích služeb o </w:t>
      </w:r>
      <w:r>
        <w:rPr>
          <w:sz w:val="16"/>
          <w:szCs w:val="16"/>
        </w:rPr>
        <w:t>4</w:t>
      </w:r>
      <w:r w:rsidRPr="00EB6DBE">
        <w:rPr>
          <w:sz w:val="16"/>
          <w:szCs w:val="16"/>
        </w:rPr>
        <w:t>,</w:t>
      </w:r>
      <w:r>
        <w:rPr>
          <w:sz w:val="16"/>
          <w:szCs w:val="16"/>
        </w:rPr>
        <w:t>9</w:t>
      </w:r>
      <w:r w:rsidRPr="00EB6DBE">
        <w:rPr>
          <w:sz w:val="16"/>
          <w:szCs w:val="16"/>
        </w:rPr>
        <w:t xml:space="preserve"> %.</w:t>
      </w:r>
      <w:r>
        <w:rPr>
          <w:sz w:val="16"/>
          <w:szCs w:val="16"/>
        </w:rPr>
        <w:t xml:space="preserve"> Proti roku 2015 byly v letos březnu v úhrnu za oba segmenty vyšší o 95 %, kdežto ceny v celém spotřebitelském koši se za stejné období navýšily „jen“ o 54 %.</w:t>
      </w:r>
    </w:p>
  </w:footnote>
  <w:footnote w:id="36">
    <w:p w14:paraId="4868EBC8" w14:textId="77777777" w:rsidR="00EE0E68" w:rsidRPr="00CF44E9" w:rsidRDefault="00EE0E68" w:rsidP="004C456F">
      <w:pPr>
        <w:spacing w:after="0" w:line="240" w:lineRule="auto"/>
        <w:jc w:val="left"/>
        <w:rPr>
          <w:rFonts w:eastAsia="Arial" w:cs="Arial"/>
          <w:sz w:val="16"/>
          <w:szCs w:val="16"/>
        </w:rPr>
      </w:pPr>
      <w:r w:rsidRPr="00CF44E9">
        <w:rPr>
          <w:rStyle w:val="Znakapoznpodarou"/>
          <w:sz w:val="16"/>
          <w:szCs w:val="16"/>
        </w:rPr>
        <w:footnoteRef/>
      </w:r>
      <w:r w:rsidRPr="00CF44E9">
        <w:rPr>
          <w:sz w:val="16"/>
          <w:szCs w:val="16"/>
        </w:rPr>
        <w:t xml:space="preserve"> </w:t>
      </w:r>
      <w:r w:rsidRPr="00CF44E9">
        <w:rPr>
          <w:rFonts w:eastAsia="Arial" w:cs="Arial"/>
          <w:sz w:val="16"/>
          <w:szCs w:val="16"/>
        </w:rPr>
        <w:t>Teprve podruhé od ústupu pandemie meziročně neklesl průměrný počet přenocování (a poprvé díky domácí</w:t>
      </w:r>
      <w:r>
        <w:rPr>
          <w:rFonts w:eastAsia="Arial" w:cs="Arial"/>
          <w:sz w:val="16"/>
          <w:szCs w:val="16"/>
        </w:rPr>
        <w:t>m</w:t>
      </w:r>
      <w:r w:rsidRPr="00CF44E9">
        <w:rPr>
          <w:rFonts w:eastAsia="Arial" w:cs="Arial"/>
          <w:sz w:val="16"/>
          <w:szCs w:val="16"/>
        </w:rPr>
        <w:t xml:space="preserve"> i zahraničním hostům současně), který aktuálně činil 2,38 nocí (před třemi lety 2,70). Poptávka po ubytování v HUZ rostla </w:t>
      </w:r>
      <w:r>
        <w:rPr>
          <w:rFonts w:eastAsia="Arial" w:cs="Arial"/>
          <w:sz w:val="16"/>
          <w:szCs w:val="16"/>
        </w:rPr>
        <w:t xml:space="preserve">letos ve 2. čtvrtletí </w:t>
      </w:r>
      <w:r w:rsidRPr="00CF44E9">
        <w:rPr>
          <w:rFonts w:eastAsia="Arial" w:cs="Arial"/>
          <w:sz w:val="16"/>
          <w:szCs w:val="16"/>
        </w:rPr>
        <w:t xml:space="preserve">meziročně svižněji než v 1. čtvrtletí (kdy </w:t>
      </w:r>
      <w:r>
        <w:rPr>
          <w:rFonts w:eastAsia="Arial" w:cs="Arial"/>
          <w:sz w:val="16"/>
          <w:szCs w:val="16"/>
        </w:rPr>
        <w:t xml:space="preserve">se </w:t>
      </w:r>
      <w:r w:rsidRPr="00CF44E9">
        <w:rPr>
          <w:rFonts w:eastAsia="Arial" w:cs="Arial"/>
          <w:sz w:val="16"/>
          <w:szCs w:val="16"/>
        </w:rPr>
        <w:t xml:space="preserve">počet přenocování </w:t>
      </w:r>
      <w:r>
        <w:rPr>
          <w:rFonts w:eastAsia="Arial" w:cs="Arial"/>
          <w:sz w:val="16"/>
          <w:szCs w:val="16"/>
        </w:rPr>
        <w:t>zvýšil</w:t>
      </w:r>
      <w:r w:rsidRPr="00CF44E9">
        <w:rPr>
          <w:rFonts w:eastAsia="Arial" w:cs="Arial"/>
          <w:sz w:val="16"/>
          <w:szCs w:val="16"/>
        </w:rPr>
        <w:t xml:space="preserve"> jen o 0,6 %). Níz</w:t>
      </w:r>
      <w:r>
        <w:rPr>
          <w:rFonts w:eastAsia="Arial" w:cs="Arial"/>
          <w:sz w:val="16"/>
          <w:szCs w:val="16"/>
        </w:rPr>
        <w:t>ké tempo na počátku roku souviselo</w:t>
      </w:r>
      <w:r w:rsidRPr="00CF44E9">
        <w:rPr>
          <w:rFonts w:eastAsia="Arial" w:cs="Arial"/>
          <w:sz w:val="16"/>
          <w:szCs w:val="16"/>
        </w:rPr>
        <w:t xml:space="preserve"> s</w:t>
      </w:r>
      <w:r>
        <w:rPr>
          <w:rFonts w:eastAsia="Arial" w:cs="Arial"/>
          <w:sz w:val="16"/>
          <w:szCs w:val="16"/>
        </w:rPr>
        <w:t> </w:t>
      </w:r>
      <w:r w:rsidRPr="00CF44E9">
        <w:rPr>
          <w:rFonts w:eastAsia="Arial" w:cs="Arial"/>
          <w:sz w:val="16"/>
          <w:szCs w:val="16"/>
        </w:rPr>
        <w:t>letošní</w:t>
      </w:r>
      <w:r>
        <w:rPr>
          <w:rFonts w:eastAsia="Arial" w:cs="Arial"/>
          <w:sz w:val="16"/>
          <w:szCs w:val="16"/>
        </w:rPr>
        <w:t xml:space="preserve">m </w:t>
      </w:r>
      <w:r w:rsidRPr="00CF44E9">
        <w:rPr>
          <w:rFonts w:eastAsia="Arial" w:cs="Arial"/>
          <w:sz w:val="16"/>
          <w:szCs w:val="16"/>
        </w:rPr>
        <w:t>posu</w:t>
      </w:r>
      <w:r>
        <w:rPr>
          <w:rFonts w:eastAsia="Arial" w:cs="Arial"/>
          <w:sz w:val="16"/>
          <w:szCs w:val="16"/>
        </w:rPr>
        <w:t>nem</w:t>
      </w:r>
      <w:r w:rsidRPr="00CF44E9">
        <w:rPr>
          <w:rFonts w:eastAsia="Arial" w:cs="Arial"/>
          <w:sz w:val="16"/>
          <w:szCs w:val="16"/>
        </w:rPr>
        <w:t xml:space="preserve"> Velikonoc (až </w:t>
      </w:r>
      <w:r>
        <w:rPr>
          <w:rFonts w:eastAsia="Arial" w:cs="Arial"/>
          <w:sz w:val="16"/>
          <w:szCs w:val="16"/>
        </w:rPr>
        <w:t>na</w:t>
      </w:r>
      <w:r w:rsidRPr="00CF44E9">
        <w:rPr>
          <w:rFonts w:eastAsia="Arial" w:cs="Arial"/>
          <w:sz w:val="16"/>
          <w:szCs w:val="16"/>
        </w:rPr>
        <w:t xml:space="preserve"> druh</w:t>
      </w:r>
      <w:r>
        <w:rPr>
          <w:rFonts w:eastAsia="Arial" w:cs="Arial"/>
          <w:sz w:val="16"/>
          <w:szCs w:val="16"/>
        </w:rPr>
        <w:t>ou</w:t>
      </w:r>
      <w:r w:rsidRPr="00CF44E9">
        <w:rPr>
          <w:rFonts w:eastAsia="Arial" w:cs="Arial"/>
          <w:sz w:val="16"/>
          <w:szCs w:val="16"/>
        </w:rPr>
        <w:t xml:space="preserve"> půli dubn</w:t>
      </w:r>
      <w:r>
        <w:rPr>
          <w:rFonts w:eastAsia="Arial" w:cs="Arial"/>
          <w:sz w:val="16"/>
          <w:szCs w:val="16"/>
        </w:rPr>
        <w:t>a</w:t>
      </w:r>
      <w:r w:rsidRPr="00CF44E9">
        <w:rPr>
          <w:rFonts w:eastAsia="Arial" w:cs="Arial"/>
          <w:sz w:val="16"/>
          <w:szCs w:val="16"/>
        </w:rPr>
        <w:t xml:space="preserve">, kdežto loni </w:t>
      </w:r>
      <w:r>
        <w:rPr>
          <w:rFonts w:eastAsia="Arial" w:cs="Arial"/>
          <w:sz w:val="16"/>
          <w:szCs w:val="16"/>
        </w:rPr>
        <w:t xml:space="preserve">připadly </w:t>
      </w:r>
      <w:r w:rsidRPr="00CF44E9">
        <w:rPr>
          <w:rFonts w:eastAsia="Arial" w:cs="Arial"/>
          <w:sz w:val="16"/>
          <w:szCs w:val="16"/>
        </w:rPr>
        <w:t xml:space="preserve">již na přelom března </w:t>
      </w:r>
      <w:r>
        <w:rPr>
          <w:rFonts w:eastAsia="Arial" w:cs="Arial"/>
          <w:sz w:val="16"/>
          <w:szCs w:val="16"/>
        </w:rPr>
        <w:t xml:space="preserve">a </w:t>
      </w:r>
      <w:r w:rsidRPr="00CF44E9">
        <w:rPr>
          <w:rFonts w:eastAsia="Arial" w:cs="Arial"/>
          <w:sz w:val="16"/>
          <w:szCs w:val="16"/>
        </w:rPr>
        <w:t>dubna)</w:t>
      </w:r>
      <w:r>
        <w:rPr>
          <w:rFonts w:eastAsia="Arial" w:cs="Arial"/>
          <w:sz w:val="16"/>
          <w:szCs w:val="16"/>
        </w:rPr>
        <w:t>,</w:t>
      </w:r>
      <w:r w:rsidRPr="00CF44E9">
        <w:rPr>
          <w:rFonts w:eastAsia="Arial" w:cs="Arial"/>
          <w:sz w:val="16"/>
          <w:szCs w:val="16"/>
        </w:rPr>
        <w:t xml:space="preserve"> a tudíž vyšší srovnávací základnou. Za celé 1.</w:t>
      </w:r>
      <w:r>
        <w:rPr>
          <w:rFonts w:eastAsia="Arial" w:cs="Arial"/>
          <w:sz w:val="16"/>
          <w:szCs w:val="16"/>
        </w:rPr>
        <w:t> </w:t>
      </w:r>
      <w:r w:rsidRPr="00CF44E9">
        <w:rPr>
          <w:rFonts w:eastAsia="Arial" w:cs="Arial"/>
          <w:sz w:val="16"/>
          <w:szCs w:val="16"/>
        </w:rPr>
        <w:t>pololetí se počet všech hostů i jejich přenocování meziročně zvýšil</w:t>
      </w:r>
      <w:r>
        <w:rPr>
          <w:rFonts w:eastAsia="Arial" w:cs="Arial"/>
          <w:sz w:val="16"/>
          <w:szCs w:val="16"/>
        </w:rPr>
        <w:t>y</w:t>
      </w:r>
      <w:r w:rsidRPr="00CF44E9">
        <w:rPr>
          <w:rFonts w:eastAsia="Arial" w:cs="Arial"/>
          <w:sz w:val="16"/>
          <w:szCs w:val="16"/>
        </w:rPr>
        <w:t xml:space="preserve"> okolo 4 %. Zatímco tempo růstu u přenocování bylo srovnatelné jako v první půli loňského roku, u počtu hostů bylo o polovinu nižší. Poč</w:t>
      </w:r>
      <w:r>
        <w:rPr>
          <w:rFonts w:eastAsia="Arial" w:cs="Arial"/>
          <w:sz w:val="16"/>
          <w:szCs w:val="16"/>
        </w:rPr>
        <w:t>ty</w:t>
      </w:r>
      <w:r w:rsidRPr="00CF44E9">
        <w:rPr>
          <w:rFonts w:eastAsia="Arial" w:cs="Arial"/>
          <w:sz w:val="16"/>
          <w:szCs w:val="16"/>
        </w:rPr>
        <w:t xml:space="preserve"> domácích hostů i jejich přenocování vzrostly ve 2. čtvrtletí 2025 meziročně mírně přes 5 %, počet nerezidentů byl vyšší o 6,2 % </w:t>
      </w:r>
      <w:r>
        <w:rPr>
          <w:rFonts w:eastAsia="Arial" w:cs="Arial"/>
          <w:sz w:val="16"/>
          <w:szCs w:val="16"/>
        </w:rPr>
        <w:t>(</w:t>
      </w:r>
      <w:r w:rsidRPr="00CF44E9">
        <w:rPr>
          <w:rFonts w:eastAsia="Arial" w:cs="Arial"/>
          <w:sz w:val="16"/>
          <w:szCs w:val="16"/>
        </w:rPr>
        <w:t>a jejich přenocování dokonce o 8,8 %</w:t>
      </w:r>
      <w:r>
        <w:rPr>
          <w:rFonts w:eastAsia="Arial" w:cs="Arial"/>
          <w:sz w:val="16"/>
          <w:szCs w:val="16"/>
        </w:rPr>
        <w:t>)</w:t>
      </w:r>
      <w:r w:rsidRPr="00CF44E9">
        <w:rPr>
          <w:rFonts w:eastAsia="Arial" w:cs="Arial"/>
          <w:sz w:val="16"/>
          <w:szCs w:val="16"/>
        </w:rPr>
        <w:t>. I tak</w:t>
      </w:r>
      <w:r>
        <w:rPr>
          <w:rFonts w:eastAsia="Arial" w:cs="Arial"/>
          <w:sz w:val="16"/>
          <w:szCs w:val="16"/>
        </w:rPr>
        <w:t xml:space="preserve"> </w:t>
      </w:r>
      <w:r w:rsidRPr="00CF44E9">
        <w:rPr>
          <w:rFonts w:eastAsia="Arial" w:cs="Arial"/>
          <w:sz w:val="16"/>
          <w:szCs w:val="16"/>
        </w:rPr>
        <w:t>ovšem přenocování cizinců stále za úrovní z rekordního roku 2019 nepatrně zaostával</w:t>
      </w:r>
      <w:r>
        <w:rPr>
          <w:rFonts w:eastAsia="Arial" w:cs="Arial"/>
          <w:sz w:val="16"/>
          <w:szCs w:val="16"/>
        </w:rPr>
        <w:t>o</w:t>
      </w:r>
      <w:r w:rsidRPr="00CF44E9">
        <w:rPr>
          <w:rFonts w:eastAsia="Arial" w:cs="Arial"/>
          <w:sz w:val="16"/>
          <w:szCs w:val="16"/>
        </w:rPr>
        <w:t xml:space="preserve"> (o 1,6 %), zatímco celkový počet hostů byl vyšší skoro o desetinu.</w:t>
      </w:r>
    </w:p>
    <w:p w14:paraId="7C2A20B6" w14:textId="77777777" w:rsidR="00EE0E68" w:rsidRPr="00CF44E9" w:rsidRDefault="00EE0E68" w:rsidP="004C456F">
      <w:pPr>
        <w:spacing w:after="0" w:line="240" w:lineRule="auto"/>
        <w:jc w:val="left"/>
        <w:rPr>
          <w:sz w:val="16"/>
          <w:szCs w:val="16"/>
        </w:rPr>
      </w:pPr>
      <w:r w:rsidRPr="00CF44E9">
        <w:rPr>
          <w:rFonts w:eastAsia="Arial" w:cs="Arial"/>
          <w:sz w:val="16"/>
          <w:szCs w:val="16"/>
        </w:rPr>
        <w:t xml:space="preserve">Celková poptávka po cestovním ruchu v Česku, měřená počtem přenocování v HUZ, letos ve 2. čtvrtletí meziročně vzrostla ve všech typech sledovaných zařízení (jak u domácí, tak zahraniční klientely) – nejvíce i vlivem teplého počasí v červnu v chatových osadách </w:t>
      </w:r>
      <w:r>
        <w:rPr>
          <w:rFonts w:eastAsia="Arial" w:cs="Arial"/>
          <w:sz w:val="16"/>
          <w:szCs w:val="16"/>
        </w:rPr>
        <w:br/>
      </w:r>
      <w:r w:rsidRPr="00CF44E9">
        <w:rPr>
          <w:rFonts w:eastAsia="Arial" w:cs="Arial"/>
          <w:sz w:val="16"/>
          <w:szCs w:val="16"/>
        </w:rPr>
        <w:t xml:space="preserve">a turistických ubytovnách (+14,2 %) a kempech (+11,5 %). K růstu všech přenocování ale nejvýrazněji přispěly 4* hotely (s růstem </w:t>
      </w:r>
      <w:r>
        <w:rPr>
          <w:rFonts w:eastAsia="Arial" w:cs="Arial"/>
          <w:sz w:val="16"/>
          <w:szCs w:val="16"/>
        </w:rPr>
        <w:br/>
      </w:r>
      <w:r w:rsidRPr="00CF44E9">
        <w:rPr>
          <w:rFonts w:eastAsia="Arial" w:cs="Arial"/>
          <w:sz w:val="16"/>
          <w:szCs w:val="16"/>
        </w:rPr>
        <w:t>o 6,3</w:t>
      </w:r>
      <w:r>
        <w:rPr>
          <w:sz w:val="16"/>
          <w:szCs w:val="16"/>
        </w:rPr>
        <w:t> </w:t>
      </w:r>
      <w:r w:rsidRPr="00CF44E9">
        <w:rPr>
          <w:rFonts w:eastAsia="Arial" w:cs="Arial"/>
          <w:sz w:val="16"/>
          <w:szCs w:val="16"/>
        </w:rPr>
        <w:t xml:space="preserve">%), které soustřeďovaly třetinu veškeré poptávky (u nerezidentů polovinu). Mezi kraji posílila celková poptávka nejvíce na Ústecku a Pardubicku (o 12 až 13 %), nejméně na Liberecku a </w:t>
      </w:r>
      <w:r>
        <w:rPr>
          <w:rFonts w:eastAsia="Arial" w:cs="Arial"/>
          <w:sz w:val="16"/>
          <w:szCs w:val="16"/>
        </w:rPr>
        <w:t xml:space="preserve">ve </w:t>
      </w:r>
      <w:r w:rsidRPr="00CF44E9">
        <w:rPr>
          <w:rFonts w:eastAsia="Arial" w:cs="Arial"/>
          <w:sz w:val="16"/>
          <w:szCs w:val="16"/>
        </w:rPr>
        <w:t>střední</w:t>
      </w:r>
      <w:r>
        <w:rPr>
          <w:rFonts w:eastAsia="Arial" w:cs="Arial"/>
          <w:sz w:val="16"/>
          <w:szCs w:val="16"/>
        </w:rPr>
        <w:t>ch</w:t>
      </w:r>
      <w:r w:rsidRPr="00CF44E9">
        <w:rPr>
          <w:rFonts w:eastAsia="Arial" w:cs="Arial"/>
          <w:sz w:val="16"/>
          <w:szCs w:val="16"/>
        </w:rPr>
        <w:t xml:space="preserve"> Čechách (shodně o 3 %). U zahraniční klientely byl však zaznamenán mírný pokles na Vysočině (</w:t>
      </w:r>
      <w:r>
        <w:rPr>
          <w:color w:val="0D0D0D" w:themeColor="text1" w:themeTint="F2"/>
          <w:spacing w:val="-4"/>
          <w:sz w:val="16"/>
          <w:szCs w:val="16"/>
        </w:rPr>
        <w:t>−</w:t>
      </w:r>
      <w:r w:rsidRPr="00CF44E9">
        <w:rPr>
          <w:rFonts w:eastAsia="Arial" w:cs="Arial"/>
          <w:sz w:val="16"/>
          <w:szCs w:val="16"/>
        </w:rPr>
        <w:t>5 %) a hlubší v kraji Moravskoslezském (</w:t>
      </w:r>
      <w:r>
        <w:rPr>
          <w:color w:val="0D0D0D" w:themeColor="text1" w:themeTint="F2"/>
          <w:spacing w:val="-4"/>
          <w:sz w:val="16"/>
          <w:szCs w:val="16"/>
        </w:rPr>
        <w:t>−</w:t>
      </w:r>
      <w:r w:rsidRPr="00CF44E9">
        <w:rPr>
          <w:rFonts w:eastAsia="Arial" w:cs="Arial"/>
          <w:sz w:val="16"/>
          <w:szCs w:val="16"/>
        </w:rPr>
        <w:t>8 %), kde se projevila vyšší loňská základna (vlivem MS v hokeji konaném v květnu v Praze a Ostravě).</w:t>
      </w:r>
      <w:r>
        <w:rPr>
          <w:rFonts w:eastAsia="Arial" w:cs="Arial"/>
          <w:sz w:val="16"/>
          <w:szCs w:val="16"/>
        </w:rPr>
        <w:t xml:space="preserve"> </w:t>
      </w:r>
      <w:r>
        <w:rPr>
          <w:sz w:val="16"/>
          <w:szCs w:val="16"/>
        </w:rPr>
        <w:t>K růstu poptávky nerezidentů přispěli ve 2. čtvrtletí 2025 nejvíce Němci, jejichž počet přenocování se meziročně zvýšil o 9 % (v 1. čtvrtletí naopak o 8 % klesal). Vyšší nárůst v Česku strávených nocí byl zaznamenán i u hostů z dalších blízkých států – Slovenska (16 %), Maďarska (19 %), Rakouska (10 %), dále např. ze Španělska (18 %), Velké Británie (13 %), ale Francie pouze 6 % a Itálie 2 %. Z mimoevropských zemí měl význam nárůst poptávky zejména z USA (9 %), Číny (27 %), Izraele (12 %) Jižní Korey (12 %), Indie (18 %) a Japonska (26 %). Pokles přenocování nastal jen u 10 z 58 sledovaných zdrojových teritorií. V rámci váhově významnějších skupin šlo ale jen o poptávku z </w:t>
      </w:r>
      <w:r w:rsidRPr="008F7EE1">
        <w:rPr>
          <w:sz w:val="16"/>
          <w:szCs w:val="16"/>
        </w:rPr>
        <w:t>Tchaj-wan</w:t>
      </w:r>
      <w:r>
        <w:rPr>
          <w:sz w:val="16"/>
          <w:szCs w:val="16"/>
        </w:rPr>
        <w:t>u (</w:t>
      </w:r>
      <w:r>
        <w:rPr>
          <w:color w:val="0D0D0D" w:themeColor="text1" w:themeTint="F2"/>
          <w:spacing w:val="-4"/>
          <w:sz w:val="16"/>
          <w:szCs w:val="16"/>
        </w:rPr>
        <w:t>−</w:t>
      </w:r>
      <w:r>
        <w:rPr>
          <w:sz w:val="16"/>
          <w:szCs w:val="16"/>
        </w:rPr>
        <w:t>9 %) a Švýcarska (</w:t>
      </w:r>
      <w:r>
        <w:rPr>
          <w:color w:val="0D0D0D" w:themeColor="text1" w:themeTint="F2"/>
          <w:spacing w:val="-4"/>
          <w:sz w:val="16"/>
          <w:szCs w:val="16"/>
        </w:rPr>
        <w:t>−</w:t>
      </w:r>
      <w:r>
        <w:rPr>
          <w:sz w:val="16"/>
          <w:szCs w:val="16"/>
        </w:rPr>
        <w:t>12 %). Při srovnání letošního 2. čtvrtletí se stejným obdobím roku 2019 vykazuje stále nižší poptávku v Česku téměř polovina sledovaných zemí: nejvíce Rusko (</w:t>
      </w:r>
      <w:r>
        <w:rPr>
          <w:color w:val="0D0D0D" w:themeColor="text1" w:themeTint="F2"/>
          <w:spacing w:val="-4"/>
          <w:sz w:val="16"/>
          <w:szCs w:val="16"/>
        </w:rPr>
        <w:t>−</w:t>
      </w:r>
      <w:r>
        <w:rPr>
          <w:sz w:val="16"/>
          <w:szCs w:val="16"/>
        </w:rPr>
        <w:t>96 %), Čína (</w:t>
      </w:r>
      <w:r>
        <w:rPr>
          <w:color w:val="0D0D0D" w:themeColor="text1" w:themeTint="F2"/>
          <w:spacing w:val="-4"/>
          <w:sz w:val="16"/>
          <w:szCs w:val="16"/>
        </w:rPr>
        <w:t>−</w:t>
      </w:r>
      <w:r>
        <w:rPr>
          <w:sz w:val="16"/>
          <w:szCs w:val="16"/>
        </w:rPr>
        <w:t>63 %), Japonsko (</w:t>
      </w:r>
      <w:r>
        <w:rPr>
          <w:color w:val="0D0D0D" w:themeColor="text1" w:themeTint="F2"/>
          <w:spacing w:val="-4"/>
          <w:sz w:val="16"/>
          <w:szCs w:val="16"/>
        </w:rPr>
        <w:t>−</w:t>
      </w:r>
      <w:r>
        <w:rPr>
          <w:sz w:val="16"/>
          <w:szCs w:val="16"/>
        </w:rPr>
        <w:t>48 %), z dalších váhově významnějších mimoevropských zemí pak Jižní Korea (</w:t>
      </w:r>
      <w:r>
        <w:rPr>
          <w:color w:val="0D0D0D" w:themeColor="text1" w:themeTint="F2"/>
          <w:spacing w:val="-4"/>
          <w:sz w:val="16"/>
          <w:szCs w:val="16"/>
        </w:rPr>
        <w:t>−</w:t>
      </w:r>
      <w:r>
        <w:rPr>
          <w:sz w:val="16"/>
          <w:szCs w:val="16"/>
        </w:rPr>
        <w:t>26 %), Indie (</w:t>
      </w:r>
      <w:r>
        <w:rPr>
          <w:color w:val="0D0D0D" w:themeColor="text1" w:themeTint="F2"/>
          <w:spacing w:val="-4"/>
          <w:sz w:val="16"/>
          <w:szCs w:val="16"/>
        </w:rPr>
        <w:t>−</w:t>
      </w:r>
      <w:r>
        <w:rPr>
          <w:sz w:val="16"/>
          <w:szCs w:val="16"/>
        </w:rPr>
        <w:t>18 %) a Austrálie (</w:t>
      </w:r>
      <w:r>
        <w:rPr>
          <w:color w:val="0D0D0D" w:themeColor="text1" w:themeTint="F2"/>
          <w:spacing w:val="-4"/>
          <w:sz w:val="16"/>
          <w:szCs w:val="16"/>
        </w:rPr>
        <w:t>−</w:t>
      </w:r>
      <w:r>
        <w:rPr>
          <w:sz w:val="16"/>
          <w:szCs w:val="16"/>
        </w:rPr>
        <w:t>3 %), z Evropy pak hlavně severské státy: Švédsko (</w:t>
      </w:r>
      <w:r>
        <w:rPr>
          <w:color w:val="0D0D0D" w:themeColor="text1" w:themeTint="F2"/>
          <w:spacing w:val="-4"/>
          <w:sz w:val="16"/>
          <w:szCs w:val="16"/>
        </w:rPr>
        <w:t>−</w:t>
      </w:r>
      <w:r>
        <w:rPr>
          <w:sz w:val="16"/>
          <w:szCs w:val="16"/>
        </w:rPr>
        <w:t>22 %), Finsko (</w:t>
      </w:r>
      <w:r>
        <w:rPr>
          <w:color w:val="0D0D0D" w:themeColor="text1" w:themeTint="F2"/>
          <w:spacing w:val="-4"/>
          <w:sz w:val="16"/>
          <w:szCs w:val="16"/>
        </w:rPr>
        <w:t>−</w:t>
      </w:r>
      <w:r>
        <w:rPr>
          <w:sz w:val="16"/>
          <w:szCs w:val="16"/>
        </w:rPr>
        <w:t>19 %), Dánsko (</w:t>
      </w:r>
      <w:r>
        <w:rPr>
          <w:color w:val="0D0D0D" w:themeColor="text1" w:themeTint="F2"/>
          <w:spacing w:val="-4"/>
          <w:sz w:val="16"/>
          <w:szCs w:val="16"/>
        </w:rPr>
        <w:t>−</w:t>
      </w:r>
      <w:r>
        <w:rPr>
          <w:sz w:val="16"/>
          <w:szCs w:val="16"/>
        </w:rPr>
        <w:t>18 %), Norsko (</w:t>
      </w:r>
      <w:r>
        <w:rPr>
          <w:color w:val="0D0D0D" w:themeColor="text1" w:themeTint="F2"/>
          <w:spacing w:val="-4"/>
          <w:sz w:val="16"/>
          <w:szCs w:val="16"/>
        </w:rPr>
        <w:t>−</w:t>
      </w:r>
      <w:r>
        <w:rPr>
          <w:sz w:val="16"/>
          <w:szCs w:val="16"/>
        </w:rPr>
        <w:t>15 %), ale i Francie (</w:t>
      </w:r>
      <w:r>
        <w:rPr>
          <w:color w:val="0D0D0D" w:themeColor="text1" w:themeTint="F2"/>
          <w:spacing w:val="-4"/>
          <w:sz w:val="16"/>
          <w:szCs w:val="16"/>
        </w:rPr>
        <w:t>−</w:t>
      </w:r>
      <w:r>
        <w:rPr>
          <w:sz w:val="16"/>
          <w:szCs w:val="16"/>
        </w:rPr>
        <w:t>11 %), Itálie (</w:t>
      </w:r>
      <w:r>
        <w:rPr>
          <w:color w:val="0D0D0D" w:themeColor="text1" w:themeTint="F2"/>
          <w:spacing w:val="-4"/>
          <w:sz w:val="16"/>
          <w:szCs w:val="16"/>
        </w:rPr>
        <w:t>−</w:t>
      </w:r>
      <w:r>
        <w:rPr>
          <w:sz w:val="16"/>
          <w:szCs w:val="16"/>
        </w:rPr>
        <w:t>3 %) a Španělsko (</w:t>
      </w:r>
      <w:r>
        <w:rPr>
          <w:color w:val="0D0D0D" w:themeColor="text1" w:themeTint="F2"/>
          <w:spacing w:val="-4"/>
          <w:sz w:val="16"/>
          <w:szCs w:val="16"/>
        </w:rPr>
        <w:t>−</w:t>
      </w:r>
      <w:r>
        <w:rPr>
          <w:sz w:val="16"/>
          <w:szCs w:val="16"/>
        </w:rPr>
        <w:t>1 %).</w:t>
      </w:r>
    </w:p>
  </w:footnote>
  <w:footnote w:id="37">
    <w:p w14:paraId="7735CF3D" w14:textId="77777777" w:rsidR="00EE0E68" w:rsidRPr="005D63EE" w:rsidRDefault="00EE0E68" w:rsidP="004C456F">
      <w:pPr>
        <w:pStyle w:val="Textpoznpodarou"/>
        <w:rPr>
          <w:sz w:val="16"/>
          <w:szCs w:val="16"/>
        </w:rPr>
      </w:pPr>
      <w:r w:rsidRPr="005D63EE">
        <w:rPr>
          <w:rStyle w:val="Znakapoznpodarou"/>
          <w:sz w:val="16"/>
          <w:szCs w:val="16"/>
        </w:rPr>
        <w:footnoteRef/>
      </w:r>
      <w:r w:rsidRPr="005D63EE">
        <w:rPr>
          <w:sz w:val="16"/>
          <w:szCs w:val="16"/>
        </w:rPr>
        <w:t xml:space="preserve"> Ty zahrnují např. </w:t>
      </w:r>
      <w:r>
        <w:rPr>
          <w:sz w:val="16"/>
          <w:szCs w:val="16"/>
        </w:rPr>
        <w:t>p</w:t>
      </w:r>
      <w:r w:rsidRPr="005D63EE">
        <w:rPr>
          <w:sz w:val="16"/>
          <w:szCs w:val="16"/>
        </w:rPr>
        <w:t xml:space="preserve">ořádání konferencí a výstav, inkasní činnosti, ověřování solventnosti zákazníka, ale také např. činnosti call-center. </w:t>
      </w:r>
    </w:p>
  </w:footnote>
  <w:footnote w:id="38">
    <w:p w14:paraId="665C515E" w14:textId="77777777" w:rsidR="00EE0E68" w:rsidRPr="006627AF" w:rsidRDefault="00EE0E68" w:rsidP="004C456F">
      <w:pPr>
        <w:pStyle w:val="Textpoznpodarou"/>
        <w:rPr>
          <w:sz w:val="16"/>
          <w:szCs w:val="16"/>
        </w:rPr>
      </w:pPr>
      <w:r w:rsidRPr="006627AF">
        <w:rPr>
          <w:rStyle w:val="Znakapoznpodarou"/>
          <w:sz w:val="16"/>
          <w:szCs w:val="16"/>
        </w:rPr>
        <w:footnoteRef/>
      </w:r>
      <w:r w:rsidRPr="006627AF">
        <w:rPr>
          <w:sz w:val="16"/>
          <w:szCs w:val="16"/>
        </w:rPr>
        <w:t xml:space="preserve"> J</w:t>
      </w:r>
      <w:r w:rsidRPr="006627AF">
        <w:rPr>
          <w:color w:val="0D0D0D" w:themeColor="text1" w:themeTint="F2"/>
          <w:spacing w:val="-6"/>
          <w:sz w:val="16"/>
          <w:szCs w:val="16"/>
        </w:rPr>
        <w:t>estliže v předchozích letech souvisel vyšší zájem domácností o organizované cestování s kompenzací omezení vzniklých v pandemickém období, v posledních čtvrtletích již pramení především z jejich zlepšené finanční situace i vyšší spotřebitelské důvěry.</w:t>
      </w:r>
    </w:p>
  </w:footnote>
  <w:footnote w:id="39">
    <w:p w14:paraId="7EAA66E0" w14:textId="77777777" w:rsidR="00EE0E68" w:rsidRPr="002B695B" w:rsidRDefault="00EE0E68" w:rsidP="004C456F">
      <w:pPr>
        <w:pStyle w:val="Textpoznpodarou"/>
        <w:rPr>
          <w:sz w:val="16"/>
          <w:szCs w:val="16"/>
        </w:rPr>
      </w:pPr>
      <w:r w:rsidRPr="002B695B"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Meziročně se nejvíce</w:t>
      </w:r>
      <w:r w:rsidRPr="002B695B">
        <w:rPr>
          <w:sz w:val="16"/>
          <w:szCs w:val="16"/>
        </w:rPr>
        <w:t xml:space="preserve"> zvyšovaly tržby </w:t>
      </w:r>
      <w:r>
        <w:rPr>
          <w:sz w:val="16"/>
          <w:szCs w:val="16"/>
        </w:rPr>
        <w:t xml:space="preserve">(bez očištění) </w:t>
      </w:r>
      <w:r w:rsidRPr="002B695B">
        <w:rPr>
          <w:sz w:val="16"/>
          <w:szCs w:val="16"/>
        </w:rPr>
        <w:t xml:space="preserve">za </w:t>
      </w:r>
      <w:r>
        <w:rPr>
          <w:sz w:val="16"/>
          <w:szCs w:val="16"/>
        </w:rPr>
        <w:t>p</w:t>
      </w:r>
      <w:r w:rsidRPr="002B695B">
        <w:rPr>
          <w:sz w:val="16"/>
          <w:szCs w:val="16"/>
        </w:rPr>
        <w:t>ronájem a leasing ostatních strojů, zařízení a nákladních automobilů (+</w:t>
      </w:r>
      <w:r>
        <w:rPr>
          <w:sz w:val="16"/>
          <w:szCs w:val="16"/>
        </w:rPr>
        <w:t>6,7</w:t>
      </w:r>
      <w:r w:rsidRPr="00052DD9">
        <w:rPr>
          <w:sz w:val="16"/>
          <w:szCs w:val="16"/>
        </w:rPr>
        <w:t> </w:t>
      </w:r>
      <w:r w:rsidRPr="002B695B">
        <w:rPr>
          <w:sz w:val="16"/>
          <w:szCs w:val="16"/>
        </w:rPr>
        <w:t>%)</w:t>
      </w:r>
      <w:r>
        <w:rPr>
          <w:sz w:val="16"/>
          <w:szCs w:val="16"/>
        </w:rPr>
        <w:t xml:space="preserve">, nejméně za </w:t>
      </w:r>
      <w:r w:rsidRPr="002B695B">
        <w:rPr>
          <w:sz w:val="16"/>
          <w:szCs w:val="16"/>
        </w:rPr>
        <w:t xml:space="preserve">pronájem a leasing automobilů </w:t>
      </w:r>
      <w:r>
        <w:rPr>
          <w:sz w:val="16"/>
          <w:szCs w:val="16"/>
        </w:rPr>
        <w:t>(+1,2 %)</w:t>
      </w:r>
      <w:r w:rsidRPr="002B695B">
        <w:rPr>
          <w:sz w:val="16"/>
          <w:szCs w:val="16"/>
        </w:rPr>
        <w:t xml:space="preserve">, </w:t>
      </w:r>
      <w:r>
        <w:rPr>
          <w:sz w:val="16"/>
          <w:szCs w:val="16"/>
        </w:rPr>
        <w:t>kde poptávka</w:t>
      </w:r>
      <w:r w:rsidRPr="002B695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stejně jako </w:t>
      </w:r>
      <w:r w:rsidRPr="002B695B">
        <w:rPr>
          <w:sz w:val="16"/>
          <w:szCs w:val="16"/>
        </w:rPr>
        <w:t>v</w:t>
      </w:r>
      <w:r>
        <w:rPr>
          <w:sz w:val="16"/>
          <w:szCs w:val="16"/>
        </w:rPr>
        <w:t> </w:t>
      </w:r>
      <w:r w:rsidRPr="002B695B">
        <w:rPr>
          <w:sz w:val="16"/>
          <w:szCs w:val="16"/>
        </w:rPr>
        <w:t>před</w:t>
      </w:r>
      <w:r>
        <w:rPr>
          <w:sz w:val="16"/>
          <w:szCs w:val="16"/>
        </w:rPr>
        <w:t>chozích dvou letech spíše stagnovala.</w:t>
      </w:r>
    </w:p>
  </w:footnote>
  <w:footnote w:id="40">
    <w:p w14:paraId="6A399682" w14:textId="77777777" w:rsidR="00EE0E68" w:rsidRPr="00052DD9" w:rsidRDefault="00EE0E68" w:rsidP="004C456F">
      <w:pPr>
        <w:pStyle w:val="Textpoznpodarou"/>
        <w:rPr>
          <w:sz w:val="16"/>
          <w:szCs w:val="16"/>
        </w:rPr>
      </w:pPr>
      <w:r w:rsidRPr="00052DD9">
        <w:rPr>
          <w:rStyle w:val="Znakapoznpodarou"/>
          <w:sz w:val="16"/>
          <w:szCs w:val="16"/>
        </w:rPr>
        <w:footnoteRef/>
      </w:r>
      <w:r w:rsidRPr="00052DD9">
        <w:rPr>
          <w:sz w:val="16"/>
          <w:szCs w:val="16"/>
        </w:rPr>
        <w:t xml:space="preserve"> K poklesu tržeb </w:t>
      </w:r>
      <w:r>
        <w:rPr>
          <w:sz w:val="16"/>
          <w:szCs w:val="16"/>
        </w:rPr>
        <w:t xml:space="preserve">zde </w:t>
      </w:r>
      <w:r w:rsidRPr="00052DD9">
        <w:rPr>
          <w:sz w:val="16"/>
          <w:szCs w:val="16"/>
        </w:rPr>
        <w:t xml:space="preserve">došlo i při vysokém růstu počtu pracujících cizinců v ČR. Na něm se v posledních </w:t>
      </w:r>
      <w:r>
        <w:rPr>
          <w:sz w:val="16"/>
          <w:szCs w:val="16"/>
        </w:rPr>
        <w:t>třech</w:t>
      </w:r>
      <w:r w:rsidRPr="00052DD9">
        <w:rPr>
          <w:sz w:val="16"/>
          <w:szCs w:val="16"/>
        </w:rPr>
        <w:t xml:space="preserve"> letech významně podíleli uprchlíci z Ukrajiny. Vzhledem ke statutu dočasné ochrany, který byl těmto osobám přiznán, je </w:t>
      </w:r>
      <w:r>
        <w:rPr>
          <w:sz w:val="16"/>
          <w:szCs w:val="16"/>
        </w:rPr>
        <w:t>je</w:t>
      </w:r>
      <w:r w:rsidRPr="00052DD9">
        <w:rPr>
          <w:sz w:val="16"/>
          <w:szCs w:val="16"/>
        </w:rPr>
        <w:t xml:space="preserve">jich zaměstnávání v tuzemsku administrativně jednodušší (oproti ostatním skupinám migrantů z tzv. třetích zemí) a </w:t>
      </w:r>
      <w:r>
        <w:rPr>
          <w:sz w:val="16"/>
          <w:szCs w:val="16"/>
        </w:rPr>
        <w:t>ti tak mohou</w:t>
      </w:r>
      <w:r w:rsidRPr="00052DD9">
        <w:rPr>
          <w:sz w:val="16"/>
          <w:szCs w:val="16"/>
        </w:rPr>
        <w:t xml:space="preserve"> snáze nalézt práci „napřímo“ (bez zprostředkovatele). Kromě výše uvedeného se na pokle</w:t>
      </w:r>
      <w:r>
        <w:rPr>
          <w:sz w:val="16"/>
          <w:szCs w:val="16"/>
        </w:rPr>
        <w:t xml:space="preserve">su tržeb </w:t>
      </w:r>
      <w:r w:rsidRPr="00052DD9">
        <w:rPr>
          <w:sz w:val="16"/>
          <w:szCs w:val="16"/>
        </w:rPr>
        <w:t xml:space="preserve">může podílet i snížená poptávka pracovních </w:t>
      </w:r>
      <w:r>
        <w:rPr>
          <w:sz w:val="16"/>
          <w:szCs w:val="16"/>
        </w:rPr>
        <w:t xml:space="preserve">agentur </w:t>
      </w:r>
      <w:r w:rsidRPr="00052DD9">
        <w:rPr>
          <w:sz w:val="16"/>
          <w:szCs w:val="16"/>
        </w:rPr>
        <w:t>ze strany klí</w:t>
      </w:r>
      <w:r>
        <w:rPr>
          <w:sz w:val="16"/>
          <w:szCs w:val="16"/>
        </w:rPr>
        <w:t xml:space="preserve">čových výrobních oborů </w:t>
      </w:r>
      <w:r w:rsidRPr="00052DD9">
        <w:rPr>
          <w:sz w:val="16"/>
          <w:szCs w:val="16"/>
        </w:rPr>
        <w:t>průmysl</w:t>
      </w:r>
      <w:r>
        <w:rPr>
          <w:sz w:val="16"/>
          <w:szCs w:val="16"/>
        </w:rPr>
        <w:t>u.</w:t>
      </w:r>
    </w:p>
  </w:footnote>
  <w:footnote w:id="41">
    <w:p w14:paraId="3E4FF23C" w14:textId="77777777" w:rsidR="00EE0E68" w:rsidRPr="00EB7D87" w:rsidRDefault="00EE0E68" w:rsidP="004C456F">
      <w:pPr>
        <w:spacing w:after="0" w:line="240" w:lineRule="auto"/>
        <w:rPr>
          <w:spacing w:val="-2"/>
        </w:rPr>
      </w:pPr>
      <w:r w:rsidRPr="00EB7D87">
        <w:rPr>
          <w:rStyle w:val="Znakapoznpodarou"/>
          <w:color w:val="0D0D0D" w:themeColor="text1" w:themeTint="F2"/>
          <w:spacing w:val="-2"/>
          <w:sz w:val="16"/>
          <w:szCs w:val="16"/>
        </w:rPr>
        <w:footnoteRef/>
      </w:r>
      <w:r>
        <w:rPr>
          <w:color w:val="0D0D0D" w:themeColor="text1" w:themeTint="F2"/>
          <w:spacing w:val="-2"/>
          <w:sz w:val="16"/>
          <w:szCs w:val="16"/>
        </w:rPr>
        <w:t xml:space="preserve"> Všechna meziroční</w:t>
      </w:r>
      <w:r w:rsidRPr="00EB7D87">
        <w:rPr>
          <w:color w:val="0D0D0D" w:themeColor="text1" w:themeTint="F2"/>
          <w:spacing w:val="-2"/>
          <w:sz w:val="16"/>
          <w:szCs w:val="16"/>
        </w:rPr>
        <w:t xml:space="preserve"> tempa tržeb za maloobchod jsou uvedena ve stálých cenách a očištěna o kalendářní vlivy, mezičtvrtletní tempa jsou očištěna o sezónní vlivy (včetně vlivu počtu pracovních dnů). Maloobchod zahrnuje </w:t>
      </w:r>
      <w:r>
        <w:rPr>
          <w:color w:val="0D0D0D" w:themeColor="text1" w:themeTint="F2"/>
          <w:spacing w:val="-2"/>
          <w:sz w:val="16"/>
          <w:szCs w:val="16"/>
        </w:rPr>
        <w:t xml:space="preserve">pouze </w:t>
      </w:r>
      <w:r w:rsidRPr="00EB7D87">
        <w:rPr>
          <w:color w:val="0D0D0D" w:themeColor="text1" w:themeTint="F2"/>
          <w:spacing w:val="-2"/>
          <w:sz w:val="16"/>
          <w:szCs w:val="16"/>
        </w:rPr>
        <w:t>odvětví CZ-NACE 47.</w:t>
      </w:r>
    </w:p>
  </w:footnote>
  <w:footnote w:id="42">
    <w:p w14:paraId="1C0CCF0D" w14:textId="77777777" w:rsidR="00EE0E68" w:rsidRPr="00641006" w:rsidRDefault="00EE0E68" w:rsidP="004C456F">
      <w:pPr>
        <w:pStyle w:val="Textpoznpodarou"/>
        <w:rPr>
          <w:sz w:val="16"/>
          <w:szCs w:val="16"/>
        </w:rPr>
      </w:pPr>
      <w:r w:rsidRPr="00641006">
        <w:rPr>
          <w:rStyle w:val="Znakapoznpodarou"/>
          <w:sz w:val="16"/>
          <w:szCs w:val="16"/>
        </w:rPr>
        <w:footnoteRef/>
      </w:r>
      <w:r w:rsidRPr="00641006">
        <w:rPr>
          <w:sz w:val="16"/>
          <w:szCs w:val="16"/>
        </w:rPr>
        <w:t xml:space="preserve"> </w:t>
      </w:r>
      <w:r w:rsidRPr="006D5925">
        <w:rPr>
          <w:spacing w:val="-4"/>
          <w:sz w:val="16"/>
          <w:szCs w:val="16"/>
        </w:rPr>
        <w:t>Výjimkou byl maloobchod ve specializovaných obchodech</w:t>
      </w:r>
      <w:r w:rsidRPr="006D5925">
        <w:rPr>
          <w:rFonts w:cs="Arial"/>
          <w:color w:val="0D0D0D" w:themeColor="text1" w:themeTint="F2"/>
          <w:spacing w:val="-4"/>
          <w:sz w:val="16"/>
          <w:szCs w:val="16"/>
        </w:rPr>
        <w:t xml:space="preserve"> v ně</w:t>
      </w:r>
      <w:r>
        <w:rPr>
          <w:rFonts w:cs="Arial"/>
          <w:color w:val="0D0D0D" w:themeColor="text1" w:themeTint="F2"/>
          <w:spacing w:val="-4"/>
          <w:sz w:val="16"/>
          <w:szCs w:val="16"/>
        </w:rPr>
        <w:t>kterých sortimentních skupinách, zejména s počítačovým</w:t>
      </w:r>
      <w:r w:rsidRPr="006D5925">
        <w:rPr>
          <w:rFonts w:cs="Arial"/>
          <w:color w:val="0D0D0D" w:themeColor="text1" w:themeTint="F2"/>
          <w:spacing w:val="-4"/>
          <w:sz w:val="16"/>
          <w:szCs w:val="16"/>
        </w:rPr>
        <w:t xml:space="preserve"> a komunikační</w:t>
      </w:r>
      <w:r>
        <w:rPr>
          <w:rFonts w:cs="Arial"/>
          <w:color w:val="0D0D0D" w:themeColor="text1" w:themeTint="F2"/>
          <w:spacing w:val="-4"/>
          <w:sz w:val="16"/>
          <w:szCs w:val="16"/>
        </w:rPr>
        <w:t>m</w:t>
      </w:r>
      <w:r w:rsidRPr="006D5925">
        <w:rPr>
          <w:rFonts w:cs="Arial"/>
          <w:color w:val="0D0D0D" w:themeColor="text1" w:themeTint="F2"/>
          <w:spacing w:val="-4"/>
          <w:sz w:val="16"/>
          <w:szCs w:val="16"/>
        </w:rPr>
        <w:t xml:space="preserve"> zařízení</w:t>
      </w:r>
      <w:r>
        <w:rPr>
          <w:rFonts w:cs="Arial"/>
          <w:color w:val="0D0D0D" w:themeColor="text1" w:themeTint="F2"/>
          <w:spacing w:val="-4"/>
          <w:sz w:val="16"/>
          <w:szCs w:val="16"/>
        </w:rPr>
        <w:t>m</w:t>
      </w:r>
      <w:r w:rsidRPr="006D5925">
        <w:rPr>
          <w:rFonts w:cs="Arial"/>
          <w:color w:val="0D0D0D" w:themeColor="text1" w:themeTint="F2"/>
          <w:spacing w:val="-4"/>
          <w:sz w:val="16"/>
          <w:szCs w:val="16"/>
        </w:rPr>
        <w:t xml:space="preserve"> (</w:t>
      </w:r>
      <w:r>
        <w:rPr>
          <w:color w:val="0D0D0D" w:themeColor="text1" w:themeTint="F2"/>
          <w:spacing w:val="-4"/>
          <w:sz w:val="16"/>
          <w:szCs w:val="16"/>
        </w:rPr>
        <w:t>−</w:t>
      </w:r>
      <w:r>
        <w:rPr>
          <w:rFonts w:cs="Arial"/>
          <w:color w:val="0D0D0D" w:themeColor="text1" w:themeTint="F2"/>
          <w:spacing w:val="-4"/>
          <w:sz w:val="16"/>
          <w:szCs w:val="16"/>
        </w:rPr>
        <w:t>0,4</w:t>
      </w:r>
      <w:r w:rsidRPr="006D5925">
        <w:rPr>
          <w:color w:val="0D0D0D" w:themeColor="text1" w:themeTint="F2"/>
          <w:spacing w:val="-4"/>
          <w:sz w:val="16"/>
          <w:szCs w:val="16"/>
        </w:rPr>
        <w:t> </w:t>
      </w:r>
      <w:r w:rsidRPr="006D5925">
        <w:rPr>
          <w:rFonts w:cs="Arial"/>
          <w:color w:val="0D0D0D" w:themeColor="text1" w:themeTint="F2"/>
          <w:spacing w:val="-4"/>
          <w:sz w:val="16"/>
          <w:szCs w:val="16"/>
        </w:rPr>
        <w:t xml:space="preserve">%) </w:t>
      </w:r>
      <w:r w:rsidRPr="006D5925">
        <w:rPr>
          <w:rFonts w:cs="Arial"/>
          <w:color w:val="0D0D0D" w:themeColor="text1" w:themeTint="F2"/>
          <w:spacing w:val="-2"/>
          <w:sz w:val="16"/>
          <w:szCs w:val="16"/>
        </w:rPr>
        <w:t xml:space="preserve">a </w:t>
      </w:r>
      <w:r>
        <w:rPr>
          <w:rFonts w:cs="Arial"/>
          <w:color w:val="0D0D0D" w:themeColor="text1" w:themeTint="F2"/>
          <w:spacing w:val="-2"/>
          <w:sz w:val="16"/>
          <w:szCs w:val="16"/>
        </w:rPr>
        <w:t>s oděvy, obuví a koženým zbožím</w:t>
      </w:r>
      <w:r w:rsidRPr="006D5925">
        <w:rPr>
          <w:rFonts w:cs="Arial"/>
          <w:color w:val="0D0D0D" w:themeColor="text1" w:themeTint="F2"/>
          <w:spacing w:val="-2"/>
          <w:sz w:val="16"/>
          <w:szCs w:val="16"/>
        </w:rPr>
        <w:t xml:space="preserve"> (</w:t>
      </w:r>
      <w:r>
        <w:rPr>
          <w:color w:val="0D0D0D" w:themeColor="text1" w:themeTint="F2"/>
          <w:spacing w:val="-2"/>
          <w:sz w:val="16"/>
          <w:szCs w:val="16"/>
        </w:rPr>
        <w:t>−</w:t>
      </w:r>
      <w:r w:rsidRPr="006D5925">
        <w:rPr>
          <w:rFonts w:cs="Arial"/>
          <w:color w:val="0D0D0D" w:themeColor="text1" w:themeTint="F2"/>
          <w:spacing w:val="-2"/>
          <w:sz w:val="16"/>
          <w:szCs w:val="16"/>
        </w:rPr>
        <w:t>0,7 %).</w:t>
      </w:r>
    </w:p>
  </w:footnote>
  <w:footnote w:id="43">
    <w:p w14:paraId="326FE4BD" w14:textId="77777777" w:rsidR="00EE0E68" w:rsidRPr="00822DEB" w:rsidRDefault="00EE0E68" w:rsidP="004C456F">
      <w:pPr>
        <w:pStyle w:val="Textpoznpodarou"/>
        <w:rPr>
          <w:sz w:val="16"/>
          <w:szCs w:val="16"/>
        </w:rPr>
      </w:pPr>
      <w:r w:rsidRPr="00822DEB">
        <w:rPr>
          <w:rStyle w:val="Znakapoznpodarou"/>
          <w:sz w:val="16"/>
          <w:szCs w:val="16"/>
        </w:rPr>
        <w:footnoteRef/>
      </w:r>
      <w:r w:rsidRPr="00822DEB">
        <w:rPr>
          <w:sz w:val="16"/>
          <w:szCs w:val="16"/>
        </w:rPr>
        <w:t xml:space="preserve"> To souvisí primárně s propadem tržeb za potraviny</w:t>
      </w:r>
      <w:r>
        <w:rPr>
          <w:sz w:val="16"/>
          <w:szCs w:val="16"/>
        </w:rPr>
        <w:t xml:space="preserve">, a to jak ve velkých řetězcích </w:t>
      </w:r>
      <w:r w:rsidRPr="00822DEB">
        <w:rPr>
          <w:sz w:val="16"/>
          <w:szCs w:val="16"/>
        </w:rPr>
        <w:t>(</w:t>
      </w:r>
      <w:r>
        <w:rPr>
          <w:color w:val="0D0D0D" w:themeColor="text1" w:themeTint="F2"/>
          <w:spacing w:val="-2"/>
          <w:sz w:val="16"/>
          <w:szCs w:val="16"/>
        </w:rPr>
        <w:t>−</w:t>
      </w:r>
      <w:r>
        <w:rPr>
          <w:sz w:val="16"/>
          <w:szCs w:val="16"/>
        </w:rPr>
        <w:t>7,4</w:t>
      </w:r>
      <w:r w:rsidRPr="00822DEB">
        <w:rPr>
          <w:sz w:val="16"/>
          <w:szCs w:val="16"/>
        </w:rPr>
        <w:t xml:space="preserve"> %)</w:t>
      </w:r>
      <w:r>
        <w:rPr>
          <w:sz w:val="16"/>
          <w:szCs w:val="16"/>
        </w:rPr>
        <w:t>, tak menších specializovaných prodejnách (</w:t>
      </w:r>
      <w:r>
        <w:rPr>
          <w:color w:val="0D0D0D" w:themeColor="text1" w:themeTint="F2"/>
          <w:spacing w:val="-2"/>
          <w:sz w:val="16"/>
          <w:szCs w:val="16"/>
        </w:rPr>
        <w:t>−</w:t>
      </w:r>
      <w:r>
        <w:rPr>
          <w:sz w:val="16"/>
          <w:szCs w:val="16"/>
        </w:rPr>
        <w:t>21,4</w:t>
      </w:r>
      <w:r w:rsidRPr="00822DEB">
        <w:rPr>
          <w:sz w:val="16"/>
          <w:szCs w:val="16"/>
        </w:rPr>
        <w:t xml:space="preserve"> %)</w:t>
      </w:r>
      <w:r>
        <w:rPr>
          <w:sz w:val="16"/>
          <w:szCs w:val="16"/>
        </w:rPr>
        <w:t xml:space="preserve"> a některých sortimentních skupinách nepotravinářského zboží ve</w:t>
      </w:r>
      <w:r>
        <w:rPr>
          <w:color w:val="0D0D0D" w:themeColor="text1" w:themeTint="F2"/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 xml:space="preserve">specializovaných prodejnách: zejména s </w:t>
      </w:r>
      <w:r w:rsidRPr="009247F6">
        <w:rPr>
          <w:sz w:val="16"/>
          <w:szCs w:val="16"/>
        </w:rPr>
        <w:t xml:space="preserve">oděvy, obuví </w:t>
      </w:r>
      <w:r>
        <w:rPr>
          <w:sz w:val="16"/>
          <w:szCs w:val="16"/>
        </w:rPr>
        <w:br/>
      </w:r>
      <w:r w:rsidRPr="009247F6">
        <w:rPr>
          <w:sz w:val="16"/>
          <w:szCs w:val="16"/>
        </w:rPr>
        <w:t>a koženým zboží</w:t>
      </w:r>
      <w:r>
        <w:rPr>
          <w:sz w:val="16"/>
          <w:szCs w:val="16"/>
        </w:rPr>
        <w:t>m (</w:t>
      </w:r>
      <w:r>
        <w:rPr>
          <w:color w:val="0D0D0D" w:themeColor="text1" w:themeTint="F2"/>
          <w:spacing w:val="-2"/>
          <w:sz w:val="16"/>
          <w:szCs w:val="16"/>
        </w:rPr>
        <w:t>−</w:t>
      </w:r>
      <w:r>
        <w:rPr>
          <w:sz w:val="16"/>
          <w:szCs w:val="16"/>
        </w:rPr>
        <w:t xml:space="preserve">25,3 %), s </w:t>
      </w:r>
      <w:r w:rsidRPr="009247F6">
        <w:rPr>
          <w:sz w:val="16"/>
          <w:szCs w:val="16"/>
        </w:rPr>
        <w:t>výrobky převážně pro domácnost</w:t>
      </w:r>
      <w:r>
        <w:rPr>
          <w:sz w:val="16"/>
          <w:szCs w:val="16"/>
        </w:rPr>
        <w:t xml:space="preserve"> (</w:t>
      </w:r>
      <w:r>
        <w:rPr>
          <w:color w:val="0D0D0D" w:themeColor="text1" w:themeTint="F2"/>
          <w:spacing w:val="-2"/>
          <w:sz w:val="16"/>
          <w:szCs w:val="16"/>
        </w:rPr>
        <w:t>−</w:t>
      </w:r>
      <w:r>
        <w:rPr>
          <w:sz w:val="16"/>
          <w:szCs w:val="16"/>
        </w:rPr>
        <w:t>12,1 %) a</w:t>
      </w:r>
      <w:r w:rsidRPr="00EB7D87">
        <w:rPr>
          <w:color w:val="0D0D0D" w:themeColor="text1" w:themeTint="F2"/>
          <w:spacing w:val="-2"/>
          <w:sz w:val="16"/>
          <w:szCs w:val="16"/>
        </w:rPr>
        <w:t> </w:t>
      </w:r>
      <w:r w:rsidRPr="009247F6">
        <w:rPr>
          <w:sz w:val="16"/>
          <w:szCs w:val="16"/>
        </w:rPr>
        <w:t>výrobky pro kulturu a rekreaci</w:t>
      </w:r>
      <w:r>
        <w:rPr>
          <w:sz w:val="16"/>
          <w:szCs w:val="16"/>
        </w:rPr>
        <w:t xml:space="preserve"> (</w:t>
      </w:r>
      <w:r>
        <w:rPr>
          <w:color w:val="0D0D0D" w:themeColor="text1" w:themeTint="F2"/>
          <w:spacing w:val="-2"/>
          <w:sz w:val="16"/>
          <w:szCs w:val="16"/>
        </w:rPr>
        <w:t>−</w:t>
      </w:r>
      <w:r>
        <w:rPr>
          <w:sz w:val="16"/>
          <w:szCs w:val="16"/>
        </w:rPr>
        <w:t>9,3 %). Naopak aktuální souhrnná poptávka po nepotravinářském zboží se nachází zřetelně nad úrovní 4.</w:t>
      </w:r>
      <w:r w:rsidRPr="00EB7D87">
        <w:rPr>
          <w:color w:val="0D0D0D" w:themeColor="text1" w:themeTint="F2"/>
          <w:spacing w:val="-2"/>
          <w:sz w:val="16"/>
          <w:szCs w:val="16"/>
        </w:rPr>
        <w:t> </w:t>
      </w:r>
      <w:r>
        <w:rPr>
          <w:sz w:val="16"/>
          <w:szCs w:val="16"/>
        </w:rPr>
        <w:t xml:space="preserve">čtvrtletí 2019 (+6,1 %), hlavně zásluhou prodeje prostřednictvím </w:t>
      </w:r>
      <w:r w:rsidRPr="009247F6">
        <w:rPr>
          <w:sz w:val="16"/>
          <w:szCs w:val="16"/>
        </w:rPr>
        <w:t>internetu nebo zásilkové služby</w:t>
      </w:r>
      <w:r>
        <w:rPr>
          <w:sz w:val="16"/>
          <w:szCs w:val="16"/>
        </w:rPr>
        <w:t xml:space="preserve"> (+55,8 %) a specializovaných prodejen s </w:t>
      </w:r>
      <w:r w:rsidRPr="009247F6">
        <w:rPr>
          <w:sz w:val="16"/>
          <w:szCs w:val="16"/>
        </w:rPr>
        <w:t>kosmetickými a toaletními výrobky</w:t>
      </w:r>
      <w:r>
        <w:rPr>
          <w:sz w:val="16"/>
          <w:szCs w:val="16"/>
        </w:rPr>
        <w:t xml:space="preserve"> (+37,9 %) </w:t>
      </w:r>
      <w:r>
        <w:rPr>
          <w:sz w:val="16"/>
          <w:szCs w:val="16"/>
        </w:rPr>
        <w:br/>
        <w:t xml:space="preserve">a </w:t>
      </w:r>
      <w:r w:rsidRPr="001643CD">
        <w:rPr>
          <w:sz w:val="16"/>
          <w:szCs w:val="16"/>
        </w:rPr>
        <w:t>farmaceutickým a zdravotnickým zbožím</w:t>
      </w:r>
      <w:r>
        <w:rPr>
          <w:sz w:val="16"/>
          <w:szCs w:val="16"/>
        </w:rPr>
        <w:t xml:space="preserve"> (+25,8 %). Vedle toho byl vyšší např.</w:t>
      </w:r>
      <w:r w:rsidRPr="001643CD">
        <w:rPr>
          <w:sz w:val="16"/>
          <w:szCs w:val="16"/>
        </w:rPr>
        <w:t xml:space="preserve"> prodej pohonných hmot</w:t>
      </w:r>
      <w:r>
        <w:rPr>
          <w:sz w:val="16"/>
          <w:szCs w:val="16"/>
        </w:rPr>
        <w:t xml:space="preserve"> (+13,4 %).</w:t>
      </w:r>
    </w:p>
  </w:footnote>
  <w:footnote w:id="44">
    <w:p w14:paraId="21ECCFFB" w14:textId="77777777" w:rsidR="00EE0E68" w:rsidRPr="00EC0BFC" w:rsidRDefault="00EE0E68" w:rsidP="004C456F">
      <w:pPr>
        <w:pStyle w:val="Textpoznpodarou"/>
        <w:rPr>
          <w:sz w:val="16"/>
          <w:szCs w:val="16"/>
        </w:rPr>
      </w:pPr>
      <w:r w:rsidRPr="00EC0BFC">
        <w:rPr>
          <w:rStyle w:val="Znakapoznpodarou"/>
          <w:sz w:val="16"/>
          <w:szCs w:val="16"/>
        </w:rPr>
        <w:footnoteRef/>
      </w:r>
      <w:r w:rsidRPr="00EC0BFC">
        <w:rPr>
          <w:sz w:val="16"/>
          <w:szCs w:val="16"/>
        </w:rPr>
        <w:t xml:space="preserve"> </w:t>
      </w:r>
      <w:r w:rsidRPr="00EC0BFC">
        <w:rPr>
          <w:rFonts w:cs="Arial"/>
          <w:color w:val="0D0D0D" w:themeColor="text1" w:themeTint="F2"/>
          <w:spacing w:val="-4"/>
          <w:sz w:val="16"/>
          <w:szCs w:val="16"/>
        </w:rPr>
        <w:t xml:space="preserve">K rozvoji tohoto prodeje přispívá postupující digitalizace, modernizace v oblasti logistiky, ale také stále sofistikovanější </w:t>
      </w:r>
      <w:r>
        <w:rPr>
          <w:rFonts w:cs="Arial"/>
          <w:color w:val="0D0D0D" w:themeColor="text1" w:themeTint="F2"/>
          <w:spacing w:val="-4"/>
          <w:sz w:val="16"/>
          <w:szCs w:val="16"/>
        </w:rPr>
        <w:t xml:space="preserve">cílený </w:t>
      </w:r>
      <w:r w:rsidRPr="00EC0BFC">
        <w:rPr>
          <w:rFonts w:cs="Arial"/>
          <w:color w:val="0D0D0D" w:themeColor="text1" w:themeTint="F2"/>
          <w:spacing w:val="-4"/>
          <w:sz w:val="16"/>
          <w:szCs w:val="16"/>
        </w:rPr>
        <w:t>marketing.</w:t>
      </w:r>
    </w:p>
  </w:footnote>
  <w:footnote w:id="45">
    <w:p w14:paraId="14F39891" w14:textId="77777777" w:rsidR="00EE0E68" w:rsidRPr="006D59C3" w:rsidRDefault="00EE0E68" w:rsidP="004C456F">
      <w:pPr>
        <w:pStyle w:val="Textpoznpodarou"/>
        <w:rPr>
          <w:sz w:val="16"/>
          <w:szCs w:val="16"/>
        </w:rPr>
      </w:pPr>
      <w:r w:rsidRPr="006D59C3"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Vedle toho pokračoval pátým</w:t>
      </w:r>
      <w:r w:rsidRPr="006D59C3">
        <w:rPr>
          <w:sz w:val="16"/>
          <w:szCs w:val="16"/>
        </w:rPr>
        <w:t xml:space="preserve"> rokem v řadě růst tržeb v okrajovém segmentu </w:t>
      </w:r>
      <w:r w:rsidRPr="006D59C3">
        <w:rPr>
          <w:rFonts w:cs="Arial"/>
          <w:color w:val="0D0D0D" w:themeColor="text1" w:themeTint="F2"/>
          <w:spacing w:val="-4"/>
          <w:sz w:val="16"/>
          <w:szCs w:val="16"/>
        </w:rPr>
        <w:t>nespecializovaných prodejen s převahou nepotravinářského zboží (v</w:t>
      </w:r>
      <w:r>
        <w:rPr>
          <w:rFonts w:cs="Arial"/>
          <w:color w:val="0D0D0D" w:themeColor="text1" w:themeTint="F2"/>
          <w:spacing w:val="-4"/>
          <w:sz w:val="16"/>
          <w:szCs w:val="16"/>
        </w:rPr>
        <w:t xml:space="preserve"> 1. polol</w:t>
      </w:r>
      <w:r w:rsidRPr="006D59C3">
        <w:rPr>
          <w:rFonts w:cs="Arial"/>
          <w:color w:val="0D0D0D" w:themeColor="text1" w:themeTint="F2"/>
          <w:spacing w:val="-4"/>
          <w:sz w:val="16"/>
          <w:szCs w:val="16"/>
        </w:rPr>
        <w:t>etí: +</w:t>
      </w:r>
      <w:r>
        <w:rPr>
          <w:rFonts w:cs="Arial"/>
          <w:color w:val="0D0D0D" w:themeColor="text1" w:themeTint="F2"/>
          <w:spacing w:val="-4"/>
          <w:sz w:val="16"/>
          <w:szCs w:val="16"/>
        </w:rPr>
        <w:t>7,5</w:t>
      </w:r>
      <w:r w:rsidRPr="006D59C3">
        <w:rPr>
          <w:rFonts w:cs="Arial"/>
          <w:color w:val="0D0D0D" w:themeColor="text1" w:themeTint="F2"/>
          <w:spacing w:val="-4"/>
          <w:sz w:val="16"/>
          <w:szCs w:val="16"/>
        </w:rPr>
        <w:t xml:space="preserve"> %). Ten se zaměřuje typicky na nabídku různorodého</w:t>
      </w:r>
      <w:r>
        <w:rPr>
          <w:rFonts w:cs="Arial"/>
          <w:color w:val="0D0D0D" w:themeColor="text1" w:themeTint="F2"/>
          <w:spacing w:val="-4"/>
          <w:sz w:val="16"/>
          <w:szCs w:val="16"/>
        </w:rPr>
        <w:t>,</w:t>
      </w:r>
      <w:r w:rsidRPr="006D59C3">
        <w:rPr>
          <w:rFonts w:cs="Arial"/>
          <w:color w:val="0D0D0D" w:themeColor="text1" w:themeTint="F2"/>
          <w:spacing w:val="-4"/>
          <w:sz w:val="16"/>
          <w:szCs w:val="16"/>
        </w:rPr>
        <w:t xml:space="preserve"> </w:t>
      </w:r>
      <w:r>
        <w:rPr>
          <w:rFonts w:cs="Arial"/>
          <w:color w:val="0D0D0D" w:themeColor="text1" w:themeTint="F2"/>
          <w:spacing w:val="-4"/>
          <w:sz w:val="16"/>
          <w:szCs w:val="16"/>
        </w:rPr>
        <w:t xml:space="preserve">spíše drobnějšího </w:t>
      </w:r>
      <w:r w:rsidRPr="006D59C3">
        <w:rPr>
          <w:rFonts w:cs="Arial"/>
          <w:color w:val="0D0D0D" w:themeColor="text1" w:themeTint="F2"/>
          <w:spacing w:val="-4"/>
          <w:sz w:val="16"/>
          <w:szCs w:val="16"/>
        </w:rPr>
        <w:t xml:space="preserve">zboží </w:t>
      </w:r>
      <w:r>
        <w:rPr>
          <w:rFonts w:cs="Arial"/>
          <w:color w:val="0D0D0D" w:themeColor="text1" w:themeTint="F2"/>
          <w:spacing w:val="-4"/>
          <w:sz w:val="16"/>
          <w:szCs w:val="16"/>
        </w:rPr>
        <w:t>za diskontní ceny</w:t>
      </w:r>
      <w:r w:rsidRPr="006D59C3">
        <w:rPr>
          <w:rFonts w:cs="Arial"/>
          <w:color w:val="0D0D0D" w:themeColor="text1" w:themeTint="F2"/>
          <w:spacing w:val="-4"/>
          <w:sz w:val="16"/>
          <w:szCs w:val="16"/>
        </w:rPr>
        <w:t>.</w:t>
      </w:r>
    </w:p>
  </w:footnote>
  <w:footnote w:id="46">
    <w:p w14:paraId="6030B7FC" w14:textId="77777777" w:rsidR="00EE0E68" w:rsidRPr="00B6627F" w:rsidRDefault="00EE0E68" w:rsidP="004C456F">
      <w:pPr>
        <w:pStyle w:val="Textpoznpodarou"/>
        <w:rPr>
          <w:rFonts w:cs="Arial"/>
          <w:color w:val="0D0D0D" w:themeColor="text1" w:themeTint="F2"/>
          <w:sz w:val="16"/>
          <w:szCs w:val="16"/>
        </w:rPr>
      </w:pPr>
      <w:r w:rsidRPr="00CD4275">
        <w:rPr>
          <w:rStyle w:val="Znakapoznpodarou"/>
          <w:sz w:val="16"/>
          <w:szCs w:val="16"/>
        </w:rPr>
        <w:footnoteRef/>
      </w:r>
      <w:r w:rsidRPr="00CD4275">
        <w:rPr>
          <w:sz w:val="16"/>
          <w:szCs w:val="16"/>
        </w:rPr>
        <w:t xml:space="preserve"> </w:t>
      </w:r>
      <w:r>
        <w:rPr>
          <w:rFonts w:cs="Arial"/>
          <w:color w:val="0D0D0D" w:themeColor="text1" w:themeTint="F2"/>
          <w:sz w:val="16"/>
          <w:szCs w:val="16"/>
        </w:rPr>
        <w:t>Spotřebitelská cena</w:t>
      </w:r>
      <w:r w:rsidRPr="00B6627F">
        <w:rPr>
          <w:rFonts w:cs="Arial"/>
          <w:color w:val="0D0D0D" w:themeColor="text1" w:themeTint="F2"/>
          <w:sz w:val="16"/>
          <w:szCs w:val="16"/>
        </w:rPr>
        <w:t xml:space="preserve"> nafty dosahovala letos v květnu</w:t>
      </w:r>
      <w:r w:rsidRPr="00B6627F">
        <w:rPr>
          <w:iCs/>
          <w:color w:val="0D0D0D" w:themeColor="text1" w:themeTint="F2"/>
          <w:sz w:val="16"/>
          <w:szCs w:val="16"/>
        </w:rPr>
        <w:t xml:space="preserve"> v průměru 32,70 korun/l a benzín Natural 95 se na čerpacích stanicích prodával přibližně za 33,90 korun/l. V případě nafty to byla nejnižší hodnota</w:t>
      </w:r>
      <w:r>
        <w:rPr>
          <w:iCs/>
          <w:color w:val="0D0D0D" w:themeColor="text1" w:themeTint="F2"/>
          <w:sz w:val="16"/>
          <w:szCs w:val="16"/>
        </w:rPr>
        <w:t xml:space="preserve"> od června roku 2023 a u</w:t>
      </w:r>
      <w:r w:rsidRPr="00B6627F">
        <w:rPr>
          <w:iCs/>
          <w:color w:val="0D0D0D" w:themeColor="text1" w:themeTint="F2"/>
          <w:sz w:val="16"/>
          <w:szCs w:val="16"/>
        </w:rPr>
        <w:t xml:space="preserve"> benzinu Natural 95 dokonce od září roku 2021.</w:t>
      </w:r>
      <w:r>
        <w:rPr>
          <w:rFonts w:cs="Arial"/>
          <w:color w:val="0D0D0D" w:themeColor="text1" w:themeTint="F2"/>
          <w:sz w:val="16"/>
          <w:szCs w:val="16"/>
        </w:rPr>
        <w:t xml:space="preserve"> Na tento vývoj kromě tuzemských domácností i</w:t>
      </w:r>
      <w:r w:rsidRPr="00CD4275">
        <w:rPr>
          <w:rFonts w:cs="Arial"/>
          <w:color w:val="0D0D0D" w:themeColor="text1" w:themeTint="F2"/>
          <w:sz w:val="16"/>
          <w:szCs w:val="16"/>
        </w:rPr>
        <w:t> </w:t>
      </w:r>
      <w:r>
        <w:rPr>
          <w:rFonts w:cs="Arial"/>
          <w:color w:val="0D0D0D" w:themeColor="text1" w:themeTint="F2"/>
          <w:sz w:val="16"/>
          <w:szCs w:val="16"/>
        </w:rPr>
        <w:t>firem reagovali i zahraniční dopravci, již přes Česko realizují tranzitní dopravu.</w:t>
      </w:r>
    </w:p>
  </w:footnote>
  <w:footnote w:id="47">
    <w:p w14:paraId="480F190F" w14:textId="77777777" w:rsidR="00EE0E68" w:rsidRPr="005972FB" w:rsidRDefault="00EE0E68" w:rsidP="004C456F">
      <w:pPr>
        <w:pStyle w:val="Textpoznpodarou"/>
        <w:rPr>
          <w:sz w:val="16"/>
          <w:szCs w:val="16"/>
        </w:rPr>
      </w:pPr>
      <w:r w:rsidRPr="005972FB">
        <w:rPr>
          <w:rStyle w:val="Znakapoznpodarou"/>
          <w:sz w:val="16"/>
          <w:szCs w:val="16"/>
        </w:rPr>
        <w:footnoteRef/>
      </w:r>
      <w:r w:rsidRPr="005972FB">
        <w:rPr>
          <w:sz w:val="16"/>
          <w:szCs w:val="16"/>
        </w:rPr>
        <w:t xml:space="preserve"> Tržby v běžných cenách</w:t>
      </w:r>
      <w:r>
        <w:rPr>
          <w:sz w:val="16"/>
          <w:szCs w:val="16"/>
        </w:rPr>
        <w:t xml:space="preserve"> se ovšem v 1. pololetí 2025 zvýšily pouze o 1,4</w:t>
      </w:r>
      <w:r w:rsidRPr="005972FB">
        <w:rPr>
          <w:sz w:val="16"/>
          <w:szCs w:val="16"/>
        </w:rPr>
        <w:t xml:space="preserve"> %.</w:t>
      </w:r>
    </w:p>
  </w:footnote>
  <w:footnote w:id="48">
    <w:p w14:paraId="06413E7A" w14:textId="77777777" w:rsidR="00EE0E68" w:rsidRPr="008B72AA" w:rsidRDefault="00EE0E68" w:rsidP="004C456F">
      <w:pPr>
        <w:pStyle w:val="Textpoznpodarou"/>
        <w:rPr>
          <w:sz w:val="16"/>
          <w:szCs w:val="16"/>
        </w:rPr>
      </w:pPr>
      <w:r w:rsidRPr="008B72AA">
        <w:rPr>
          <w:rStyle w:val="Znakapoznpodarou"/>
          <w:sz w:val="16"/>
          <w:szCs w:val="16"/>
        </w:rPr>
        <w:footnoteRef/>
      </w:r>
      <w:r w:rsidRPr="008B72AA">
        <w:rPr>
          <w:sz w:val="16"/>
          <w:szCs w:val="16"/>
        </w:rPr>
        <w:t xml:space="preserve"> V nichž jsou obsaženy zejména </w:t>
      </w:r>
      <w:r w:rsidRPr="008B72AA">
        <w:rPr>
          <w:rStyle w:val="normaltextrun"/>
          <w:rFonts w:eastAsia="MS Gothic" w:cs="Arial"/>
          <w:spacing w:val="-3"/>
          <w:sz w:val="16"/>
          <w:szCs w:val="16"/>
        </w:rPr>
        <w:t>železářské zboží, stavebniny, barvy, sklo, potřeby pro kutily</w:t>
      </w:r>
      <w:r>
        <w:rPr>
          <w:rStyle w:val="normaltextrun"/>
          <w:rFonts w:eastAsia="MS Gothic" w:cs="Arial"/>
          <w:spacing w:val="-3"/>
          <w:sz w:val="16"/>
          <w:szCs w:val="16"/>
        </w:rPr>
        <w:t xml:space="preserve">, elektrospotřebiče, elektronika, </w:t>
      </w:r>
      <w:r w:rsidRPr="008B72AA">
        <w:rPr>
          <w:rStyle w:val="normaltextrun"/>
          <w:rFonts w:eastAsia="MS Gothic" w:cs="Arial"/>
          <w:spacing w:val="-3"/>
          <w:sz w:val="16"/>
          <w:szCs w:val="16"/>
        </w:rPr>
        <w:t>nábytek,</w:t>
      </w:r>
      <w:r>
        <w:rPr>
          <w:rFonts w:cs="Arial"/>
          <w:color w:val="0D0D0D" w:themeColor="text1" w:themeTint="F2"/>
          <w:spacing w:val="-3"/>
          <w:sz w:val="16"/>
          <w:szCs w:val="16"/>
        </w:rPr>
        <w:t xml:space="preserve"> </w:t>
      </w:r>
      <w:r w:rsidRPr="008B72AA">
        <w:rPr>
          <w:rStyle w:val="normaltextrun"/>
          <w:rFonts w:eastAsia="MS Gothic" w:cs="Arial"/>
          <w:spacing w:val="-3"/>
          <w:sz w:val="16"/>
          <w:szCs w:val="16"/>
        </w:rPr>
        <w:t xml:space="preserve">svítidla, </w:t>
      </w:r>
      <w:r w:rsidRPr="008B72AA">
        <w:rPr>
          <w:rFonts w:cs="Arial"/>
          <w:color w:val="0D0D0D" w:themeColor="text1" w:themeTint="F2"/>
          <w:sz w:val="16"/>
          <w:szCs w:val="16"/>
        </w:rPr>
        <w:t>koberce či bytový textil.</w:t>
      </w:r>
    </w:p>
  </w:footnote>
  <w:footnote w:id="49">
    <w:p w14:paraId="100682A0" w14:textId="77777777" w:rsidR="00EE0E68" w:rsidRDefault="00EE0E68" w:rsidP="004C456F">
      <w:pPr>
        <w:pStyle w:val="Textpoznpodarou"/>
      </w:pPr>
      <w:r w:rsidRPr="008320B4">
        <w:rPr>
          <w:rStyle w:val="Znakapoznpodarou"/>
          <w:sz w:val="16"/>
          <w:szCs w:val="16"/>
        </w:rPr>
        <w:footnoteRef/>
      </w:r>
      <w:r w:rsidRPr="008320B4">
        <w:rPr>
          <w:sz w:val="16"/>
          <w:szCs w:val="16"/>
        </w:rPr>
        <w:t xml:space="preserve"> Ty zahrnují např. masné výrobky</w:t>
      </w:r>
      <w:r w:rsidRPr="006D59C3">
        <w:rPr>
          <w:sz w:val="16"/>
          <w:szCs w:val="16"/>
        </w:rPr>
        <w:t>, pečivo, cukrářské</w:t>
      </w:r>
      <w:r w:rsidRPr="00571DFF">
        <w:rPr>
          <w:sz w:val="16"/>
          <w:szCs w:val="16"/>
        </w:rPr>
        <w:t xml:space="preserve"> výrobky či nápoje. N</w:t>
      </w:r>
      <w:r>
        <w:rPr>
          <w:sz w:val="16"/>
          <w:szCs w:val="16"/>
        </w:rPr>
        <w:t>ejvětší váhu zde však</w:t>
      </w:r>
      <w:r w:rsidRPr="00571DFF">
        <w:rPr>
          <w:sz w:val="16"/>
          <w:szCs w:val="16"/>
        </w:rPr>
        <w:t xml:space="preserve"> mají prodejny s tabákovými výrobky</w:t>
      </w:r>
      <w:r>
        <w:rPr>
          <w:sz w:val="16"/>
          <w:szCs w:val="16"/>
        </w:rPr>
        <w:t>. Celkové tržby zde letos vzrostly poprvé po bezmála tříletém období útlumu.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32986" w14:textId="3C11EE3B" w:rsidR="004C456F" w:rsidRPr="00C27E4F" w:rsidRDefault="004C456F" w:rsidP="00C27E4F">
    <w:pPr>
      <w:pStyle w:val="Zhlav"/>
    </w:pPr>
    <w:r>
      <w:t>Vývoj ekonomiky České republiky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32987" w14:textId="4F78F164" w:rsidR="004C456F" w:rsidRPr="006F5416" w:rsidRDefault="004C456F" w:rsidP="00937AE2">
    <w:pPr>
      <w:pStyle w:val="Zhlav"/>
    </w:pPr>
    <w:r>
      <w:t>Vývoj ekonomiky České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C5946"/>
    <w:multiLevelType w:val="hybridMultilevel"/>
    <w:tmpl w:val="4C1C2D78"/>
    <w:lvl w:ilvl="0" w:tplc="B01A5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95764B"/>
    <w:multiLevelType w:val="hybridMultilevel"/>
    <w:tmpl w:val="84788BC8"/>
    <w:lvl w:ilvl="0" w:tplc="1B96A2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D55121"/>
    <w:multiLevelType w:val="hybridMultilevel"/>
    <w:tmpl w:val="338E27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361065"/>
    <w:multiLevelType w:val="hybridMultilevel"/>
    <w:tmpl w:val="991072C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145AAD"/>
    <w:multiLevelType w:val="hybridMultilevel"/>
    <w:tmpl w:val="963044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B35353"/>
    <w:multiLevelType w:val="multilevel"/>
    <w:tmpl w:val="1C0E9EAE"/>
    <w:name w:val="Analyza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E462C8E"/>
    <w:multiLevelType w:val="hybridMultilevel"/>
    <w:tmpl w:val="84B464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C64F20"/>
    <w:multiLevelType w:val="hybridMultilevel"/>
    <w:tmpl w:val="ADE25A6C"/>
    <w:lvl w:ilvl="0" w:tplc="04050001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352333"/>
    <w:multiLevelType w:val="multilevel"/>
    <w:tmpl w:val="D0ACFA4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28DA62F8"/>
    <w:multiLevelType w:val="hybridMultilevel"/>
    <w:tmpl w:val="419C8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5A7A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C2420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D106E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11355C0"/>
    <w:multiLevelType w:val="multilevel"/>
    <w:tmpl w:val="697E8B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9914012"/>
    <w:multiLevelType w:val="multilevel"/>
    <w:tmpl w:val="F380FB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7C1667"/>
    <w:multiLevelType w:val="hybridMultilevel"/>
    <w:tmpl w:val="735E7570"/>
    <w:lvl w:ilvl="0" w:tplc="5588AF8E">
      <w:start w:val="1"/>
      <w:numFmt w:val="decimal"/>
      <w:lvlText w:val="%1."/>
      <w:lvlJc w:val="left"/>
      <w:pPr>
        <w:ind w:left="4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520" w:hanging="360"/>
      </w:pPr>
    </w:lvl>
    <w:lvl w:ilvl="2" w:tplc="0405001B" w:tentative="1">
      <w:start w:val="1"/>
      <w:numFmt w:val="lowerRoman"/>
      <w:lvlText w:val="%3."/>
      <w:lvlJc w:val="right"/>
      <w:pPr>
        <w:ind w:left="6240" w:hanging="180"/>
      </w:pPr>
    </w:lvl>
    <w:lvl w:ilvl="3" w:tplc="0405000F" w:tentative="1">
      <w:start w:val="1"/>
      <w:numFmt w:val="decimal"/>
      <w:lvlText w:val="%4."/>
      <w:lvlJc w:val="left"/>
      <w:pPr>
        <w:ind w:left="6960" w:hanging="360"/>
      </w:pPr>
    </w:lvl>
    <w:lvl w:ilvl="4" w:tplc="04050019" w:tentative="1">
      <w:start w:val="1"/>
      <w:numFmt w:val="lowerLetter"/>
      <w:lvlText w:val="%5."/>
      <w:lvlJc w:val="left"/>
      <w:pPr>
        <w:ind w:left="7680" w:hanging="360"/>
      </w:pPr>
    </w:lvl>
    <w:lvl w:ilvl="5" w:tplc="0405001B" w:tentative="1">
      <w:start w:val="1"/>
      <w:numFmt w:val="lowerRoman"/>
      <w:lvlText w:val="%6."/>
      <w:lvlJc w:val="right"/>
      <w:pPr>
        <w:ind w:left="8400" w:hanging="180"/>
      </w:pPr>
    </w:lvl>
    <w:lvl w:ilvl="6" w:tplc="0405000F" w:tentative="1">
      <w:start w:val="1"/>
      <w:numFmt w:val="decimal"/>
      <w:lvlText w:val="%7."/>
      <w:lvlJc w:val="left"/>
      <w:pPr>
        <w:ind w:left="9120" w:hanging="360"/>
      </w:pPr>
    </w:lvl>
    <w:lvl w:ilvl="7" w:tplc="04050019" w:tentative="1">
      <w:start w:val="1"/>
      <w:numFmt w:val="lowerLetter"/>
      <w:lvlText w:val="%8."/>
      <w:lvlJc w:val="left"/>
      <w:pPr>
        <w:ind w:left="9840" w:hanging="360"/>
      </w:pPr>
    </w:lvl>
    <w:lvl w:ilvl="8" w:tplc="0405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27" w15:restartNumberingAfterBreak="0">
    <w:nsid w:val="3D4D0562"/>
    <w:multiLevelType w:val="hybridMultilevel"/>
    <w:tmpl w:val="E8A8F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BB1D16"/>
    <w:multiLevelType w:val="hybridMultilevel"/>
    <w:tmpl w:val="CA4409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4558D6"/>
    <w:multiLevelType w:val="hybridMultilevel"/>
    <w:tmpl w:val="1B90B8E0"/>
    <w:lvl w:ilvl="0" w:tplc="4B66ED1E">
      <w:start w:val="1"/>
      <w:numFmt w:val="decimal"/>
      <w:lvlText w:val="%1."/>
      <w:lvlJc w:val="left"/>
      <w:pPr>
        <w:ind w:left="4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25" w:hanging="360"/>
      </w:pPr>
    </w:lvl>
    <w:lvl w:ilvl="2" w:tplc="0405001B" w:tentative="1">
      <w:start w:val="1"/>
      <w:numFmt w:val="lowerRoman"/>
      <w:lvlText w:val="%3."/>
      <w:lvlJc w:val="right"/>
      <w:pPr>
        <w:ind w:left="6345" w:hanging="180"/>
      </w:pPr>
    </w:lvl>
    <w:lvl w:ilvl="3" w:tplc="0405000F" w:tentative="1">
      <w:start w:val="1"/>
      <w:numFmt w:val="decimal"/>
      <w:lvlText w:val="%4."/>
      <w:lvlJc w:val="left"/>
      <w:pPr>
        <w:ind w:left="7065" w:hanging="360"/>
      </w:pPr>
    </w:lvl>
    <w:lvl w:ilvl="4" w:tplc="04050019" w:tentative="1">
      <w:start w:val="1"/>
      <w:numFmt w:val="lowerLetter"/>
      <w:lvlText w:val="%5."/>
      <w:lvlJc w:val="left"/>
      <w:pPr>
        <w:ind w:left="7785" w:hanging="360"/>
      </w:pPr>
    </w:lvl>
    <w:lvl w:ilvl="5" w:tplc="0405001B" w:tentative="1">
      <w:start w:val="1"/>
      <w:numFmt w:val="lowerRoman"/>
      <w:lvlText w:val="%6."/>
      <w:lvlJc w:val="right"/>
      <w:pPr>
        <w:ind w:left="8505" w:hanging="180"/>
      </w:pPr>
    </w:lvl>
    <w:lvl w:ilvl="6" w:tplc="0405000F" w:tentative="1">
      <w:start w:val="1"/>
      <w:numFmt w:val="decimal"/>
      <w:lvlText w:val="%7."/>
      <w:lvlJc w:val="left"/>
      <w:pPr>
        <w:ind w:left="9225" w:hanging="360"/>
      </w:pPr>
    </w:lvl>
    <w:lvl w:ilvl="7" w:tplc="04050019" w:tentative="1">
      <w:start w:val="1"/>
      <w:numFmt w:val="lowerLetter"/>
      <w:lvlText w:val="%8."/>
      <w:lvlJc w:val="left"/>
      <w:pPr>
        <w:ind w:left="9945" w:hanging="360"/>
      </w:pPr>
    </w:lvl>
    <w:lvl w:ilvl="8" w:tplc="0405001B" w:tentative="1">
      <w:start w:val="1"/>
      <w:numFmt w:val="lowerRoman"/>
      <w:lvlText w:val="%9."/>
      <w:lvlJc w:val="right"/>
      <w:pPr>
        <w:ind w:left="10665" w:hanging="180"/>
      </w:pPr>
    </w:lvl>
  </w:abstractNum>
  <w:abstractNum w:abstractNumId="30" w15:restartNumberingAfterBreak="0">
    <w:nsid w:val="479678F7"/>
    <w:multiLevelType w:val="hybridMultilevel"/>
    <w:tmpl w:val="A4DE7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5051A8"/>
    <w:multiLevelType w:val="hybridMultilevel"/>
    <w:tmpl w:val="DEACE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DA4287"/>
    <w:multiLevelType w:val="multilevel"/>
    <w:tmpl w:val="1C0E9EAE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490F3B"/>
    <w:multiLevelType w:val="hybridMultilevel"/>
    <w:tmpl w:val="D64CB604"/>
    <w:lvl w:ilvl="0" w:tplc="67AC8A1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655F88"/>
    <w:multiLevelType w:val="hybridMultilevel"/>
    <w:tmpl w:val="70283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8567A6"/>
    <w:multiLevelType w:val="hybridMultilevel"/>
    <w:tmpl w:val="50E0F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CB210F"/>
    <w:multiLevelType w:val="multilevel"/>
    <w:tmpl w:val="D64CB604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D405E1"/>
    <w:multiLevelType w:val="multilevel"/>
    <w:tmpl w:val="5FCA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EF3AA7"/>
    <w:multiLevelType w:val="multilevel"/>
    <w:tmpl w:val="9092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B048D2"/>
    <w:multiLevelType w:val="hybridMultilevel"/>
    <w:tmpl w:val="D2A0FC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7747AF"/>
    <w:multiLevelType w:val="hybridMultilevel"/>
    <w:tmpl w:val="76204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651B2D"/>
    <w:multiLevelType w:val="hybridMultilevel"/>
    <w:tmpl w:val="858498FC"/>
    <w:lvl w:ilvl="0" w:tplc="B4A838D0">
      <w:start w:val="1"/>
      <w:numFmt w:val="bullet"/>
      <w:pStyle w:val="Normalodrka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A7946"/>
    <w:multiLevelType w:val="multilevel"/>
    <w:tmpl w:val="6F3E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8E301A"/>
    <w:multiLevelType w:val="hybridMultilevel"/>
    <w:tmpl w:val="1A92D7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8"/>
  </w:num>
  <w:num w:numId="13">
    <w:abstractNumId w:val="34"/>
  </w:num>
  <w:num w:numId="14">
    <w:abstractNumId w:val="15"/>
  </w:num>
  <w:num w:numId="15">
    <w:abstractNumId w:val="24"/>
  </w:num>
  <w:num w:numId="16">
    <w:abstractNumId w:val="19"/>
  </w:num>
  <w:num w:numId="17">
    <w:abstractNumId w:val="35"/>
  </w:num>
  <w:num w:numId="18">
    <w:abstractNumId w:val="25"/>
  </w:num>
  <w:num w:numId="19">
    <w:abstractNumId w:val="38"/>
  </w:num>
  <w:num w:numId="20">
    <w:abstractNumId w:val="43"/>
  </w:num>
  <w:num w:numId="21">
    <w:abstractNumId w:val="33"/>
  </w:num>
  <w:num w:numId="22">
    <w:abstractNumId w:val="23"/>
  </w:num>
  <w:num w:numId="23">
    <w:abstractNumId w:val="21"/>
  </w:num>
  <w:num w:numId="24">
    <w:abstractNumId w:val="22"/>
  </w:num>
  <w:num w:numId="25">
    <w:abstractNumId w:val="41"/>
  </w:num>
  <w:num w:numId="26">
    <w:abstractNumId w:val="42"/>
  </w:num>
  <w:num w:numId="27">
    <w:abstractNumId w:val="43"/>
  </w:num>
  <w:num w:numId="28">
    <w:abstractNumId w:val="13"/>
  </w:num>
  <w:num w:numId="29">
    <w:abstractNumId w:val="27"/>
  </w:num>
  <w:num w:numId="30">
    <w:abstractNumId w:val="26"/>
  </w:num>
  <w:num w:numId="31">
    <w:abstractNumId w:val="10"/>
  </w:num>
  <w:num w:numId="32">
    <w:abstractNumId w:val="28"/>
  </w:num>
  <w:num w:numId="33">
    <w:abstractNumId w:val="12"/>
  </w:num>
  <w:num w:numId="34">
    <w:abstractNumId w:val="45"/>
  </w:num>
  <w:num w:numId="35">
    <w:abstractNumId w:val="11"/>
  </w:num>
  <w:num w:numId="36">
    <w:abstractNumId w:val="37"/>
  </w:num>
  <w:num w:numId="37">
    <w:abstractNumId w:val="30"/>
  </w:num>
  <w:num w:numId="38">
    <w:abstractNumId w:val="29"/>
  </w:num>
  <w:num w:numId="39">
    <w:abstractNumId w:val="39"/>
  </w:num>
  <w:num w:numId="40">
    <w:abstractNumId w:val="44"/>
  </w:num>
  <w:num w:numId="41">
    <w:abstractNumId w:val="40"/>
  </w:num>
  <w:num w:numId="42">
    <w:abstractNumId w:val="32"/>
  </w:num>
  <w:num w:numId="43">
    <w:abstractNumId w:val="20"/>
  </w:num>
  <w:num w:numId="44">
    <w:abstractNumId w:val="14"/>
  </w:num>
  <w:num w:numId="45">
    <w:abstractNumId w:val="36"/>
  </w:num>
  <w:num w:numId="46">
    <w:abstractNumId w:val="16"/>
  </w:num>
  <w:num w:numId="47">
    <w:abstractNumId w:val="43"/>
  </w:num>
  <w:num w:numId="48">
    <w:abstractNumId w:val="43"/>
    <w:lvlOverride w:ilvl="0">
      <w:startOverride w:val="1"/>
    </w:lvlOverride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062"/>
    <w:rsid w:val="0000209D"/>
    <w:rsid w:val="00004D5A"/>
    <w:rsid w:val="000056D5"/>
    <w:rsid w:val="00006ABD"/>
    <w:rsid w:val="0000767A"/>
    <w:rsid w:val="00010256"/>
    <w:rsid w:val="00010702"/>
    <w:rsid w:val="00011912"/>
    <w:rsid w:val="0002195D"/>
    <w:rsid w:val="000234D6"/>
    <w:rsid w:val="00023D29"/>
    <w:rsid w:val="00026389"/>
    <w:rsid w:val="00031AE0"/>
    <w:rsid w:val="000322EF"/>
    <w:rsid w:val="00033FCD"/>
    <w:rsid w:val="00040D10"/>
    <w:rsid w:val="00041CEC"/>
    <w:rsid w:val="0004694F"/>
    <w:rsid w:val="000522E4"/>
    <w:rsid w:val="000610E1"/>
    <w:rsid w:val="00062EC5"/>
    <w:rsid w:val="00062F22"/>
    <w:rsid w:val="000712B3"/>
    <w:rsid w:val="0008263E"/>
    <w:rsid w:val="00082C19"/>
    <w:rsid w:val="00085395"/>
    <w:rsid w:val="00087634"/>
    <w:rsid w:val="00087F2B"/>
    <w:rsid w:val="000912CC"/>
    <w:rsid w:val="00092201"/>
    <w:rsid w:val="00095135"/>
    <w:rsid w:val="000974D1"/>
    <w:rsid w:val="0009799E"/>
    <w:rsid w:val="000A1183"/>
    <w:rsid w:val="000A256D"/>
    <w:rsid w:val="000A3A2C"/>
    <w:rsid w:val="000A5265"/>
    <w:rsid w:val="000A57D4"/>
    <w:rsid w:val="000B7C8D"/>
    <w:rsid w:val="000C004E"/>
    <w:rsid w:val="000C3408"/>
    <w:rsid w:val="000C6AFD"/>
    <w:rsid w:val="000D1B52"/>
    <w:rsid w:val="000D5637"/>
    <w:rsid w:val="000E6FBD"/>
    <w:rsid w:val="00100F5C"/>
    <w:rsid w:val="00101CDA"/>
    <w:rsid w:val="00102C41"/>
    <w:rsid w:val="00104C4C"/>
    <w:rsid w:val="00107F50"/>
    <w:rsid w:val="00117623"/>
    <w:rsid w:val="0012096D"/>
    <w:rsid w:val="0012192F"/>
    <w:rsid w:val="001224E5"/>
    <w:rsid w:val="00124940"/>
    <w:rsid w:val="00125D69"/>
    <w:rsid w:val="001405FA"/>
    <w:rsid w:val="00142254"/>
    <w:rsid w:val="001425C3"/>
    <w:rsid w:val="001476BD"/>
    <w:rsid w:val="001612F4"/>
    <w:rsid w:val="0016256B"/>
    <w:rsid w:val="00163793"/>
    <w:rsid w:val="001706D6"/>
    <w:rsid w:val="001714F2"/>
    <w:rsid w:val="00175B9F"/>
    <w:rsid w:val="00181BBC"/>
    <w:rsid w:val="00184B08"/>
    <w:rsid w:val="00185010"/>
    <w:rsid w:val="0019143B"/>
    <w:rsid w:val="001A0487"/>
    <w:rsid w:val="001A552F"/>
    <w:rsid w:val="001A7280"/>
    <w:rsid w:val="001B2CA9"/>
    <w:rsid w:val="001B3110"/>
    <w:rsid w:val="001B4729"/>
    <w:rsid w:val="001B6310"/>
    <w:rsid w:val="001B6C09"/>
    <w:rsid w:val="001B73E6"/>
    <w:rsid w:val="001C05CD"/>
    <w:rsid w:val="001C3924"/>
    <w:rsid w:val="001D40D7"/>
    <w:rsid w:val="001D48D4"/>
    <w:rsid w:val="001D68B2"/>
    <w:rsid w:val="001E1C2E"/>
    <w:rsid w:val="001E504C"/>
    <w:rsid w:val="001E6062"/>
    <w:rsid w:val="001E6753"/>
    <w:rsid w:val="001F4597"/>
    <w:rsid w:val="00203DA4"/>
    <w:rsid w:val="002118B9"/>
    <w:rsid w:val="00213E46"/>
    <w:rsid w:val="00214CF7"/>
    <w:rsid w:val="00216286"/>
    <w:rsid w:val="00217C5B"/>
    <w:rsid w:val="0022139E"/>
    <w:rsid w:val="00222729"/>
    <w:rsid w:val="002252E0"/>
    <w:rsid w:val="002255F6"/>
    <w:rsid w:val="00227850"/>
    <w:rsid w:val="00227A53"/>
    <w:rsid w:val="00230C6E"/>
    <w:rsid w:val="00233CD7"/>
    <w:rsid w:val="00236443"/>
    <w:rsid w:val="00241B06"/>
    <w:rsid w:val="00242C10"/>
    <w:rsid w:val="002436BA"/>
    <w:rsid w:val="00244A15"/>
    <w:rsid w:val="0024661A"/>
    <w:rsid w:val="00247319"/>
    <w:rsid w:val="0024799E"/>
    <w:rsid w:val="00247EE7"/>
    <w:rsid w:val="00253C0F"/>
    <w:rsid w:val="002558C1"/>
    <w:rsid w:val="00261A17"/>
    <w:rsid w:val="00271465"/>
    <w:rsid w:val="00275385"/>
    <w:rsid w:val="0028207A"/>
    <w:rsid w:val="00285412"/>
    <w:rsid w:val="00291407"/>
    <w:rsid w:val="00291640"/>
    <w:rsid w:val="00295A5D"/>
    <w:rsid w:val="002A1407"/>
    <w:rsid w:val="002A16D4"/>
    <w:rsid w:val="002A230C"/>
    <w:rsid w:val="002A66B0"/>
    <w:rsid w:val="002B2299"/>
    <w:rsid w:val="002B4845"/>
    <w:rsid w:val="002B48B4"/>
    <w:rsid w:val="002C2FE9"/>
    <w:rsid w:val="002C43BD"/>
    <w:rsid w:val="002C5568"/>
    <w:rsid w:val="002D0E59"/>
    <w:rsid w:val="002E02A1"/>
    <w:rsid w:val="002E42AC"/>
    <w:rsid w:val="002E4E4C"/>
    <w:rsid w:val="002F3E4F"/>
    <w:rsid w:val="00302ADD"/>
    <w:rsid w:val="00304771"/>
    <w:rsid w:val="0030495D"/>
    <w:rsid w:val="003052D4"/>
    <w:rsid w:val="00306C5B"/>
    <w:rsid w:val="003103E0"/>
    <w:rsid w:val="00314F9F"/>
    <w:rsid w:val="003209D6"/>
    <w:rsid w:val="00321924"/>
    <w:rsid w:val="0032656E"/>
    <w:rsid w:val="00332190"/>
    <w:rsid w:val="00343182"/>
    <w:rsid w:val="0034335E"/>
    <w:rsid w:val="00344668"/>
    <w:rsid w:val="003462D9"/>
    <w:rsid w:val="00360C86"/>
    <w:rsid w:val="00360FBC"/>
    <w:rsid w:val="00362E90"/>
    <w:rsid w:val="00364FA0"/>
    <w:rsid w:val="003657F3"/>
    <w:rsid w:val="00366591"/>
    <w:rsid w:val="00373504"/>
    <w:rsid w:val="0038123E"/>
    <w:rsid w:val="003818DC"/>
    <w:rsid w:val="00384327"/>
    <w:rsid w:val="00385D98"/>
    <w:rsid w:val="003A2B4D"/>
    <w:rsid w:val="003A2B5E"/>
    <w:rsid w:val="003A2D12"/>
    <w:rsid w:val="003A478C"/>
    <w:rsid w:val="003A5525"/>
    <w:rsid w:val="003A6B38"/>
    <w:rsid w:val="003B461F"/>
    <w:rsid w:val="003B5A32"/>
    <w:rsid w:val="003B7AFA"/>
    <w:rsid w:val="003C3490"/>
    <w:rsid w:val="003C6550"/>
    <w:rsid w:val="003C7E62"/>
    <w:rsid w:val="003D6920"/>
    <w:rsid w:val="003E3F1E"/>
    <w:rsid w:val="003E48F2"/>
    <w:rsid w:val="003E4C91"/>
    <w:rsid w:val="003E62A5"/>
    <w:rsid w:val="003F313C"/>
    <w:rsid w:val="003F37FC"/>
    <w:rsid w:val="003F4B2C"/>
    <w:rsid w:val="003F551C"/>
    <w:rsid w:val="003F62B0"/>
    <w:rsid w:val="003F72ED"/>
    <w:rsid w:val="003F7D23"/>
    <w:rsid w:val="00400DF4"/>
    <w:rsid w:val="0040550D"/>
    <w:rsid w:val="004069FF"/>
    <w:rsid w:val="00407C13"/>
    <w:rsid w:val="0041041D"/>
    <w:rsid w:val="00410638"/>
    <w:rsid w:val="0041501E"/>
    <w:rsid w:val="004159C3"/>
    <w:rsid w:val="00416EB7"/>
    <w:rsid w:val="00432A58"/>
    <w:rsid w:val="00434617"/>
    <w:rsid w:val="00440900"/>
    <w:rsid w:val="00441BF6"/>
    <w:rsid w:val="00443556"/>
    <w:rsid w:val="004441A0"/>
    <w:rsid w:val="004455BA"/>
    <w:rsid w:val="0045078A"/>
    <w:rsid w:val="0045086D"/>
    <w:rsid w:val="00451504"/>
    <w:rsid w:val="004557A9"/>
    <w:rsid w:val="00456339"/>
    <w:rsid w:val="004607BF"/>
    <w:rsid w:val="00460FB3"/>
    <w:rsid w:val="0046627E"/>
    <w:rsid w:val="00476240"/>
    <w:rsid w:val="00476439"/>
    <w:rsid w:val="0047735C"/>
    <w:rsid w:val="004776BC"/>
    <w:rsid w:val="0048139F"/>
    <w:rsid w:val="00481E40"/>
    <w:rsid w:val="00484ECE"/>
    <w:rsid w:val="00485567"/>
    <w:rsid w:val="004915CB"/>
    <w:rsid w:val="004924DC"/>
    <w:rsid w:val="004A14E4"/>
    <w:rsid w:val="004A3212"/>
    <w:rsid w:val="004A5494"/>
    <w:rsid w:val="004A61C5"/>
    <w:rsid w:val="004A77DF"/>
    <w:rsid w:val="004B1417"/>
    <w:rsid w:val="004B55B7"/>
    <w:rsid w:val="004B5A60"/>
    <w:rsid w:val="004B6468"/>
    <w:rsid w:val="004B7125"/>
    <w:rsid w:val="004C384C"/>
    <w:rsid w:val="004C3867"/>
    <w:rsid w:val="004C456F"/>
    <w:rsid w:val="004C4CD0"/>
    <w:rsid w:val="004C5B81"/>
    <w:rsid w:val="004C6092"/>
    <w:rsid w:val="004C70DC"/>
    <w:rsid w:val="004D0211"/>
    <w:rsid w:val="004D0794"/>
    <w:rsid w:val="004D5C93"/>
    <w:rsid w:val="004E1288"/>
    <w:rsid w:val="004E7C6B"/>
    <w:rsid w:val="004F06F5"/>
    <w:rsid w:val="004F2C1B"/>
    <w:rsid w:val="004F33A0"/>
    <w:rsid w:val="005040A8"/>
    <w:rsid w:val="0050689D"/>
    <w:rsid w:val="005108C0"/>
    <w:rsid w:val="00511873"/>
    <w:rsid w:val="00512A2F"/>
    <w:rsid w:val="00513B7E"/>
    <w:rsid w:val="00515C74"/>
    <w:rsid w:val="0051713B"/>
    <w:rsid w:val="0052007E"/>
    <w:rsid w:val="0052337A"/>
    <w:rsid w:val="00525137"/>
    <w:rsid w:val="005251DD"/>
    <w:rsid w:val="00532CE7"/>
    <w:rsid w:val="00532E62"/>
    <w:rsid w:val="0053324C"/>
    <w:rsid w:val="00534A28"/>
    <w:rsid w:val="00541508"/>
    <w:rsid w:val="00543498"/>
    <w:rsid w:val="00545512"/>
    <w:rsid w:val="00553016"/>
    <w:rsid w:val="0055599F"/>
    <w:rsid w:val="00556995"/>
    <w:rsid w:val="00556D68"/>
    <w:rsid w:val="00563EB8"/>
    <w:rsid w:val="005647BF"/>
    <w:rsid w:val="00564AF1"/>
    <w:rsid w:val="0057364B"/>
    <w:rsid w:val="00574773"/>
    <w:rsid w:val="0058308D"/>
    <w:rsid w:val="00583FFD"/>
    <w:rsid w:val="00591099"/>
    <w:rsid w:val="005911BE"/>
    <w:rsid w:val="00593152"/>
    <w:rsid w:val="005A10F2"/>
    <w:rsid w:val="005A21E0"/>
    <w:rsid w:val="005A28FF"/>
    <w:rsid w:val="005A3DF8"/>
    <w:rsid w:val="005A5113"/>
    <w:rsid w:val="005A5549"/>
    <w:rsid w:val="005A7038"/>
    <w:rsid w:val="005B121D"/>
    <w:rsid w:val="005C06ED"/>
    <w:rsid w:val="005C2609"/>
    <w:rsid w:val="005C6CF0"/>
    <w:rsid w:val="005D5802"/>
    <w:rsid w:val="005D7119"/>
    <w:rsid w:val="005D7890"/>
    <w:rsid w:val="005E705E"/>
    <w:rsid w:val="005E7C78"/>
    <w:rsid w:val="005F18C5"/>
    <w:rsid w:val="005F3EB1"/>
    <w:rsid w:val="005F46D8"/>
    <w:rsid w:val="005F5469"/>
    <w:rsid w:val="00603FF5"/>
    <w:rsid w:val="00604307"/>
    <w:rsid w:val="0060487F"/>
    <w:rsid w:val="00604EAD"/>
    <w:rsid w:val="006104FB"/>
    <w:rsid w:val="00612A2F"/>
    <w:rsid w:val="006165E5"/>
    <w:rsid w:val="00616E05"/>
    <w:rsid w:val="00622275"/>
    <w:rsid w:val="00624093"/>
    <w:rsid w:val="00625F8F"/>
    <w:rsid w:val="006350D5"/>
    <w:rsid w:val="006404A7"/>
    <w:rsid w:val="006451E4"/>
    <w:rsid w:val="00645B33"/>
    <w:rsid w:val="006516CB"/>
    <w:rsid w:val="00656FC8"/>
    <w:rsid w:val="00657E87"/>
    <w:rsid w:val="00664803"/>
    <w:rsid w:val="0066504F"/>
    <w:rsid w:val="00665BA4"/>
    <w:rsid w:val="00667AF2"/>
    <w:rsid w:val="006710C9"/>
    <w:rsid w:val="006712EC"/>
    <w:rsid w:val="006741AC"/>
    <w:rsid w:val="00674D89"/>
    <w:rsid w:val="00675E37"/>
    <w:rsid w:val="0068174E"/>
    <w:rsid w:val="00681DCE"/>
    <w:rsid w:val="0068260E"/>
    <w:rsid w:val="00693FEC"/>
    <w:rsid w:val="00695BEF"/>
    <w:rsid w:val="006977F6"/>
    <w:rsid w:val="00697A13"/>
    <w:rsid w:val="006A109C"/>
    <w:rsid w:val="006A2056"/>
    <w:rsid w:val="006B0F92"/>
    <w:rsid w:val="006B173A"/>
    <w:rsid w:val="006B344A"/>
    <w:rsid w:val="006B759B"/>
    <w:rsid w:val="006B78D8"/>
    <w:rsid w:val="006C113F"/>
    <w:rsid w:val="006C123E"/>
    <w:rsid w:val="006C1752"/>
    <w:rsid w:val="006C4460"/>
    <w:rsid w:val="006C56D4"/>
    <w:rsid w:val="006C6924"/>
    <w:rsid w:val="006C7CA6"/>
    <w:rsid w:val="006D3E8A"/>
    <w:rsid w:val="006D61F6"/>
    <w:rsid w:val="006E279A"/>
    <w:rsid w:val="006E313B"/>
    <w:rsid w:val="006E4254"/>
    <w:rsid w:val="006E7227"/>
    <w:rsid w:val="006F438E"/>
    <w:rsid w:val="006F5416"/>
    <w:rsid w:val="006F7076"/>
    <w:rsid w:val="00705242"/>
    <w:rsid w:val="00706AD4"/>
    <w:rsid w:val="00707150"/>
    <w:rsid w:val="007140BE"/>
    <w:rsid w:val="007143B4"/>
    <w:rsid w:val="007211F5"/>
    <w:rsid w:val="00723946"/>
    <w:rsid w:val="007240E2"/>
    <w:rsid w:val="00725BB5"/>
    <w:rsid w:val="00730517"/>
    <w:rsid w:val="00730AE8"/>
    <w:rsid w:val="00730F1B"/>
    <w:rsid w:val="007342AC"/>
    <w:rsid w:val="00741493"/>
    <w:rsid w:val="00752180"/>
    <w:rsid w:val="00753CAB"/>
    <w:rsid w:val="00755202"/>
    <w:rsid w:val="00755D3A"/>
    <w:rsid w:val="007578D3"/>
    <w:rsid w:val="007609C6"/>
    <w:rsid w:val="00760EA4"/>
    <w:rsid w:val="0076175D"/>
    <w:rsid w:val="00763B85"/>
    <w:rsid w:val="00764744"/>
    <w:rsid w:val="0076521E"/>
    <w:rsid w:val="007661E9"/>
    <w:rsid w:val="00773220"/>
    <w:rsid w:val="00776169"/>
    <w:rsid w:val="00776527"/>
    <w:rsid w:val="00776EAB"/>
    <w:rsid w:val="00780EF1"/>
    <w:rsid w:val="00782AD8"/>
    <w:rsid w:val="00790711"/>
    <w:rsid w:val="00790764"/>
    <w:rsid w:val="0079124F"/>
    <w:rsid w:val="0079453C"/>
    <w:rsid w:val="00794677"/>
    <w:rsid w:val="00797445"/>
    <w:rsid w:val="007A3861"/>
    <w:rsid w:val="007A516D"/>
    <w:rsid w:val="007B6689"/>
    <w:rsid w:val="007C6BBD"/>
    <w:rsid w:val="007D293C"/>
    <w:rsid w:val="007D40DF"/>
    <w:rsid w:val="007E29B4"/>
    <w:rsid w:val="007E435A"/>
    <w:rsid w:val="007E7E61"/>
    <w:rsid w:val="007E7FCE"/>
    <w:rsid w:val="007F0845"/>
    <w:rsid w:val="007F708D"/>
    <w:rsid w:val="00800216"/>
    <w:rsid w:val="00801E13"/>
    <w:rsid w:val="00807C82"/>
    <w:rsid w:val="00810C82"/>
    <w:rsid w:val="00814B15"/>
    <w:rsid w:val="00816905"/>
    <w:rsid w:val="00821777"/>
    <w:rsid w:val="00821FF6"/>
    <w:rsid w:val="00822574"/>
    <w:rsid w:val="00825C4D"/>
    <w:rsid w:val="008304D1"/>
    <w:rsid w:val="0083143E"/>
    <w:rsid w:val="00831CDE"/>
    <w:rsid w:val="00834304"/>
    <w:rsid w:val="00834FAA"/>
    <w:rsid w:val="0083516C"/>
    <w:rsid w:val="00836086"/>
    <w:rsid w:val="00846121"/>
    <w:rsid w:val="008462A8"/>
    <w:rsid w:val="0084708F"/>
    <w:rsid w:val="008477C8"/>
    <w:rsid w:val="00850815"/>
    <w:rsid w:val="0085114D"/>
    <w:rsid w:val="00852217"/>
    <w:rsid w:val="00855408"/>
    <w:rsid w:val="00855712"/>
    <w:rsid w:val="00856D65"/>
    <w:rsid w:val="00861B41"/>
    <w:rsid w:val="00861BE3"/>
    <w:rsid w:val="00863434"/>
    <w:rsid w:val="00865E4C"/>
    <w:rsid w:val="008701E4"/>
    <w:rsid w:val="00871069"/>
    <w:rsid w:val="00875A32"/>
    <w:rsid w:val="00876086"/>
    <w:rsid w:val="008825B0"/>
    <w:rsid w:val="00884AD6"/>
    <w:rsid w:val="008873D4"/>
    <w:rsid w:val="0089126C"/>
    <w:rsid w:val="0089296D"/>
    <w:rsid w:val="00893E85"/>
    <w:rsid w:val="00894031"/>
    <w:rsid w:val="00895508"/>
    <w:rsid w:val="008A6CB4"/>
    <w:rsid w:val="008B5CF6"/>
    <w:rsid w:val="008B7C02"/>
    <w:rsid w:val="008B7D2B"/>
    <w:rsid w:val="008C0049"/>
    <w:rsid w:val="008C0E88"/>
    <w:rsid w:val="008C53CB"/>
    <w:rsid w:val="008D1E6A"/>
    <w:rsid w:val="008D2A16"/>
    <w:rsid w:val="008D6B35"/>
    <w:rsid w:val="008E2C57"/>
    <w:rsid w:val="008E31FF"/>
    <w:rsid w:val="008E6F06"/>
    <w:rsid w:val="008E7FC9"/>
    <w:rsid w:val="008F029B"/>
    <w:rsid w:val="008F3FC9"/>
    <w:rsid w:val="008F585B"/>
    <w:rsid w:val="009003A8"/>
    <w:rsid w:val="00902500"/>
    <w:rsid w:val="00902EFF"/>
    <w:rsid w:val="00906401"/>
    <w:rsid w:val="0091155E"/>
    <w:rsid w:val="00912A92"/>
    <w:rsid w:val="0091728D"/>
    <w:rsid w:val="0092180B"/>
    <w:rsid w:val="00921F14"/>
    <w:rsid w:val="009231A3"/>
    <w:rsid w:val="00924AC8"/>
    <w:rsid w:val="0092597A"/>
    <w:rsid w:val="00925E75"/>
    <w:rsid w:val="00930FB1"/>
    <w:rsid w:val="0093139F"/>
    <w:rsid w:val="00932443"/>
    <w:rsid w:val="00937AE2"/>
    <w:rsid w:val="0094427A"/>
    <w:rsid w:val="00945245"/>
    <w:rsid w:val="00957309"/>
    <w:rsid w:val="0095759C"/>
    <w:rsid w:val="00967E76"/>
    <w:rsid w:val="009721DB"/>
    <w:rsid w:val="0097239B"/>
    <w:rsid w:val="00974923"/>
    <w:rsid w:val="009808F7"/>
    <w:rsid w:val="00980D3D"/>
    <w:rsid w:val="00981FFA"/>
    <w:rsid w:val="009855E1"/>
    <w:rsid w:val="00987A30"/>
    <w:rsid w:val="00992CF3"/>
    <w:rsid w:val="00994868"/>
    <w:rsid w:val="0099574A"/>
    <w:rsid w:val="009968D6"/>
    <w:rsid w:val="009A1CAB"/>
    <w:rsid w:val="009A60D1"/>
    <w:rsid w:val="009B6FD3"/>
    <w:rsid w:val="009C1750"/>
    <w:rsid w:val="009C2E29"/>
    <w:rsid w:val="009C554B"/>
    <w:rsid w:val="009C719E"/>
    <w:rsid w:val="009C7A10"/>
    <w:rsid w:val="009D1120"/>
    <w:rsid w:val="009D3ACD"/>
    <w:rsid w:val="009E5273"/>
    <w:rsid w:val="009E5DDB"/>
    <w:rsid w:val="009E7F05"/>
    <w:rsid w:val="009F46B7"/>
    <w:rsid w:val="009F4CA7"/>
    <w:rsid w:val="00A04CEF"/>
    <w:rsid w:val="00A10D66"/>
    <w:rsid w:val="00A14114"/>
    <w:rsid w:val="00A1537C"/>
    <w:rsid w:val="00A16413"/>
    <w:rsid w:val="00A16E1D"/>
    <w:rsid w:val="00A17D5B"/>
    <w:rsid w:val="00A17EB2"/>
    <w:rsid w:val="00A206E5"/>
    <w:rsid w:val="00A20CC0"/>
    <w:rsid w:val="00A23447"/>
    <w:rsid w:val="00A23E43"/>
    <w:rsid w:val="00A25216"/>
    <w:rsid w:val="00A30F65"/>
    <w:rsid w:val="00A33549"/>
    <w:rsid w:val="00A33A89"/>
    <w:rsid w:val="00A40EAC"/>
    <w:rsid w:val="00A40EDD"/>
    <w:rsid w:val="00A418BC"/>
    <w:rsid w:val="00A4206C"/>
    <w:rsid w:val="00A46DE0"/>
    <w:rsid w:val="00A472EB"/>
    <w:rsid w:val="00A47FCA"/>
    <w:rsid w:val="00A50D73"/>
    <w:rsid w:val="00A52CAD"/>
    <w:rsid w:val="00A53FC7"/>
    <w:rsid w:val="00A62CE1"/>
    <w:rsid w:val="00A668A3"/>
    <w:rsid w:val="00A6741E"/>
    <w:rsid w:val="00A754EA"/>
    <w:rsid w:val="00A75E40"/>
    <w:rsid w:val="00A77D1D"/>
    <w:rsid w:val="00A84A6A"/>
    <w:rsid w:val="00A857C0"/>
    <w:rsid w:val="00A90FED"/>
    <w:rsid w:val="00AA2996"/>
    <w:rsid w:val="00AA2A70"/>
    <w:rsid w:val="00AA52BF"/>
    <w:rsid w:val="00AA559A"/>
    <w:rsid w:val="00AB2AF1"/>
    <w:rsid w:val="00AB535B"/>
    <w:rsid w:val="00AC45BD"/>
    <w:rsid w:val="00AD168E"/>
    <w:rsid w:val="00AD306C"/>
    <w:rsid w:val="00AD4F16"/>
    <w:rsid w:val="00AD68C4"/>
    <w:rsid w:val="00AE09B3"/>
    <w:rsid w:val="00AE0ED3"/>
    <w:rsid w:val="00AE1A83"/>
    <w:rsid w:val="00AE31A7"/>
    <w:rsid w:val="00AF6128"/>
    <w:rsid w:val="00B00913"/>
    <w:rsid w:val="00B01593"/>
    <w:rsid w:val="00B023F2"/>
    <w:rsid w:val="00B04705"/>
    <w:rsid w:val="00B04E70"/>
    <w:rsid w:val="00B07BBB"/>
    <w:rsid w:val="00B10A4D"/>
    <w:rsid w:val="00B14BC1"/>
    <w:rsid w:val="00B17E71"/>
    <w:rsid w:val="00B17FDE"/>
    <w:rsid w:val="00B2379C"/>
    <w:rsid w:val="00B25189"/>
    <w:rsid w:val="00B2687D"/>
    <w:rsid w:val="00B26897"/>
    <w:rsid w:val="00B32DDB"/>
    <w:rsid w:val="00B34528"/>
    <w:rsid w:val="00B34CC9"/>
    <w:rsid w:val="00B402FC"/>
    <w:rsid w:val="00B439DA"/>
    <w:rsid w:val="00B46604"/>
    <w:rsid w:val="00B530CD"/>
    <w:rsid w:val="00B55F5E"/>
    <w:rsid w:val="00B5752E"/>
    <w:rsid w:val="00B63A11"/>
    <w:rsid w:val="00B63B6A"/>
    <w:rsid w:val="00B64C24"/>
    <w:rsid w:val="00B6608F"/>
    <w:rsid w:val="00B67768"/>
    <w:rsid w:val="00B679FB"/>
    <w:rsid w:val="00B71EF7"/>
    <w:rsid w:val="00B7665A"/>
    <w:rsid w:val="00B76D1E"/>
    <w:rsid w:val="00B8028A"/>
    <w:rsid w:val="00B80EC6"/>
    <w:rsid w:val="00B84CF6"/>
    <w:rsid w:val="00B92D1D"/>
    <w:rsid w:val="00B938C5"/>
    <w:rsid w:val="00B95940"/>
    <w:rsid w:val="00BA37EA"/>
    <w:rsid w:val="00BA6C2B"/>
    <w:rsid w:val="00BB46F3"/>
    <w:rsid w:val="00BB4CB1"/>
    <w:rsid w:val="00BB4F98"/>
    <w:rsid w:val="00BB73ED"/>
    <w:rsid w:val="00BC5C12"/>
    <w:rsid w:val="00BC7154"/>
    <w:rsid w:val="00BC731E"/>
    <w:rsid w:val="00BD366B"/>
    <w:rsid w:val="00BD6D50"/>
    <w:rsid w:val="00BE18B9"/>
    <w:rsid w:val="00BE2495"/>
    <w:rsid w:val="00BF1578"/>
    <w:rsid w:val="00BF3B1D"/>
    <w:rsid w:val="00BF723F"/>
    <w:rsid w:val="00C21F94"/>
    <w:rsid w:val="00C27913"/>
    <w:rsid w:val="00C27E4F"/>
    <w:rsid w:val="00C325AE"/>
    <w:rsid w:val="00C32964"/>
    <w:rsid w:val="00C33B68"/>
    <w:rsid w:val="00C36A79"/>
    <w:rsid w:val="00C401D2"/>
    <w:rsid w:val="00C405D4"/>
    <w:rsid w:val="00C4431F"/>
    <w:rsid w:val="00C4513B"/>
    <w:rsid w:val="00C5390B"/>
    <w:rsid w:val="00C53E5D"/>
    <w:rsid w:val="00C54697"/>
    <w:rsid w:val="00C65535"/>
    <w:rsid w:val="00C66B0D"/>
    <w:rsid w:val="00C71E85"/>
    <w:rsid w:val="00C72884"/>
    <w:rsid w:val="00C73885"/>
    <w:rsid w:val="00C747B1"/>
    <w:rsid w:val="00C82191"/>
    <w:rsid w:val="00C83134"/>
    <w:rsid w:val="00C85545"/>
    <w:rsid w:val="00C90CF4"/>
    <w:rsid w:val="00C92EB6"/>
    <w:rsid w:val="00C93389"/>
    <w:rsid w:val="00CA0914"/>
    <w:rsid w:val="00CA6AB4"/>
    <w:rsid w:val="00CA7BE7"/>
    <w:rsid w:val="00CB4930"/>
    <w:rsid w:val="00CC2E7D"/>
    <w:rsid w:val="00CD10A5"/>
    <w:rsid w:val="00CD2076"/>
    <w:rsid w:val="00CD29B5"/>
    <w:rsid w:val="00CD6331"/>
    <w:rsid w:val="00CD7AFB"/>
    <w:rsid w:val="00CE670B"/>
    <w:rsid w:val="00CF39C9"/>
    <w:rsid w:val="00CF4908"/>
    <w:rsid w:val="00CF51EC"/>
    <w:rsid w:val="00CF73AE"/>
    <w:rsid w:val="00D040DD"/>
    <w:rsid w:val="00D075BE"/>
    <w:rsid w:val="00D13986"/>
    <w:rsid w:val="00D21D83"/>
    <w:rsid w:val="00D235B7"/>
    <w:rsid w:val="00D23C02"/>
    <w:rsid w:val="00D25F28"/>
    <w:rsid w:val="00D26071"/>
    <w:rsid w:val="00D27973"/>
    <w:rsid w:val="00D35E1A"/>
    <w:rsid w:val="00D42211"/>
    <w:rsid w:val="00D50F46"/>
    <w:rsid w:val="00D567C6"/>
    <w:rsid w:val="00D57677"/>
    <w:rsid w:val="00D66223"/>
    <w:rsid w:val="00D71625"/>
    <w:rsid w:val="00D751DA"/>
    <w:rsid w:val="00D8084C"/>
    <w:rsid w:val="00D915EA"/>
    <w:rsid w:val="00D96855"/>
    <w:rsid w:val="00DA48C1"/>
    <w:rsid w:val="00DA7C0C"/>
    <w:rsid w:val="00DB08A9"/>
    <w:rsid w:val="00DB2EC8"/>
    <w:rsid w:val="00DB5FC0"/>
    <w:rsid w:val="00DB6566"/>
    <w:rsid w:val="00DC1E84"/>
    <w:rsid w:val="00DC48F1"/>
    <w:rsid w:val="00DC5B3B"/>
    <w:rsid w:val="00DD129F"/>
    <w:rsid w:val="00DD4EFE"/>
    <w:rsid w:val="00DE02BD"/>
    <w:rsid w:val="00DF42FF"/>
    <w:rsid w:val="00DF5908"/>
    <w:rsid w:val="00E01C0E"/>
    <w:rsid w:val="00E03F9A"/>
    <w:rsid w:val="00E0465E"/>
    <w:rsid w:val="00E04694"/>
    <w:rsid w:val="00E063CE"/>
    <w:rsid w:val="00E12B1E"/>
    <w:rsid w:val="00E17262"/>
    <w:rsid w:val="00E253A2"/>
    <w:rsid w:val="00E3309D"/>
    <w:rsid w:val="00E43C1C"/>
    <w:rsid w:val="00E45931"/>
    <w:rsid w:val="00E47EBA"/>
    <w:rsid w:val="00E50156"/>
    <w:rsid w:val="00E51643"/>
    <w:rsid w:val="00E53470"/>
    <w:rsid w:val="00E53874"/>
    <w:rsid w:val="00E539F6"/>
    <w:rsid w:val="00E54E39"/>
    <w:rsid w:val="00E6519D"/>
    <w:rsid w:val="00E67696"/>
    <w:rsid w:val="00E71A58"/>
    <w:rsid w:val="00E72A7A"/>
    <w:rsid w:val="00E75C94"/>
    <w:rsid w:val="00E920F4"/>
    <w:rsid w:val="00E93820"/>
    <w:rsid w:val="00E94A86"/>
    <w:rsid w:val="00E96143"/>
    <w:rsid w:val="00EA0987"/>
    <w:rsid w:val="00EA0C68"/>
    <w:rsid w:val="00EA32BC"/>
    <w:rsid w:val="00EA4302"/>
    <w:rsid w:val="00EB39C7"/>
    <w:rsid w:val="00EB3D8F"/>
    <w:rsid w:val="00EB4511"/>
    <w:rsid w:val="00EC03D7"/>
    <w:rsid w:val="00ED62C6"/>
    <w:rsid w:val="00ED64C1"/>
    <w:rsid w:val="00EE0E68"/>
    <w:rsid w:val="00EE3446"/>
    <w:rsid w:val="00EE3E78"/>
    <w:rsid w:val="00EE4B1B"/>
    <w:rsid w:val="00EE7F19"/>
    <w:rsid w:val="00EF150D"/>
    <w:rsid w:val="00EF1F5A"/>
    <w:rsid w:val="00EF47BF"/>
    <w:rsid w:val="00EF6DB3"/>
    <w:rsid w:val="00F04811"/>
    <w:rsid w:val="00F0488C"/>
    <w:rsid w:val="00F10F11"/>
    <w:rsid w:val="00F15AAA"/>
    <w:rsid w:val="00F15BEF"/>
    <w:rsid w:val="00F24407"/>
    <w:rsid w:val="00F24931"/>
    <w:rsid w:val="00F24FAA"/>
    <w:rsid w:val="00F25ED5"/>
    <w:rsid w:val="00F3364D"/>
    <w:rsid w:val="00F437CC"/>
    <w:rsid w:val="00F43E29"/>
    <w:rsid w:val="00F44537"/>
    <w:rsid w:val="00F44B6A"/>
    <w:rsid w:val="00F47067"/>
    <w:rsid w:val="00F50FC3"/>
    <w:rsid w:val="00F52106"/>
    <w:rsid w:val="00F525EB"/>
    <w:rsid w:val="00F63DDE"/>
    <w:rsid w:val="00F63FB7"/>
    <w:rsid w:val="00F6421B"/>
    <w:rsid w:val="00F649D2"/>
    <w:rsid w:val="00F6602B"/>
    <w:rsid w:val="00F66FD9"/>
    <w:rsid w:val="00F67C4E"/>
    <w:rsid w:val="00F73A0C"/>
    <w:rsid w:val="00F756DB"/>
    <w:rsid w:val="00F84E7D"/>
    <w:rsid w:val="00F85066"/>
    <w:rsid w:val="00F87A4D"/>
    <w:rsid w:val="00F9785E"/>
    <w:rsid w:val="00FA5D4D"/>
    <w:rsid w:val="00FA60AD"/>
    <w:rsid w:val="00FA7115"/>
    <w:rsid w:val="00FB0EE2"/>
    <w:rsid w:val="00FB4423"/>
    <w:rsid w:val="00FB542E"/>
    <w:rsid w:val="00FC0E5F"/>
    <w:rsid w:val="00FC1A95"/>
    <w:rsid w:val="00FC56DE"/>
    <w:rsid w:val="00FC684B"/>
    <w:rsid w:val="00FD3265"/>
    <w:rsid w:val="00FD5F92"/>
    <w:rsid w:val="00FD66F9"/>
    <w:rsid w:val="00FE2F78"/>
    <w:rsid w:val="00FF4082"/>
    <w:rsid w:val="00FF7090"/>
    <w:rsid w:val="00FF7B96"/>
    <w:rsid w:val="010E6CF6"/>
    <w:rsid w:val="0274CEEB"/>
    <w:rsid w:val="11D0C0D9"/>
    <w:rsid w:val="1C7F89FF"/>
    <w:rsid w:val="304DB734"/>
    <w:rsid w:val="30D0B3BE"/>
    <w:rsid w:val="52CC52E2"/>
    <w:rsid w:val="55C2456F"/>
    <w:rsid w:val="614CA75B"/>
    <w:rsid w:val="6B2670A5"/>
    <w:rsid w:val="6E1EAC99"/>
    <w:rsid w:val="7BDB84E4"/>
    <w:rsid w:val="7DB2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21432897"/>
  <w15:docId w15:val="{3A7C6927-7F52-4209-ABA9-A0ACA865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4FA0"/>
    <w:pPr>
      <w:spacing w:after="240" w:line="276" w:lineRule="auto"/>
      <w:jc w:val="both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EA0987"/>
    <w:pPr>
      <w:keepNext/>
      <w:keepLines/>
      <w:spacing w:after="100" w:line="276" w:lineRule="auto"/>
      <w:contextualSpacing/>
      <w:outlineLvl w:val="0"/>
    </w:pPr>
    <w:rPr>
      <w:rFonts w:ascii="Arial" w:eastAsia="MS Gothic" w:hAnsi="Arial"/>
      <w:b/>
      <w:bCs/>
      <w:color w:val="86BF5E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EA0987"/>
    <w:pPr>
      <w:keepNext/>
      <w:keepLines/>
      <w:spacing w:line="276" w:lineRule="auto"/>
      <w:outlineLvl w:val="1"/>
    </w:pPr>
    <w:rPr>
      <w:rFonts w:ascii="Arial" w:eastAsia="MS Gothic" w:hAnsi="Arial"/>
      <w:b/>
      <w:bCs/>
      <w:color w:val="86BF5E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EA0987"/>
    <w:pPr>
      <w:keepNext/>
      <w:keepLines/>
      <w:spacing w:line="276" w:lineRule="auto"/>
      <w:outlineLvl w:val="2"/>
    </w:pPr>
    <w:rPr>
      <w:rFonts w:ascii="Arial" w:eastAsia="MS Gothic" w:hAnsi="Arial"/>
      <w:b/>
      <w:bCs/>
      <w:color w:val="86BF5E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41041D"/>
    <w:pPr>
      <w:keepNext/>
      <w:keepLines/>
      <w:spacing w:line="276" w:lineRule="auto"/>
      <w:outlineLvl w:val="3"/>
    </w:pPr>
    <w:rPr>
      <w:rFonts w:ascii="Arial" w:eastAsia="MS Gothic" w:hAnsi="Arial"/>
      <w:b/>
      <w:bCs/>
      <w:iCs/>
      <w:color w:val="86BF5E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7A516D"/>
    <w:pPr>
      <w:keepNext/>
      <w:keepLines/>
      <w:numPr>
        <w:ilvl w:val="4"/>
        <w:numId w:val="1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516D"/>
    <w:pPr>
      <w:keepNext/>
      <w:keepLines/>
      <w:numPr>
        <w:ilvl w:val="5"/>
        <w:numId w:val="1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516D"/>
    <w:pPr>
      <w:keepNext/>
      <w:keepLines/>
      <w:numPr>
        <w:ilvl w:val="6"/>
        <w:numId w:val="1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516D"/>
    <w:pPr>
      <w:keepNext/>
      <w:keepLines/>
      <w:numPr>
        <w:ilvl w:val="7"/>
        <w:numId w:val="1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516D"/>
    <w:pPr>
      <w:numPr>
        <w:ilvl w:val="8"/>
        <w:numId w:val="14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qFormat/>
    <w:rsid w:val="00EA0987"/>
    <w:rPr>
      <w:rFonts w:ascii="Arial" w:eastAsia="MS Gothic" w:hAnsi="Arial"/>
      <w:b/>
      <w:bCs/>
      <w:color w:val="86BF5E"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EA0987"/>
    <w:rPr>
      <w:rFonts w:ascii="Arial" w:eastAsia="MS Gothic" w:hAnsi="Arial"/>
      <w:b/>
      <w:bCs/>
      <w:color w:val="86BF5E"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EA0987"/>
    <w:rPr>
      <w:rFonts w:ascii="Arial" w:eastAsia="MS Gothic" w:hAnsi="Arial"/>
      <w:b/>
      <w:bCs/>
      <w:color w:val="86BF5E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41041D"/>
    <w:rPr>
      <w:rFonts w:ascii="Arial" w:eastAsia="MS Gothic" w:hAnsi="Arial"/>
      <w:b/>
      <w:bCs/>
      <w:iCs/>
      <w:color w:val="86BF5E"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rsid w:val="007A516D"/>
    <w:rPr>
      <w:rFonts w:ascii="Cambria" w:eastAsia="Times New Roman" w:hAnsi="Cambria"/>
      <w:sz w:val="22"/>
      <w:szCs w:val="22"/>
      <w:lang w:eastAsia="cs-CZ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0A57D4"/>
    <w:pPr>
      <w:spacing w:after="80" w:line="288" w:lineRule="auto"/>
    </w:pPr>
    <w:rPr>
      <w:rFonts w:ascii="Arial" w:eastAsia="Times New Roman" w:hAnsi="Arial"/>
      <w:b/>
      <w:color w:val="86BF5E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A-Box1">
    <w:name w:val="A-Box 1"/>
    <w:next w:val="Normln"/>
    <w:qFormat/>
    <w:rsid w:val="00EA0987"/>
    <w:pPr>
      <w:shd w:val="clear" w:color="auto" w:fill="F0F6E9"/>
      <w:spacing w:before="240" w:after="240" w:line="276" w:lineRule="auto"/>
      <w:contextualSpacing/>
      <w:jc w:val="both"/>
    </w:pPr>
    <w:rPr>
      <w:rFonts w:ascii="Arial" w:hAnsi="Arial" w:cs="Arial"/>
      <w:lang w:eastAsia="cs-CZ"/>
    </w:rPr>
  </w:style>
  <w:style w:type="paragraph" w:customStyle="1" w:styleId="A-Box2">
    <w:name w:val="A-Box 2"/>
    <w:next w:val="Normln"/>
    <w:qFormat/>
    <w:rsid w:val="00EA0987"/>
    <w:pPr>
      <w:spacing w:before="240" w:after="240" w:line="276" w:lineRule="auto"/>
      <w:contextualSpacing/>
      <w:jc w:val="both"/>
    </w:pPr>
    <w:rPr>
      <w:rFonts w:ascii="Arial" w:hAnsi="Arial" w:cs="Arial"/>
      <w:color w:val="86BF5E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0A57D4"/>
    <w:pPr>
      <w:spacing w:after="40"/>
      <w:contextualSpacing/>
    </w:pPr>
    <w:rPr>
      <w:b/>
      <w:caps/>
      <w:sz w:val="24"/>
    </w:rPr>
  </w:style>
  <w:style w:type="paragraph" w:customStyle="1" w:styleId="TLKontakty">
    <w:name w:val="TL Kontakty"/>
    <w:qFormat/>
    <w:rsid w:val="000A57D4"/>
    <w:pPr>
      <w:spacing w:after="160" w:line="259" w:lineRule="auto"/>
      <w:contextualSpacing/>
    </w:pPr>
    <w:rPr>
      <w:rFonts w:ascii="Arial" w:eastAsia="Times New Roman" w:hAnsi="Arial"/>
      <w:b/>
      <w:color w:val="86BF5E"/>
      <w:lang w:eastAsia="cs-CZ"/>
    </w:rPr>
  </w:style>
  <w:style w:type="paragraph" w:styleId="Nzev">
    <w:name w:val="Title"/>
    <w:link w:val="NzevChar"/>
    <w:uiPriority w:val="10"/>
    <w:qFormat/>
    <w:rsid w:val="001E6062"/>
    <w:pPr>
      <w:spacing w:line="288" w:lineRule="auto"/>
    </w:pPr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1E6062"/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paragraph" w:styleId="Podnadpis">
    <w:name w:val="Subtitle"/>
    <w:link w:val="PodnadpisChar"/>
    <w:uiPriority w:val="11"/>
    <w:qFormat/>
    <w:rsid w:val="001E6062"/>
    <w:pPr>
      <w:spacing w:line="288" w:lineRule="auto"/>
    </w:pPr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1E6062"/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7A516D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516D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516D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516D"/>
    <w:rPr>
      <w:rFonts w:asciiTheme="majorHAnsi" w:eastAsiaTheme="majorEastAsia" w:hAnsiTheme="majorHAnsi" w:cstheme="majorBidi"/>
      <w:color w:val="404040" w:themeColor="text1" w:themeTint="BF"/>
      <w:lang w:eastAsia="cs-CZ"/>
    </w:rPr>
  </w:style>
  <w:style w:type="paragraph" w:styleId="Textpoznpodarou">
    <w:name w:val="footnote text"/>
    <w:aliases w:val="Text pozn. pod čarou_martin_ang"/>
    <w:basedOn w:val="Normln"/>
    <w:link w:val="TextpoznpodarouChar"/>
    <w:qFormat/>
    <w:rsid w:val="008E7FC9"/>
    <w:pPr>
      <w:spacing w:after="0" w:line="240" w:lineRule="auto"/>
      <w:jc w:val="left"/>
    </w:pPr>
    <w:rPr>
      <w:rFonts w:eastAsia="Calibri"/>
      <w:szCs w:val="20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qFormat/>
    <w:rsid w:val="008E7FC9"/>
    <w:rPr>
      <w:rFonts w:ascii="Arial" w:hAnsi="Arial"/>
      <w:lang w:eastAsia="cs-CZ"/>
    </w:rPr>
  </w:style>
  <w:style w:type="paragraph" w:styleId="Bezmezer">
    <w:name w:val="No Spacing"/>
    <w:uiPriority w:val="1"/>
    <w:qFormat/>
    <w:rsid w:val="00AD68C4"/>
    <w:pPr>
      <w:jc w:val="both"/>
    </w:pPr>
    <w:rPr>
      <w:rFonts w:ascii="Arial" w:eastAsia="Times New Roman" w:hAnsi="Arial"/>
      <w:szCs w:val="24"/>
      <w:lang w:eastAsia="cs-CZ"/>
    </w:rPr>
  </w:style>
  <w:style w:type="paragraph" w:customStyle="1" w:styleId="Marginlie">
    <w:name w:val="Marginálie"/>
    <w:basedOn w:val="Normln"/>
    <w:qFormat/>
    <w:rsid w:val="0089296D"/>
    <w:pPr>
      <w:spacing w:after="0"/>
      <w:jc w:val="left"/>
    </w:pPr>
    <w:rPr>
      <w:spacing w:val="-2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B0F92"/>
    <w:pPr>
      <w:ind w:left="720"/>
      <w:contextualSpacing/>
    </w:pPr>
  </w:style>
  <w:style w:type="paragraph" w:customStyle="1" w:styleId="Normalodrka">
    <w:name w:val="Normal odrážka"/>
    <w:qFormat/>
    <w:rsid w:val="006B0F92"/>
    <w:pPr>
      <w:numPr>
        <w:numId w:val="20"/>
      </w:numPr>
      <w:spacing w:after="240" w:line="276" w:lineRule="auto"/>
      <w:jc w:val="both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EA0987"/>
    <w:pPr>
      <w:shd w:val="clear" w:color="auto" w:fill="F0F6E9"/>
      <w:spacing w:before="240" w:after="240" w:line="276" w:lineRule="auto"/>
      <w:ind w:left="709"/>
      <w:contextualSpacing/>
      <w:jc w:val="both"/>
    </w:pPr>
    <w:rPr>
      <w:rFonts w:ascii="Arial" w:hAnsi="Arial" w:cs="Arial"/>
      <w:lang w:eastAsia="cs-CZ"/>
    </w:rPr>
  </w:style>
  <w:style w:type="paragraph" w:customStyle="1" w:styleId="Box2">
    <w:name w:val="Box 2"/>
    <w:next w:val="Normln"/>
    <w:qFormat/>
    <w:rsid w:val="00EA0987"/>
    <w:pPr>
      <w:spacing w:before="240" w:after="240" w:line="276" w:lineRule="auto"/>
      <w:ind w:left="709"/>
      <w:contextualSpacing/>
      <w:jc w:val="both"/>
    </w:pPr>
    <w:rPr>
      <w:rFonts w:ascii="Arial" w:hAnsi="Arial" w:cs="Arial"/>
      <w:b/>
      <w:color w:val="86BF5E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1E6062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32"/>
    <w:qFormat/>
    <w:rsid w:val="001E6062"/>
    <w:rPr>
      <w:b/>
      <w:bCs/>
      <w:smallCaps/>
      <w:color w:val="000000" w:themeColor="text1"/>
      <w:spacing w:val="5"/>
    </w:rPr>
  </w:style>
  <w:style w:type="character" w:styleId="Znakapoznpodarou">
    <w:name w:val="footnote reference"/>
    <w:basedOn w:val="Standardnpsmoodstavce"/>
    <w:rsid w:val="00E063CE"/>
    <w:rPr>
      <w:rFonts w:cs="Times New Roman"/>
      <w:vertAlign w:val="superscript"/>
    </w:rPr>
  </w:style>
  <w:style w:type="paragraph" w:customStyle="1" w:styleId="Nadpis11">
    <w:name w:val="Nadpis 11"/>
    <w:basedOn w:val="Normln"/>
    <w:uiPriority w:val="9"/>
    <w:qFormat/>
    <w:rsid w:val="008A6CB4"/>
    <w:pPr>
      <w:keepNext/>
      <w:keepLines/>
      <w:spacing w:after="100"/>
      <w:contextualSpacing/>
      <w:jc w:val="left"/>
      <w:outlineLvl w:val="0"/>
    </w:pPr>
    <w:rPr>
      <w:rFonts w:eastAsia="MS Gothic"/>
      <w:b/>
      <w:bCs/>
      <w:color w:val="71818C"/>
      <w:sz w:val="32"/>
      <w:szCs w:val="28"/>
    </w:rPr>
  </w:style>
  <w:style w:type="paragraph" w:customStyle="1" w:styleId="Textpoznpodarou1">
    <w:name w:val="Text pozn. pod čarou1"/>
    <w:basedOn w:val="Normln"/>
    <w:qFormat/>
    <w:rsid w:val="008A6CB4"/>
    <w:pPr>
      <w:spacing w:after="0" w:line="240" w:lineRule="auto"/>
      <w:jc w:val="left"/>
    </w:pPr>
    <w:rPr>
      <w:rFonts w:eastAsia="Calibri"/>
      <w:szCs w:val="20"/>
    </w:rPr>
  </w:style>
  <w:style w:type="character" w:styleId="Zdraznn">
    <w:name w:val="Emphasis"/>
    <w:basedOn w:val="Standardnpsmoodstavce"/>
    <w:uiPriority w:val="20"/>
    <w:qFormat/>
    <w:rsid w:val="00C4431F"/>
    <w:rPr>
      <w:i/>
      <w:iCs/>
    </w:rPr>
  </w:style>
  <w:style w:type="character" w:customStyle="1" w:styleId="normaltextrun">
    <w:name w:val="normaltextrun"/>
    <w:basedOn w:val="Standardnpsmoodstavce"/>
    <w:rsid w:val="00C4431F"/>
  </w:style>
  <w:style w:type="paragraph" w:customStyle="1" w:styleId="paragraph">
    <w:name w:val="paragraph"/>
    <w:basedOn w:val="Normln"/>
    <w:rsid w:val="00C4431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eop">
    <w:name w:val="eop"/>
    <w:basedOn w:val="Standardnpsmoodstavce"/>
    <w:rsid w:val="00C4431F"/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603FF5"/>
    <w:p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5455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4551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45512"/>
    <w:rPr>
      <w:rFonts w:ascii="Arial" w:eastAsia="Times New Roman" w:hAnsi="Aria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55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5512"/>
    <w:rPr>
      <w:rFonts w:ascii="Arial" w:eastAsia="Times New Roman" w:hAnsi="Arial"/>
      <w:b/>
      <w:bCs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545512"/>
    <w:pPr>
      <w:spacing w:after="0" w:line="288" w:lineRule="auto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45512"/>
    <w:rPr>
      <w:rFonts w:ascii="Tahoma" w:hAnsi="Tahoma" w:cs="Tahoma"/>
      <w:sz w:val="16"/>
      <w:szCs w:val="16"/>
      <w:lang w:eastAsia="cs-CZ"/>
    </w:rPr>
  </w:style>
  <w:style w:type="paragraph" w:customStyle="1" w:styleId="Nadpis12">
    <w:name w:val="Nadpis 12"/>
    <w:basedOn w:val="Normln"/>
    <w:uiPriority w:val="9"/>
    <w:qFormat/>
    <w:rsid w:val="00545512"/>
    <w:pPr>
      <w:keepNext/>
      <w:keepLines/>
      <w:spacing w:after="100"/>
      <w:contextualSpacing/>
      <w:jc w:val="left"/>
      <w:outlineLvl w:val="0"/>
    </w:pPr>
    <w:rPr>
      <w:rFonts w:eastAsia="MS Gothic"/>
      <w:b/>
      <w:bCs/>
      <w:color w:val="71818C"/>
      <w:sz w:val="32"/>
      <w:szCs w:val="28"/>
    </w:rPr>
  </w:style>
  <w:style w:type="character" w:customStyle="1" w:styleId="spelle">
    <w:name w:val="spelle"/>
    <w:basedOn w:val="Standardnpsmoodstavce"/>
    <w:rsid w:val="00545512"/>
  </w:style>
  <w:style w:type="paragraph" w:styleId="Revize">
    <w:name w:val="Revision"/>
    <w:hidden/>
    <w:uiPriority w:val="99"/>
    <w:semiHidden/>
    <w:rsid w:val="00545512"/>
    <w:rPr>
      <w:rFonts w:ascii="Arial" w:eastAsia="Times New Roman" w:hAnsi="Arial"/>
      <w:szCs w:val="24"/>
      <w:lang w:eastAsia="cs-CZ"/>
    </w:rPr>
  </w:style>
  <w:style w:type="character" w:customStyle="1" w:styleId="odkaz-style-wrapper">
    <w:name w:val="odkaz-style-wrapper"/>
    <w:basedOn w:val="Standardnpsmoodstavce"/>
    <w:rsid w:val="00545512"/>
  </w:style>
  <w:style w:type="character" w:customStyle="1" w:styleId="tabulka">
    <w:name w:val="tabulka"/>
    <w:basedOn w:val="Standardnpsmoodstavce"/>
    <w:rsid w:val="00545512"/>
  </w:style>
  <w:style w:type="paragraph" w:customStyle="1" w:styleId="Default">
    <w:name w:val="Default"/>
    <w:rsid w:val="0054551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4551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45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45512"/>
    <w:rPr>
      <w:rFonts w:ascii="Courier New" w:eastAsia="Times New Roman" w:hAnsi="Courier New" w:cs="Courier New"/>
      <w:lang w:eastAsia="cs-CZ"/>
    </w:rPr>
  </w:style>
  <w:style w:type="paragraph" w:customStyle="1" w:styleId="cay">
    <w:name w:val="c_ay"/>
    <w:basedOn w:val="Normln"/>
    <w:rsid w:val="0054551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cew">
    <w:name w:val="c_ew"/>
    <w:basedOn w:val="Standardnpsmoodstavce"/>
    <w:rsid w:val="00545512"/>
  </w:style>
  <w:style w:type="character" w:styleId="Sledovanodkaz">
    <w:name w:val="FollowedHyperlink"/>
    <w:basedOn w:val="Standardnpsmoodstavce"/>
    <w:uiPriority w:val="99"/>
    <w:semiHidden/>
    <w:unhideWhenUsed/>
    <w:rsid w:val="00545512"/>
    <w:rPr>
      <w:color w:val="800080" w:themeColor="followedHyperlink"/>
      <w:u w:val="single"/>
    </w:rPr>
  </w:style>
  <w:style w:type="character" w:customStyle="1" w:styleId="cfu">
    <w:name w:val="c_fu"/>
    <w:basedOn w:val="Standardnpsmoodstavce"/>
    <w:rsid w:val="00BF3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chart" Target="charts/chart5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Qmakro-2025\1.%20pololet&#237;%202025\Odv&#283;tv&#237;\ODV&#282;TV&#205;_grafy_2q202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Qmakro-2025\1.%20pololet&#237;%202025\Odv&#283;tv&#237;\ODV&#282;TV&#205;_grafy_2q2025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Qmakro-2025\1.%20pololet&#237;%202025\Odv&#283;tv&#237;\ODV&#282;TV&#205;_grafy_2q2025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Qmakro-2025\1.%20pololet&#237;%202025\Odv&#283;tv&#237;\ODV&#282;TV&#205;_grafy_2q2025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Qmakro-2025\1.%20pololet&#237;%202025\Odv&#283;tv&#237;\ODV&#282;TV&#205;_grafy_2q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6610992424025054E-2"/>
          <c:y val="1.5804777005479873E-2"/>
          <c:w val="0.84144249386957193"/>
          <c:h val="0.6913571248107180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'GRAF příspěvky IPP'!$A$27</c:f>
              <c:strCache>
                <c:ptCount val="1"/>
                <c:pt idx="0">
                  <c:v>Výroba dopravních prostředků (29, 30)</c:v>
                </c:pt>
              </c:strCache>
            </c:strRef>
          </c:tx>
          <c:spPr>
            <a:solidFill>
              <a:srgbClr val="E8AFB2"/>
            </a:solidFill>
          </c:spPr>
          <c:invertIfNegative val="0"/>
          <c:cat>
            <c:multiLvlStrRef>
              <c:f>'GRAF příspěvky IPP'!$Z$25:$BG$26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'GRAF příspěvky IPP'!$Z$27:$BG$27</c:f>
              <c:numCache>
                <c:formatCode>0.0</c:formatCode>
                <c:ptCount val="34"/>
                <c:pt idx="0">
                  <c:v>1.7408920839398754</c:v>
                </c:pt>
                <c:pt idx="1">
                  <c:v>2.1378802528812932</c:v>
                </c:pt>
                <c:pt idx="2">
                  <c:v>1.5935135243788106</c:v>
                </c:pt>
                <c:pt idx="3">
                  <c:v>1.6791873092801739</c:v>
                </c:pt>
                <c:pt idx="4">
                  <c:v>0.75268647024158142</c:v>
                </c:pt>
                <c:pt idx="5">
                  <c:v>0.54211789515047693</c:v>
                </c:pt>
                <c:pt idx="6">
                  <c:v>0.24127576647979335</c:v>
                </c:pt>
                <c:pt idx="7">
                  <c:v>0.97863378627142206</c:v>
                </c:pt>
                <c:pt idx="8">
                  <c:v>-0.2260516552234422</c:v>
                </c:pt>
                <c:pt idx="9">
                  <c:v>0.44759183220264459</c:v>
                </c:pt>
                <c:pt idx="10">
                  <c:v>0.76878503294695455</c:v>
                </c:pt>
                <c:pt idx="11">
                  <c:v>-1.0091759236462883</c:v>
                </c:pt>
                <c:pt idx="12">
                  <c:v>-1.5334709251303915</c:v>
                </c:pt>
                <c:pt idx="13">
                  <c:v>-9.3844961095672232</c:v>
                </c:pt>
                <c:pt idx="14">
                  <c:v>-0.1831246423410012</c:v>
                </c:pt>
                <c:pt idx="15">
                  <c:v>2.0633116605855042</c:v>
                </c:pt>
                <c:pt idx="16">
                  <c:v>1.8994975013193574</c:v>
                </c:pt>
                <c:pt idx="17">
                  <c:v>10.953971023163898</c:v>
                </c:pt>
                <c:pt idx="18">
                  <c:v>-3.7780939313093249</c:v>
                </c:pt>
                <c:pt idx="19">
                  <c:v>-3.2465858620654027</c:v>
                </c:pt>
                <c:pt idx="20">
                  <c:v>-1.9062152116069724</c:v>
                </c:pt>
                <c:pt idx="21">
                  <c:v>9.7256451182560211E-2</c:v>
                </c:pt>
                <c:pt idx="22">
                  <c:v>5.6034191238003057</c:v>
                </c:pt>
                <c:pt idx="23">
                  <c:v>4.0047481757326722</c:v>
                </c:pt>
                <c:pt idx="24">
                  <c:v>5.2656402579960471</c:v>
                </c:pt>
                <c:pt idx="25">
                  <c:v>5.0890208300765201</c:v>
                </c:pt>
                <c:pt idx="26">
                  <c:v>1.3500244309196565</c:v>
                </c:pt>
                <c:pt idx="27">
                  <c:v>3.1919272403722014</c:v>
                </c:pt>
                <c:pt idx="28">
                  <c:v>0.46568140957713267</c:v>
                </c:pt>
                <c:pt idx="29">
                  <c:v>-1.091300869556538</c:v>
                </c:pt>
                <c:pt idx="30">
                  <c:v>0.64669627580231293</c:v>
                </c:pt>
                <c:pt idx="31">
                  <c:v>-1.4438293993081586</c:v>
                </c:pt>
                <c:pt idx="32">
                  <c:v>-0.59103447900976791</c:v>
                </c:pt>
                <c:pt idx="33">
                  <c:v>0.42964428214126493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1C-42C8-8F67-863DF1F5ECD8}"/>
            </c:ext>
          </c:extLst>
        </c:ser>
        <c:ser>
          <c:idx val="1"/>
          <c:order val="1"/>
          <c:tx>
            <c:strRef>
              <c:f>'GRAF příspěvky IPP'!$A$28</c:f>
              <c:strCache>
                <c:ptCount val="1"/>
                <c:pt idx="0">
                  <c:v>Gumárenství, elektrotechnický pr. (22, 27)</c:v>
                </c:pt>
              </c:strCache>
            </c:strRef>
          </c:tx>
          <c:spPr>
            <a:solidFill>
              <a:srgbClr val="BD1B21"/>
            </a:solidFill>
          </c:spPr>
          <c:invertIfNegative val="0"/>
          <c:cat>
            <c:multiLvlStrRef>
              <c:f>'GRAF příspěvky IPP'!$Z$25:$BG$26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'GRAF příspěvky IPP'!$Z$28:$BG$28</c:f>
              <c:numCache>
                <c:formatCode>0.0</c:formatCode>
                <c:ptCount val="34"/>
                <c:pt idx="0">
                  <c:v>0.79334952879496901</c:v>
                </c:pt>
                <c:pt idx="1">
                  <c:v>1.468356537050969</c:v>
                </c:pt>
                <c:pt idx="2">
                  <c:v>0.87390949425966125</c:v>
                </c:pt>
                <c:pt idx="3">
                  <c:v>1.644368824210785</c:v>
                </c:pt>
                <c:pt idx="4">
                  <c:v>1.0040337375607471</c:v>
                </c:pt>
                <c:pt idx="5">
                  <c:v>0.3253925650201499</c:v>
                </c:pt>
                <c:pt idx="6">
                  <c:v>0.43133954445298106</c:v>
                </c:pt>
                <c:pt idx="7">
                  <c:v>-5.9899261699036116E-2</c:v>
                </c:pt>
                <c:pt idx="8">
                  <c:v>0.52608733581744893</c:v>
                </c:pt>
                <c:pt idx="9">
                  <c:v>0.44070570288166666</c:v>
                </c:pt>
                <c:pt idx="10">
                  <c:v>0.16703875787161085</c:v>
                </c:pt>
                <c:pt idx="11">
                  <c:v>0.41508771908448316</c:v>
                </c:pt>
                <c:pt idx="12">
                  <c:v>-0.55255281731107375</c:v>
                </c:pt>
                <c:pt idx="13">
                  <c:v>-4.0630399723550301</c:v>
                </c:pt>
                <c:pt idx="14">
                  <c:v>-0.43874587338548932</c:v>
                </c:pt>
                <c:pt idx="15">
                  <c:v>0.53060699318837878</c:v>
                </c:pt>
                <c:pt idx="16">
                  <c:v>0.71112831813132804</c:v>
                </c:pt>
                <c:pt idx="17">
                  <c:v>5.481597251179684</c:v>
                </c:pt>
                <c:pt idx="18">
                  <c:v>0.62158060105061008</c:v>
                </c:pt>
                <c:pt idx="19">
                  <c:v>-0.42382423220226412</c:v>
                </c:pt>
                <c:pt idx="20">
                  <c:v>8.5495146451631754E-2</c:v>
                </c:pt>
                <c:pt idx="21">
                  <c:v>0.14009718958933648</c:v>
                </c:pt>
                <c:pt idx="22">
                  <c:v>0.54140759888459911</c:v>
                </c:pt>
                <c:pt idx="23">
                  <c:v>0.61582316577781637</c:v>
                </c:pt>
                <c:pt idx="24">
                  <c:v>0.2465644622939315</c:v>
                </c:pt>
                <c:pt idx="25">
                  <c:v>0.13286996943087442</c:v>
                </c:pt>
                <c:pt idx="26">
                  <c:v>-0.4195592034661112</c:v>
                </c:pt>
                <c:pt idx="27">
                  <c:v>1.8327472197533223E-2</c:v>
                </c:pt>
                <c:pt idx="28">
                  <c:v>3.5582433884240601E-2</c:v>
                </c:pt>
                <c:pt idx="29">
                  <c:v>-0.18826152345803338</c:v>
                </c:pt>
                <c:pt idx="30">
                  <c:v>0.14832607265874098</c:v>
                </c:pt>
                <c:pt idx="31">
                  <c:v>-0.54234030144752765</c:v>
                </c:pt>
                <c:pt idx="32">
                  <c:v>5.0873611882261076E-2</c:v>
                </c:pt>
                <c:pt idx="33">
                  <c:v>0.46765696609449103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D1C-42C8-8F67-863DF1F5ECD8}"/>
            </c:ext>
          </c:extLst>
        </c:ser>
        <c:ser>
          <c:idx val="2"/>
          <c:order val="2"/>
          <c:tx>
            <c:strRef>
              <c:f>'GRAF příspěvky IPP'!$A$29</c:f>
              <c:strCache>
                <c:ptCount val="1"/>
                <c:pt idx="0">
                  <c:v>Strojírenství (28)</c:v>
                </c:pt>
              </c:strCache>
            </c:strRef>
          </c:tx>
          <c:spPr>
            <a:solidFill>
              <a:srgbClr val="BFE3F7"/>
            </a:solidFill>
          </c:spPr>
          <c:invertIfNegative val="0"/>
          <c:cat>
            <c:multiLvlStrRef>
              <c:f>'GRAF příspěvky IPP'!$Z$25:$BG$26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'GRAF příspěvky IPP'!$Z$29:$BG$29</c:f>
              <c:numCache>
                <c:formatCode>0.0</c:formatCode>
                <c:ptCount val="34"/>
                <c:pt idx="0">
                  <c:v>0.3345178851347928</c:v>
                </c:pt>
                <c:pt idx="1">
                  <c:v>1.1003694908923236</c:v>
                </c:pt>
                <c:pt idx="2">
                  <c:v>0.85805445400541835</c:v>
                </c:pt>
                <c:pt idx="3">
                  <c:v>0.80055944660911171</c:v>
                </c:pt>
                <c:pt idx="4">
                  <c:v>0.48868169907415326</c:v>
                </c:pt>
                <c:pt idx="5">
                  <c:v>0.13868742792561028</c:v>
                </c:pt>
                <c:pt idx="6">
                  <c:v>0.18638853797251198</c:v>
                </c:pt>
                <c:pt idx="7">
                  <c:v>-0.20071677551985512</c:v>
                </c:pt>
                <c:pt idx="8">
                  <c:v>0.20262845642032346</c:v>
                </c:pt>
                <c:pt idx="9">
                  <c:v>-9.1482438382696971E-3</c:v>
                </c:pt>
                <c:pt idx="10">
                  <c:v>-0.3267936607108648</c:v>
                </c:pt>
                <c:pt idx="11">
                  <c:v>-0.14957125605699437</c:v>
                </c:pt>
                <c:pt idx="12">
                  <c:v>-0.7072452096320988</c:v>
                </c:pt>
                <c:pt idx="13">
                  <c:v>-2.1308377913469609</c:v>
                </c:pt>
                <c:pt idx="14">
                  <c:v>-0.8017096029334061</c:v>
                </c:pt>
                <c:pt idx="15">
                  <c:v>-0.54797142039304825</c:v>
                </c:pt>
                <c:pt idx="16">
                  <c:v>7.0579752695825324E-2</c:v>
                </c:pt>
                <c:pt idx="17">
                  <c:v>2.0585994368190281</c:v>
                </c:pt>
                <c:pt idx="18">
                  <c:v>0.54786386564125444</c:v>
                </c:pt>
                <c:pt idx="19">
                  <c:v>0.28113446866644548</c:v>
                </c:pt>
                <c:pt idx="20">
                  <c:v>0.35792444602527779</c:v>
                </c:pt>
                <c:pt idx="21">
                  <c:v>9.1646169316000711E-2</c:v>
                </c:pt>
                <c:pt idx="22">
                  <c:v>0.48966985281582759</c:v>
                </c:pt>
                <c:pt idx="23">
                  <c:v>0.65443581707930998</c:v>
                </c:pt>
                <c:pt idx="24">
                  <c:v>0.47391365512028177</c:v>
                </c:pt>
                <c:pt idx="25">
                  <c:v>0.39242358467648925</c:v>
                </c:pt>
                <c:pt idx="26">
                  <c:v>-0.57987559831345725</c:v>
                </c:pt>
                <c:pt idx="27">
                  <c:v>-0.75563471889300704</c:v>
                </c:pt>
                <c:pt idx="28">
                  <c:v>-0.97065603505878117</c:v>
                </c:pt>
                <c:pt idx="29">
                  <c:v>-0.79850750767106815</c:v>
                </c:pt>
                <c:pt idx="30">
                  <c:v>-0.38871054603716454</c:v>
                </c:pt>
                <c:pt idx="31">
                  <c:v>-0.52574707949640309</c:v>
                </c:pt>
                <c:pt idx="32">
                  <c:v>7.0334396480074446E-2</c:v>
                </c:pt>
                <c:pt idx="33">
                  <c:v>-0.2645115769561352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D1C-42C8-8F67-863DF1F5ECD8}"/>
            </c:ext>
          </c:extLst>
        </c:ser>
        <c:ser>
          <c:idx val="3"/>
          <c:order val="3"/>
          <c:tx>
            <c:strRef>
              <c:f>'GRAF příspěvky IPP'!$A$30</c:f>
              <c:strCache>
                <c:ptCount val="1"/>
                <c:pt idx="0">
                  <c:v>Kovodělný průmysl (25)</c:v>
                </c:pt>
              </c:strCache>
            </c:strRef>
          </c:tx>
          <c:spPr>
            <a:solidFill>
              <a:srgbClr val="48AEE7"/>
            </a:solidFill>
          </c:spPr>
          <c:invertIfNegative val="0"/>
          <c:cat>
            <c:multiLvlStrRef>
              <c:f>'GRAF příspěvky IPP'!$Z$25:$BG$26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'GRAF příspěvky IPP'!$Z$30:$BG$30</c:f>
              <c:numCache>
                <c:formatCode>0.0</c:formatCode>
                <c:ptCount val="34"/>
                <c:pt idx="0">
                  <c:v>0.38676361423749528</c:v>
                </c:pt>
                <c:pt idx="1">
                  <c:v>0.95166355765299349</c:v>
                </c:pt>
                <c:pt idx="2">
                  <c:v>0.86091550298549102</c:v>
                </c:pt>
                <c:pt idx="3">
                  <c:v>0.96020285266505589</c:v>
                </c:pt>
                <c:pt idx="4">
                  <c:v>0.67147421279246411</c:v>
                </c:pt>
                <c:pt idx="5">
                  <c:v>0.46338675111775501</c:v>
                </c:pt>
                <c:pt idx="6">
                  <c:v>0.40465307945227347</c:v>
                </c:pt>
                <c:pt idx="7">
                  <c:v>0.13991647838864771</c:v>
                </c:pt>
                <c:pt idx="8">
                  <c:v>0.23284119938910905</c:v>
                </c:pt>
                <c:pt idx="9">
                  <c:v>-2.3018109664658163E-3</c:v>
                </c:pt>
                <c:pt idx="10">
                  <c:v>-0.27902616348258918</c:v>
                </c:pt>
                <c:pt idx="11">
                  <c:v>-0.28921256974210446</c:v>
                </c:pt>
                <c:pt idx="12">
                  <c:v>-0.59705730498174525</c:v>
                </c:pt>
                <c:pt idx="13">
                  <c:v>-2.0768472147616719</c:v>
                </c:pt>
                <c:pt idx="14">
                  <c:v>-0.62165835195312102</c:v>
                </c:pt>
                <c:pt idx="15">
                  <c:v>4.661253810289321E-2</c:v>
                </c:pt>
                <c:pt idx="16">
                  <c:v>0.43211903405312257</c:v>
                </c:pt>
                <c:pt idx="17">
                  <c:v>2.9906119562413687</c:v>
                </c:pt>
                <c:pt idx="18">
                  <c:v>0.80054804751514341</c:v>
                </c:pt>
                <c:pt idx="19">
                  <c:v>1.7857601781576356E-2</c:v>
                </c:pt>
                <c:pt idx="20">
                  <c:v>0.22708205083524979</c:v>
                </c:pt>
                <c:pt idx="21">
                  <c:v>-0.40390100467018347</c:v>
                </c:pt>
                <c:pt idx="22">
                  <c:v>-0.31522338025350677</c:v>
                </c:pt>
                <c:pt idx="23">
                  <c:v>-0.21587600311612462</c:v>
                </c:pt>
                <c:pt idx="24">
                  <c:v>-0.35300324127937094</c:v>
                </c:pt>
                <c:pt idx="25">
                  <c:v>-9.9064803427944728E-2</c:v>
                </c:pt>
                <c:pt idx="26">
                  <c:v>-0.21050125273699635</c:v>
                </c:pt>
                <c:pt idx="27">
                  <c:v>-0.27572146212292431</c:v>
                </c:pt>
                <c:pt idx="28">
                  <c:v>-0.2001486737619487</c:v>
                </c:pt>
                <c:pt idx="29">
                  <c:v>-3.696670960141097E-2</c:v>
                </c:pt>
                <c:pt idx="30">
                  <c:v>0.34501392915475765</c:v>
                </c:pt>
                <c:pt idx="31">
                  <c:v>0.21351032622575056</c:v>
                </c:pt>
                <c:pt idx="32">
                  <c:v>7.437261415784184E-2</c:v>
                </c:pt>
                <c:pt idx="33">
                  <c:v>0.18111459454629625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D1C-42C8-8F67-863DF1F5ECD8}"/>
            </c:ext>
          </c:extLst>
        </c:ser>
        <c:ser>
          <c:idx val="4"/>
          <c:order val="4"/>
          <c:tx>
            <c:strRef>
              <c:f>'GRAF příspěvky IPP'!$A$31</c:f>
              <c:strCache>
                <c:ptCount val="1"/>
                <c:pt idx="0">
                  <c:v>Výroba PC, elektronic. a optic. přístr. (26)</c:v>
                </c:pt>
              </c:strCache>
            </c:strRef>
          </c:tx>
          <c:spPr>
            <a:solidFill>
              <a:srgbClr val="FDDEB3"/>
            </a:solidFill>
          </c:spPr>
          <c:invertIfNegative val="0"/>
          <c:cat>
            <c:multiLvlStrRef>
              <c:f>'GRAF příspěvky IPP'!$Z$25:$BG$26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'GRAF příspěvky IPP'!$Z$31:$BG$31</c:f>
              <c:numCache>
                <c:formatCode>0.0</c:formatCode>
                <c:ptCount val="34"/>
                <c:pt idx="0">
                  <c:v>0.1517960019133566</c:v>
                </c:pt>
                <c:pt idx="1">
                  <c:v>0.35040742405813147</c:v>
                </c:pt>
                <c:pt idx="2">
                  <c:v>0.22701547985990286</c:v>
                </c:pt>
                <c:pt idx="3">
                  <c:v>0.23483306705633769</c:v>
                </c:pt>
                <c:pt idx="4">
                  <c:v>0.38575845909308681</c:v>
                </c:pt>
                <c:pt idx="5">
                  <c:v>0.1585479563430445</c:v>
                </c:pt>
                <c:pt idx="6">
                  <c:v>0.63604123808561219</c:v>
                </c:pt>
                <c:pt idx="7">
                  <c:v>0.3169722012936107</c:v>
                </c:pt>
                <c:pt idx="8">
                  <c:v>-0.10335857004416719</c:v>
                </c:pt>
                <c:pt idx="9">
                  <c:v>-3.5698176267711781E-2</c:v>
                </c:pt>
                <c:pt idx="10">
                  <c:v>-0.60934912550064046</c:v>
                </c:pt>
                <c:pt idx="11">
                  <c:v>-0.3641176829939205</c:v>
                </c:pt>
                <c:pt idx="12">
                  <c:v>-0.1013700779981392</c:v>
                </c:pt>
                <c:pt idx="13">
                  <c:v>-0.31920945262277456</c:v>
                </c:pt>
                <c:pt idx="14">
                  <c:v>3.1049160053994794E-2</c:v>
                </c:pt>
                <c:pt idx="15">
                  <c:v>2.2349038466741165E-2</c:v>
                </c:pt>
                <c:pt idx="16">
                  <c:v>0.12974603230991869</c:v>
                </c:pt>
                <c:pt idx="17">
                  <c:v>0.21305443259783682</c:v>
                </c:pt>
                <c:pt idx="18">
                  <c:v>0.19368784866385105</c:v>
                </c:pt>
                <c:pt idx="19">
                  <c:v>-0.23793697445972853</c:v>
                </c:pt>
                <c:pt idx="20">
                  <c:v>2.328989078260774E-2</c:v>
                </c:pt>
                <c:pt idx="21">
                  <c:v>-1.8703586368520334E-2</c:v>
                </c:pt>
                <c:pt idx="22">
                  <c:v>5.9872544121146308E-2</c:v>
                </c:pt>
                <c:pt idx="23">
                  <c:v>0.43464965919017012</c:v>
                </c:pt>
                <c:pt idx="24">
                  <c:v>0.14573827868839792</c:v>
                </c:pt>
                <c:pt idx="25">
                  <c:v>8.6685106092556419E-2</c:v>
                </c:pt>
                <c:pt idx="26">
                  <c:v>-6.999515602430173E-2</c:v>
                </c:pt>
                <c:pt idx="27">
                  <c:v>-6.5621352410468306E-2</c:v>
                </c:pt>
                <c:pt idx="28">
                  <c:v>-1.01302787377527E-2</c:v>
                </c:pt>
                <c:pt idx="29">
                  <c:v>0.22062476531313194</c:v>
                </c:pt>
                <c:pt idx="30">
                  <c:v>0.29171375469725203</c:v>
                </c:pt>
                <c:pt idx="31">
                  <c:v>9.5557605191636419E-2</c:v>
                </c:pt>
                <c:pt idx="32">
                  <c:v>-6.9131148088238822E-2</c:v>
                </c:pt>
                <c:pt idx="33">
                  <c:v>-0.17653166472743248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D1C-42C8-8F67-863DF1F5ECD8}"/>
            </c:ext>
          </c:extLst>
        </c:ser>
        <c:ser>
          <c:idx val="5"/>
          <c:order val="5"/>
          <c:tx>
            <c:strRef>
              <c:f>'GRAF příspěvky IPP'!$A$32</c:f>
              <c:strCache>
                <c:ptCount val="1"/>
                <c:pt idx="0">
                  <c:v>Chemický a farmaceutický pr. (20, 21)</c:v>
                </c:pt>
              </c:strCache>
            </c:strRef>
          </c:tx>
          <c:spPr>
            <a:solidFill>
              <a:srgbClr val="F8A124"/>
            </a:solidFill>
            <a:ln>
              <a:noFill/>
            </a:ln>
          </c:spPr>
          <c:invertIfNegative val="0"/>
          <c:cat>
            <c:multiLvlStrRef>
              <c:f>'GRAF příspěvky IPP'!$Z$25:$BG$26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'GRAF příspěvky IPP'!$Z$32:$BG$32</c:f>
              <c:numCache>
                <c:formatCode>0.0</c:formatCode>
                <c:ptCount val="34"/>
                <c:pt idx="0">
                  <c:v>0.51439307947726998</c:v>
                </c:pt>
                <c:pt idx="1">
                  <c:v>0.83289717197907565</c:v>
                </c:pt>
                <c:pt idx="2">
                  <c:v>0.65310318202327911</c:v>
                </c:pt>
                <c:pt idx="3">
                  <c:v>0.50440121167449548</c:v>
                </c:pt>
                <c:pt idx="4">
                  <c:v>0.40911320927322647</c:v>
                </c:pt>
                <c:pt idx="5">
                  <c:v>7.7633111380155301E-2</c:v>
                </c:pt>
                <c:pt idx="6">
                  <c:v>-5.3190732776962651E-2</c:v>
                </c:pt>
                <c:pt idx="7">
                  <c:v>-7.1103221110709838E-2</c:v>
                </c:pt>
                <c:pt idx="8">
                  <c:v>9.3101613350728932E-2</c:v>
                </c:pt>
                <c:pt idx="9">
                  <c:v>6.1474211824515262E-2</c:v>
                </c:pt>
                <c:pt idx="10">
                  <c:v>0.2229684142187896</c:v>
                </c:pt>
                <c:pt idx="11">
                  <c:v>3.2130190492489386E-2</c:v>
                </c:pt>
                <c:pt idx="12">
                  <c:v>-3.6216479616950112E-2</c:v>
                </c:pt>
                <c:pt idx="13">
                  <c:v>-0.57135666895590331</c:v>
                </c:pt>
                <c:pt idx="14">
                  <c:v>-0.22076865898667289</c:v>
                </c:pt>
                <c:pt idx="15">
                  <c:v>0.42176753383241716</c:v>
                </c:pt>
                <c:pt idx="16">
                  <c:v>0.2842261883113642</c:v>
                </c:pt>
                <c:pt idx="17">
                  <c:v>0.82469408576231784</c:v>
                </c:pt>
                <c:pt idx="18">
                  <c:v>0.31921578555137625</c:v>
                </c:pt>
                <c:pt idx="19">
                  <c:v>8.8393237907686051E-2</c:v>
                </c:pt>
                <c:pt idx="20">
                  <c:v>0.25001342399490378</c:v>
                </c:pt>
                <c:pt idx="21">
                  <c:v>0.15902585887518395</c:v>
                </c:pt>
                <c:pt idx="22">
                  <c:v>-9.9291150851356869E-2</c:v>
                </c:pt>
                <c:pt idx="23">
                  <c:v>-0.29198954209302208</c:v>
                </c:pt>
                <c:pt idx="24">
                  <c:v>-0.59945070725609328</c:v>
                </c:pt>
                <c:pt idx="25">
                  <c:v>-0.17922802126182735</c:v>
                </c:pt>
                <c:pt idx="26">
                  <c:v>-7.4569027528010562E-2</c:v>
                </c:pt>
                <c:pt idx="27">
                  <c:v>-0.12521205764542356</c:v>
                </c:pt>
                <c:pt idx="28">
                  <c:v>0.26504032825548401</c:v>
                </c:pt>
                <c:pt idx="29">
                  <c:v>0.14592159727218068</c:v>
                </c:pt>
                <c:pt idx="30">
                  <c:v>-6.8809253369309042E-2</c:v>
                </c:pt>
                <c:pt idx="31">
                  <c:v>-7.0255284982852786E-2</c:v>
                </c:pt>
                <c:pt idx="32">
                  <c:v>-0.16075298777602498</c:v>
                </c:pt>
                <c:pt idx="33">
                  <c:v>-0.21429147232821749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D1C-42C8-8F67-863DF1F5ECD8}"/>
            </c:ext>
          </c:extLst>
        </c:ser>
        <c:ser>
          <c:idx val="6"/>
          <c:order val="6"/>
          <c:tx>
            <c:strRef>
              <c:f>'GRAF příspěvky IPP'!$A$33</c:f>
              <c:strCache>
                <c:ptCount val="1"/>
                <c:pt idx="0">
                  <c:v>Zbývající zpracovatelský průmysl*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</c:spPr>
          <c:invertIfNegative val="0"/>
          <c:cat>
            <c:multiLvlStrRef>
              <c:f>'GRAF příspěvky IPP'!$Z$25:$BG$26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'GRAF příspěvky IPP'!$Z$33:$BG$33</c:f>
              <c:numCache>
                <c:formatCode>0.0</c:formatCode>
                <c:ptCount val="34"/>
                <c:pt idx="0">
                  <c:v>-0.13802711444319313</c:v>
                </c:pt>
                <c:pt idx="1">
                  <c:v>1.4520150527939983</c:v>
                </c:pt>
                <c:pt idx="2">
                  <c:v>0.65687676657012262</c:v>
                </c:pt>
                <c:pt idx="3">
                  <c:v>0.76186639439852744</c:v>
                </c:pt>
                <c:pt idx="4">
                  <c:v>1.176883894072398</c:v>
                </c:pt>
                <c:pt idx="5">
                  <c:v>0.73260991135089704</c:v>
                </c:pt>
                <c:pt idx="6">
                  <c:v>1.130984310245374</c:v>
                </c:pt>
                <c:pt idx="7">
                  <c:v>0.15993804771028891</c:v>
                </c:pt>
                <c:pt idx="8">
                  <c:v>-0.321852689743232</c:v>
                </c:pt>
                <c:pt idx="9">
                  <c:v>-0.30512916964802711</c:v>
                </c:pt>
                <c:pt idx="10">
                  <c:v>-0.97407463154624518</c:v>
                </c:pt>
                <c:pt idx="11">
                  <c:v>-3.9701171551171976E-2</c:v>
                </c:pt>
                <c:pt idx="12">
                  <c:v>0.31377104389496951</c:v>
                </c:pt>
                <c:pt idx="13">
                  <c:v>-1.6010940767108757</c:v>
                </c:pt>
                <c:pt idx="14">
                  <c:v>-5.0886354263932065E-3</c:v>
                </c:pt>
                <c:pt idx="15">
                  <c:v>-0.12175513984551208</c:v>
                </c:pt>
                <c:pt idx="16">
                  <c:v>-3.5025626238039398E-3</c:v>
                </c:pt>
                <c:pt idx="17">
                  <c:v>3.2110170519673691</c:v>
                </c:pt>
                <c:pt idx="18">
                  <c:v>1.5264578705377236</c:v>
                </c:pt>
                <c:pt idx="19">
                  <c:v>1.1672685452071416</c:v>
                </c:pt>
                <c:pt idx="20">
                  <c:v>1.690542011605777</c:v>
                </c:pt>
                <c:pt idx="21">
                  <c:v>0.27460320528431359</c:v>
                </c:pt>
                <c:pt idx="22">
                  <c:v>-1.6662817436176591</c:v>
                </c:pt>
                <c:pt idx="23">
                  <c:v>-1.5213450955316961</c:v>
                </c:pt>
                <c:pt idx="24">
                  <c:v>-3.3316231361669191</c:v>
                </c:pt>
                <c:pt idx="25">
                  <c:v>-3.5795721400535663</c:v>
                </c:pt>
                <c:pt idx="26">
                  <c:v>-1.801761203998518</c:v>
                </c:pt>
                <c:pt idx="27">
                  <c:v>-1.6133212070931797</c:v>
                </c:pt>
                <c:pt idx="28">
                  <c:v>0.14405265196800943</c:v>
                </c:pt>
                <c:pt idx="29">
                  <c:v>0.27247496450390829</c:v>
                </c:pt>
                <c:pt idx="30">
                  <c:v>-0.21447762905334064</c:v>
                </c:pt>
                <c:pt idx="31">
                  <c:v>0.25930896335335285</c:v>
                </c:pt>
                <c:pt idx="32">
                  <c:v>0.34986897469659872</c:v>
                </c:pt>
                <c:pt idx="33">
                  <c:v>0.4852148222334175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D1C-42C8-8F67-863DF1F5ECD8}"/>
            </c:ext>
          </c:extLst>
        </c:ser>
        <c:ser>
          <c:idx val="7"/>
          <c:order val="7"/>
          <c:tx>
            <c:strRef>
              <c:f>'GRAF příspěvky IPP'!$A$34</c:f>
              <c:strCache>
                <c:ptCount val="1"/>
                <c:pt idx="0">
                  <c:v>Těžba a energetika (B, D)</c:v>
                </c:pt>
              </c:strCache>
            </c:strRef>
          </c:tx>
          <c:spPr>
            <a:solidFill>
              <a:srgbClr val="808080"/>
            </a:solidFill>
          </c:spPr>
          <c:invertIfNegative val="0"/>
          <c:cat>
            <c:multiLvlStrRef>
              <c:f>'GRAF příspěvky IPP'!$Z$25:$BG$26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'GRAF příspěvky IPP'!$Z$34:$BG$34</c:f>
              <c:numCache>
                <c:formatCode>0.0</c:formatCode>
                <c:ptCount val="34"/>
                <c:pt idx="0">
                  <c:v>0.68579685044543348</c:v>
                </c:pt>
                <c:pt idx="1">
                  <c:v>-0.21786071250878586</c:v>
                </c:pt>
                <c:pt idx="2">
                  <c:v>0.74762012671732325</c:v>
                </c:pt>
                <c:pt idx="3">
                  <c:v>0.67922569430551583</c:v>
                </c:pt>
                <c:pt idx="4">
                  <c:v>-0.54241645010765449</c:v>
                </c:pt>
                <c:pt idx="5">
                  <c:v>-1.8631527880888649E-3</c:v>
                </c:pt>
                <c:pt idx="6">
                  <c:v>0.78670127678843149</c:v>
                </c:pt>
                <c:pt idx="7">
                  <c:v>0.32960713526562863</c:v>
                </c:pt>
                <c:pt idx="8">
                  <c:v>6.8904910133199077E-2</c:v>
                </c:pt>
                <c:pt idx="9">
                  <c:v>0.12170682001164354</c:v>
                </c:pt>
                <c:pt idx="10">
                  <c:v>-0.5109816723970585</c:v>
                </c:pt>
                <c:pt idx="11">
                  <c:v>-0.36784640528649537</c:v>
                </c:pt>
                <c:pt idx="12">
                  <c:v>-1.0379724863245821</c:v>
                </c:pt>
                <c:pt idx="13">
                  <c:v>-1.638329285379571</c:v>
                </c:pt>
                <c:pt idx="14">
                  <c:v>-0.82494325172790062</c:v>
                </c:pt>
                <c:pt idx="15">
                  <c:v>-0.74239007583737793</c:v>
                </c:pt>
                <c:pt idx="16">
                  <c:v>0.59168474550289174</c:v>
                </c:pt>
                <c:pt idx="17">
                  <c:v>0.5260090593685014</c:v>
                </c:pt>
                <c:pt idx="18">
                  <c:v>0.31403447084937119</c:v>
                </c:pt>
                <c:pt idx="19">
                  <c:v>0.81668831716454016</c:v>
                </c:pt>
                <c:pt idx="20">
                  <c:v>-0.20917633918846953</c:v>
                </c:pt>
                <c:pt idx="21">
                  <c:v>0.24264155329130743</c:v>
                </c:pt>
                <c:pt idx="22">
                  <c:v>0.41438859250063825</c:v>
                </c:pt>
                <c:pt idx="23">
                  <c:v>-1.2876270929391296</c:v>
                </c:pt>
                <c:pt idx="24">
                  <c:v>-1.3047426799962765</c:v>
                </c:pt>
                <c:pt idx="25">
                  <c:v>-1.5783808234331074</c:v>
                </c:pt>
                <c:pt idx="26">
                  <c:v>-1.6274544817522574</c:v>
                </c:pt>
                <c:pt idx="27">
                  <c:v>-1.1080262051047352</c:v>
                </c:pt>
                <c:pt idx="28">
                  <c:v>-0.77569015262638863</c:v>
                </c:pt>
                <c:pt idx="29">
                  <c:v>-8.1108690802176503E-2</c:v>
                </c:pt>
                <c:pt idx="30">
                  <c:v>3.6215531467518602E-3</c:v>
                </c:pt>
                <c:pt idx="31">
                  <c:v>-0.18706312233580397</c:v>
                </c:pt>
                <c:pt idx="32">
                  <c:v>0.96832015815725225</c:v>
                </c:pt>
                <c:pt idx="33">
                  <c:v>0.41204720789631738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3D1C-42C8-8F67-863DF1F5EC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"/>
        <c:overlap val="100"/>
        <c:axId val="112768128"/>
        <c:axId val="112769664"/>
      </c:barChart>
      <c:lineChart>
        <c:grouping val="standard"/>
        <c:varyColors val="0"/>
        <c:ser>
          <c:idx val="8"/>
          <c:order val="8"/>
          <c:tx>
            <c:strRef>
              <c:f>'GRAF příspěvky IPP'!$A$35</c:f>
              <c:strCache>
                <c:ptCount val="1"/>
                <c:pt idx="0">
                  <c:v>Průmysl celkem (NACE B až D)</c:v>
                </c:pt>
              </c:strCache>
            </c:strRef>
          </c:tx>
          <c:spPr>
            <a:ln w="19050">
              <a:noFill/>
            </a:ln>
          </c:spPr>
          <c:marker>
            <c:symbol val="circle"/>
            <c:size val="4"/>
            <c:spPr>
              <a:solidFill>
                <a:srgbClr val="FFFF00"/>
              </a:solidFill>
              <a:ln>
                <a:solidFill>
                  <a:schemeClr val="tx1">
                    <a:lumMod val="95000"/>
                    <a:lumOff val="5000"/>
                  </a:schemeClr>
                </a:solidFill>
              </a:ln>
            </c:spPr>
          </c:marker>
          <c:cat>
            <c:multiLvlStrRef>
              <c:f>'GRAF příspěvky IPP'!$Z$25:$BG$26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'GRAF příspěvky IPP'!$Z$35:$BG$35</c:f>
              <c:numCache>
                <c:formatCode>0.0</c:formatCode>
                <c:ptCount val="34"/>
                <c:pt idx="0">
                  <c:v>4.4694819295000059</c:v>
                </c:pt>
                <c:pt idx="1">
                  <c:v>8.0757287747999982</c:v>
                </c:pt>
                <c:pt idx="2">
                  <c:v>6.471008530800006</c:v>
                </c:pt>
                <c:pt idx="3">
                  <c:v>7.2646448002000028</c:v>
                </c:pt>
                <c:pt idx="4">
                  <c:v>4.3462152320000058</c:v>
                </c:pt>
                <c:pt idx="5">
                  <c:v>2.4365124655000017</c:v>
                </c:pt>
                <c:pt idx="6">
                  <c:v>3.7641930207000058</c:v>
                </c:pt>
                <c:pt idx="7">
                  <c:v>1.5933483905999992</c:v>
                </c:pt>
                <c:pt idx="8">
                  <c:v>0.47230060009999875</c:v>
                </c:pt>
                <c:pt idx="9">
                  <c:v>0.71920116619999419</c:v>
                </c:pt>
                <c:pt idx="10">
                  <c:v>-1.5414330485999983</c:v>
                </c:pt>
                <c:pt idx="11">
                  <c:v>-1.7724070997000041</c:v>
                </c:pt>
                <c:pt idx="12">
                  <c:v>-4.2521142571000041</c:v>
                </c:pt>
                <c:pt idx="13">
                  <c:v>-21.785210571700006</c:v>
                </c:pt>
                <c:pt idx="14">
                  <c:v>-3.0649898566999951</c:v>
                </c:pt>
                <c:pt idx="15">
                  <c:v>1.6725311281000046</c:v>
                </c:pt>
                <c:pt idx="16">
                  <c:v>4.1161992433000023</c:v>
                </c:pt>
                <c:pt idx="17">
                  <c:v>26.264288466500005</c:v>
                </c:pt>
                <c:pt idx="18">
                  <c:v>0.54293510899999831</c:v>
                </c:pt>
                <c:pt idx="19">
                  <c:v>-1.5357108104000048</c:v>
                </c:pt>
                <c:pt idx="20">
                  <c:v>0.52212153240000703</c:v>
                </c:pt>
                <c:pt idx="21">
                  <c:v>0.58277663740000207</c:v>
                </c:pt>
                <c:pt idx="22">
                  <c:v>5.0283687351000026</c:v>
                </c:pt>
                <c:pt idx="23">
                  <c:v>2.3898181511000018</c:v>
                </c:pt>
                <c:pt idx="24">
                  <c:v>0.54659814849999577</c:v>
                </c:pt>
                <c:pt idx="25">
                  <c:v>0.25702643270000181</c:v>
                </c:pt>
                <c:pt idx="26">
                  <c:v>-3.4375818654000057</c:v>
                </c:pt>
                <c:pt idx="27">
                  <c:v>-0.7310670593000026</c:v>
                </c:pt>
                <c:pt idx="28">
                  <c:v>-1.0547265009000029</c:v>
                </c:pt>
                <c:pt idx="29">
                  <c:v>-1.5537120098999964</c:v>
                </c:pt>
                <c:pt idx="30">
                  <c:v>0.77440528660000041</c:v>
                </c:pt>
                <c:pt idx="31">
                  <c:v>-2.2008910243000059</c:v>
                </c:pt>
                <c:pt idx="32">
                  <c:v>0.69285114049999663</c:v>
                </c:pt>
                <c:pt idx="33">
                  <c:v>1.3203431589000019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3D1C-42C8-8F67-863DF1F5EC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2768128"/>
        <c:axId val="112769664"/>
      </c:lineChart>
      <c:lineChart>
        <c:grouping val="standard"/>
        <c:varyColors val="0"/>
        <c:ser>
          <c:idx val="9"/>
          <c:order val="9"/>
          <c:tx>
            <c:strRef>
              <c:f>'GRAF příspěvky IPP'!$A$36</c:f>
              <c:strCache>
                <c:ptCount val="1"/>
              </c:strCache>
            </c:strRef>
          </c:tx>
          <c:spPr>
            <a:ln w="15875">
              <a:noFill/>
              <a:prstDash val="sysDot"/>
            </a:ln>
          </c:spPr>
          <c:marker>
            <c:symbol val="none"/>
          </c:marker>
          <c:cat>
            <c:multiLvlStrRef>
              <c:f>'GRAF příspěvky IPP'!$Z$25:$BG$26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'GRAF příspěvky IPP'!$Z$36:$BG$36</c:f>
              <c:numCache>
                <c:formatCode>General</c:formatCode>
                <c:ptCount val="34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3D1C-42C8-8F67-863DF1F5ECD8}"/>
            </c:ext>
          </c:extLst>
        </c:ser>
        <c:ser>
          <c:idx val="10"/>
          <c:order val="10"/>
          <c:tx>
            <c:strRef>
              <c:f>'GRAF příspěvky IPP'!$A$37</c:f>
              <c:strCache>
                <c:ptCount val="1"/>
                <c:pt idx="0">
                  <c:v>Produkce, prům. v ČR celkem (2021=100)</c:v>
                </c:pt>
              </c:strCache>
            </c:strRef>
          </c:tx>
          <c:spPr>
            <a:ln w="15875">
              <a:solidFill>
                <a:schemeClr val="tx1">
                  <a:lumMod val="95000"/>
                  <a:lumOff val="5000"/>
                </a:schemeClr>
              </a:solidFill>
            </a:ln>
          </c:spPr>
          <c:marker>
            <c:symbol val="none"/>
          </c:marker>
          <c:cat>
            <c:multiLvlStrRef>
              <c:f>'GRAF příspěvky IPP'!$Z$25:$BG$26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'GRAF příspěvky IPP'!$Z$37:$BG$37</c:f>
              <c:numCache>
                <c:formatCode>#\ ##0.##########</c:formatCode>
                <c:ptCount val="34"/>
                <c:pt idx="0">
                  <c:v>95.6</c:v>
                </c:pt>
                <c:pt idx="1">
                  <c:v>98.6</c:v>
                </c:pt>
                <c:pt idx="2">
                  <c:v>98.2</c:v>
                </c:pt>
                <c:pt idx="3">
                  <c:v>100.1</c:v>
                </c:pt>
                <c:pt idx="4">
                  <c:v>100.1</c:v>
                </c:pt>
                <c:pt idx="5">
                  <c:v>101.1</c:v>
                </c:pt>
                <c:pt idx="6" formatCode="#\ ##0.0">
                  <c:v>102</c:v>
                </c:pt>
                <c:pt idx="7">
                  <c:v>101.3</c:v>
                </c:pt>
                <c:pt idx="8">
                  <c:v>100.6</c:v>
                </c:pt>
                <c:pt idx="9">
                  <c:v>102.2</c:v>
                </c:pt>
                <c:pt idx="10">
                  <c:v>100.1</c:v>
                </c:pt>
                <c:pt idx="11">
                  <c:v>99.4</c:v>
                </c:pt>
                <c:pt idx="12">
                  <c:v>96.7</c:v>
                </c:pt>
                <c:pt idx="13">
                  <c:v>80.2</c:v>
                </c:pt>
                <c:pt idx="14" formatCode="#\ ##0.0">
                  <c:v>97</c:v>
                </c:pt>
                <c:pt idx="15">
                  <c:v>101.1</c:v>
                </c:pt>
                <c:pt idx="16">
                  <c:v>99.6</c:v>
                </c:pt>
                <c:pt idx="17">
                  <c:v>100.6</c:v>
                </c:pt>
                <c:pt idx="18">
                  <c:v>98.5</c:v>
                </c:pt>
                <c:pt idx="19">
                  <c:v>99.3</c:v>
                </c:pt>
                <c:pt idx="20">
                  <c:v>100.7</c:v>
                </c:pt>
                <c:pt idx="21">
                  <c:v>101.3</c:v>
                </c:pt>
                <c:pt idx="22">
                  <c:v>102.8</c:v>
                </c:pt>
                <c:pt idx="23">
                  <c:v>101.9</c:v>
                </c:pt>
                <c:pt idx="24">
                  <c:v>101.3</c:v>
                </c:pt>
                <c:pt idx="25">
                  <c:v>101.4</c:v>
                </c:pt>
                <c:pt idx="26">
                  <c:v>99.2</c:v>
                </c:pt>
                <c:pt idx="27">
                  <c:v>101.5</c:v>
                </c:pt>
                <c:pt idx="28">
                  <c:v>100.2</c:v>
                </c:pt>
                <c:pt idx="29">
                  <c:v>99.8</c:v>
                </c:pt>
                <c:pt idx="30">
                  <c:v>99.9</c:v>
                </c:pt>
                <c:pt idx="31">
                  <c:v>99.3</c:v>
                </c:pt>
                <c:pt idx="32">
                  <c:v>100.8</c:v>
                </c:pt>
                <c:pt idx="33">
                  <c:v>101.1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3D1C-42C8-8F67-863DF1F5ECD8}"/>
            </c:ext>
          </c:extLst>
        </c:ser>
        <c:ser>
          <c:idx val="11"/>
          <c:order val="11"/>
          <c:tx>
            <c:strRef>
              <c:f>'GRAF příspěvky IPP'!$A$38</c:f>
              <c:strCache>
                <c:ptCount val="1"/>
                <c:pt idx="0">
                  <c:v>Produkce, prům. v EU27 celkem (2021=100)</c:v>
                </c:pt>
              </c:strCache>
            </c:strRef>
          </c:tx>
          <c:spPr>
            <a:ln w="15875">
              <a:solidFill>
                <a:schemeClr val="tx1">
                  <a:lumMod val="50000"/>
                  <a:lumOff val="50000"/>
                </a:schemeClr>
              </a:solidFill>
              <a:prstDash val="sysDash"/>
            </a:ln>
          </c:spPr>
          <c:marker>
            <c:symbol val="none"/>
          </c:marker>
          <c:cat>
            <c:multiLvlStrRef>
              <c:f>'GRAF příspěvky IPP'!$Z$25:$BG$26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'GRAF příspěvky IPP'!$Z$38:$BG$38</c:f>
              <c:numCache>
                <c:formatCode>#\ ##0.##########</c:formatCode>
                <c:ptCount val="34"/>
                <c:pt idx="0">
                  <c:v>96.1</c:v>
                </c:pt>
                <c:pt idx="1">
                  <c:v>97.3</c:v>
                </c:pt>
                <c:pt idx="2">
                  <c:v>98.7</c:v>
                </c:pt>
                <c:pt idx="3">
                  <c:v>100.6</c:v>
                </c:pt>
                <c:pt idx="4">
                  <c:v>99.2</c:v>
                </c:pt>
                <c:pt idx="5">
                  <c:v>99.7</c:v>
                </c:pt>
                <c:pt idx="6">
                  <c:v>99.4</c:v>
                </c:pt>
                <c:pt idx="7">
                  <c:v>99.1</c:v>
                </c:pt>
                <c:pt idx="8">
                  <c:v>99.4</c:v>
                </c:pt>
                <c:pt idx="9">
                  <c:v>99.3</c:v>
                </c:pt>
                <c:pt idx="10">
                  <c:v>98.7</c:v>
                </c:pt>
                <c:pt idx="11" formatCode="#\ ##0.0">
                  <c:v>98</c:v>
                </c:pt>
                <c:pt idx="12" formatCode="#\ ##0.0">
                  <c:v>95</c:v>
                </c:pt>
                <c:pt idx="13">
                  <c:v>80.3</c:v>
                </c:pt>
                <c:pt idx="14">
                  <c:v>93.5</c:v>
                </c:pt>
                <c:pt idx="15" formatCode="#\ ##0.0">
                  <c:v>98</c:v>
                </c:pt>
                <c:pt idx="16">
                  <c:v>99.5</c:v>
                </c:pt>
                <c:pt idx="17">
                  <c:v>100.1</c:v>
                </c:pt>
                <c:pt idx="18">
                  <c:v>99.7</c:v>
                </c:pt>
                <c:pt idx="19">
                  <c:v>100.8</c:v>
                </c:pt>
                <c:pt idx="20">
                  <c:v>101.8</c:v>
                </c:pt>
                <c:pt idx="21">
                  <c:v>102.5</c:v>
                </c:pt>
                <c:pt idx="22">
                  <c:v>102.9</c:v>
                </c:pt>
                <c:pt idx="23">
                  <c:v>102.8</c:v>
                </c:pt>
                <c:pt idx="24">
                  <c:v>102.9</c:v>
                </c:pt>
                <c:pt idx="25">
                  <c:v>102.1</c:v>
                </c:pt>
                <c:pt idx="26">
                  <c:v>99.6</c:v>
                </c:pt>
                <c:pt idx="27">
                  <c:v>99.8</c:v>
                </c:pt>
                <c:pt idx="28">
                  <c:v>98.8</c:v>
                </c:pt>
                <c:pt idx="29">
                  <c:v>98.7</c:v>
                </c:pt>
                <c:pt idx="30">
                  <c:v>98.4</c:v>
                </c:pt>
                <c:pt idx="31">
                  <c:v>98.6</c:v>
                </c:pt>
                <c:pt idx="32">
                  <c:v>99.8</c:v>
                </c:pt>
                <c:pt idx="33">
                  <c:v>99.8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3D1C-42C8-8F67-863DF1F5ECD8}"/>
            </c:ext>
          </c:extLst>
        </c:ser>
        <c:ser>
          <c:idx val="12"/>
          <c:order val="12"/>
          <c:tx>
            <c:strRef>
              <c:f>'GRAF příspěvky IPP'!$A$39</c:f>
              <c:strCache>
                <c:ptCount val="1"/>
                <c:pt idx="0">
                  <c:v>Produkce, prům. v Německu (2021=100)</c:v>
                </c:pt>
              </c:strCache>
            </c:strRef>
          </c:tx>
          <c:spPr>
            <a:ln w="15875">
              <a:solidFill>
                <a:srgbClr val="996633"/>
              </a:solidFill>
              <a:prstDash val="dash"/>
            </a:ln>
          </c:spPr>
          <c:marker>
            <c:symbol val="none"/>
          </c:marker>
          <c:cat>
            <c:multiLvlStrRef>
              <c:f>'GRAF příspěvky IPP'!$Z$25:$BG$26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'GRAF příspěvky IPP'!$Z$39:$BG$39</c:f>
              <c:numCache>
                <c:formatCode>#\ ##0.0</c:formatCode>
                <c:ptCount val="34"/>
                <c:pt idx="0">
                  <c:v>105</c:v>
                </c:pt>
                <c:pt idx="1">
                  <c:v>107</c:v>
                </c:pt>
                <c:pt idx="2" formatCode="#\ ##0.##########">
                  <c:v>108.8</c:v>
                </c:pt>
                <c:pt idx="3" formatCode="#\ ##0.##########">
                  <c:v>109.6</c:v>
                </c:pt>
                <c:pt idx="4">
                  <c:v>109</c:v>
                </c:pt>
                <c:pt idx="5" formatCode="#\ ##0.##########">
                  <c:v>109.8</c:v>
                </c:pt>
                <c:pt idx="6" formatCode="#\ ##0.##########">
                  <c:v>108.8</c:v>
                </c:pt>
                <c:pt idx="7" formatCode="#\ ##0.##########">
                  <c:v>107.2</c:v>
                </c:pt>
                <c:pt idx="8">
                  <c:v>107</c:v>
                </c:pt>
                <c:pt idx="9" formatCode="#\ ##0.##########">
                  <c:v>105.8</c:v>
                </c:pt>
                <c:pt idx="10" formatCode="#\ ##0.##########">
                  <c:v>104.6</c:v>
                </c:pt>
                <c:pt idx="11" formatCode="#\ ##0.##########">
                  <c:v>102.9</c:v>
                </c:pt>
                <c:pt idx="12" formatCode="#\ ##0.##########">
                  <c:v>101.3</c:v>
                </c:pt>
                <c:pt idx="13" formatCode="#\ ##0.##########">
                  <c:v>82.9</c:v>
                </c:pt>
                <c:pt idx="14" formatCode="#\ ##0.##########">
                  <c:v>94.8</c:v>
                </c:pt>
                <c:pt idx="15" formatCode="#\ ##0.##########">
                  <c:v>100.9</c:v>
                </c:pt>
                <c:pt idx="16" formatCode="#\ ##0.##########">
                  <c:v>100.7</c:v>
                </c:pt>
                <c:pt idx="17" formatCode="#\ ##0.##########">
                  <c:v>99.9</c:v>
                </c:pt>
                <c:pt idx="18">
                  <c:v>97</c:v>
                </c:pt>
                <c:pt idx="19">
                  <c:v>100</c:v>
                </c:pt>
                <c:pt idx="20" formatCode="#\ ##0.##########">
                  <c:v>99.2</c:v>
                </c:pt>
                <c:pt idx="21" formatCode="#\ ##0.##########">
                  <c:v>98.8</c:v>
                </c:pt>
                <c:pt idx="22" formatCode="#\ ##0.##########">
                  <c:v>99.4</c:v>
                </c:pt>
                <c:pt idx="23">
                  <c:v>99</c:v>
                </c:pt>
                <c:pt idx="24" formatCode="#\ ##0.##########">
                  <c:v>99.9</c:v>
                </c:pt>
                <c:pt idx="25" formatCode="#\ ##0.##########">
                  <c:v>98.4</c:v>
                </c:pt>
                <c:pt idx="26">
                  <c:v>96</c:v>
                </c:pt>
                <c:pt idx="27" formatCode="#\ ##0.##########">
                  <c:v>94.6</c:v>
                </c:pt>
                <c:pt idx="28" formatCode="#\ ##0.##########">
                  <c:v>94.4</c:v>
                </c:pt>
                <c:pt idx="29" formatCode="#\ ##0.##########">
                  <c:v>93.2</c:v>
                </c:pt>
                <c:pt idx="30">
                  <c:v>92</c:v>
                </c:pt>
                <c:pt idx="31" formatCode="#\ ##0.##########">
                  <c:v>91.4</c:v>
                </c:pt>
                <c:pt idx="32" formatCode="#\ ##0.##########">
                  <c:v>92.2</c:v>
                </c:pt>
                <c:pt idx="33" formatCode="#\ ##0.##########">
                  <c:v>92.1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3D1C-42C8-8F67-863DF1F5EC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13731104"/>
        <c:axId val="1513729024"/>
      </c:lineChart>
      <c:catAx>
        <c:axId val="112768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cs-CZ"/>
          </a:p>
        </c:txPr>
        <c:crossAx val="112769664"/>
        <c:crosses val="autoZero"/>
        <c:auto val="1"/>
        <c:lblAlgn val="ctr"/>
        <c:lblOffset val="0"/>
        <c:noMultiLvlLbl val="0"/>
      </c:catAx>
      <c:valAx>
        <c:axId val="112769664"/>
        <c:scaling>
          <c:orientation val="minMax"/>
          <c:max val="28"/>
          <c:min val="-24"/>
        </c:scaling>
        <c:delete val="0"/>
        <c:axPos val="l"/>
        <c:majorGridlines>
          <c:spPr>
            <a:ln>
              <a:solidFill>
                <a:srgbClr val="BEBEBE"/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700" b="0" i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r>
                  <a:rPr lang="cs-CZ" sz="700" b="0" i="1" u="none" strike="noStrike" baseline="0">
                    <a:effectLst/>
                  </a:rPr>
                  <a:t>Prům. produkce (příspěvky  k meziroč. změně)</a:t>
                </a:r>
                <a:endParaRPr lang="cs-CZ" sz="700" b="0" i="1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layout>
            <c:manualLayout>
              <c:xMode val="edge"/>
              <c:yMode val="edge"/>
              <c:x val="0"/>
              <c:y val="0.1165198004318692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cs-CZ"/>
          </a:p>
        </c:txPr>
        <c:crossAx val="112768128"/>
        <c:crosses val="autoZero"/>
        <c:crossBetween val="between"/>
        <c:majorUnit val="4"/>
      </c:valAx>
      <c:valAx>
        <c:axId val="1513729024"/>
        <c:scaling>
          <c:orientation val="minMax"/>
          <c:max val="115"/>
          <c:min val="50"/>
        </c:scaling>
        <c:delete val="0"/>
        <c:axPos val="r"/>
        <c:title>
          <c:tx>
            <c:rich>
              <a:bodyPr/>
              <a:lstStyle/>
              <a:p>
                <a:pPr>
                  <a:defRPr sz="700" b="0" i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r>
                  <a:rPr lang="cs-CZ" sz="700" b="0" i="1">
                    <a:latin typeface="Arial" panose="020B0604020202020204" pitchFamily="34" charset="0"/>
                    <a:cs typeface="Arial" panose="020B0604020202020204" pitchFamily="34" charset="0"/>
                  </a:rPr>
                  <a:t>Produkce</a:t>
                </a:r>
                <a:r>
                  <a:rPr lang="cs-CZ" sz="700" b="0" i="1" baseline="0">
                    <a:latin typeface="Arial" panose="020B0604020202020204" pitchFamily="34" charset="0"/>
                    <a:cs typeface="Arial" panose="020B0604020202020204" pitchFamily="34" charset="0"/>
                  </a:rPr>
                  <a:t> </a:t>
                </a:r>
                <a:r>
                  <a:rPr lang="cs-CZ" sz="700" b="0" i="1">
                    <a:latin typeface="Arial" panose="020B0604020202020204" pitchFamily="34" charset="0"/>
                    <a:cs typeface="Arial" panose="020B0604020202020204" pitchFamily="34" charset="0"/>
                  </a:rPr>
                  <a:t>v průmyslu (báze 2021=100)</a:t>
                </a:r>
              </a:p>
            </c:rich>
          </c:tx>
          <c:layout>
            <c:manualLayout>
              <c:xMode val="edge"/>
              <c:yMode val="edge"/>
              <c:x val="0.97040158454025283"/>
              <c:y val="0.16649922312229412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cs-CZ"/>
          </a:p>
        </c:txPr>
        <c:crossAx val="1513731104"/>
        <c:crosses val="max"/>
        <c:crossBetween val="between"/>
        <c:majorUnit val="5"/>
      </c:valAx>
      <c:catAx>
        <c:axId val="151373110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513729024"/>
        <c:crosses val="autoZero"/>
        <c:auto val="1"/>
        <c:lblAlgn val="ctr"/>
        <c:lblOffset val="100"/>
        <c:noMultiLvlLbl val="0"/>
      </c:catAx>
      <c:spPr>
        <a:noFill/>
        <a:ln w="6350">
          <a:solidFill>
            <a:prstClr val="black">
              <a:lumMod val="95000"/>
              <a:lumOff val="5000"/>
            </a:prstClr>
          </a:solidFill>
        </a:ln>
      </c:spPr>
    </c:plotArea>
    <c:legend>
      <c:legendPos val="r"/>
      <c:layout>
        <c:manualLayout>
          <c:xMode val="edge"/>
          <c:yMode val="edge"/>
          <c:x val="7.9971508545710578E-3"/>
          <c:y val="0.78956518157248545"/>
          <c:w val="0.97852638170448147"/>
          <c:h val="0.20355147830569023"/>
        </c:manualLayout>
      </c:layout>
      <c:overlay val="0"/>
      <c:spPr>
        <a:ln w="6350">
          <a:solidFill>
            <a:prstClr val="black">
              <a:lumMod val="95000"/>
              <a:lumOff val="5000"/>
            </a:prstClr>
          </a:solidFill>
        </a:ln>
      </c:spPr>
      <c:txPr>
        <a:bodyPr/>
        <a:lstStyle/>
        <a:p>
          <a:pPr>
            <a:defRPr sz="720">
              <a:latin typeface="Arial" pitchFamily="34" charset="0"/>
              <a:cs typeface="Arial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3688042665536843E-2"/>
          <c:y val="1.5647041011259352E-2"/>
          <c:w val="0.84974974879787502"/>
          <c:h val="0.75063602214308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'výkonnost odvětví 2'!$A$36</c:f>
              <c:strCache>
                <c:ptCount val="1"/>
                <c:pt idx="0">
                  <c:v>Průmyslové zakázky celkem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</c:spPr>
          <c:invertIfNegative val="0"/>
          <c:cat>
            <c:multiLvlStrRef>
              <c:f>'výkonnost odvětví 2'!$AD$34:$BH$35</c:f>
              <c:multiLvlStrCache>
                <c:ptCount val="3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</c:lvl>
              </c:multiLvlStrCache>
            </c:multiLvlStrRef>
          </c:cat>
          <c:val>
            <c:numRef>
              <c:f>'výkonnost odvětví 2'!$AD$36:$BH$36</c:f>
              <c:numCache>
                <c:formatCode>##0.0</c:formatCode>
                <c:ptCount val="31"/>
                <c:pt idx="0">
                  <c:v>3.2993551214999997</c:v>
                </c:pt>
                <c:pt idx="1">
                  <c:v>2.9773571834000023</c:v>
                </c:pt>
                <c:pt idx="2">
                  <c:v>3.5300064828000046</c:v>
                </c:pt>
                <c:pt idx="3">
                  <c:v>2.4324207204000032</c:v>
                </c:pt>
                <c:pt idx="4">
                  <c:v>3.2234606388999936</c:v>
                </c:pt>
                <c:pt idx="5">
                  <c:v>2.1291359181000047</c:v>
                </c:pt>
                <c:pt idx="6">
                  <c:v>-1.1496242270000039</c:v>
                </c:pt>
                <c:pt idx="7">
                  <c:v>-2.8233445845000062</c:v>
                </c:pt>
                <c:pt idx="8">
                  <c:v>-4.1421474552000035</c:v>
                </c:pt>
                <c:pt idx="9">
                  <c:v>-27.261303375300002</c:v>
                </c:pt>
                <c:pt idx="10">
                  <c:v>-0.61408028729999842</c:v>
                </c:pt>
                <c:pt idx="11">
                  <c:v>6.5219093458999993</c:v>
                </c:pt>
                <c:pt idx="12">
                  <c:v>10.306370183400006</c:v>
                </c:pt>
                <c:pt idx="13">
                  <c:v>46.986357114800001</c:v>
                </c:pt>
                <c:pt idx="14">
                  <c:v>7.4299616664000041</c:v>
                </c:pt>
                <c:pt idx="15">
                  <c:v>4.1316340590999943</c:v>
                </c:pt>
                <c:pt idx="16">
                  <c:v>6.8376102407000019</c:v>
                </c:pt>
                <c:pt idx="17">
                  <c:v>10.082715985899995</c:v>
                </c:pt>
                <c:pt idx="18">
                  <c:v>15.314570161099994</c:v>
                </c:pt>
                <c:pt idx="19">
                  <c:v>12.446868734000006</c:v>
                </c:pt>
                <c:pt idx="20">
                  <c:v>2.8917668003000045</c:v>
                </c:pt>
                <c:pt idx="21">
                  <c:v>-2.3655292102999965</c:v>
                </c:pt>
                <c:pt idx="22">
                  <c:v>-4.8563875139000032</c:v>
                </c:pt>
                <c:pt idx="23">
                  <c:v>-1.0036614766000014</c:v>
                </c:pt>
                <c:pt idx="24">
                  <c:v>4.0304066054000032</c:v>
                </c:pt>
                <c:pt idx="25">
                  <c:v>3.9659516865999933</c:v>
                </c:pt>
                <c:pt idx="26">
                  <c:v>4.8745998894000024</c:v>
                </c:pt>
                <c:pt idx="27">
                  <c:v>1.1526564790000009</c:v>
                </c:pt>
                <c:pt idx="28">
                  <c:v>-0.49926960320000546</c:v>
                </c:pt>
                <c:pt idx="29" formatCode="#\ ##0.0">
                  <c:v>3.0522952873999998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8A-4BC1-B473-4CE7F27732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112768128"/>
        <c:axId val="112769664"/>
      </c:barChart>
      <c:lineChart>
        <c:grouping val="standard"/>
        <c:varyColors val="0"/>
        <c:ser>
          <c:idx val="1"/>
          <c:order val="1"/>
          <c:tx>
            <c:strRef>
              <c:f>'výkonnost odvětví 2'!$A$37</c:f>
              <c:strCache>
                <c:ptCount val="1"/>
                <c:pt idx="0">
                  <c:v>z toho: zakázky z tuzemska</c:v>
                </c:pt>
              </c:strCache>
            </c:strRef>
          </c:tx>
          <c:spPr>
            <a:ln w="15875">
              <a:noFill/>
              <a:prstDash val="sysDot"/>
            </a:ln>
          </c:spPr>
          <c:marker>
            <c:symbol val="diamond"/>
            <c:size val="5"/>
            <c:spPr>
              <a:solidFill>
                <a:srgbClr val="984807"/>
              </a:solidFill>
              <a:ln>
                <a:noFill/>
              </a:ln>
            </c:spPr>
          </c:marker>
          <c:cat>
            <c:multiLvlStrRef>
              <c:f>'výkonnost odvětví 2'!$AD$34:$BH$35</c:f>
              <c:multiLvlStrCache>
                <c:ptCount val="3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</c:lvl>
              </c:multiLvlStrCache>
            </c:multiLvlStrRef>
          </c:cat>
          <c:val>
            <c:numRef>
              <c:f>'výkonnost odvětví 2'!$AD$37:$BH$37</c:f>
              <c:numCache>
                <c:formatCode>##0.0</c:formatCode>
                <c:ptCount val="31"/>
                <c:pt idx="0">
                  <c:v>2.1530605192999985</c:v>
                </c:pt>
                <c:pt idx="1">
                  <c:v>2.440306231799994</c:v>
                </c:pt>
                <c:pt idx="2">
                  <c:v>4.7510172912000002</c:v>
                </c:pt>
                <c:pt idx="3">
                  <c:v>3.3084884759999937</c:v>
                </c:pt>
                <c:pt idx="4">
                  <c:v>7.6964313707999992</c:v>
                </c:pt>
                <c:pt idx="5">
                  <c:v>5.9656126075999936</c:v>
                </c:pt>
                <c:pt idx="6">
                  <c:v>0.2850715043000065</c:v>
                </c:pt>
                <c:pt idx="7">
                  <c:v>-0.84674153630000148</c:v>
                </c:pt>
                <c:pt idx="8">
                  <c:v>0.84542569580000304</c:v>
                </c:pt>
                <c:pt idx="9">
                  <c:v>-25.680778364399998</c:v>
                </c:pt>
                <c:pt idx="10">
                  <c:v>-3.379983194199994</c:v>
                </c:pt>
                <c:pt idx="11">
                  <c:v>5.566224000099993</c:v>
                </c:pt>
                <c:pt idx="12">
                  <c:v>2.1972991118999943</c:v>
                </c:pt>
                <c:pt idx="13">
                  <c:v>42.255338740399992</c:v>
                </c:pt>
                <c:pt idx="14">
                  <c:v>9.2552716896999954</c:v>
                </c:pt>
                <c:pt idx="15">
                  <c:v>5.7863329504999967</c:v>
                </c:pt>
                <c:pt idx="16">
                  <c:v>8.7540445882000029</c:v>
                </c:pt>
                <c:pt idx="17">
                  <c:v>15.456486609500004</c:v>
                </c:pt>
                <c:pt idx="18">
                  <c:v>26.229772175999997</c:v>
                </c:pt>
                <c:pt idx="19">
                  <c:v>19.257826357100001</c:v>
                </c:pt>
                <c:pt idx="20">
                  <c:v>12.010229528099998</c:v>
                </c:pt>
                <c:pt idx="21">
                  <c:v>2.3129168154000013</c:v>
                </c:pt>
                <c:pt idx="22">
                  <c:v>-6.7996113577000017</c:v>
                </c:pt>
                <c:pt idx="23">
                  <c:v>-0.66698683239999923</c:v>
                </c:pt>
                <c:pt idx="24">
                  <c:v>3.4196063060999933</c:v>
                </c:pt>
                <c:pt idx="25">
                  <c:v>3.1061176901999943</c:v>
                </c:pt>
                <c:pt idx="26">
                  <c:v>7.9552447427000033</c:v>
                </c:pt>
                <c:pt idx="27">
                  <c:v>2.4219370466999948</c:v>
                </c:pt>
                <c:pt idx="28">
                  <c:v>-0.14419735440000636</c:v>
                </c:pt>
                <c:pt idx="29" formatCode="#\ ##0.0">
                  <c:v>1.4326867487999948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18A-4BC1-B473-4CE7F27732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2768128"/>
        <c:axId val="112769664"/>
      </c:lineChart>
      <c:lineChart>
        <c:grouping val="standard"/>
        <c:varyColors val="0"/>
        <c:ser>
          <c:idx val="2"/>
          <c:order val="2"/>
          <c:tx>
            <c:strRef>
              <c:f>'výkonnost odvětví 2'!$A$38</c:f>
              <c:strCache>
                <c:ptCount val="1"/>
                <c:pt idx="0">
                  <c:v>Využití výrob. kapacit v průmyslu celkem</c:v>
                </c:pt>
              </c:strCache>
            </c:strRef>
          </c:tx>
          <c:spPr>
            <a:ln w="15875">
              <a:solidFill>
                <a:schemeClr val="accent6">
                  <a:lumMod val="75000"/>
                </a:schemeClr>
              </a:solidFill>
            </a:ln>
          </c:spPr>
          <c:marker>
            <c:symbol val="none"/>
          </c:marker>
          <c:cat>
            <c:multiLvlStrRef>
              <c:f>'výkonnost odvětví 2'!$AD$34:$BH$35</c:f>
              <c:multiLvlStrCache>
                <c:ptCount val="3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</c:lvl>
              </c:multiLvlStrCache>
            </c:multiLvlStrRef>
          </c:cat>
          <c:val>
            <c:numRef>
              <c:f>'výkonnost odvětví 2'!$AD$38:$BH$38</c:f>
              <c:numCache>
                <c:formatCode>##0.0</c:formatCode>
                <c:ptCount val="31"/>
                <c:pt idx="0">
                  <c:v>85.33</c:v>
                </c:pt>
                <c:pt idx="1">
                  <c:v>84.89</c:v>
                </c:pt>
                <c:pt idx="2">
                  <c:v>85.13</c:v>
                </c:pt>
                <c:pt idx="3">
                  <c:v>84.76</c:v>
                </c:pt>
                <c:pt idx="4">
                  <c:v>84.93</c:v>
                </c:pt>
                <c:pt idx="5">
                  <c:v>85.19</c:v>
                </c:pt>
                <c:pt idx="6">
                  <c:v>83.6</c:v>
                </c:pt>
                <c:pt idx="7">
                  <c:v>83.7</c:v>
                </c:pt>
                <c:pt idx="8">
                  <c:v>84.2</c:v>
                </c:pt>
                <c:pt idx="9">
                  <c:v>70.400000000000006</c:v>
                </c:pt>
                <c:pt idx="10">
                  <c:v>76.3</c:v>
                </c:pt>
                <c:pt idx="11">
                  <c:v>82.7</c:v>
                </c:pt>
                <c:pt idx="12">
                  <c:v>85.8</c:v>
                </c:pt>
                <c:pt idx="13">
                  <c:v>84.4</c:v>
                </c:pt>
                <c:pt idx="14">
                  <c:v>86.41</c:v>
                </c:pt>
                <c:pt idx="15">
                  <c:v>77.599999999999994</c:v>
                </c:pt>
                <c:pt idx="16">
                  <c:v>83.6</c:v>
                </c:pt>
                <c:pt idx="17">
                  <c:v>82.17</c:v>
                </c:pt>
                <c:pt idx="18">
                  <c:v>83.5</c:v>
                </c:pt>
                <c:pt idx="19">
                  <c:v>81.099999999999994</c:v>
                </c:pt>
                <c:pt idx="20">
                  <c:v>81.400000000000006</c:v>
                </c:pt>
                <c:pt idx="21">
                  <c:v>83.7</c:v>
                </c:pt>
                <c:pt idx="22">
                  <c:v>83.5</c:v>
                </c:pt>
                <c:pt idx="23">
                  <c:v>83.6</c:v>
                </c:pt>
                <c:pt idx="24">
                  <c:v>83.1</c:v>
                </c:pt>
                <c:pt idx="25">
                  <c:v>83</c:v>
                </c:pt>
                <c:pt idx="26">
                  <c:v>80.599999999999994</c:v>
                </c:pt>
                <c:pt idx="27">
                  <c:v>82.47</c:v>
                </c:pt>
                <c:pt idx="28">
                  <c:v>82.7</c:v>
                </c:pt>
                <c:pt idx="29">
                  <c:v>83.36</c:v>
                </c:pt>
                <c:pt idx="30">
                  <c:v>84.2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18A-4BC1-B473-4CE7F277323E}"/>
            </c:ext>
          </c:extLst>
        </c:ser>
        <c:ser>
          <c:idx val="3"/>
          <c:order val="3"/>
          <c:tx>
            <c:strRef>
              <c:f>'výkonnost odvětví 2'!$A$39</c:f>
              <c:strCache>
                <c:ptCount val="1"/>
                <c:pt idx="0">
                  <c:v>Využití výrob. kapacit v automobil. prům.</c:v>
                </c:pt>
              </c:strCache>
            </c:strRef>
          </c:tx>
          <c:spPr>
            <a:ln w="15875">
              <a:solidFill>
                <a:schemeClr val="accent6">
                  <a:lumMod val="75000"/>
                </a:schemeClr>
              </a:solidFill>
              <a:prstDash val="sysDash"/>
            </a:ln>
          </c:spPr>
          <c:marker>
            <c:symbol val="none"/>
          </c:marker>
          <c:cat>
            <c:multiLvlStrRef>
              <c:f>'výkonnost odvětví 2'!$AD$34:$BH$35</c:f>
              <c:multiLvlStrCache>
                <c:ptCount val="3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</c:lvl>
              </c:multiLvlStrCache>
            </c:multiLvlStrRef>
          </c:cat>
          <c:val>
            <c:numRef>
              <c:f>'výkonnost odvětví 2'!$AD$39:$BH$39</c:f>
              <c:numCache>
                <c:formatCode>##0.0</c:formatCode>
                <c:ptCount val="31"/>
                <c:pt idx="0">
                  <c:v>91.4</c:v>
                </c:pt>
                <c:pt idx="1">
                  <c:v>91.3</c:v>
                </c:pt>
                <c:pt idx="2">
                  <c:v>92.9</c:v>
                </c:pt>
                <c:pt idx="3">
                  <c:v>92.5</c:v>
                </c:pt>
                <c:pt idx="4">
                  <c:v>92.9</c:v>
                </c:pt>
                <c:pt idx="5">
                  <c:v>92.7</c:v>
                </c:pt>
                <c:pt idx="6">
                  <c:v>92.8</c:v>
                </c:pt>
                <c:pt idx="7">
                  <c:v>93</c:v>
                </c:pt>
                <c:pt idx="8">
                  <c:v>90.6</c:v>
                </c:pt>
                <c:pt idx="9">
                  <c:v>45</c:v>
                </c:pt>
                <c:pt idx="10">
                  <c:v>79.099999999999994</c:v>
                </c:pt>
                <c:pt idx="11">
                  <c:v>96.9</c:v>
                </c:pt>
                <c:pt idx="12">
                  <c:v>94.9</c:v>
                </c:pt>
                <c:pt idx="13">
                  <c:v>89.6</c:v>
                </c:pt>
                <c:pt idx="14">
                  <c:v>95.3</c:v>
                </c:pt>
                <c:pt idx="15">
                  <c:v>55.8</c:v>
                </c:pt>
                <c:pt idx="16">
                  <c:v>84.5</c:v>
                </c:pt>
                <c:pt idx="17">
                  <c:v>76.7</c:v>
                </c:pt>
                <c:pt idx="18">
                  <c:v>79</c:v>
                </c:pt>
                <c:pt idx="19">
                  <c:v>74.099999999999994</c:v>
                </c:pt>
                <c:pt idx="20">
                  <c:v>79.400000000000006</c:v>
                </c:pt>
                <c:pt idx="21">
                  <c:v>92.7</c:v>
                </c:pt>
                <c:pt idx="22">
                  <c:v>92.2</c:v>
                </c:pt>
                <c:pt idx="23">
                  <c:v>92.2</c:v>
                </c:pt>
                <c:pt idx="24">
                  <c:v>92.7</c:v>
                </c:pt>
                <c:pt idx="25">
                  <c:v>93.5</c:v>
                </c:pt>
                <c:pt idx="26">
                  <c:v>89.9</c:v>
                </c:pt>
                <c:pt idx="27">
                  <c:v>92.9</c:v>
                </c:pt>
                <c:pt idx="28">
                  <c:v>93.100000000000009</c:v>
                </c:pt>
                <c:pt idx="29">
                  <c:v>91.5</c:v>
                </c:pt>
                <c:pt idx="30">
                  <c:v>99.9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18A-4BC1-B473-4CE7F277323E}"/>
            </c:ext>
          </c:extLst>
        </c:ser>
        <c:ser>
          <c:idx val="4"/>
          <c:order val="4"/>
          <c:tx>
            <c:strRef>
              <c:f>'výkonnost odvětví 2'!$A$40</c:f>
              <c:strCache>
                <c:ptCount val="1"/>
                <c:pt idx="0">
                  <c:v>Bariéra růstu: nedostatečná poptávka</c:v>
                </c:pt>
              </c:strCache>
            </c:strRef>
          </c:tx>
          <c:spPr>
            <a:ln w="15875">
              <a:solidFill>
                <a:srgbClr val="00B050"/>
              </a:solidFill>
              <a:prstDash val="solid"/>
            </a:ln>
          </c:spPr>
          <c:marker>
            <c:symbol val="none"/>
          </c:marker>
          <c:cat>
            <c:multiLvlStrRef>
              <c:f>'výkonnost odvětví 2'!$AD$34:$BH$35</c:f>
              <c:multiLvlStrCache>
                <c:ptCount val="3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</c:lvl>
              </c:multiLvlStrCache>
            </c:multiLvlStrRef>
          </c:cat>
          <c:val>
            <c:numRef>
              <c:f>'výkonnost odvětví 2'!$AD$40:$BH$40</c:f>
              <c:numCache>
                <c:formatCode>#\ ##0.0</c:formatCode>
                <c:ptCount val="31"/>
                <c:pt idx="0">
                  <c:v>35.4</c:v>
                </c:pt>
                <c:pt idx="1">
                  <c:v>36.299999999999997</c:v>
                </c:pt>
                <c:pt idx="2">
                  <c:v>32.4</c:v>
                </c:pt>
                <c:pt idx="3">
                  <c:v>32.9</c:v>
                </c:pt>
                <c:pt idx="4">
                  <c:v>33.799999999999997</c:v>
                </c:pt>
                <c:pt idx="5">
                  <c:v>36.200000000000003</c:v>
                </c:pt>
                <c:pt idx="6">
                  <c:v>41</c:v>
                </c:pt>
                <c:pt idx="7">
                  <c:v>47.1</c:v>
                </c:pt>
                <c:pt idx="8">
                  <c:v>49.8</c:v>
                </c:pt>
                <c:pt idx="9">
                  <c:v>58.8</c:v>
                </c:pt>
                <c:pt idx="10">
                  <c:v>63</c:v>
                </c:pt>
                <c:pt idx="11">
                  <c:v>44.4</c:v>
                </c:pt>
                <c:pt idx="12">
                  <c:v>46.9</c:v>
                </c:pt>
                <c:pt idx="13">
                  <c:v>38.700000000000003</c:v>
                </c:pt>
                <c:pt idx="14">
                  <c:v>25.4</c:v>
                </c:pt>
                <c:pt idx="15">
                  <c:v>27.9</c:v>
                </c:pt>
                <c:pt idx="16">
                  <c:v>29.9</c:v>
                </c:pt>
                <c:pt idx="17">
                  <c:v>21.3</c:v>
                </c:pt>
                <c:pt idx="18">
                  <c:v>18.7</c:v>
                </c:pt>
                <c:pt idx="19">
                  <c:v>29.4</c:v>
                </c:pt>
                <c:pt idx="20">
                  <c:v>42.5</c:v>
                </c:pt>
                <c:pt idx="21">
                  <c:v>42</c:v>
                </c:pt>
                <c:pt idx="22">
                  <c:v>44.3</c:v>
                </c:pt>
                <c:pt idx="23">
                  <c:v>46.2</c:v>
                </c:pt>
                <c:pt idx="24">
                  <c:v>47.5</c:v>
                </c:pt>
                <c:pt idx="25">
                  <c:v>49.8</c:v>
                </c:pt>
                <c:pt idx="26">
                  <c:v>52</c:v>
                </c:pt>
                <c:pt idx="27">
                  <c:v>49</c:v>
                </c:pt>
                <c:pt idx="28">
                  <c:v>63.5</c:v>
                </c:pt>
                <c:pt idx="29">
                  <c:v>51.7</c:v>
                </c:pt>
                <c:pt idx="30">
                  <c:v>52.7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118A-4BC1-B473-4CE7F277323E}"/>
            </c:ext>
          </c:extLst>
        </c:ser>
        <c:ser>
          <c:idx val="5"/>
          <c:order val="5"/>
          <c:tx>
            <c:strRef>
              <c:f>'výkonnost odvětví 2'!$A$41</c:f>
              <c:strCache>
                <c:ptCount val="1"/>
                <c:pt idx="0">
                  <c:v>Bariéra růstu: nedostatek pracovníků</c:v>
                </c:pt>
              </c:strCache>
            </c:strRef>
          </c:tx>
          <c:spPr>
            <a:ln w="15875">
              <a:solidFill>
                <a:srgbClr val="6FE772"/>
              </a:solidFill>
              <a:prstDash val="solid"/>
            </a:ln>
          </c:spPr>
          <c:marker>
            <c:symbol val="none"/>
          </c:marker>
          <c:cat>
            <c:multiLvlStrRef>
              <c:f>'výkonnost odvětví 2'!$AD$34:$BH$35</c:f>
              <c:multiLvlStrCache>
                <c:ptCount val="3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</c:lvl>
              </c:multiLvlStrCache>
            </c:multiLvlStrRef>
          </c:cat>
          <c:val>
            <c:numRef>
              <c:f>'výkonnost odvětví 2'!$AD$41:$BH$41</c:f>
              <c:numCache>
                <c:formatCode>#\ ##0.0</c:formatCode>
                <c:ptCount val="31"/>
                <c:pt idx="0">
                  <c:v>43.5</c:v>
                </c:pt>
                <c:pt idx="1">
                  <c:v>42.3</c:v>
                </c:pt>
                <c:pt idx="2">
                  <c:v>43.2</c:v>
                </c:pt>
                <c:pt idx="3">
                  <c:v>46.3</c:v>
                </c:pt>
                <c:pt idx="4">
                  <c:v>39</c:v>
                </c:pt>
                <c:pt idx="5">
                  <c:v>35.1</c:v>
                </c:pt>
                <c:pt idx="6">
                  <c:v>40.200000000000003</c:v>
                </c:pt>
                <c:pt idx="7">
                  <c:v>39.200000000000003</c:v>
                </c:pt>
                <c:pt idx="8">
                  <c:v>27.7</c:v>
                </c:pt>
                <c:pt idx="9">
                  <c:v>13.5</c:v>
                </c:pt>
                <c:pt idx="10">
                  <c:v>16.7</c:v>
                </c:pt>
                <c:pt idx="11">
                  <c:v>17.600000000000001</c:v>
                </c:pt>
                <c:pt idx="12">
                  <c:v>22</c:v>
                </c:pt>
                <c:pt idx="13">
                  <c:v>18.399999999999999</c:v>
                </c:pt>
                <c:pt idx="14">
                  <c:v>27.6</c:v>
                </c:pt>
                <c:pt idx="15">
                  <c:v>22.6</c:v>
                </c:pt>
                <c:pt idx="16">
                  <c:v>24.9</c:v>
                </c:pt>
                <c:pt idx="17">
                  <c:v>18.600000000000001</c:v>
                </c:pt>
                <c:pt idx="18">
                  <c:v>26.1</c:v>
                </c:pt>
                <c:pt idx="19">
                  <c:v>24.9</c:v>
                </c:pt>
                <c:pt idx="20">
                  <c:v>16.600000000000001</c:v>
                </c:pt>
                <c:pt idx="21">
                  <c:v>20.6</c:v>
                </c:pt>
                <c:pt idx="22">
                  <c:v>18.899999999999999</c:v>
                </c:pt>
                <c:pt idx="23">
                  <c:v>22.5</c:v>
                </c:pt>
                <c:pt idx="24">
                  <c:v>14.6</c:v>
                </c:pt>
                <c:pt idx="25">
                  <c:v>11.8</c:v>
                </c:pt>
                <c:pt idx="26">
                  <c:v>12.8</c:v>
                </c:pt>
                <c:pt idx="27">
                  <c:v>17.8</c:v>
                </c:pt>
                <c:pt idx="28">
                  <c:v>13.2</c:v>
                </c:pt>
                <c:pt idx="29">
                  <c:v>10.6</c:v>
                </c:pt>
                <c:pt idx="30">
                  <c:v>9.6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118A-4BC1-B473-4CE7F277323E}"/>
            </c:ext>
          </c:extLst>
        </c:ser>
        <c:ser>
          <c:idx val="6"/>
          <c:order val="6"/>
          <c:tx>
            <c:strRef>
              <c:f>'výkonnost odvětví 2'!$A$42</c:f>
              <c:strCache>
                <c:ptCount val="1"/>
                <c:pt idx="0">
                  <c:v>Bariéra růstu: nedost. materiálu a zařízení</c:v>
                </c:pt>
              </c:strCache>
            </c:strRef>
          </c:tx>
          <c:spPr>
            <a:ln w="15875">
              <a:solidFill>
                <a:schemeClr val="accent3">
                  <a:lumMod val="75000"/>
                </a:schemeClr>
              </a:solidFill>
              <a:prstDash val="dash"/>
            </a:ln>
          </c:spPr>
          <c:marker>
            <c:symbol val="none"/>
          </c:marker>
          <c:cat>
            <c:multiLvlStrRef>
              <c:f>'výkonnost odvětví 2'!$AD$34:$BH$35</c:f>
              <c:multiLvlStrCache>
                <c:ptCount val="3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</c:lvl>
              </c:multiLvlStrCache>
            </c:multiLvlStrRef>
          </c:cat>
          <c:val>
            <c:numRef>
              <c:f>'výkonnost odvětví 2'!$AD$42:$BH$42</c:f>
              <c:numCache>
                <c:formatCode>#\ ##0.0</c:formatCode>
                <c:ptCount val="31"/>
                <c:pt idx="0">
                  <c:v>11.9</c:v>
                </c:pt>
                <c:pt idx="1">
                  <c:v>11.7</c:v>
                </c:pt>
                <c:pt idx="2">
                  <c:v>13.9</c:v>
                </c:pt>
                <c:pt idx="3">
                  <c:v>23.5</c:v>
                </c:pt>
                <c:pt idx="4">
                  <c:v>26.4</c:v>
                </c:pt>
                <c:pt idx="5">
                  <c:v>24.7</c:v>
                </c:pt>
                <c:pt idx="6">
                  <c:v>22</c:v>
                </c:pt>
                <c:pt idx="7">
                  <c:v>10.5</c:v>
                </c:pt>
                <c:pt idx="8">
                  <c:v>17.899999999999999</c:v>
                </c:pt>
                <c:pt idx="9">
                  <c:v>10.199999999999999</c:v>
                </c:pt>
                <c:pt idx="10">
                  <c:v>6.7</c:v>
                </c:pt>
                <c:pt idx="11">
                  <c:v>10.9</c:v>
                </c:pt>
                <c:pt idx="12">
                  <c:v>23.1</c:v>
                </c:pt>
                <c:pt idx="13">
                  <c:v>32.1</c:v>
                </c:pt>
                <c:pt idx="14">
                  <c:v>45.9</c:v>
                </c:pt>
                <c:pt idx="15">
                  <c:v>41.2</c:v>
                </c:pt>
                <c:pt idx="16">
                  <c:v>39.299999999999997</c:v>
                </c:pt>
                <c:pt idx="17">
                  <c:v>47.8</c:v>
                </c:pt>
                <c:pt idx="18">
                  <c:v>53.4</c:v>
                </c:pt>
                <c:pt idx="19">
                  <c:v>46.4</c:v>
                </c:pt>
                <c:pt idx="20">
                  <c:v>37.4</c:v>
                </c:pt>
                <c:pt idx="21">
                  <c:v>32.5</c:v>
                </c:pt>
                <c:pt idx="22">
                  <c:v>20.6</c:v>
                </c:pt>
                <c:pt idx="23">
                  <c:v>17.100000000000001</c:v>
                </c:pt>
                <c:pt idx="24">
                  <c:v>32.700000000000003</c:v>
                </c:pt>
                <c:pt idx="25">
                  <c:v>28.1</c:v>
                </c:pt>
                <c:pt idx="26">
                  <c:v>13</c:v>
                </c:pt>
                <c:pt idx="27">
                  <c:v>24.7</c:v>
                </c:pt>
                <c:pt idx="28">
                  <c:v>11.9</c:v>
                </c:pt>
                <c:pt idx="29">
                  <c:v>25</c:v>
                </c:pt>
                <c:pt idx="30">
                  <c:v>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118A-4BC1-B473-4CE7F277323E}"/>
            </c:ext>
          </c:extLst>
        </c:ser>
        <c:ser>
          <c:idx val="7"/>
          <c:order val="7"/>
          <c:tx>
            <c:strRef>
              <c:f>'výkonnost odvětví 2'!$A$43</c:f>
              <c:strCache>
                <c:ptCount val="1"/>
                <c:pt idx="0">
                  <c:v>Saldo souhrn. indik. důvěry v průmyslu</c:v>
                </c:pt>
              </c:strCache>
            </c:strRef>
          </c:tx>
          <c:spPr>
            <a:ln w="15875">
              <a:solidFill>
                <a:schemeClr val="bg1">
                  <a:lumMod val="65000"/>
                </a:schemeClr>
              </a:solidFill>
              <a:prstDash val="sysDot"/>
            </a:ln>
          </c:spPr>
          <c:marker>
            <c:symbol val="circle"/>
            <c:size val="5"/>
            <c:spPr>
              <a:solidFill>
                <a:srgbClr val="FFFF00"/>
              </a:solidFill>
              <a:ln>
                <a:solidFill>
                  <a:schemeClr val="tx1">
                    <a:lumMod val="50000"/>
                    <a:lumOff val="50000"/>
                  </a:schemeClr>
                </a:solidFill>
              </a:ln>
            </c:spPr>
          </c:marker>
          <c:cat>
            <c:multiLvlStrRef>
              <c:f>'výkonnost odvětví 2'!$AD$34:$BH$35</c:f>
              <c:multiLvlStrCache>
                <c:ptCount val="3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</c:lvl>
              </c:multiLvlStrCache>
            </c:multiLvlStrRef>
          </c:cat>
          <c:val>
            <c:numRef>
              <c:f>'výkonnost odvětví 2'!$AD$43:$BH$43</c:f>
              <c:numCache>
                <c:formatCode>#\ ##0.0</c:formatCode>
                <c:ptCount val="31"/>
                <c:pt idx="0">
                  <c:v>3.7</c:v>
                </c:pt>
                <c:pt idx="1">
                  <c:v>2</c:v>
                </c:pt>
                <c:pt idx="2">
                  <c:v>2.2999999999999998</c:v>
                </c:pt>
                <c:pt idx="3">
                  <c:v>2.2999999999999998</c:v>
                </c:pt>
                <c:pt idx="4">
                  <c:v>0.3</c:v>
                </c:pt>
                <c:pt idx="5">
                  <c:v>-2</c:v>
                </c:pt>
                <c:pt idx="6">
                  <c:v>-3</c:v>
                </c:pt>
                <c:pt idx="7">
                  <c:v>-6.7</c:v>
                </c:pt>
                <c:pt idx="8">
                  <c:v>-5</c:v>
                </c:pt>
                <c:pt idx="9">
                  <c:v>-25</c:v>
                </c:pt>
                <c:pt idx="10">
                  <c:v>-6.3</c:v>
                </c:pt>
                <c:pt idx="11">
                  <c:v>-10</c:v>
                </c:pt>
                <c:pt idx="12">
                  <c:v>-1.3</c:v>
                </c:pt>
                <c:pt idx="13">
                  <c:v>5.3</c:v>
                </c:pt>
                <c:pt idx="14">
                  <c:v>-1.3</c:v>
                </c:pt>
                <c:pt idx="15">
                  <c:v>-5.3</c:v>
                </c:pt>
                <c:pt idx="16">
                  <c:v>-0.3</c:v>
                </c:pt>
                <c:pt idx="17">
                  <c:v>8.3000000000000007</c:v>
                </c:pt>
                <c:pt idx="18">
                  <c:v>-1.7</c:v>
                </c:pt>
                <c:pt idx="19">
                  <c:v>-8.3000000000000007</c:v>
                </c:pt>
                <c:pt idx="20">
                  <c:v>-10.1</c:v>
                </c:pt>
                <c:pt idx="21">
                  <c:v>-7</c:v>
                </c:pt>
                <c:pt idx="22">
                  <c:v>-7</c:v>
                </c:pt>
                <c:pt idx="23">
                  <c:v>-6</c:v>
                </c:pt>
                <c:pt idx="24">
                  <c:v>-14</c:v>
                </c:pt>
                <c:pt idx="25">
                  <c:v>-8.6999999999999993</c:v>
                </c:pt>
                <c:pt idx="26">
                  <c:v>-7.7</c:v>
                </c:pt>
                <c:pt idx="27">
                  <c:v>-8.3000000000000007</c:v>
                </c:pt>
                <c:pt idx="28">
                  <c:v>-6</c:v>
                </c:pt>
                <c:pt idx="29">
                  <c:v>-5.3</c:v>
                </c:pt>
                <c:pt idx="30">
                  <c:v>-6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118A-4BC1-B473-4CE7F27732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39819375"/>
        <c:axId val="1239826863"/>
      </c:lineChart>
      <c:catAx>
        <c:axId val="1127681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crossAx val="112769664"/>
        <c:crosses val="autoZero"/>
        <c:auto val="1"/>
        <c:lblAlgn val="ctr"/>
        <c:lblOffset val="0"/>
        <c:noMultiLvlLbl val="0"/>
      </c:catAx>
      <c:valAx>
        <c:axId val="112769664"/>
        <c:scaling>
          <c:orientation val="minMax"/>
          <c:max val="100"/>
          <c:min val="-30"/>
        </c:scaling>
        <c:delete val="0"/>
        <c:axPos val="l"/>
        <c:majorGridlines>
          <c:spPr>
            <a:ln>
              <a:solidFill>
                <a:srgbClr val="BEBEBE"/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700" b="0" i="1"/>
                </a:pPr>
                <a:r>
                  <a:rPr lang="cs-CZ" sz="700" b="0" i="1"/>
                  <a:t>Zakázky</a:t>
                </a:r>
              </a:p>
            </c:rich>
          </c:tx>
          <c:layout/>
          <c:overlay val="0"/>
        </c:title>
        <c:numFmt formatCode="0" sourceLinked="0"/>
        <c:majorTickMark val="out"/>
        <c:minorTickMark val="none"/>
        <c:tickLblPos val="nextTo"/>
        <c:crossAx val="112768128"/>
        <c:crosses val="autoZero"/>
        <c:crossBetween val="between"/>
        <c:majorUnit val="10"/>
      </c:valAx>
      <c:valAx>
        <c:axId val="1239826863"/>
        <c:scaling>
          <c:orientation val="minMax"/>
          <c:max val="100"/>
          <c:min val="-30"/>
        </c:scaling>
        <c:delete val="0"/>
        <c:axPos val="r"/>
        <c:title>
          <c:tx>
            <c:rich>
              <a:bodyPr/>
              <a:lstStyle/>
              <a:p>
                <a:pPr marL="0" marR="0" lvl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700" b="0" i="1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 sz="700" b="0" i="1"/>
                  <a:t>Využití výrob.</a:t>
                </a:r>
                <a:r>
                  <a:rPr lang="cs-CZ" sz="700" b="0" i="1" baseline="0"/>
                  <a:t> </a:t>
                </a:r>
                <a:r>
                  <a:rPr lang="cs-CZ" sz="700" b="0" i="1"/>
                  <a:t>kapacit, bariéry růstu, </a:t>
                </a:r>
                <a:r>
                  <a:rPr lang="cs-CZ" sz="700" b="0" i="1" baseline="0">
                    <a:effectLst/>
                  </a:rPr>
                  <a:t>saldo důvěry</a:t>
                </a:r>
                <a:endParaRPr lang="cs-CZ" sz="700" i="1">
                  <a:effectLst/>
                </a:endParaRPr>
              </a:p>
            </c:rich>
          </c:tx>
          <c:layout/>
          <c:overlay val="0"/>
        </c:title>
        <c:numFmt formatCode="#,##0" sourceLinked="0"/>
        <c:majorTickMark val="out"/>
        <c:minorTickMark val="none"/>
        <c:tickLblPos val="nextTo"/>
        <c:crossAx val="1239819375"/>
        <c:crosses val="max"/>
        <c:crossBetween val="between"/>
        <c:majorUnit val="10"/>
      </c:valAx>
      <c:catAx>
        <c:axId val="1239819375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239826863"/>
        <c:crosses val="autoZero"/>
        <c:auto val="1"/>
        <c:lblAlgn val="ctr"/>
        <c:lblOffset val="100"/>
        <c:noMultiLvlLbl val="0"/>
      </c:catAx>
      <c:spPr>
        <a:noFill/>
        <a:ln w="6350">
          <a:solidFill>
            <a:prstClr val="black">
              <a:lumMod val="95000"/>
              <a:lumOff val="5000"/>
            </a:prstClr>
          </a:solidFill>
        </a:ln>
      </c:spPr>
    </c:plotArea>
    <c:legend>
      <c:legendPos val="r"/>
      <c:layout>
        <c:manualLayout>
          <c:xMode val="edge"/>
          <c:yMode val="edge"/>
          <c:x val="0"/>
          <c:y val="0.85237242835695315"/>
          <c:w val="0.9918210452108337"/>
          <c:h val="0.14064337133398228"/>
        </c:manualLayout>
      </c:layout>
      <c:overlay val="0"/>
      <c:spPr>
        <a:ln w="6350">
          <a:solidFill>
            <a:prstClr val="black">
              <a:lumMod val="95000"/>
              <a:lumOff val="5000"/>
            </a:prstClr>
          </a:solidFill>
        </a:ln>
      </c:spPr>
      <c:txPr>
        <a:bodyPr/>
        <a:lstStyle/>
        <a:p>
          <a:pPr>
            <a:defRPr sz="780"/>
          </a:pPr>
          <a:endParaRPr lang="cs-CZ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3695346289980312E-2"/>
          <c:y val="1.5663550999370279E-2"/>
          <c:w val="0.85237839893753009"/>
          <c:h val="0.75413191483370345"/>
        </c:manualLayout>
      </c:layout>
      <c:barChart>
        <c:barDir val="col"/>
        <c:grouping val="stacked"/>
        <c:varyColors val="0"/>
        <c:ser>
          <c:idx val="1"/>
          <c:order val="1"/>
          <c:tx>
            <c:strRef>
              <c:f>'výkonnost odvětví 3'!$Y$10</c:f>
              <c:strCache>
                <c:ptCount val="1"/>
                <c:pt idx="0">
                  <c:v>Pozemní stavitelství (příspěvek v p. b.)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</c:spPr>
          <c:invertIfNegative val="0"/>
          <c:cat>
            <c:multiLvlStrRef>
              <c:f>'výkonnost odvětví 3'!$V$39:$W$73</c:f>
              <c:multiLvlStrCache>
                <c:ptCount val="35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'výkonnost odvětví 3'!$Y$39:$Y$73</c:f>
              <c:numCache>
                <c:formatCode>0.0</c:formatCode>
                <c:ptCount val="35"/>
                <c:pt idx="0">
                  <c:v>1.8184391409963183</c:v>
                </c:pt>
                <c:pt idx="1">
                  <c:v>9.5161866462127591</c:v>
                </c:pt>
                <c:pt idx="2">
                  <c:v>3.2650480956647101</c:v>
                </c:pt>
                <c:pt idx="3">
                  <c:v>2.3080512624186582</c:v>
                </c:pt>
                <c:pt idx="4">
                  <c:v>13.03945936285723</c:v>
                </c:pt>
                <c:pt idx="5">
                  <c:v>5.6850806062932691</c:v>
                </c:pt>
                <c:pt idx="6">
                  <c:v>7.0360284655916843</c:v>
                </c:pt>
                <c:pt idx="7">
                  <c:v>2.3869078764089551</c:v>
                </c:pt>
                <c:pt idx="8">
                  <c:v>2.4727635166988904</c:v>
                </c:pt>
                <c:pt idx="9">
                  <c:v>2.9341574628565184</c:v>
                </c:pt>
                <c:pt idx="10">
                  <c:v>-0.67535503037809974</c:v>
                </c:pt>
                <c:pt idx="11">
                  <c:v>1.7116954805541695</c:v>
                </c:pt>
                <c:pt idx="12">
                  <c:v>-0.69584807703081708</c:v>
                </c:pt>
                <c:pt idx="13">
                  <c:v>-7.7523651483361817</c:v>
                </c:pt>
                <c:pt idx="14">
                  <c:v>-7.0746219815718092</c:v>
                </c:pt>
                <c:pt idx="15">
                  <c:v>-7.7412314636348327</c:v>
                </c:pt>
                <c:pt idx="16">
                  <c:v>-5.0520494374212888</c:v>
                </c:pt>
                <c:pt idx="17">
                  <c:v>2.4906244715597126</c:v>
                </c:pt>
                <c:pt idx="18">
                  <c:v>2.6923451868462394</c:v>
                </c:pt>
                <c:pt idx="19">
                  <c:v>5.4076792571171666</c:v>
                </c:pt>
                <c:pt idx="20">
                  <c:v>7.2853539580957829</c:v>
                </c:pt>
                <c:pt idx="21">
                  <c:v>3.5239917186870144</c:v>
                </c:pt>
                <c:pt idx="22">
                  <c:v>-0.759376275957095</c:v>
                </c:pt>
                <c:pt idx="23">
                  <c:v>-1.4680903370854708</c:v>
                </c:pt>
                <c:pt idx="24">
                  <c:v>2.1050314028913277</c:v>
                </c:pt>
                <c:pt idx="25">
                  <c:v>-1.8433875241377251</c:v>
                </c:pt>
                <c:pt idx="26">
                  <c:v>-0.47156616613946767</c:v>
                </c:pt>
                <c:pt idx="27">
                  <c:v>-2.33977096037043</c:v>
                </c:pt>
                <c:pt idx="28">
                  <c:v>-5.2349361763943705</c:v>
                </c:pt>
                <c:pt idx="29">
                  <c:v>-3.1291848127801529</c:v>
                </c:pt>
                <c:pt idx="30">
                  <c:v>-1.8124061857035514</c:v>
                </c:pt>
                <c:pt idx="31">
                  <c:v>1.6840581733655284</c:v>
                </c:pt>
                <c:pt idx="32">
                  <c:v>5.1726673883289322</c:v>
                </c:pt>
                <c:pt idx="33">
                  <c:v>6.0868099671715035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25E-47D2-B3D0-494852E75DBA}"/>
            </c:ext>
          </c:extLst>
        </c:ser>
        <c:ser>
          <c:idx val="2"/>
          <c:order val="2"/>
          <c:tx>
            <c:strRef>
              <c:f>'výkonnost odvětví 3'!$Z$10</c:f>
              <c:strCache>
                <c:ptCount val="1"/>
                <c:pt idx="0">
                  <c:v>Inženýrské stavitelství (příspěvek v p. b.)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</c:spPr>
          <c:invertIfNegative val="0"/>
          <c:cat>
            <c:multiLvlStrRef>
              <c:f>'výkonnost odvětví 3'!$V$39:$W$73</c:f>
              <c:multiLvlStrCache>
                <c:ptCount val="35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'výkonnost odvětví 3'!$Z$39:$Z$73</c:f>
              <c:numCache>
                <c:formatCode>0.0</c:formatCode>
                <c:ptCount val="35"/>
                <c:pt idx="0">
                  <c:v>-4.1473356084740658</c:v>
                </c:pt>
                <c:pt idx="1">
                  <c:v>-1.1362269417632547</c:v>
                </c:pt>
                <c:pt idx="2">
                  <c:v>-1.6997694917449735</c:v>
                </c:pt>
                <c:pt idx="3">
                  <c:v>0.18912136047289607</c:v>
                </c:pt>
                <c:pt idx="4">
                  <c:v>2.3138551611840654</c:v>
                </c:pt>
                <c:pt idx="5">
                  <c:v>1.4433818342413218</c:v>
                </c:pt>
                <c:pt idx="6">
                  <c:v>5.805340800033207</c:v>
                </c:pt>
                <c:pt idx="7">
                  <c:v>2.0257219814852476</c:v>
                </c:pt>
                <c:pt idx="8">
                  <c:v>2.8832113797347176</c:v>
                </c:pt>
                <c:pt idx="9">
                  <c:v>2.2916559515195729</c:v>
                </c:pt>
                <c:pt idx="10">
                  <c:v>0.12751036500530688</c:v>
                </c:pt>
                <c:pt idx="11">
                  <c:v>0.80716183036284406</c:v>
                </c:pt>
                <c:pt idx="12">
                  <c:v>2.6239699221333552</c:v>
                </c:pt>
                <c:pt idx="13">
                  <c:v>0.26317252359280019</c:v>
                </c:pt>
                <c:pt idx="14">
                  <c:v>-3.3347591135837291</c:v>
                </c:pt>
                <c:pt idx="15">
                  <c:v>-0.42839192125114778</c:v>
                </c:pt>
                <c:pt idx="16">
                  <c:v>-0.39868744432976655</c:v>
                </c:pt>
                <c:pt idx="17">
                  <c:v>1.8530005154865989</c:v>
                </c:pt>
                <c:pt idx="18">
                  <c:v>0.5246492377172558</c:v>
                </c:pt>
                <c:pt idx="19">
                  <c:v>-1.0582703947490444</c:v>
                </c:pt>
                <c:pt idx="20">
                  <c:v>5.3489032683753663</c:v>
                </c:pt>
                <c:pt idx="21">
                  <c:v>1.3469781421815412</c:v>
                </c:pt>
                <c:pt idx="22">
                  <c:v>0.66693038934005244</c:v>
                </c:pt>
                <c:pt idx="23">
                  <c:v>1.4234465810023664</c:v>
                </c:pt>
                <c:pt idx="24">
                  <c:v>-3.8427566286935786</c:v>
                </c:pt>
                <c:pt idx="25">
                  <c:v>-2.3519204066668209</c:v>
                </c:pt>
                <c:pt idx="26">
                  <c:v>-0.12486883132544335</c:v>
                </c:pt>
                <c:pt idx="27">
                  <c:v>-0.56906115133368473</c:v>
                </c:pt>
                <c:pt idx="28">
                  <c:v>1.1735525821232073</c:v>
                </c:pt>
                <c:pt idx="29">
                  <c:v>-1.4598951663558069</c:v>
                </c:pt>
                <c:pt idx="30">
                  <c:v>0.28972268692703551</c:v>
                </c:pt>
                <c:pt idx="31">
                  <c:v>1.5102390665044254</c:v>
                </c:pt>
                <c:pt idx="32">
                  <c:v>2.0166577686776179</c:v>
                </c:pt>
                <c:pt idx="33">
                  <c:v>4.8315780525636063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25E-47D2-B3D0-494852E75D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overlap val="100"/>
        <c:axId val="112768128"/>
        <c:axId val="112769664"/>
      </c:barChart>
      <c:lineChart>
        <c:grouping val="standard"/>
        <c:varyColors val="0"/>
        <c:ser>
          <c:idx val="0"/>
          <c:order val="0"/>
          <c:tx>
            <c:strRef>
              <c:f>'výkonnost odvětví 3'!$X$10</c:f>
              <c:strCache>
                <c:ptCount val="1"/>
                <c:pt idx="0">
                  <c:v>Celková stavební produkce</c:v>
                </c:pt>
              </c:strCache>
            </c:strRef>
          </c:tx>
          <c:spPr>
            <a:ln>
              <a:noFill/>
            </a:ln>
          </c:spPr>
          <c:marker>
            <c:symbol val="dash"/>
            <c:size val="5"/>
            <c:spPr>
              <a:solidFill>
                <a:schemeClr val="bg1"/>
              </a:solidFill>
              <a:ln>
                <a:solidFill>
                  <a:schemeClr val="tx1">
                    <a:lumMod val="95000"/>
                    <a:lumOff val="5000"/>
                  </a:schemeClr>
                </a:solidFill>
              </a:ln>
            </c:spPr>
          </c:marker>
          <c:cat>
            <c:multiLvlStrRef>
              <c:f>'výkonnost odvětví 3'!$V$39:$W$73</c:f>
              <c:multiLvlStrCache>
                <c:ptCount val="35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'výkonnost odvětví 3'!$X$39:$X$73</c:f>
              <c:numCache>
                <c:formatCode>0.0</c:formatCode>
                <c:ptCount val="35"/>
                <c:pt idx="0">
                  <c:v>-2.3288964674777333</c:v>
                </c:pt>
                <c:pt idx="1">
                  <c:v>8.3799597044495187</c:v>
                </c:pt>
                <c:pt idx="2">
                  <c:v>1.5652786039197082</c:v>
                </c:pt>
                <c:pt idx="3">
                  <c:v>2.4971726228915543</c:v>
                </c:pt>
                <c:pt idx="4">
                  <c:v>15.353314524041323</c:v>
                </c:pt>
                <c:pt idx="5">
                  <c:v>7.1284624405346051</c:v>
                </c:pt>
                <c:pt idx="6">
                  <c:v>12.84136926562492</c:v>
                </c:pt>
                <c:pt idx="7">
                  <c:v>4.4126298578942169</c:v>
                </c:pt>
                <c:pt idx="8">
                  <c:v>5.355974896433608</c:v>
                </c:pt>
                <c:pt idx="9">
                  <c:v>5.2258134143760628</c:v>
                </c:pt>
                <c:pt idx="10">
                  <c:v>-0.54784466537280707</c:v>
                </c:pt>
                <c:pt idx="11">
                  <c:v>2.5188573109169852</c:v>
                </c:pt>
                <c:pt idx="12">
                  <c:v>1.9281218451025097</c:v>
                </c:pt>
                <c:pt idx="13">
                  <c:v>-7.4891926247433389</c:v>
                </c:pt>
                <c:pt idx="14">
                  <c:v>-10.409381095155538</c:v>
                </c:pt>
                <c:pt idx="15">
                  <c:v>-8.1696233848859805</c:v>
                </c:pt>
                <c:pt idx="16">
                  <c:v>-5.4448117760834975</c:v>
                </c:pt>
                <c:pt idx="17">
                  <c:v>4.3501638746419786</c:v>
                </c:pt>
                <c:pt idx="18">
                  <c:v>3.2234627097566602</c:v>
                </c:pt>
                <c:pt idx="19">
                  <c:v>4.3559481124211032</c:v>
                </c:pt>
                <c:pt idx="20">
                  <c:v>12.634257226471163</c:v>
                </c:pt>
                <c:pt idx="21">
                  <c:v>4.8709698608685699</c:v>
                </c:pt>
                <c:pt idx="22">
                  <c:v>-9.2445886617042561E-2</c:v>
                </c:pt>
                <c:pt idx="23">
                  <c:v>-4.4643756083118546E-2</c:v>
                </c:pt>
                <c:pt idx="24">
                  <c:v>-1.7377252258022651</c:v>
                </c:pt>
                <c:pt idx="25">
                  <c:v>-4.1953079308045602</c:v>
                </c:pt>
                <c:pt idx="26">
                  <c:v>-0.59643499746492523</c:v>
                </c:pt>
                <c:pt idx="27">
                  <c:v>-2.9088321117041147</c:v>
                </c:pt>
                <c:pt idx="28">
                  <c:v>-4.0613835942711773</c:v>
                </c:pt>
                <c:pt idx="29">
                  <c:v>-4.589079979135974</c:v>
                </c:pt>
                <c:pt idx="30">
                  <c:v>-1.5226834987765159</c:v>
                </c:pt>
                <c:pt idx="31">
                  <c:v>3.1942972398699681</c:v>
                </c:pt>
                <c:pt idx="32">
                  <c:v>7.1893251570065644</c:v>
                </c:pt>
                <c:pt idx="33">
                  <c:v>10.918388019735119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25E-47D2-B3D0-494852E75DBA}"/>
            </c:ext>
          </c:extLst>
        </c:ser>
        <c:ser>
          <c:idx val="3"/>
          <c:order val="3"/>
          <c:tx>
            <c:strRef>
              <c:f>'výkonnost odvětví 3'!$AA$10</c:f>
              <c:strCache>
                <c:ptCount val="1"/>
                <c:pt idx="0">
                  <c:v>Nové stavební zakázky v tuzemsku</c:v>
                </c:pt>
              </c:strCache>
            </c:strRef>
          </c:tx>
          <c:spPr>
            <a:ln w="9525">
              <a:solidFill>
                <a:srgbClr val="984807"/>
              </a:solidFill>
              <a:prstDash val="sysDot"/>
            </a:ln>
          </c:spPr>
          <c:marker>
            <c:symbol val="diamond"/>
            <c:size val="4"/>
            <c:spPr>
              <a:solidFill>
                <a:srgbClr val="996633"/>
              </a:solidFill>
              <a:ln>
                <a:solidFill>
                  <a:srgbClr val="984807"/>
                </a:solidFill>
              </a:ln>
            </c:spPr>
          </c:marker>
          <c:cat>
            <c:multiLvlStrRef>
              <c:f>'výkonnost odvětví 3'!$V$39:$W$73</c:f>
              <c:multiLvlStrCache>
                <c:ptCount val="35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'výkonnost odvětví 3'!$AA$39:$AA$73</c:f>
              <c:numCache>
                <c:formatCode>0.0</c:formatCode>
                <c:ptCount val="35"/>
                <c:pt idx="0">
                  <c:v>16.177217458847437</c:v>
                </c:pt>
                <c:pt idx="1">
                  <c:v>9.5350878984013008</c:v>
                </c:pt>
                <c:pt idx="2">
                  <c:v>-1.2817324431350698</c:v>
                </c:pt>
                <c:pt idx="3">
                  <c:v>15.620806693503823</c:v>
                </c:pt>
                <c:pt idx="4">
                  <c:v>30.10697387368856</c:v>
                </c:pt>
                <c:pt idx="5">
                  <c:v>32.836878110611963</c:v>
                </c:pt>
                <c:pt idx="6">
                  <c:v>5.2768249907951201</c:v>
                </c:pt>
                <c:pt idx="7">
                  <c:v>1.8944565811032277</c:v>
                </c:pt>
                <c:pt idx="8">
                  <c:v>14.157245632065781</c:v>
                </c:pt>
                <c:pt idx="9">
                  <c:v>-9.3849543241233135</c:v>
                </c:pt>
                <c:pt idx="10">
                  <c:v>17.407871000993993</c:v>
                </c:pt>
                <c:pt idx="11">
                  <c:v>5.8323004254463768</c:v>
                </c:pt>
                <c:pt idx="12">
                  <c:v>-12.441635069859245</c:v>
                </c:pt>
                <c:pt idx="13">
                  <c:v>7.497345722028669</c:v>
                </c:pt>
                <c:pt idx="14">
                  <c:v>2.0599736606932879</c:v>
                </c:pt>
                <c:pt idx="15">
                  <c:v>7.5507850088630164</c:v>
                </c:pt>
                <c:pt idx="16">
                  <c:v>28.856340981154403</c:v>
                </c:pt>
                <c:pt idx="17">
                  <c:v>22.047871359987184</c:v>
                </c:pt>
                <c:pt idx="18">
                  <c:v>10.015015612184257</c:v>
                </c:pt>
                <c:pt idx="19">
                  <c:v>1.0053213537781147</c:v>
                </c:pt>
                <c:pt idx="20">
                  <c:v>13.067478460417874</c:v>
                </c:pt>
                <c:pt idx="21">
                  <c:v>17.619163607261129</c:v>
                </c:pt>
                <c:pt idx="22">
                  <c:v>12.421954480552543</c:v>
                </c:pt>
                <c:pt idx="23">
                  <c:v>13.031852753748723</c:v>
                </c:pt>
                <c:pt idx="24">
                  <c:v>-10.144501025957553</c:v>
                </c:pt>
                <c:pt idx="25">
                  <c:v>-18.697561390531931</c:v>
                </c:pt>
                <c:pt idx="26">
                  <c:v>27.514816854662854</c:v>
                </c:pt>
                <c:pt idx="27">
                  <c:v>9.3063425617587683</c:v>
                </c:pt>
                <c:pt idx="28">
                  <c:v>30.48574840110382</c:v>
                </c:pt>
                <c:pt idx="29">
                  <c:v>24.810378988741093</c:v>
                </c:pt>
                <c:pt idx="30">
                  <c:v>-2.1445567903011948</c:v>
                </c:pt>
                <c:pt idx="31">
                  <c:v>17.246427278094785</c:v>
                </c:pt>
                <c:pt idx="32">
                  <c:v>14.276535255230854</c:v>
                </c:pt>
                <c:pt idx="33">
                  <c:v>22.201437525005645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25E-47D2-B3D0-494852E75D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2768128"/>
        <c:axId val="112769664"/>
      </c:lineChart>
      <c:lineChart>
        <c:grouping val="standard"/>
        <c:varyColors val="0"/>
        <c:ser>
          <c:idx val="4"/>
          <c:order val="4"/>
          <c:tx>
            <c:strRef>
              <c:f>'výkonnost odvětví 3'!$AB$10</c:f>
              <c:strCache>
                <c:ptCount val="1"/>
                <c:pt idx="0">
                  <c:v>Bariéra růstu: nedostatečná poptávka</c:v>
                </c:pt>
              </c:strCache>
            </c:strRef>
          </c:tx>
          <c:spPr>
            <a:ln w="15875">
              <a:solidFill>
                <a:srgbClr val="00B050"/>
              </a:solidFill>
              <a:prstDash val="solid"/>
            </a:ln>
          </c:spPr>
          <c:marker>
            <c:symbol val="none"/>
          </c:marker>
          <c:cat>
            <c:multiLvlStrRef>
              <c:f>'výkonnost odvětví 3'!$V$39:$W$73</c:f>
              <c:multiLvlStrCache>
                <c:ptCount val="35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'výkonnost odvětví 3'!$AB$39:$AB$73</c:f>
              <c:numCache>
                <c:formatCode>#\ ##0.0</c:formatCode>
                <c:ptCount val="35"/>
                <c:pt idx="0">
                  <c:v>55.7</c:v>
                </c:pt>
                <c:pt idx="1">
                  <c:v>54.8</c:v>
                </c:pt>
                <c:pt idx="2">
                  <c:v>49.1</c:v>
                </c:pt>
                <c:pt idx="3">
                  <c:v>47.1</c:v>
                </c:pt>
                <c:pt idx="4">
                  <c:v>40.1</c:v>
                </c:pt>
                <c:pt idx="5">
                  <c:v>39.4</c:v>
                </c:pt>
                <c:pt idx="6">
                  <c:v>33</c:v>
                </c:pt>
                <c:pt idx="7">
                  <c:v>23.3</c:v>
                </c:pt>
                <c:pt idx="8">
                  <c:v>26.5</c:v>
                </c:pt>
                <c:pt idx="9">
                  <c:v>26.7</c:v>
                </c:pt>
                <c:pt idx="10">
                  <c:v>18.899999999999999</c:v>
                </c:pt>
                <c:pt idx="11">
                  <c:v>19.600000000000001</c:v>
                </c:pt>
                <c:pt idx="12">
                  <c:v>31.6</c:v>
                </c:pt>
                <c:pt idx="13">
                  <c:v>31.3</c:v>
                </c:pt>
                <c:pt idx="14">
                  <c:v>38.6</c:v>
                </c:pt>
                <c:pt idx="15" formatCode="General">
                  <c:v>39.200000000000003</c:v>
                </c:pt>
                <c:pt idx="16">
                  <c:v>30.8</c:v>
                </c:pt>
                <c:pt idx="17">
                  <c:v>35.9</c:v>
                </c:pt>
                <c:pt idx="18">
                  <c:v>23.2</c:v>
                </c:pt>
                <c:pt idx="19">
                  <c:v>19.5</c:v>
                </c:pt>
                <c:pt idx="20">
                  <c:v>21.3</c:v>
                </c:pt>
                <c:pt idx="21">
                  <c:v>21.1</c:v>
                </c:pt>
                <c:pt idx="22">
                  <c:v>19.3</c:v>
                </c:pt>
                <c:pt idx="23">
                  <c:v>20.6</c:v>
                </c:pt>
                <c:pt idx="24">
                  <c:v>31.9</c:v>
                </c:pt>
                <c:pt idx="25">
                  <c:v>32.299999999999997</c:v>
                </c:pt>
                <c:pt idx="26">
                  <c:v>36.299999999999997</c:v>
                </c:pt>
                <c:pt idx="27">
                  <c:v>29.2</c:v>
                </c:pt>
                <c:pt idx="28" formatCode="0.0">
                  <c:v>20.5</c:v>
                </c:pt>
                <c:pt idx="29" formatCode="0.0">
                  <c:v>22.3</c:v>
                </c:pt>
                <c:pt idx="30" formatCode="0.0">
                  <c:v>24</c:v>
                </c:pt>
                <c:pt idx="31" formatCode="0.0">
                  <c:v>25.3</c:v>
                </c:pt>
                <c:pt idx="32" formatCode="0.0">
                  <c:v>24.1</c:v>
                </c:pt>
                <c:pt idx="33" formatCode="General">
                  <c:v>34.9</c:v>
                </c:pt>
                <c:pt idx="34" formatCode="0.0">
                  <c:v>32.4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B25E-47D2-B3D0-494852E75DBA}"/>
            </c:ext>
          </c:extLst>
        </c:ser>
        <c:ser>
          <c:idx val="5"/>
          <c:order val="5"/>
          <c:tx>
            <c:strRef>
              <c:f>'výkonnost odvětví 3'!$AC$10</c:f>
              <c:strCache>
                <c:ptCount val="1"/>
                <c:pt idx="0">
                  <c:v>Bariéra růstu: nedostatek pracovníků</c:v>
                </c:pt>
              </c:strCache>
            </c:strRef>
          </c:tx>
          <c:spPr>
            <a:ln w="15875">
              <a:solidFill>
                <a:schemeClr val="accent3">
                  <a:lumMod val="75000"/>
                </a:schemeClr>
              </a:solidFill>
              <a:prstDash val="dash"/>
            </a:ln>
          </c:spPr>
          <c:marker>
            <c:symbol val="none"/>
          </c:marker>
          <c:cat>
            <c:multiLvlStrRef>
              <c:f>'výkonnost odvětví 3'!$V$39:$W$73</c:f>
              <c:multiLvlStrCache>
                <c:ptCount val="35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'výkonnost odvětví 3'!$AC$39:$AC$73</c:f>
              <c:numCache>
                <c:formatCode>#\ ##0.0</c:formatCode>
                <c:ptCount val="35"/>
                <c:pt idx="0">
                  <c:v>13.7</c:v>
                </c:pt>
                <c:pt idx="1">
                  <c:v>14.9</c:v>
                </c:pt>
                <c:pt idx="2">
                  <c:v>21.8</c:v>
                </c:pt>
                <c:pt idx="3">
                  <c:v>21.3</c:v>
                </c:pt>
                <c:pt idx="4">
                  <c:v>26.7</c:v>
                </c:pt>
                <c:pt idx="5">
                  <c:v>30.2</c:v>
                </c:pt>
                <c:pt idx="6">
                  <c:v>28.6</c:v>
                </c:pt>
                <c:pt idx="7">
                  <c:v>38.6</c:v>
                </c:pt>
                <c:pt idx="8">
                  <c:v>36</c:v>
                </c:pt>
                <c:pt idx="9">
                  <c:v>43.4</c:v>
                </c:pt>
                <c:pt idx="10">
                  <c:v>50.7</c:v>
                </c:pt>
                <c:pt idx="11">
                  <c:v>46.7</c:v>
                </c:pt>
                <c:pt idx="12">
                  <c:v>51.2</c:v>
                </c:pt>
                <c:pt idx="13">
                  <c:v>46</c:v>
                </c:pt>
                <c:pt idx="14">
                  <c:v>36.1</c:v>
                </c:pt>
                <c:pt idx="15" formatCode="0.0">
                  <c:v>32.299999999999997</c:v>
                </c:pt>
                <c:pt idx="16">
                  <c:v>47.3</c:v>
                </c:pt>
                <c:pt idx="17">
                  <c:v>31.7</c:v>
                </c:pt>
                <c:pt idx="18">
                  <c:v>41.7</c:v>
                </c:pt>
                <c:pt idx="19">
                  <c:v>42.8</c:v>
                </c:pt>
                <c:pt idx="20">
                  <c:v>56.4</c:v>
                </c:pt>
                <c:pt idx="21">
                  <c:v>44.3</c:v>
                </c:pt>
                <c:pt idx="22">
                  <c:v>39.799999999999997</c:v>
                </c:pt>
                <c:pt idx="23">
                  <c:v>47.7</c:v>
                </c:pt>
                <c:pt idx="24">
                  <c:v>39</c:v>
                </c:pt>
                <c:pt idx="25">
                  <c:v>35.5</c:v>
                </c:pt>
                <c:pt idx="26">
                  <c:v>30.6</c:v>
                </c:pt>
                <c:pt idx="27">
                  <c:v>31.2</c:v>
                </c:pt>
                <c:pt idx="28" formatCode="0.0">
                  <c:v>53.4</c:v>
                </c:pt>
                <c:pt idx="29" formatCode="0.0">
                  <c:v>46.7</c:v>
                </c:pt>
                <c:pt idx="30" formatCode="0.0">
                  <c:v>42.6</c:v>
                </c:pt>
                <c:pt idx="31" formatCode="0.0">
                  <c:v>42.1</c:v>
                </c:pt>
                <c:pt idx="32" formatCode="0.0">
                  <c:v>54.4</c:v>
                </c:pt>
                <c:pt idx="33" formatCode="General">
                  <c:v>49.4</c:v>
                </c:pt>
                <c:pt idx="34" formatCode="0.0">
                  <c:v>46.6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B25E-47D2-B3D0-494852E75DBA}"/>
            </c:ext>
          </c:extLst>
        </c:ser>
        <c:ser>
          <c:idx val="6"/>
          <c:order val="6"/>
          <c:tx>
            <c:strRef>
              <c:f>'výkonnost odvětví 3'!$AD$10</c:f>
              <c:strCache>
                <c:ptCount val="1"/>
                <c:pt idx="0">
                  <c:v>Bariéra růstu: nedost. materiálu a vybavení</c:v>
                </c:pt>
              </c:strCache>
            </c:strRef>
          </c:tx>
          <c:spPr>
            <a:ln w="15875">
              <a:solidFill>
                <a:srgbClr val="37DD3B"/>
              </a:solidFill>
              <a:prstDash val="sysDash"/>
            </a:ln>
          </c:spPr>
          <c:marker>
            <c:symbol val="none"/>
          </c:marker>
          <c:cat>
            <c:multiLvlStrRef>
              <c:f>'výkonnost odvětví 3'!$V$39:$W$73</c:f>
              <c:multiLvlStrCache>
                <c:ptCount val="35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'výkonnost odvětví 3'!$AD$39:$AD$73</c:f>
              <c:numCache>
                <c:formatCode>#\ ##0.0</c:formatCode>
                <c:ptCount val="35"/>
                <c:pt idx="0">
                  <c:v>0.3</c:v>
                </c:pt>
                <c:pt idx="1">
                  <c:v>0.3</c:v>
                </c:pt>
                <c:pt idx="2">
                  <c:v>3.3</c:v>
                </c:pt>
                <c:pt idx="3">
                  <c:v>4.2</c:v>
                </c:pt>
                <c:pt idx="4">
                  <c:v>5.5</c:v>
                </c:pt>
                <c:pt idx="5">
                  <c:v>1.2</c:v>
                </c:pt>
                <c:pt idx="6">
                  <c:v>6.8</c:v>
                </c:pt>
                <c:pt idx="7">
                  <c:v>3.5</c:v>
                </c:pt>
                <c:pt idx="8">
                  <c:v>4.3</c:v>
                </c:pt>
                <c:pt idx="9">
                  <c:v>5.7</c:v>
                </c:pt>
                <c:pt idx="10">
                  <c:v>5.3</c:v>
                </c:pt>
                <c:pt idx="11">
                  <c:v>4</c:v>
                </c:pt>
                <c:pt idx="12">
                  <c:v>1.9</c:v>
                </c:pt>
                <c:pt idx="13">
                  <c:v>3.4</c:v>
                </c:pt>
                <c:pt idx="14">
                  <c:v>1.3</c:v>
                </c:pt>
                <c:pt idx="15">
                  <c:v>0.8</c:v>
                </c:pt>
                <c:pt idx="16">
                  <c:v>1.3</c:v>
                </c:pt>
                <c:pt idx="17">
                  <c:v>4.3</c:v>
                </c:pt>
                <c:pt idx="18">
                  <c:v>16.3</c:v>
                </c:pt>
                <c:pt idx="19">
                  <c:v>22.8</c:v>
                </c:pt>
                <c:pt idx="20">
                  <c:v>24.7</c:v>
                </c:pt>
                <c:pt idx="21">
                  <c:v>41.3</c:v>
                </c:pt>
                <c:pt idx="22">
                  <c:v>38.6</c:v>
                </c:pt>
                <c:pt idx="23">
                  <c:v>23.4</c:v>
                </c:pt>
                <c:pt idx="24">
                  <c:v>19.5</c:v>
                </c:pt>
                <c:pt idx="25">
                  <c:v>17</c:v>
                </c:pt>
                <c:pt idx="26">
                  <c:v>13</c:v>
                </c:pt>
                <c:pt idx="27">
                  <c:v>13.9</c:v>
                </c:pt>
                <c:pt idx="28" formatCode="0.0">
                  <c:v>22.5</c:v>
                </c:pt>
                <c:pt idx="29" formatCode="0.0">
                  <c:v>22.2</c:v>
                </c:pt>
                <c:pt idx="30" formatCode="0.0">
                  <c:v>22.2</c:v>
                </c:pt>
                <c:pt idx="31" formatCode="0.0">
                  <c:v>18</c:v>
                </c:pt>
                <c:pt idx="32" formatCode="0.0">
                  <c:v>15.5</c:v>
                </c:pt>
                <c:pt idx="33" formatCode="General">
                  <c:v>5.3</c:v>
                </c:pt>
                <c:pt idx="34" formatCode="0.0">
                  <c:v>5.8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B25E-47D2-B3D0-494852E75DBA}"/>
            </c:ext>
          </c:extLst>
        </c:ser>
        <c:ser>
          <c:idx val="7"/>
          <c:order val="7"/>
          <c:tx>
            <c:strRef>
              <c:f>'výkonnost odvětví 3'!$AE$10</c:f>
              <c:strCache>
                <c:ptCount val="1"/>
                <c:pt idx="0">
                  <c:v>Saldo indikátoru důvěry ve stavebnictví</c:v>
                </c:pt>
              </c:strCache>
            </c:strRef>
          </c:tx>
          <c:spPr>
            <a:ln w="15875">
              <a:solidFill>
                <a:schemeClr val="bg1">
                  <a:lumMod val="65000"/>
                </a:schemeClr>
              </a:solidFill>
              <a:prstDash val="sysDot"/>
            </a:ln>
          </c:spPr>
          <c:marker>
            <c:symbol val="circle"/>
            <c:size val="5"/>
            <c:spPr>
              <a:solidFill>
                <a:srgbClr val="FFFF00"/>
              </a:solidFill>
              <a:ln>
                <a:solidFill>
                  <a:schemeClr val="tx1">
                    <a:lumMod val="50000"/>
                    <a:lumOff val="50000"/>
                  </a:schemeClr>
                </a:solidFill>
              </a:ln>
            </c:spPr>
          </c:marker>
          <c:cat>
            <c:multiLvlStrRef>
              <c:f>'výkonnost odvětví 3'!$V$39:$W$73</c:f>
              <c:multiLvlStrCache>
                <c:ptCount val="35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'výkonnost odvětví 3'!$AE$39:$AE$73</c:f>
              <c:numCache>
                <c:formatCode>0.0</c:formatCode>
                <c:ptCount val="35"/>
                <c:pt idx="0">
                  <c:v>-22.5</c:v>
                </c:pt>
                <c:pt idx="1">
                  <c:v>-24.5</c:v>
                </c:pt>
                <c:pt idx="2">
                  <c:v>-18.5</c:v>
                </c:pt>
                <c:pt idx="3">
                  <c:v>-15</c:v>
                </c:pt>
                <c:pt idx="4">
                  <c:v>-9</c:v>
                </c:pt>
                <c:pt idx="5">
                  <c:v>-6</c:v>
                </c:pt>
                <c:pt idx="6">
                  <c:v>-2</c:v>
                </c:pt>
                <c:pt idx="7">
                  <c:v>1</c:v>
                </c:pt>
                <c:pt idx="8">
                  <c:v>3.5</c:v>
                </c:pt>
                <c:pt idx="9">
                  <c:v>4</c:v>
                </c:pt>
                <c:pt idx="10">
                  <c:v>-1</c:v>
                </c:pt>
                <c:pt idx="11">
                  <c:v>1</c:v>
                </c:pt>
                <c:pt idx="12">
                  <c:v>-3</c:v>
                </c:pt>
                <c:pt idx="13">
                  <c:v>-15</c:v>
                </c:pt>
                <c:pt idx="14">
                  <c:v>-13</c:v>
                </c:pt>
                <c:pt idx="15">
                  <c:v>-11.5</c:v>
                </c:pt>
                <c:pt idx="16">
                  <c:v>-6</c:v>
                </c:pt>
                <c:pt idx="17">
                  <c:v>-5.5</c:v>
                </c:pt>
                <c:pt idx="18">
                  <c:v>-4.5</c:v>
                </c:pt>
                <c:pt idx="19">
                  <c:v>-6.5</c:v>
                </c:pt>
                <c:pt idx="20">
                  <c:v>6.5</c:v>
                </c:pt>
                <c:pt idx="21">
                  <c:v>-2</c:v>
                </c:pt>
                <c:pt idx="22">
                  <c:v>-9</c:v>
                </c:pt>
                <c:pt idx="23">
                  <c:v>-4.5</c:v>
                </c:pt>
                <c:pt idx="24">
                  <c:v>-11.5</c:v>
                </c:pt>
                <c:pt idx="25">
                  <c:v>-15.5</c:v>
                </c:pt>
                <c:pt idx="26">
                  <c:v>-16.5</c:v>
                </c:pt>
                <c:pt idx="27">
                  <c:v>-11</c:v>
                </c:pt>
                <c:pt idx="28">
                  <c:v>-7</c:v>
                </c:pt>
                <c:pt idx="29">
                  <c:v>-14</c:v>
                </c:pt>
                <c:pt idx="30">
                  <c:v>-12</c:v>
                </c:pt>
                <c:pt idx="31">
                  <c:v>-5</c:v>
                </c:pt>
                <c:pt idx="32">
                  <c:v>-4</c:v>
                </c:pt>
                <c:pt idx="33">
                  <c:v>-4</c:v>
                </c:pt>
                <c:pt idx="34">
                  <c:v>2.5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B25E-47D2-B3D0-494852E75D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18074639"/>
        <c:axId val="1118080463"/>
      </c:lineChart>
      <c:catAx>
        <c:axId val="1127681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cs-CZ"/>
          </a:p>
        </c:txPr>
        <c:crossAx val="112769664"/>
        <c:crosses val="autoZero"/>
        <c:auto val="1"/>
        <c:lblAlgn val="ctr"/>
        <c:lblOffset val="0"/>
        <c:noMultiLvlLbl val="0"/>
      </c:catAx>
      <c:valAx>
        <c:axId val="112769664"/>
        <c:scaling>
          <c:orientation val="minMax"/>
          <c:max val="70"/>
          <c:min val="-20"/>
        </c:scaling>
        <c:delete val="0"/>
        <c:axPos val="l"/>
        <c:majorGridlines>
          <c:spPr>
            <a:ln>
              <a:solidFill>
                <a:srgbClr val="BEBEBE"/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700" b="0" i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r>
                  <a:rPr lang="cs-CZ" sz="700" b="0" i="1">
                    <a:latin typeface="Arial" panose="020B0604020202020204" pitchFamily="34" charset="0"/>
                    <a:cs typeface="Arial" panose="020B0604020202020204" pitchFamily="34" charset="0"/>
                  </a:rPr>
                  <a:t>Zakázky, příspěvky k změně stavební produkce</a:t>
                </a:r>
              </a:p>
            </c:rich>
          </c:tx>
          <c:layout/>
          <c:overlay val="0"/>
        </c:title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cs-CZ"/>
          </a:p>
        </c:txPr>
        <c:crossAx val="112768128"/>
        <c:crosses val="autoZero"/>
        <c:crossBetween val="between"/>
        <c:majorUnit val="10"/>
      </c:valAx>
      <c:valAx>
        <c:axId val="1118080463"/>
        <c:scaling>
          <c:orientation val="minMax"/>
          <c:max val="80"/>
          <c:min val="-100"/>
        </c:scaling>
        <c:delete val="0"/>
        <c:axPos val="r"/>
        <c:title>
          <c:tx>
            <c:rich>
              <a:bodyPr/>
              <a:lstStyle/>
              <a:p>
                <a:pPr>
                  <a:defRPr sz="700" b="0" i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r>
                  <a:rPr lang="cs-CZ" sz="700" b="0" i="1">
                    <a:latin typeface="Arial" panose="020B0604020202020204" pitchFamily="34" charset="0"/>
                    <a:cs typeface="Arial" panose="020B0604020202020204" pitchFamily="34" charset="0"/>
                  </a:rPr>
                  <a:t>Saldo důvěry, bariéry růstu</a:t>
                </a:r>
              </a:p>
            </c:rich>
          </c:tx>
          <c:layout/>
          <c:overlay val="0"/>
        </c:title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cs-CZ"/>
          </a:p>
        </c:txPr>
        <c:crossAx val="1118074639"/>
        <c:crosses val="max"/>
        <c:crossBetween val="between"/>
        <c:majorUnit val="20"/>
      </c:valAx>
      <c:catAx>
        <c:axId val="1118074639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118080463"/>
        <c:crosses val="autoZero"/>
        <c:auto val="1"/>
        <c:lblAlgn val="ctr"/>
        <c:lblOffset val="100"/>
        <c:noMultiLvlLbl val="0"/>
      </c:catAx>
      <c:spPr>
        <a:noFill/>
        <a:ln w="6350">
          <a:solidFill>
            <a:prstClr val="black">
              <a:lumMod val="95000"/>
              <a:lumOff val="5000"/>
            </a:prstClr>
          </a:solidFill>
        </a:ln>
      </c:spPr>
    </c:plotArea>
    <c:legend>
      <c:legendPos val="r"/>
      <c:layout>
        <c:manualLayout>
          <c:xMode val="edge"/>
          <c:yMode val="edge"/>
          <c:x val="7.6126793553942364E-3"/>
          <c:y val="0.85936703322638608"/>
          <c:w val="0.9801437714811797"/>
          <c:h val="0.13362821778942557"/>
        </c:manualLayout>
      </c:layout>
      <c:overlay val="0"/>
      <c:spPr>
        <a:ln w="6350">
          <a:solidFill>
            <a:prstClr val="black">
              <a:lumMod val="95000"/>
              <a:lumOff val="5000"/>
            </a:prstClr>
          </a:solidFill>
        </a:ln>
      </c:spPr>
      <c:txPr>
        <a:bodyPr/>
        <a:lstStyle/>
        <a:p>
          <a:pPr>
            <a:defRPr sz="750">
              <a:latin typeface="Arial" pitchFamily="34" charset="0"/>
              <a:cs typeface="Arial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8385677352723435E-2"/>
          <c:y val="1.5803328678987455E-2"/>
          <c:w val="0.83979584077702996"/>
          <c:h val="0.69902590308489432"/>
        </c:manualLayout>
      </c:layout>
      <c:barChart>
        <c:barDir val="col"/>
        <c:grouping val="stacked"/>
        <c:varyColors val="0"/>
        <c:ser>
          <c:idx val="0"/>
          <c:order val="1"/>
          <c:tx>
            <c:strRef>
              <c:f>'Služby-příspěvky k růstu-4'!$D$33</c:f>
              <c:strCache>
                <c:ptCount val="1"/>
                <c:pt idx="0">
                  <c:v>Doprava a skladování (p. b.)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</c:spPr>
          <c:invertIfNegative val="0"/>
          <c:cat>
            <c:multiLvlStrRef>
              <c:f>'Služby-příspěvky k růstu-4'!$A$54:$B$88</c:f>
              <c:multiLvlStrCache>
                <c:ptCount val="35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'Služby-příspěvky k růstu-4'!$D$54:$D$88</c:f>
              <c:numCache>
                <c:formatCode>0.0</c:formatCode>
                <c:ptCount val="35"/>
                <c:pt idx="0">
                  <c:v>1.5263972119400016</c:v>
                </c:pt>
                <c:pt idx="1">
                  <c:v>1.1521454566619995</c:v>
                </c:pt>
                <c:pt idx="2">
                  <c:v>1.0720497862294982</c:v>
                </c:pt>
                <c:pt idx="3">
                  <c:v>0.58918413629500188</c:v>
                </c:pt>
                <c:pt idx="4">
                  <c:v>1.7082299710979987</c:v>
                </c:pt>
                <c:pt idx="5">
                  <c:v>1.8083069263660012</c:v>
                </c:pt>
                <c:pt idx="6">
                  <c:v>1.4974720441600007</c:v>
                </c:pt>
                <c:pt idx="7">
                  <c:v>0.47561421751099942</c:v>
                </c:pt>
                <c:pt idx="8">
                  <c:v>8.7578802067999673E-2</c:v>
                </c:pt>
                <c:pt idx="9">
                  <c:v>-0.12479570965699863</c:v>
                </c:pt>
                <c:pt idx="10">
                  <c:v>-0.33009412391300075</c:v>
                </c:pt>
                <c:pt idx="11">
                  <c:v>-6.4047576908001405E-2</c:v>
                </c:pt>
                <c:pt idx="12">
                  <c:v>-1.5377184525560006</c:v>
                </c:pt>
                <c:pt idx="13">
                  <c:v>-6.3637634696130005</c:v>
                </c:pt>
                <c:pt idx="14">
                  <c:v>-3.934521076104728</c:v>
                </c:pt>
                <c:pt idx="15">
                  <c:v>-1.3585310721215986</c:v>
                </c:pt>
                <c:pt idx="16">
                  <c:v>0.3485705495405001</c:v>
                </c:pt>
                <c:pt idx="17">
                  <c:v>6.4654016349024008</c:v>
                </c:pt>
                <c:pt idx="18">
                  <c:v>3.6945235606700009</c:v>
                </c:pt>
                <c:pt idx="19">
                  <c:v>3.3121137866018078</c:v>
                </c:pt>
                <c:pt idx="20">
                  <c:v>3.941437873437065</c:v>
                </c:pt>
                <c:pt idx="21">
                  <c:v>4.0146538354025321</c:v>
                </c:pt>
                <c:pt idx="22">
                  <c:v>3.2327008007835936</c:v>
                </c:pt>
                <c:pt idx="23">
                  <c:v>0.6986528346455998</c:v>
                </c:pt>
                <c:pt idx="24">
                  <c:v>-1.2205103635839987</c:v>
                </c:pt>
                <c:pt idx="25">
                  <c:v>-3.0846310875990697</c:v>
                </c:pt>
                <c:pt idx="26">
                  <c:v>-3.4620811413295405</c:v>
                </c:pt>
                <c:pt idx="27">
                  <c:v>-2.6102747168486595</c:v>
                </c:pt>
                <c:pt idx="28">
                  <c:v>0.23136625295890914</c:v>
                </c:pt>
                <c:pt idx="29">
                  <c:v>1.1297570185805759</c:v>
                </c:pt>
                <c:pt idx="30">
                  <c:v>1.5852865187527032</c:v>
                </c:pt>
                <c:pt idx="31">
                  <c:v>1.3972952454802492</c:v>
                </c:pt>
                <c:pt idx="32">
                  <c:v>0.66616000559529998</c:v>
                </c:pt>
                <c:pt idx="33">
                  <c:v>0.53436073709173859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2FC-4C0D-8984-45654DAFD1BF}"/>
            </c:ext>
          </c:extLst>
        </c:ser>
        <c:ser>
          <c:idx val="1"/>
          <c:order val="2"/>
          <c:tx>
            <c:strRef>
              <c:f>'Služby-příspěvky k růstu-4'!$E$33</c:f>
              <c:strCache>
                <c:ptCount val="1"/>
                <c:pt idx="0">
                  <c:v>Ubytování, stravování a pohostinství (p. b.)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</c:spPr>
          <c:invertIfNegative val="0"/>
          <c:cat>
            <c:multiLvlStrRef>
              <c:f>'Služby-příspěvky k růstu-4'!$A$54:$B$88</c:f>
              <c:multiLvlStrCache>
                <c:ptCount val="35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'Služby-příspěvky k růstu-4'!$E$54:$E$88</c:f>
              <c:numCache>
                <c:formatCode>0.0</c:formatCode>
                <c:ptCount val="35"/>
                <c:pt idx="0">
                  <c:v>0.91096663563750013</c:v>
                </c:pt>
                <c:pt idx="1">
                  <c:v>1.2304877458891996</c:v>
                </c:pt>
                <c:pt idx="2">
                  <c:v>0.55493142006040053</c:v>
                </c:pt>
                <c:pt idx="3">
                  <c:v>0.45642475154119982</c:v>
                </c:pt>
                <c:pt idx="4">
                  <c:v>0.20160703635719993</c:v>
                </c:pt>
                <c:pt idx="5">
                  <c:v>5.4186477104800478E-2</c:v>
                </c:pt>
                <c:pt idx="6">
                  <c:v>6.304785530440038E-2</c:v>
                </c:pt>
                <c:pt idx="7">
                  <c:v>-3.5769700815199798E-2</c:v>
                </c:pt>
                <c:pt idx="8">
                  <c:v>-0.36389872223099973</c:v>
                </c:pt>
                <c:pt idx="9">
                  <c:v>-0.67075056773680031</c:v>
                </c:pt>
                <c:pt idx="10">
                  <c:v>0.56238486272900035</c:v>
                </c:pt>
                <c:pt idx="11">
                  <c:v>0.81049357889639961</c:v>
                </c:pt>
                <c:pt idx="12">
                  <c:v>-1.0128920367128378</c:v>
                </c:pt>
                <c:pt idx="13">
                  <c:v>-4.7570396620580002</c:v>
                </c:pt>
                <c:pt idx="14">
                  <c:v>-1.8801498047572016</c:v>
                </c:pt>
                <c:pt idx="15">
                  <c:v>-4.4950874362854814</c:v>
                </c:pt>
                <c:pt idx="16">
                  <c:v>-3.6427251882312501</c:v>
                </c:pt>
                <c:pt idx="17">
                  <c:v>1.4037378448911324</c:v>
                </c:pt>
                <c:pt idx="18">
                  <c:v>0.65956457504429966</c:v>
                </c:pt>
                <c:pt idx="19">
                  <c:v>2.8954177718329572</c:v>
                </c:pt>
                <c:pt idx="20">
                  <c:v>2.8323902906459999</c:v>
                </c:pt>
                <c:pt idx="21">
                  <c:v>2.435136189891193</c:v>
                </c:pt>
                <c:pt idx="22">
                  <c:v>-0.4578613660474572</c:v>
                </c:pt>
                <c:pt idx="23">
                  <c:v>0.56715158973689961</c:v>
                </c:pt>
                <c:pt idx="24">
                  <c:v>0.47226803810000034</c:v>
                </c:pt>
                <c:pt idx="25">
                  <c:v>-2.9181983171386136E-2</c:v>
                </c:pt>
                <c:pt idx="26">
                  <c:v>0.13057911183302909</c:v>
                </c:pt>
                <c:pt idx="27">
                  <c:v>7.6430683538271954E-2</c:v>
                </c:pt>
                <c:pt idx="28">
                  <c:v>0.20156376207540999</c:v>
                </c:pt>
                <c:pt idx="29">
                  <c:v>0.17225875056711848</c:v>
                </c:pt>
                <c:pt idx="30" formatCode="0.00">
                  <c:v>-0.15262614105368355</c:v>
                </c:pt>
                <c:pt idx="31">
                  <c:v>-2.0668311154938869E-3</c:v>
                </c:pt>
                <c:pt idx="32">
                  <c:v>-7.5028071131934729E-2</c:v>
                </c:pt>
                <c:pt idx="33">
                  <c:v>0.20545553703232736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2FC-4C0D-8984-45654DAFD1BF}"/>
            </c:ext>
          </c:extLst>
        </c:ser>
        <c:ser>
          <c:idx val="2"/>
          <c:order val="3"/>
          <c:tx>
            <c:strRef>
              <c:f>'Služby-příspěvky k růstu-4'!$F$33</c:f>
              <c:strCache>
                <c:ptCount val="1"/>
                <c:pt idx="0">
                  <c:v>Informační a komunikační činnosti (p. b.)</c:v>
                </c:pt>
              </c:strCache>
            </c:strRef>
          </c:tx>
          <c:spPr>
            <a:solidFill>
              <a:srgbClr val="E6E100"/>
            </a:solidFill>
            <a:ln>
              <a:noFill/>
            </a:ln>
          </c:spPr>
          <c:invertIfNegative val="0"/>
          <c:cat>
            <c:multiLvlStrRef>
              <c:f>'Služby-příspěvky k růstu-4'!$A$54:$B$88</c:f>
              <c:multiLvlStrCache>
                <c:ptCount val="35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'Služby-příspěvky k růstu-4'!$F$54:$F$88</c:f>
              <c:numCache>
                <c:formatCode>0.0</c:formatCode>
                <c:ptCount val="35"/>
                <c:pt idx="0">
                  <c:v>0.79975113924000141</c:v>
                </c:pt>
                <c:pt idx="1">
                  <c:v>0.86680100254300019</c:v>
                </c:pt>
                <c:pt idx="2">
                  <c:v>0.7085217628999998</c:v>
                </c:pt>
                <c:pt idx="3">
                  <c:v>0.58371605800999971</c:v>
                </c:pt>
                <c:pt idx="4">
                  <c:v>1.4561011044459988</c:v>
                </c:pt>
                <c:pt idx="5">
                  <c:v>0.80755492679599916</c:v>
                </c:pt>
                <c:pt idx="6">
                  <c:v>1.4696943404520006</c:v>
                </c:pt>
                <c:pt idx="7">
                  <c:v>1.0851966136360012</c:v>
                </c:pt>
                <c:pt idx="8">
                  <c:v>0.5897957895590008</c:v>
                </c:pt>
                <c:pt idx="9">
                  <c:v>1.4271581528860011</c:v>
                </c:pt>
                <c:pt idx="10">
                  <c:v>1.6628200479000008</c:v>
                </c:pt>
                <c:pt idx="11">
                  <c:v>0.8045399962857992</c:v>
                </c:pt>
                <c:pt idx="12">
                  <c:v>0.70533263821849879</c:v>
                </c:pt>
                <c:pt idx="13">
                  <c:v>-0.13049924960159906</c:v>
                </c:pt>
                <c:pt idx="14">
                  <c:v>-0.44751399710599854</c:v>
                </c:pt>
                <c:pt idx="15">
                  <c:v>-0.76987000599350008</c:v>
                </c:pt>
                <c:pt idx="16">
                  <c:v>0.73358769341499996</c:v>
                </c:pt>
                <c:pt idx="17">
                  <c:v>1.7119328870655743</c:v>
                </c:pt>
                <c:pt idx="18">
                  <c:v>1.7410146380858</c:v>
                </c:pt>
                <c:pt idx="19">
                  <c:v>2.1117441102410957</c:v>
                </c:pt>
                <c:pt idx="20">
                  <c:v>1.7465138285348005</c:v>
                </c:pt>
                <c:pt idx="21">
                  <c:v>0.98444175225600128</c:v>
                </c:pt>
                <c:pt idx="22">
                  <c:v>0.77334822417096716</c:v>
                </c:pt>
                <c:pt idx="23">
                  <c:v>0.38113921743529455</c:v>
                </c:pt>
                <c:pt idx="24">
                  <c:v>0.58132404699840079</c:v>
                </c:pt>
                <c:pt idx="25">
                  <c:v>-5.2521499900483508E-3</c:v>
                </c:pt>
                <c:pt idx="26">
                  <c:v>-0.79116739152140025</c:v>
                </c:pt>
                <c:pt idx="27">
                  <c:v>-0.79112125742080253</c:v>
                </c:pt>
                <c:pt idx="28">
                  <c:v>0.10721773848414559</c:v>
                </c:pt>
                <c:pt idx="29">
                  <c:v>0.47802774306016416</c:v>
                </c:pt>
                <c:pt idx="30">
                  <c:v>0.83818270799786943</c:v>
                </c:pt>
                <c:pt idx="31">
                  <c:v>0.51256005892858814</c:v>
                </c:pt>
                <c:pt idx="32">
                  <c:v>1.085668398347295</c:v>
                </c:pt>
                <c:pt idx="33">
                  <c:v>0.85011908164787819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2FC-4C0D-8984-45654DAFD1BF}"/>
            </c:ext>
          </c:extLst>
        </c:ser>
        <c:ser>
          <c:idx val="4"/>
          <c:order val="4"/>
          <c:tx>
            <c:strRef>
              <c:f>'Služby-příspěvky k růstu-4'!$G$33</c:f>
              <c:strCache>
                <c:ptCount val="1"/>
                <c:pt idx="0">
                  <c:v>Činnosti v oblasti nemovitostí (p. b.)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  <a:prstDash val="sysDash"/>
            </a:ln>
          </c:spPr>
          <c:invertIfNegative val="0"/>
          <c:cat>
            <c:multiLvlStrRef>
              <c:f>'Služby-příspěvky k růstu-4'!$A$54:$B$88</c:f>
              <c:multiLvlStrCache>
                <c:ptCount val="35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'Služby-příspěvky k růstu-4'!$G$54:$G$88</c:f>
              <c:numCache>
                <c:formatCode>0.0</c:formatCode>
                <c:ptCount val="35"/>
                <c:pt idx="0">
                  <c:v>0.21404222779400017</c:v>
                </c:pt>
                <c:pt idx="1">
                  <c:v>0.44428056703740071</c:v>
                </c:pt>
                <c:pt idx="2">
                  <c:v>-2.3313403729999609E-2</c:v>
                </c:pt>
                <c:pt idx="3">
                  <c:v>0.1397148328565998</c:v>
                </c:pt>
                <c:pt idx="4">
                  <c:v>2.4371524468799519E-2</c:v>
                </c:pt>
                <c:pt idx="5">
                  <c:v>-0.24750495341219952</c:v>
                </c:pt>
                <c:pt idx="6">
                  <c:v>-0.12632001451980002</c:v>
                </c:pt>
                <c:pt idx="7">
                  <c:v>-0.22280827277219931</c:v>
                </c:pt>
                <c:pt idx="8">
                  <c:v>-0.59230499212500043</c:v>
                </c:pt>
                <c:pt idx="9">
                  <c:v>-0.14963028671039991</c:v>
                </c:pt>
                <c:pt idx="10">
                  <c:v>0.15919844821020035</c:v>
                </c:pt>
                <c:pt idx="11">
                  <c:v>0.41214543758999994</c:v>
                </c:pt>
                <c:pt idx="12">
                  <c:v>0.4376088325236</c:v>
                </c:pt>
                <c:pt idx="13">
                  <c:v>-0.3129705582585004</c:v>
                </c:pt>
                <c:pt idx="14">
                  <c:v>-0.26042458979333294</c:v>
                </c:pt>
                <c:pt idx="15">
                  <c:v>-0.23202769506919951</c:v>
                </c:pt>
                <c:pt idx="16">
                  <c:v>-0.20493642480289984</c:v>
                </c:pt>
                <c:pt idx="17">
                  <c:v>0.49389763410824949</c:v>
                </c:pt>
                <c:pt idx="18">
                  <c:v>-1.3480794651999375E-2</c:v>
                </c:pt>
                <c:pt idx="19">
                  <c:v>0.25760149947839961</c:v>
                </c:pt>
                <c:pt idx="20">
                  <c:v>0.96345448971199943</c:v>
                </c:pt>
                <c:pt idx="21">
                  <c:v>0.47159042328799955</c:v>
                </c:pt>
                <c:pt idx="22">
                  <c:v>0.2185622188815784</c:v>
                </c:pt>
                <c:pt idx="23">
                  <c:v>0.33309446355833333</c:v>
                </c:pt>
                <c:pt idx="24">
                  <c:v>0.16012954609680044</c:v>
                </c:pt>
                <c:pt idx="25">
                  <c:v>-0.18624032886239958</c:v>
                </c:pt>
                <c:pt idx="26">
                  <c:v>-0.27795457738857821</c:v>
                </c:pt>
                <c:pt idx="27">
                  <c:v>-0.2089599685726716</c:v>
                </c:pt>
                <c:pt idx="28">
                  <c:v>-0.20651327563660776</c:v>
                </c:pt>
                <c:pt idx="29">
                  <c:v>0.27793895598753937</c:v>
                </c:pt>
                <c:pt idx="30">
                  <c:v>-0.11784164354918217</c:v>
                </c:pt>
                <c:pt idx="31">
                  <c:v>-4.2577128381585134E-3</c:v>
                </c:pt>
                <c:pt idx="32">
                  <c:v>0.1818355616434188</c:v>
                </c:pt>
                <c:pt idx="33">
                  <c:v>8.696184408716532E-3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2FC-4C0D-8984-45654DAFD1BF}"/>
            </c:ext>
          </c:extLst>
        </c:ser>
        <c:ser>
          <c:idx val="5"/>
          <c:order val="5"/>
          <c:tx>
            <c:strRef>
              <c:f>'Služby-příspěvky k růstu-4'!$H$33</c:f>
              <c:strCache>
                <c:ptCount val="1"/>
                <c:pt idx="0">
                  <c:v>Profesní, vědecké a technické činnosti (p. b.)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</c:spPr>
          <c:invertIfNegative val="0"/>
          <c:cat>
            <c:multiLvlStrRef>
              <c:f>'Služby-příspěvky k růstu-4'!$A$54:$B$88</c:f>
              <c:multiLvlStrCache>
                <c:ptCount val="35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'Služby-příspěvky k růstu-4'!$H$54:$H$88</c:f>
              <c:numCache>
                <c:formatCode>0.0</c:formatCode>
                <c:ptCount val="35"/>
                <c:pt idx="0">
                  <c:v>0.98301471473999991</c:v>
                </c:pt>
                <c:pt idx="1">
                  <c:v>0.60289217538800066</c:v>
                </c:pt>
                <c:pt idx="2">
                  <c:v>0.29296090665239971</c:v>
                </c:pt>
                <c:pt idx="3">
                  <c:v>0.39545347720550122</c:v>
                </c:pt>
                <c:pt idx="4">
                  <c:v>1.0377388749657004</c:v>
                </c:pt>
                <c:pt idx="5">
                  <c:v>0.52795912771610132</c:v>
                </c:pt>
                <c:pt idx="6">
                  <c:v>0.33128275319889955</c:v>
                </c:pt>
                <c:pt idx="7">
                  <c:v>-0.32335157261830122</c:v>
                </c:pt>
                <c:pt idx="8">
                  <c:v>-0.22442800317910014</c:v>
                </c:pt>
                <c:pt idx="9">
                  <c:v>0.92864418130900139</c:v>
                </c:pt>
                <c:pt idx="10">
                  <c:v>-1.1905556335669008</c:v>
                </c:pt>
                <c:pt idx="11">
                  <c:v>0.12967121395800008</c:v>
                </c:pt>
                <c:pt idx="12">
                  <c:v>-1.2594010229457007</c:v>
                </c:pt>
                <c:pt idx="13">
                  <c:v>-3.4364785420139987</c:v>
                </c:pt>
                <c:pt idx="14">
                  <c:v>-1.730371529016393</c:v>
                </c:pt>
                <c:pt idx="15">
                  <c:v>-1.6762623702279009</c:v>
                </c:pt>
                <c:pt idx="16">
                  <c:v>-1.8460033079172407</c:v>
                </c:pt>
                <c:pt idx="17">
                  <c:v>2.6347487878244005</c:v>
                </c:pt>
                <c:pt idx="18">
                  <c:v>1.7641259138861987</c:v>
                </c:pt>
                <c:pt idx="19">
                  <c:v>2.2229354426597943</c:v>
                </c:pt>
                <c:pt idx="20">
                  <c:v>2.2737358553676001</c:v>
                </c:pt>
                <c:pt idx="21">
                  <c:v>1.3856227896222229</c:v>
                </c:pt>
                <c:pt idx="22">
                  <c:v>0.99391885813043546</c:v>
                </c:pt>
                <c:pt idx="23">
                  <c:v>0.1421335534285707</c:v>
                </c:pt>
                <c:pt idx="24">
                  <c:v>0.81953126781209973</c:v>
                </c:pt>
                <c:pt idx="25">
                  <c:v>0.82106868193752403</c:v>
                </c:pt>
                <c:pt idx="26">
                  <c:v>0.12923231255105044</c:v>
                </c:pt>
                <c:pt idx="27">
                  <c:v>0.83751215536408319</c:v>
                </c:pt>
                <c:pt idx="28">
                  <c:v>0.47506983729129498</c:v>
                </c:pt>
                <c:pt idx="29">
                  <c:v>0.68160503891420543</c:v>
                </c:pt>
                <c:pt idx="30">
                  <c:v>0.2657026600157707</c:v>
                </c:pt>
                <c:pt idx="31">
                  <c:v>5.2509565434282257E-2</c:v>
                </c:pt>
                <c:pt idx="32">
                  <c:v>1.0187824730555113</c:v>
                </c:pt>
                <c:pt idx="33">
                  <c:v>0.64772614169666176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2FC-4C0D-8984-45654DAFD1BF}"/>
            </c:ext>
          </c:extLst>
        </c:ser>
        <c:ser>
          <c:idx val="6"/>
          <c:order val="6"/>
          <c:tx>
            <c:strRef>
              <c:f>'Služby-příspěvky k růstu-4'!$I$33</c:f>
              <c:strCache>
                <c:ptCount val="1"/>
                <c:pt idx="0">
                  <c:v>Administr. a podpůrné čin. (příspěvek v p. b.)</c:v>
                </c:pt>
              </c:strCache>
            </c:strRef>
          </c:tx>
          <c:spPr>
            <a:solidFill>
              <a:schemeClr val="accent1">
                <a:lumMod val="20000"/>
                <a:lumOff val="80000"/>
              </a:schemeClr>
            </a:solidFill>
            <a:ln>
              <a:noFill/>
            </a:ln>
          </c:spPr>
          <c:invertIfNegative val="0"/>
          <c:cat>
            <c:multiLvlStrRef>
              <c:f>'Služby-příspěvky k růstu-4'!$A$54:$B$88</c:f>
              <c:multiLvlStrCache>
                <c:ptCount val="35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'Služby-příspěvky k růstu-4'!$I$54:$I$88</c:f>
              <c:numCache>
                <c:formatCode>0.0</c:formatCode>
                <c:ptCount val="35"/>
                <c:pt idx="0">
                  <c:v>1.2711366665920003</c:v>
                </c:pt>
                <c:pt idx="1">
                  <c:v>1.1146800750025008</c:v>
                </c:pt>
                <c:pt idx="2">
                  <c:v>0.67890344957800031</c:v>
                </c:pt>
                <c:pt idx="3">
                  <c:v>0.27956598839150021</c:v>
                </c:pt>
                <c:pt idx="4">
                  <c:v>0.54934461190249961</c:v>
                </c:pt>
                <c:pt idx="5">
                  <c:v>0.38115955639220078</c:v>
                </c:pt>
                <c:pt idx="6">
                  <c:v>0.39493334022210069</c:v>
                </c:pt>
                <c:pt idx="7">
                  <c:v>-3.4631397924000239E-2</c:v>
                </c:pt>
                <c:pt idx="8">
                  <c:v>-1.2005370156462005</c:v>
                </c:pt>
                <c:pt idx="9">
                  <c:v>0.45407540916639949</c:v>
                </c:pt>
                <c:pt idx="10">
                  <c:v>-0.39889254166379967</c:v>
                </c:pt>
                <c:pt idx="11">
                  <c:v>1.3109329456980003</c:v>
                </c:pt>
                <c:pt idx="12">
                  <c:v>-1.1343690284759997</c:v>
                </c:pt>
                <c:pt idx="13">
                  <c:v>-5.28274232805955</c:v>
                </c:pt>
                <c:pt idx="14">
                  <c:v>-4.9394629012368423</c:v>
                </c:pt>
                <c:pt idx="15">
                  <c:v>-2.9777822451920004</c:v>
                </c:pt>
                <c:pt idx="16">
                  <c:v>-1.4090224874890003</c:v>
                </c:pt>
                <c:pt idx="17">
                  <c:v>2.2489366135893936</c:v>
                </c:pt>
                <c:pt idx="18">
                  <c:v>2.1176111028400002</c:v>
                </c:pt>
                <c:pt idx="19">
                  <c:v>1.4315715582961834</c:v>
                </c:pt>
                <c:pt idx="20">
                  <c:v>1.7141956457703218</c:v>
                </c:pt>
                <c:pt idx="21">
                  <c:v>3.1132718885355142</c:v>
                </c:pt>
                <c:pt idx="22">
                  <c:v>2.2147560104235504</c:v>
                </c:pt>
                <c:pt idx="23">
                  <c:v>0.75873802832519943</c:v>
                </c:pt>
                <c:pt idx="24">
                  <c:v>0.44446992933960033</c:v>
                </c:pt>
                <c:pt idx="25">
                  <c:v>0.17274794169589636</c:v>
                </c:pt>
                <c:pt idx="26">
                  <c:v>-0.14160160109817077</c:v>
                </c:pt>
                <c:pt idx="27">
                  <c:v>-4.4406367348499426E-2</c:v>
                </c:pt>
                <c:pt idx="28">
                  <c:v>0.38639916772040217</c:v>
                </c:pt>
                <c:pt idx="29">
                  <c:v>0.14229025552145014</c:v>
                </c:pt>
                <c:pt idx="30">
                  <c:v>0.42489637821976656</c:v>
                </c:pt>
                <c:pt idx="31">
                  <c:v>0.17528601156412052</c:v>
                </c:pt>
                <c:pt idx="32">
                  <c:v>0.18087243153538646</c:v>
                </c:pt>
                <c:pt idx="33">
                  <c:v>-2.3343349648811563E-2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2FC-4C0D-8984-45654DAFD1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"/>
        <c:overlap val="100"/>
        <c:axId val="156100864"/>
        <c:axId val="156573696"/>
      </c:barChart>
      <c:lineChart>
        <c:grouping val="standard"/>
        <c:varyColors val="0"/>
        <c:ser>
          <c:idx val="3"/>
          <c:order val="0"/>
          <c:tx>
            <c:strRef>
              <c:f>'Služby-příspěvky k růstu-4'!$C$33</c:f>
              <c:strCache>
                <c:ptCount val="1"/>
                <c:pt idx="0">
                  <c:v>Služby celkem (meziroční růst v %)</c:v>
                </c:pt>
              </c:strCache>
            </c:strRef>
          </c:tx>
          <c:spPr>
            <a:ln>
              <a:noFill/>
            </a:ln>
          </c:spPr>
          <c:marker>
            <c:symbol val="dash"/>
            <c:size val="7"/>
            <c:spPr>
              <a:solidFill>
                <a:schemeClr val="tx1">
                  <a:lumMod val="95000"/>
                  <a:lumOff val="5000"/>
                </a:schemeClr>
              </a:solidFill>
              <a:ln>
                <a:noFill/>
              </a:ln>
            </c:spPr>
          </c:marker>
          <c:cat>
            <c:multiLvlStrRef>
              <c:f>'Služby-příspěvky k růstu-4'!$A$54:$B$88</c:f>
              <c:multiLvlStrCache>
                <c:ptCount val="35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'Služby-příspěvky k růstu-4'!$C$54:$C$88</c:f>
              <c:numCache>
                <c:formatCode>0.0</c:formatCode>
                <c:ptCount val="35"/>
                <c:pt idx="0">
                  <c:v>5.6487960982999965</c:v>
                </c:pt>
                <c:pt idx="1">
                  <c:v>5.6026545363999958</c:v>
                </c:pt>
                <c:pt idx="2">
                  <c:v>3.3153176139999943</c:v>
                </c:pt>
                <c:pt idx="3">
                  <c:v>2.439509263000005</c:v>
                </c:pt>
                <c:pt idx="4">
                  <c:v>4.8946535392999948</c:v>
                </c:pt>
                <c:pt idx="5">
                  <c:v>3.1352798691000032</c:v>
                </c:pt>
                <c:pt idx="6">
                  <c:v>3.5086986100999979</c:v>
                </c:pt>
                <c:pt idx="7">
                  <c:v>0.94159026420000203</c:v>
                </c:pt>
                <c:pt idx="8" formatCode="##0.0">
                  <c:v>-2.0671054031000011</c:v>
                </c:pt>
                <c:pt idx="9" formatCode="##0.0">
                  <c:v>2.0209180144999976</c:v>
                </c:pt>
                <c:pt idx="10" formatCode="##0.0">
                  <c:v>0.44120109739999691</c:v>
                </c:pt>
                <c:pt idx="11" formatCode="##0.0">
                  <c:v>3.686095991000002</c:v>
                </c:pt>
                <c:pt idx="12" formatCode="##0.0">
                  <c:v>-3.6978715759999972</c:v>
                </c:pt>
                <c:pt idx="13" formatCode="##0.0">
                  <c:v>-20.484078348699995</c:v>
                </c:pt>
                <c:pt idx="14" formatCode="##0.0">
                  <c:v>-13.812204700500004</c:v>
                </c:pt>
                <c:pt idx="15" formatCode="##0.0">
                  <c:v>-12.694419719300001</c:v>
                </c:pt>
                <c:pt idx="16" formatCode="##0.0">
                  <c:v>-6.4687228738000044</c:v>
                </c:pt>
                <c:pt idx="17" formatCode="##0.0">
                  <c:v>14.451370275100004</c:v>
                </c:pt>
                <c:pt idx="18" formatCode="##0.0">
                  <c:v>9.8536325624999961</c:v>
                </c:pt>
                <c:pt idx="19" formatCode="##0.0">
                  <c:v>12.454620942199995</c:v>
                </c:pt>
                <c:pt idx="20" formatCode="##0.0">
                  <c:v>13.596558912000006</c:v>
                </c:pt>
                <c:pt idx="21" formatCode="##0.0">
                  <c:v>12.572966648600001</c:v>
                </c:pt>
                <c:pt idx="22" formatCode="##0.0">
                  <c:v>6.8797967353000047</c:v>
                </c:pt>
                <c:pt idx="23" formatCode="##0.0">
                  <c:v>3.1398287747000069</c:v>
                </c:pt>
                <c:pt idx="24" formatCode="##0.0">
                  <c:v>1.6063797247000053</c:v>
                </c:pt>
                <c:pt idx="25" formatCode="##0.0">
                  <c:v>-1.6359107435999931</c:v>
                </c:pt>
                <c:pt idx="26" formatCode="##0.0">
                  <c:v>-3.8473384750000008</c:v>
                </c:pt>
                <c:pt idx="27" formatCode="##0.0">
                  <c:v>-2.1909684113000054</c:v>
                </c:pt>
                <c:pt idx="28" formatCode="##0.0">
                  <c:v>1.1931789974999987</c:v>
                </c:pt>
                <c:pt idx="29" formatCode="##0.0">
                  <c:v>2.8819790006999995</c:v>
                </c:pt>
                <c:pt idx="30" formatCode="##0.0">
                  <c:v>2.8448000146999988</c:v>
                </c:pt>
                <c:pt idx="31" formatCode="##0.0">
                  <c:v>2.1314936261999975</c:v>
                </c:pt>
                <c:pt idx="32" formatCode="##0.0">
                  <c:v>3.0582907990449768</c:v>
                </c:pt>
                <c:pt idx="33" formatCode="##0.0">
                  <c:v>2.2230124707999965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B2FC-4C0D-8984-45654DAFD1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6100864"/>
        <c:axId val="156573696"/>
      </c:lineChart>
      <c:lineChart>
        <c:grouping val="standard"/>
        <c:varyColors val="0"/>
        <c:ser>
          <c:idx val="7"/>
          <c:order val="7"/>
          <c:tx>
            <c:strRef>
              <c:f>'Služby-příspěvky k růstu-4'!$J$33</c:f>
              <c:strCache>
                <c:ptCount val="1"/>
                <c:pt idx="0">
                  <c:v>Saldo indikátoru důvěry ve službách</c:v>
                </c:pt>
              </c:strCache>
            </c:strRef>
          </c:tx>
          <c:spPr>
            <a:ln w="3175">
              <a:noFill/>
              <a:prstDash val="sysDot"/>
            </a:ln>
          </c:spPr>
          <c:marker>
            <c:symbol val="diamond"/>
            <c:size val="5"/>
            <c:spPr>
              <a:solidFill>
                <a:srgbClr val="FFFF00"/>
              </a:solidFill>
              <a:ln w="6350">
                <a:solidFill>
                  <a:schemeClr val="tx1">
                    <a:lumMod val="85000"/>
                    <a:lumOff val="15000"/>
                  </a:schemeClr>
                </a:solidFill>
              </a:ln>
            </c:spPr>
          </c:marker>
          <c:cat>
            <c:multiLvlStrRef>
              <c:f>'Služby-příspěvky k růstu-4'!$A$54:$B$88</c:f>
              <c:multiLvlStrCache>
                <c:ptCount val="35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'Služby-příspěvky k růstu-4'!$J$54:$J$88</c:f>
              <c:numCache>
                <c:formatCode>#\ ##0.0</c:formatCode>
                <c:ptCount val="35"/>
                <c:pt idx="0">
                  <c:v>35.299999999999997</c:v>
                </c:pt>
                <c:pt idx="1">
                  <c:v>37.700000000000003</c:v>
                </c:pt>
                <c:pt idx="2">
                  <c:v>37.299999999999997</c:v>
                </c:pt>
                <c:pt idx="3">
                  <c:v>35.700000000000003</c:v>
                </c:pt>
                <c:pt idx="4">
                  <c:v>38.299999999999997</c:v>
                </c:pt>
                <c:pt idx="5">
                  <c:v>37</c:v>
                </c:pt>
                <c:pt idx="6">
                  <c:v>38.299999999999997</c:v>
                </c:pt>
                <c:pt idx="7">
                  <c:v>40.700000000000003</c:v>
                </c:pt>
                <c:pt idx="8">
                  <c:v>39.299999999999997</c:v>
                </c:pt>
                <c:pt idx="9">
                  <c:v>33.700000000000003</c:v>
                </c:pt>
                <c:pt idx="10">
                  <c:v>35</c:v>
                </c:pt>
                <c:pt idx="11">
                  <c:v>32.700000000000003</c:v>
                </c:pt>
                <c:pt idx="12">
                  <c:v>29</c:v>
                </c:pt>
                <c:pt idx="13">
                  <c:v>-13.3</c:v>
                </c:pt>
                <c:pt idx="14">
                  <c:v>1</c:v>
                </c:pt>
                <c:pt idx="15">
                  <c:v>-5</c:v>
                </c:pt>
                <c:pt idx="16">
                  <c:v>8</c:v>
                </c:pt>
                <c:pt idx="17">
                  <c:v>22.3</c:v>
                </c:pt>
                <c:pt idx="18">
                  <c:v>24.3</c:v>
                </c:pt>
                <c:pt idx="19">
                  <c:v>27</c:v>
                </c:pt>
                <c:pt idx="20">
                  <c:v>31</c:v>
                </c:pt>
                <c:pt idx="21">
                  <c:v>40</c:v>
                </c:pt>
                <c:pt idx="22">
                  <c:v>27.7</c:v>
                </c:pt>
                <c:pt idx="23">
                  <c:v>21.3</c:v>
                </c:pt>
                <c:pt idx="24">
                  <c:v>24</c:v>
                </c:pt>
                <c:pt idx="25" formatCode="0.0">
                  <c:v>28</c:v>
                </c:pt>
                <c:pt idx="26" formatCode="0.0">
                  <c:v>25.7</c:v>
                </c:pt>
                <c:pt idx="27" formatCode="0.0">
                  <c:v>22.7</c:v>
                </c:pt>
                <c:pt idx="28" formatCode="0.0">
                  <c:v>21.3</c:v>
                </c:pt>
                <c:pt idx="29" formatCode="0.0">
                  <c:v>30.1</c:v>
                </c:pt>
                <c:pt idx="30" formatCode="0.0">
                  <c:v>21.7</c:v>
                </c:pt>
                <c:pt idx="31" formatCode="0.0">
                  <c:v>33.700000000000003</c:v>
                </c:pt>
                <c:pt idx="32" formatCode="0.0">
                  <c:v>31.3</c:v>
                </c:pt>
                <c:pt idx="33" formatCode="0.0">
                  <c:v>39.700000000000003</c:v>
                </c:pt>
                <c:pt idx="34" formatCode="0.0">
                  <c:v>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B2FC-4C0D-8984-45654DAFD1BF}"/>
            </c:ext>
          </c:extLst>
        </c:ser>
        <c:ser>
          <c:idx val="8"/>
          <c:order val="8"/>
          <c:tx>
            <c:strRef>
              <c:f>'Služby-příspěvky k růstu-4'!$K$33</c:f>
              <c:strCache>
                <c:ptCount val="1"/>
                <c:pt idx="0">
                  <c:v>Bariéra růstu: nedostatečná poptávka</c:v>
                </c:pt>
              </c:strCache>
            </c:strRef>
          </c:tx>
          <c:spPr>
            <a:ln w="15875">
              <a:solidFill>
                <a:srgbClr val="CA945E"/>
              </a:solidFill>
              <a:prstDash val="solid"/>
            </a:ln>
          </c:spPr>
          <c:marker>
            <c:symbol val="none"/>
          </c:marker>
          <c:cat>
            <c:multiLvlStrRef>
              <c:f>'Služby-příspěvky k růstu-4'!$A$54:$B$88</c:f>
              <c:multiLvlStrCache>
                <c:ptCount val="35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'Služby-příspěvky k růstu-4'!$K$54:$K$88</c:f>
              <c:numCache>
                <c:formatCode>#\ ##0.0</c:formatCode>
                <c:ptCount val="35"/>
                <c:pt idx="0">
                  <c:v>25.8</c:v>
                </c:pt>
                <c:pt idx="1">
                  <c:v>20.5</c:v>
                </c:pt>
                <c:pt idx="2">
                  <c:v>18.399999999999999</c:v>
                </c:pt>
                <c:pt idx="3">
                  <c:v>21.6</c:v>
                </c:pt>
                <c:pt idx="4">
                  <c:v>16.899999999999999</c:v>
                </c:pt>
                <c:pt idx="5">
                  <c:v>19.399999999999999</c:v>
                </c:pt>
                <c:pt idx="6">
                  <c:v>17.899999999999999</c:v>
                </c:pt>
                <c:pt idx="7">
                  <c:v>20.7</c:v>
                </c:pt>
                <c:pt idx="8">
                  <c:v>20.6</c:v>
                </c:pt>
                <c:pt idx="9">
                  <c:v>16.899999999999999</c:v>
                </c:pt>
                <c:pt idx="10">
                  <c:v>20.5</c:v>
                </c:pt>
                <c:pt idx="11">
                  <c:v>14.4</c:v>
                </c:pt>
                <c:pt idx="12">
                  <c:v>21.3</c:v>
                </c:pt>
                <c:pt idx="13">
                  <c:v>30.2</c:v>
                </c:pt>
                <c:pt idx="14">
                  <c:v>30.4</c:v>
                </c:pt>
                <c:pt idx="15">
                  <c:v>39.200000000000003</c:v>
                </c:pt>
                <c:pt idx="16">
                  <c:v>34.799999999999997</c:v>
                </c:pt>
                <c:pt idx="17">
                  <c:v>36.799999999999997</c:v>
                </c:pt>
                <c:pt idx="18">
                  <c:v>28.9</c:v>
                </c:pt>
                <c:pt idx="19">
                  <c:v>26.3</c:v>
                </c:pt>
                <c:pt idx="20">
                  <c:v>31.6</c:v>
                </c:pt>
                <c:pt idx="21">
                  <c:v>15</c:v>
                </c:pt>
                <c:pt idx="22">
                  <c:v>30.2</c:v>
                </c:pt>
                <c:pt idx="23">
                  <c:v>17.600000000000001</c:v>
                </c:pt>
                <c:pt idx="24">
                  <c:v>25.4</c:v>
                </c:pt>
                <c:pt idx="25">
                  <c:v>19.100000000000001</c:v>
                </c:pt>
                <c:pt idx="26">
                  <c:v>26</c:v>
                </c:pt>
                <c:pt idx="27">
                  <c:v>23</c:v>
                </c:pt>
                <c:pt idx="28">
                  <c:v>18.5</c:v>
                </c:pt>
                <c:pt idx="29">
                  <c:v>19.2</c:v>
                </c:pt>
                <c:pt idx="30">
                  <c:v>17.8</c:v>
                </c:pt>
                <c:pt idx="31">
                  <c:v>29.6</c:v>
                </c:pt>
                <c:pt idx="32">
                  <c:v>24.4</c:v>
                </c:pt>
                <c:pt idx="33">
                  <c:v>17.5</c:v>
                </c:pt>
                <c:pt idx="34">
                  <c:v>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B2FC-4C0D-8984-45654DAFD1BF}"/>
            </c:ext>
          </c:extLst>
        </c:ser>
        <c:ser>
          <c:idx val="9"/>
          <c:order val="9"/>
          <c:tx>
            <c:strRef>
              <c:f>'Služby-příspěvky k růstu-4'!$L$33</c:f>
              <c:strCache>
                <c:ptCount val="1"/>
                <c:pt idx="0">
                  <c:v>Bariéra růstu: nedostatek pracovníků</c:v>
                </c:pt>
              </c:strCache>
            </c:strRef>
          </c:tx>
          <c:spPr>
            <a:ln w="15875">
              <a:solidFill>
                <a:srgbClr val="CA945E"/>
              </a:solidFill>
              <a:prstDash val="sysDash"/>
            </a:ln>
          </c:spPr>
          <c:marker>
            <c:symbol val="none"/>
          </c:marker>
          <c:cat>
            <c:multiLvlStrRef>
              <c:f>'Služby-příspěvky k růstu-4'!$A$54:$B$88</c:f>
              <c:multiLvlStrCache>
                <c:ptCount val="35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'Služby-příspěvky k růstu-4'!$L$54:$L$88</c:f>
              <c:numCache>
                <c:formatCode>#\ ##0.0</c:formatCode>
                <c:ptCount val="35"/>
                <c:pt idx="0">
                  <c:v>9.4</c:v>
                </c:pt>
                <c:pt idx="1">
                  <c:v>9.6999999999999993</c:v>
                </c:pt>
                <c:pt idx="2">
                  <c:v>9.8000000000000007</c:v>
                </c:pt>
                <c:pt idx="3">
                  <c:v>12.8</c:v>
                </c:pt>
                <c:pt idx="4">
                  <c:v>13.9</c:v>
                </c:pt>
                <c:pt idx="5">
                  <c:v>16.3</c:v>
                </c:pt>
                <c:pt idx="6">
                  <c:v>17.5</c:v>
                </c:pt>
                <c:pt idx="7">
                  <c:v>18.899999999999999</c:v>
                </c:pt>
                <c:pt idx="8">
                  <c:v>19.3</c:v>
                </c:pt>
                <c:pt idx="9">
                  <c:v>15</c:v>
                </c:pt>
                <c:pt idx="10">
                  <c:v>21.5</c:v>
                </c:pt>
                <c:pt idx="11">
                  <c:v>19.8</c:v>
                </c:pt>
                <c:pt idx="12">
                  <c:v>19.5</c:v>
                </c:pt>
                <c:pt idx="13">
                  <c:v>10</c:v>
                </c:pt>
                <c:pt idx="14">
                  <c:v>10</c:v>
                </c:pt>
                <c:pt idx="15">
                  <c:v>12.6</c:v>
                </c:pt>
                <c:pt idx="16">
                  <c:v>12.7</c:v>
                </c:pt>
                <c:pt idx="17">
                  <c:v>8.5</c:v>
                </c:pt>
                <c:pt idx="18">
                  <c:v>17.399999999999999</c:v>
                </c:pt>
                <c:pt idx="19">
                  <c:v>20.6</c:v>
                </c:pt>
                <c:pt idx="20">
                  <c:v>20.2</c:v>
                </c:pt>
                <c:pt idx="21">
                  <c:v>10.9</c:v>
                </c:pt>
                <c:pt idx="22">
                  <c:v>17.899999999999999</c:v>
                </c:pt>
                <c:pt idx="23">
                  <c:v>6.6</c:v>
                </c:pt>
                <c:pt idx="24">
                  <c:v>9.3000000000000007</c:v>
                </c:pt>
                <c:pt idx="25">
                  <c:v>9.7000000000000011</c:v>
                </c:pt>
                <c:pt idx="26">
                  <c:v>9.2000000000000011</c:v>
                </c:pt>
                <c:pt idx="27">
                  <c:v>12.3</c:v>
                </c:pt>
                <c:pt idx="28">
                  <c:v>8.3000000000000007</c:v>
                </c:pt>
                <c:pt idx="29">
                  <c:v>8.1</c:v>
                </c:pt>
                <c:pt idx="30">
                  <c:v>8.3000000000000007</c:v>
                </c:pt>
                <c:pt idx="31">
                  <c:v>15.3</c:v>
                </c:pt>
                <c:pt idx="32">
                  <c:v>12.9</c:v>
                </c:pt>
                <c:pt idx="33">
                  <c:v>10.4</c:v>
                </c:pt>
                <c:pt idx="34">
                  <c:v>11.1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B2FC-4C0D-8984-45654DAFD1BF}"/>
            </c:ext>
          </c:extLst>
        </c:ser>
        <c:ser>
          <c:idx val="10"/>
          <c:order val="10"/>
          <c:tx>
            <c:strRef>
              <c:f>'Služby-příspěvky k růstu-4'!$M$33</c:f>
              <c:strCache>
                <c:ptCount val="1"/>
                <c:pt idx="0">
                  <c:v>Tržby celkem (báze 2021=100, stálé ceny)</c:v>
                </c:pt>
              </c:strCache>
            </c:strRef>
          </c:tx>
          <c:spPr>
            <a:ln w="15875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'Služby-příspěvky k růstu-4'!$A$54:$B$88</c:f>
              <c:multiLvlStrCache>
                <c:ptCount val="35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'Služby-příspěvky k růstu-4'!$M$54:$M$88</c:f>
              <c:numCache>
                <c:formatCode>0.0</c:formatCode>
                <c:ptCount val="35"/>
                <c:pt idx="0">
                  <c:v>101.4219604533</c:v>
                </c:pt>
                <c:pt idx="1">
                  <c:v>102.49538191000001</c:v>
                </c:pt>
                <c:pt idx="2">
                  <c:v>102.1840512567</c:v>
                </c:pt>
                <c:pt idx="3">
                  <c:v>103.20163698</c:v>
                </c:pt>
                <c:pt idx="4">
                  <c:v>106.6503331867</c:v>
                </c:pt>
                <c:pt idx="5">
                  <c:v>105.31944761</c:v>
                </c:pt>
                <c:pt idx="6">
                  <c:v>105.3929269967</c:v>
                </c:pt>
                <c:pt idx="7">
                  <c:v>103.7491798467</c:v>
                </c:pt>
                <c:pt idx="8">
                  <c:v>104.6832218533</c:v>
                </c:pt>
                <c:pt idx="9">
                  <c:v>107.16559399330001</c:v>
                </c:pt>
                <c:pt idx="10">
                  <c:v>106.1436901867</c:v>
                </c:pt>
                <c:pt idx="11">
                  <c:v>106.27043888670001</c:v>
                </c:pt>
                <c:pt idx="12">
                  <c:v>100.6979508733</c:v>
                </c:pt>
                <c:pt idx="13">
                  <c:v>86.618830439999996</c:v>
                </c:pt>
                <c:pt idx="14">
                  <c:v>93.9929513867</c:v>
                </c:pt>
                <c:pt idx="15">
                  <c:v>92.232927896700005</c:v>
                </c:pt>
                <c:pt idx="16">
                  <c:v>92.797655026699999</c:v>
                </c:pt>
                <c:pt idx="17">
                  <c:v>97.965420969999997</c:v>
                </c:pt>
                <c:pt idx="18">
                  <c:v>102.3921166233</c:v>
                </c:pt>
                <c:pt idx="19">
                  <c:v>104.4066722333</c:v>
                </c:pt>
                <c:pt idx="20">
                  <c:v>106.26306739</c:v>
                </c:pt>
                <c:pt idx="21">
                  <c:v>108.9424578767</c:v>
                </c:pt>
                <c:pt idx="22">
                  <c:v>109.4953132033</c:v>
                </c:pt>
                <c:pt idx="23">
                  <c:v>108.85641493</c:v>
                </c:pt>
                <c:pt idx="24">
                  <c:v>107.9086885567</c:v>
                </c:pt>
                <c:pt idx="25">
                  <c:v>106.5561994167</c:v>
                </c:pt>
                <c:pt idx="26">
                  <c:v>106.0093000967</c:v>
                </c:pt>
                <c:pt idx="27">
                  <c:v>106.71599938999999</c:v>
                </c:pt>
                <c:pt idx="28">
                  <c:v>108.5583286767</c:v>
                </c:pt>
                <c:pt idx="29">
                  <c:v>109.30442253</c:v>
                </c:pt>
                <c:pt idx="30">
                  <c:v>109.3140617533</c:v>
                </c:pt>
                <c:pt idx="31">
                  <c:v>109.53676744000001</c:v>
                </c:pt>
                <c:pt idx="32">
                  <c:v>111.3229404067</c:v>
                </c:pt>
                <c:pt idx="33">
                  <c:v>111.4328990767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B2FC-4C0D-8984-45654DAFD1BF}"/>
            </c:ext>
          </c:extLst>
        </c:ser>
        <c:ser>
          <c:idx val="11"/>
          <c:order val="11"/>
          <c:tx>
            <c:strRef>
              <c:f>'Služby-příspěvky k růstu-4'!$N$33</c:f>
              <c:strCache>
                <c:ptCount val="1"/>
                <c:pt idx="0">
                  <c:v>Tržby celkem (báze 2021=100, běžné ceny)</c:v>
                </c:pt>
              </c:strCache>
            </c:strRef>
          </c:tx>
          <c:spPr>
            <a:ln w="15875">
              <a:solidFill>
                <a:schemeClr val="bg2">
                  <a:lumMod val="25000"/>
                </a:schemeClr>
              </a:solidFill>
              <a:prstDash val="sysDash"/>
            </a:ln>
          </c:spPr>
          <c:marker>
            <c:symbol val="none"/>
          </c:marker>
          <c:cat>
            <c:multiLvlStrRef>
              <c:f>'Služby-příspěvky k růstu-4'!$A$54:$B$88</c:f>
              <c:multiLvlStrCache>
                <c:ptCount val="35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'Služby-příspěvky k růstu-4'!$N$54:$N$88</c:f>
              <c:numCache>
                <c:formatCode>0.0</c:formatCode>
                <c:ptCount val="35"/>
                <c:pt idx="0">
                  <c:v>92.831140320000003</c:v>
                </c:pt>
                <c:pt idx="1">
                  <c:v>94.084719190000001</c:v>
                </c:pt>
                <c:pt idx="2">
                  <c:v>94.352925536699999</c:v>
                </c:pt>
                <c:pt idx="3">
                  <c:v>95.836781003300004</c:v>
                </c:pt>
                <c:pt idx="4">
                  <c:v>99.320277939999997</c:v>
                </c:pt>
                <c:pt idx="5">
                  <c:v>98.6848122233</c:v>
                </c:pt>
                <c:pt idx="6">
                  <c:v>99.610745516700007</c:v>
                </c:pt>
                <c:pt idx="7">
                  <c:v>98.775679409999995</c:v>
                </c:pt>
                <c:pt idx="8">
                  <c:v>99.816231270000003</c:v>
                </c:pt>
                <c:pt idx="9">
                  <c:v>103.18033488330001</c:v>
                </c:pt>
                <c:pt idx="10">
                  <c:v>102.9398626967</c:v>
                </c:pt>
                <c:pt idx="11">
                  <c:v>103.5312898067</c:v>
                </c:pt>
                <c:pt idx="12">
                  <c:v>98.588248460000003</c:v>
                </c:pt>
                <c:pt idx="13">
                  <c:v>84.899543543299998</c:v>
                </c:pt>
                <c:pt idx="14">
                  <c:v>92.649802966699994</c:v>
                </c:pt>
                <c:pt idx="15">
                  <c:v>91.452913469999999</c:v>
                </c:pt>
                <c:pt idx="16">
                  <c:v>92.157171329999997</c:v>
                </c:pt>
                <c:pt idx="17">
                  <c:v>97.1367756267</c:v>
                </c:pt>
                <c:pt idx="18">
                  <c:v>102.37923041329999</c:v>
                </c:pt>
                <c:pt idx="19">
                  <c:v>105.94871886999999</c:v>
                </c:pt>
                <c:pt idx="20">
                  <c:v>109.84185777</c:v>
                </c:pt>
                <c:pt idx="21">
                  <c:v>114.96126150000001</c:v>
                </c:pt>
                <c:pt idx="22">
                  <c:v>118.05626629</c:v>
                </c:pt>
                <c:pt idx="23">
                  <c:v>119.45605426669999</c:v>
                </c:pt>
                <c:pt idx="24">
                  <c:v>120.61780671</c:v>
                </c:pt>
                <c:pt idx="25">
                  <c:v>121.17429974</c:v>
                </c:pt>
                <c:pt idx="26">
                  <c:v>121.8897036667</c:v>
                </c:pt>
                <c:pt idx="27">
                  <c:v>124.04876195</c:v>
                </c:pt>
                <c:pt idx="28">
                  <c:v>127.10704901</c:v>
                </c:pt>
                <c:pt idx="29">
                  <c:v>128.73927777669999</c:v>
                </c:pt>
                <c:pt idx="30">
                  <c:v>129.92584068670001</c:v>
                </c:pt>
                <c:pt idx="31">
                  <c:v>131.37217256330001</c:v>
                </c:pt>
                <c:pt idx="32">
                  <c:v>134.12734504669999</c:v>
                </c:pt>
                <c:pt idx="33">
                  <c:v>135.28148573999999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B2FC-4C0D-8984-45654DAFD1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6576768"/>
        <c:axId val="156575232"/>
      </c:lineChart>
      <c:catAx>
        <c:axId val="156100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txPr>
          <a:bodyPr/>
          <a:lstStyle/>
          <a:p>
            <a:pPr>
              <a:defRPr sz="800"/>
            </a:pPr>
            <a:endParaRPr lang="cs-CZ"/>
          </a:p>
        </c:txPr>
        <c:crossAx val="156573696"/>
        <c:crosses val="autoZero"/>
        <c:auto val="1"/>
        <c:lblAlgn val="ctr"/>
        <c:lblOffset val="0"/>
        <c:noMultiLvlLbl val="0"/>
      </c:catAx>
      <c:valAx>
        <c:axId val="156573696"/>
        <c:scaling>
          <c:orientation val="minMax"/>
          <c:max val="15"/>
          <c:min val="-3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700" b="0" i="1"/>
                </a:pPr>
                <a:r>
                  <a:rPr lang="cs-CZ" sz="700" b="0" i="1"/>
                  <a:t>Tržby (příspěvky k</a:t>
                </a:r>
                <a:r>
                  <a:rPr lang="cs-CZ" sz="700" b="0" i="1" baseline="0"/>
                  <a:t> meziroční změně)</a:t>
                </a:r>
                <a:endParaRPr lang="cs-CZ" sz="700" b="0" i="1"/>
              </a:p>
            </c:rich>
          </c:tx>
          <c:layout>
            <c:manualLayout>
              <c:xMode val="edge"/>
              <c:yMode val="edge"/>
              <c:x val="0"/>
              <c:y val="0.136492655112195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56100864"/>
        <c:crosses val="autoZero"/>
        <c:crossBetween val="between"/>
        <c:majorUnit val="5"/>
      </c:valAx>
      <c:valAx>
        <c:axId val="156575232"/>
        <c:scaling>
          <c:orientation val="minMax"/>
          <c:max val="150"/>
          <c:min val="-30"/>
        </c:scaling>
        <c:delete val="0"/>
        <c:axPos val="r"/>
        <c:title>
          <c:tx>
            <c:rich>
              <a:bodyPr/>
              <a:lstStyle/>
              <a:p>
                <a:pPr marL="0" marR="0" lvl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700" b="0" i="1" u="none" strike="noStrike" kern="1200" baseline="0">
                    <a:solidFill>
                      <a:sysClr val="windowText" lastClr="000000"/>
                    </a:solidFill>
                    <a:latin typeface="Arial" pitchFamily="34" charset="0"/>
                    <a:ea typeface="+mn-ea"/>
                    <a:cs typeface="+mn-cs"/>
                  </a:defRPr>
                </a:pPr>
                <a:r>
                  <a:rPr lang="cs-CZ" sz="700" b="0" i="1" baseline="0">
                    <a:effectLst/>
                  </a:rPr>
                  <a:t>Tržby (báze 2021=100)</a:t>
                </a:r>
                <a:r>
                  <a:rPr lang="cs-CZ" sz="700" b="0" i="1"/>
                  <a:t>,</a:t>
                </a:r>
                <a:r>
                  <a:rPr lang="cs-CZ" sz="700" b="0" i="1" baseline="0"/>
                  <a:t> s</a:t>
                </a:r>
                <a:r>
                  <a:rPr lang="cs-CZ" sz="700" b="0" i="1"/>
                  <a:t>aldo důvěry, bariéry růstu</a:t>
                </a:r>
              </a:p>
            </c:rich>
          </c:tx>
          <c:layout>
            <c:manualLayout>
              <c:xMode val="edge"/>
              <c:yMode val="edge"/>
              <c:x val="0.97059962406015032"/>
              <c:y val="7.2968499427262329E-2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56576768"/>
        <c:crosses val="max"/>
        <c:crossBetween val="between"/>
        <c:majorUnit val="20"/>
      </c:valAx>
      <c:catAx>
        <c:axId val="15657676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56575232"/>
        <c:crosses val="autoZero"/>
        <c:auto val="1"/>
        <c:lblAlgn val="ctr"/>
        <c:lblOffset val="100"/>
        <c:noMultiLvlLbl val="0"/>
      </c:catAx>
      <c:spPr>
        <a:ln>
          <a:solidFill>
            <a:schemeClr val="tx1">
              <a:lumMod val="75000"/>
              <a:lumOff val="25000"/>
            </a:schemeClr>
          </a:solidFill>
        </a:ln>
      </c:spPr>
    </c:plotArea>
    <c:legend>
      <c:legendPos val="r"/>
      <c:layout>
        <c:manualLayout>
          <c:xMode val="edge"/>
          <c:yMode val="edge"/>
          <c:x val="2.7894149438737266E-3"/>
          <c:y val="0.80683901693256121"/>
          <c:w val="0.99229354112783008"/>
          <c:h val="0.18952404020147029"/>
        </c:manualLayout>
      </c:layout>
      <c:overlay val="0"/>
      <c:spPr>
        <a:ln w="6350">
          <a:solidFill>
            <a:schemeClr val="tx1"/>
          </a:solidFill>
        </a:ln>
      </c:spPr>
      <c:txPr>
        <a:bodyPr/>
        <a:lstStyle/>
        <a:p>
          <a:pPr>
            <a:defRPr sz="720"/>
          </a:pPr>
          <a:endParaRPr lang="cs-CZ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500" baseline="0">
          <a:latin typeface="Arial" pitchFamily="34" charset="0"/>
        </a:defRPr>
      </a:pPr>
      <a:endParaRPr lang="cs-CZ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461666861125732E-2"/>
          <c:y val="1.5803328678987455E-2"/>
          <c:w val="0.85878628700879256"/>
          <c:h val="0.73450553497678983"/>
        </c:manualLayout>
      </c:layout>
      <c:barChart>
        <c:barDir val="col"/>
        <c:grouping val="stacked"/>
        <c:varyColors val="0"/>
        <c:ser>
          <c:idx val="0"/>
          <c:order val="1"/>
          <c:tx>
            <c:strRef>
              <c:f>'výkonnost odvětví 5a'!$E$66</c:f>
              <c:strCache>
                <c:ptCount val="1"/>
                <c:pt idx="0">
                  <c:v>Maloobchod s potravinami (příspěvek)</c:v>
                </c:pt>
              </c:strCache>
            </c:strRef>
          </c:tx>
          <c:spPr>
            <a:solidFill>
              <a:srgbClr val="92D050"/>
            </a:solidFill>
            <a:ln w="15875">
              <a:noFill/>
            </a:ln>
          </c:spPr>
          <c:invertIfNegative val="0"/>
          <c:cat>
            <c:multiLvlStrRef>
              <c:f>'výkonnost odvětví 5a'!$B$75:$C$109</c:f>
              <c:multiLvlStrCache>
                <c:ptCount val="35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'výkonnost odvětví 5a'!$E$75:$E$109</c:f>
              <c:numCache>
                <c:formatCode>#\ ##0.0</c:formatCode>
                <c:ptCount val="35"/>
                <c:pt idx="0">
                  <c:v>0.7787154164630542</c:v>
                </c:pt>
                <c:pt idx="1">
                  <c:v>1.3597766994116862</c:v>
                </c:pt>
                <c:pt idx="2">
                  <c:v>1.1134773635066046</c:v>
                </c:pt>
                <c:pt idx="3">
                  <c:v>0.91970740736417533</c:v>
                </c:pt>
                <c:pt idx="4">
                  <c:v>1.4645333800973857</c:v>
                </c:pt>
                <c:pt idx="5">
                  <c:v>0.53144446548435409</c:v>
                </c:pt>
                <c:pt idx="6">
                  <c:v>0.92792683035692236</c:v>
                </c:pt>
                <c:pt idx="7">
                  <c:v>0.3824919135762459</c:v>
                </c:pt>
                <c:pt idx="8">
                  <c:v>-0.28208291529256013</c:v>
                </c:pt>
                <c:pt idx="9">
                  <c:v>1.4115794519944731</c:v>
                </c:pt>
                <c:pt idx="10">
                  <c:v>0.11831212805240382</c:v>
                </c:pt>
                <c:pt idx="11">
                  <c:v>1.4252185624438525</c:v>
                </c:pt>
                <c:pt idx="12">
                  <c:v>0.67533313612495505</c:v>
                </c:pt>
                <c:pt idx="13">
                  <c:v>-1.8574665817037352</c:v>
                </c:pt>
                <c:pt idx="14">
                  <c:v>-0.62665283397019778</c:v>
                </c:pt>
                <c:pt idx="15">
                  <c:v>-0.29163181920678832</c:v>
                </c:pt>
                <c:pt idx="16">
                  <c:v>-0.58892231790714122</c:v>
                </c:pt>
                <c:pt idx="17">
                  <c:v>0.48100390268042748</c:v>
                </c:pt>
                <c:pt idx="18">
                  <c:v>-0.29802864023745906</c:v>
                </c:pt>
                <c:pt idx="19">
                  <c:v>4.9515625374329736E-3</c:v>
                </c:pt>
                <c:pt idx="20">
                  <c:v>-6.1729138797179665E-2</c:v>
                </c:pt>
                <c:pt idx="21">
                  <c:v>-1.1039197204168318</c:v>
                </c:pt>
                <c:pt idx="22">
                  <c:v>-2.2858925447286085</c:v>
                </c:pt>
                <c:pt idx="23">
                  <c:v>-3.2415836219873366</c:v>
                </c:pt>
                <c:pt idx="24">
                  <c:v>-3.1044420954551293</c:v>
                </c:pt>
                <c:pt idx="25">
                  <c:v>-2.8514326644359214</c:v>
                </c:pt>
                <c:pt idx="26">
                  <c:v>-1.6890145575829165</c:v>
                </c:pt>
                <c:pt idx="27">
                  <c:v>-0.73728195486439585</c:v>
                </c:pt>
                <c:pt idx="28">
                  <c:v>0.8672641634520738</c:v>
                </c:pt>
                <c:pt idx="29">
                  <c:v>1.1133148614634105</c:v>
                </c:pt>
                <c:pt idx="30">
                  <c:v>0.85705293041202757</c:v>
                </c:pt>
                <c:pt idx="31">
                  <c:v>0.65131634095107493</c:v>
                </c:pt>
                <c:pt idx="32">
                  <c:v>0.38295032176768778</c:v>
                </c:pt>
                <c:pt idx="33">
                  <c:v>0.52387790346607954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26-4A13-A34A-0411113BE9CA}"/>
            </c:ext>
          </c:extLst>
        </c:ser>
        <c:ser>
          <c:idx val="1"/>
          <c:order val="2"/>
          <c:tx>
            <c:strRef>
              <c:f>'výkonnost odvětví 5a'!$F$66</c:f>
              <c:strCache>
                <c:ptCount val="1"/>
                <c:pt idx="0">
                  <c:v>Mal. s nepotravinářským zbož. (příspěvek)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 w="15875">
              <a:noFill/>
            </a:ln>
          </c:spPr>
          <c:invertIfNegative val="0"/>
          <c:cat>
            <c:multiLvlStrRef>
              <c:f>'výkonnost odvětví 5a'!$B$75:$C$109</c:f>
              <c:multiLvlStrCache>
                <c:ptCount val="35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'výkonnost odvětví 5a'!$F$75:$F$109</c:f>
              <c:numCache>
                <c:formatCode>#\ ##0.0</c:formatCode>
                <c:ptCount val="35"/>
                <c:pt idx="0">
                  <c:v>4.1557103248201761</c:v>
                </c:pt>
                <c:pt idx="1">
                  <c:v>4.4104045377999981</c:v>
                </c:pt>
                <c:pt idx="2">
                  <c:v>4.0615248531372536</c:v>
                </c:pt>
                <c:pt idx="3">
                  <c:v>4.5700952864311759</c:v>
                </c:pt>
                <c:pt idx="4">
                  <c:v>3.9569950425480003</c:v>
                </c:pt>
                <c:pt idx="5">
                  <c:v>3.3604477912859934</c:v>
                </c:pt>
                <c:pt idx="6">
                  <c:v>2.5771913471975827</c:v>
                </c:pt>
                <c:pt idx="7">
                  <c:v>3.7155262619248499</c:v>
                </c:pt>
                <c:pt idx="8">
                  <c:v>1.3112819503208197</c:v>
                </c:pt>
                <c:pt idx="9">
                  <c:v>2.4465088482732695</c:v>
                </c:pt>
                <c:pt idx="10">
                  <c:v>4.2913372796389373</c:v>
                </c:pt>
                <c:pt idx="11">
                  <c:v>5.6716868879358282</c:v>
                </c:pt>
                <c:pt idx="12">
                  <c:v>-3.6631018019599199E-2</c:v>
                </c:pt>
                <c:pt idx="13">
                  <c:v>-0.33215999960599885</c:v>
                </c:pt>
                <c:pt idx="14">
                  <c:v>1.4205055117393666</c:v>
                </c:pt>
                <c:pt idx="15">
                  <c:v>-1.8466010560035075</c:v>
                </c:pt>
                <c:pt idx="16">
                  <c:v>5.4005443187124233E-2</c:v>
                </c:pt>
                <c:pt idx="17">
                  <c:v>5.5746008725972063</c:v>
                </c:pt>
                <c:pt idx="18">
                  <c:v>3.6273748562505279</c:v>
                </c:pt>
                <c:pt idx="19">
                  <c:v>5.6683258500032592</c:v>
                </c:pt>
                <c:pt idx="20">
                  <c:v>5.9898281920139507</c:v>
                </c:pt>
                <c:pt idx="21">
                  <c:v>-0.95232478716269486</c:v>
                </c:pt>
                <c:pt idx="22">
                  <c:v>-3.9413096766469633</c:v>
                </c:pt>
                <c:pt idx="23">
                  <c:v>-5.6382985174971978</c:v>
                </c:pt>
                <c:pt idx="24">
                  <c:v>-4.7868919242277457</c:v>
                </c:pt>
                <c:pt idx="25">
                  <c:v>-4.4883038967497875</c:v>
                </c:pt>
                <c:pt idx="26">
                  <c:v>-2.4573092929046747</c:v>
                </c:pt>
                <c:pt idx="27">
                  <c:v>0.45397817152680892</c:v>
                </c:pt>
                <c:pt idx="28">
                  <c:v>2.7920718988020718</c:v>
                </c:pt>
                <c:pt idx="29">
                  <c:v>2.5910743696574685</c:v>
                </c:pt>
                <c:pt idx="30">
                  <c:v>3.3637356531146834</c:v>
                </c:pt>
                <c:pt idx="31">
                  <c:v>3.5077253357886526</c:v>
                </c:pt>
                <c:pt idx="32">
                  <c:v>2.1470691744341437</c:v>
                </c:pt>
                <c:pt idx="33">
                  <c:v>2.9875468980964293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526-4A13-A34A-0411113BE9CA}"/>
            </c:ext>
          </c:extLst>
        </c:ser>
        <c:ser>
          <c:idx val="4"/>
          <c:order val="3"/>
          <c:tx>
            <c:strRef>
              <c:f>'výkonnost odvětví 5a'!$G$66</c:f>
              <c:strCache>
                <c:ptCount val="1"/>
                <c:pt idx="0">
                  <c:v>Maloobchodní prodej PHM (příspěvek)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  <a:ln w="15875">
              <a:noFill/>
            </a:ln>
          </c:spPr>
          <c:invertIfNegative val="0"/>
          <c:cat>
            <c:multiLvlStrRef>
              <c:f>'výkonnost odvětví 5a'!$B$75:$C$109</c:f>
              <c:multiLvlStrCache>
                <c:ptCount val="35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'výkonnost odvětví 5a'!$G$75:$G$109</c:f>
              <c:numCache>
                <c:formatCode>#\ ##0.0</c:formatCode>
                <c:ptCount val="35"/>
                <c:pt idx="0">
                  <c:v>0.53580078847826029</c:v>
                </c:pt>
                <c:pt idx="1">
                  <c:v>0.7481442662741048</c:v>
                </c:pt>
                <c:pt idx="2">
                  <c:v>0.8417253716696228</c:v>
                </c:pt>
                <c:pt idx="3">
                  <c:v>0.68556061136853796</c:v>
                </c:pt>
                <c:pt idx="4">
                  <c:v>0.66247010505524628</c:v>
                </c:pt>
                <c:pt idx="5">
                  <c:v>0.59636844485642493</c:v>
                </c:pt>
                <c:pt idx="6">
                  <c:v>0.37391568004396541</c:v>
                </c:pt>
                <c:pt idx="7">
                  <c:v>0.43417919027381618</c:v>
                </c:pt>
                <c:pt idx="8">
                  <c:v>0.17803327368097366</c:v>
                </c:pt>
                <c:pt idx="9">
                  <c:v>0.36784802555092327</c:v>
                </c:pt>
                <c:pt idx="10">
                  <c:v>0.27496327062133352</c:v>
                </c:pt>
                <c:pt idx="11">
                  <c:v>0.19541841116417427</c:v>
                </c:pt>
                <c:pt idx="12">
                  <c:v>-0.74276417427034591</c:v>
                </c:pt>
                <c:pt idx="13">
                  <c:v>-1.9735846666989318</c:v>
                </c:pt>
                <c:pt idx="14">
                  <c:v>8.3771201076499296E-2</c:v>
                </c:pt>
                <c:pt idx="15">
                  <c:v>-1.0746973279715013</c:v>
                </c:pt>
                <c:pt idx="16">
                  <c:v>-0.72671837397640604</c:v>
                </c:pt>
                <c:pt idx="17">
                  <c:v>1.0689019934159671</c:v>
                </c:pt>
                <c:pt idx="18">
                  <c:v>0.36930844879833413</c:v>
                </c:pt>
                <c:pt idx="19">
                  <c:v>0.92383545764102071</c:v>
                </c:pt>
                <c:pt idx="20">
                  <c:v>1.2434577148722661</c:v>
                </c:pt>
                <c:pt idx="21">
                  <c:v>-0.71068412370592737</c:v>
                </c:pt>
                <c:pt idx="22">
                  <c:v>-1.4490228985590257</c:v>
                </c:pt>
                <c:pt idx="23">
                  <c:v>-0.43081542787609173</c:v>
                </c:pt>
                <c:pt idx="24">
                  <c:v>9.6907179662661214E-2</c:v>
                </c:pt>
                <c:pt idx="25">
                  <c:v>1.0464931532595816</c:v>
                </c:pt>
                <c:pt idx="26">
                  <c:v>1.024633510040142</c:v>
                </c:pt>
                <c:pt idx="27">
                  <c:v>0.21074768924486353</c:v>
                </c:pt>
                <c:pt idx="28">
                  <c:v>0.60123141533822622</c:v>
                </c:pt>
                <c:pt idx="29">
                  <c:v>0.24978714275670472</c:v>
                </c:pt>
                <c:pt idx="30">
                  <c:v>0.43604322762153608</c:v>
                </c:pt>
                <c:pt idx="31">
                  <c:v>1.0777639709484297</c:v>
                </c:pt>
                <c:pt idx="32">
                  <c:v>0.90807751997250896</c:v>
                </c:pt>
                <c:pt idx="33">
                  <c:v>1.4847963411348755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526-4A13-A34A-0411113BE9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1"/>
        <c:overlap val="100"/>
        <c:axId val="156100864"/>
        <c:axId val="156573696"/>
      </c:barChart>
      <c:lineChart>
        <c:grouping val="standard"/>
        <c:varyColors val="0"/>
        <c:ser>
          <c:idx val="3"/>
          <c:order val="0"/>
          <c:tx>
            <c:strRef>
              <c:f>'výkonnost odvětví 5a'!$D$66</c:f>
              <c:strCache>
                <c:ptCount val="1"/>
                <c:pt idx="0">
                  <c:v>Maloobchod celkem (meziroční růst)</c:v>
                </c:pt>
              </c:strCache>
            </c:strRef>
          </c:tx>
          <c:spPr>
            <a:ln>
              <a:noFill/>
            </a:ln>
          </c:spPr>
          <c:marker>
            <c:symbol val="dash"/>
            <c:size val="7"/>
            <c:spPr>
              <a:solidFill>
                <a:schemeClr val="tx1">
                  <a:lumMod val="85000"/>
                  <a:lumOff val="15000"/>
                </a:schemeClr>
              </a:solidFill>
              <a:ln w="6350">
                <a:noFill/>
              </a:ln>
            </c:spPr>
          </c:marker>
          <c:cat>
            <c:multiLvlStrRef>
              <c:f>'výkonnost odvětví 5a'!$B$75:$C$109</c:f>
              <c:multiLvlStrCache>
                <c:ptCount val="35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'výkonnost odvětví 5a'!$D$75:$D$109</c:f>
              <c:numCache>
                <c:formatCode>#\ ##0.0</c:formatCode>
                <c:ptCount val="35"/>
                <c:pt idx="0">
                  <c:v>5.0535287627999992</c:v>
                </c:pt>
                <c:pt idx="1">
                  <c:v>6.1902167670999972</c:v>
                </c:pt>
                <c:pt idx="2">
                  <c:v>5.697321019499995</c:v>
                </c:pt>
                <c:pt idx="3">
                  <c:v>5.817258804399998</c:v>
                </c:pt>
                <c:pt idx="4">
                  <c:v>5.9494249259000043</c:v>
                </c:pt>
                <c:pt idx="5">
                  <c:v>4.3932899649999939</c:v>
                </c:pt>
                <c:pt idx="6">
                  <c:v>3.8341696340999931</c:v>
                </c:pt>
                <c:pt idx="7">
                  <c:v>4.3513172139000034</c:v>
                </c:pt>
                <c:pt idx="8">
                  <c:v>1.1251737248000069</c:v>
                </c:pt>
                <c:pt idx="9">
                  <c:v>4.1948322156000017</c:v>
                </c:pt>
                <c:pt idx="10">
                  <c:v>4.5011575139999991</c:v>
                </c:pt>
                <c:pt idx="11">
                  <c:v>7.2209563681000049</c:v>
                </c:pt>
                <c:pt idx="12">
                  <c:v>-0.13540494859999797</c:v>
                </c:pt>
                <c:pt idx="13">
                  <c:v>-4.2764857787000068</c:v>
                </c:pt>
                <c:pt idx="14">
                  <c:v>0.83746199809999666</c:v>
                </c:pt>
                <c:pt idx="15">
                  <c:v>-3.1481122935000059</c:v>
                </c:pt>
                <c:pt idx="16">
                  <c:v>-1.3260946485000034</c:v>
                </c:pt>
                <c:pt idx="17">
                  <c:v>6.9548778280999954</c:v>
                </c:pt>
                <c:pt idx="18">
                  <c:v>3.5825422319999944</c:v>
                </c:pt>
                <c:pt idx="19">
                  <c:v>6.4978758193000061</c:v>
                </c:pt>
                <c:pt idx="20">
                  <c:v>6.7650978996999953</c:v>
                </c:pt>
                <c:pt idx="21">
                  <c:v>-2.8075535470999995</c:v>
                </c:pt>
                <c:pt idx="22">
                  <c:v>-7.6553089238999945</c:v>
                </c:pt>
                <c:pt idx="23">
                  <c:v>-9.3114959269999957</c:v>
                </c:pt>
                <c:pt idx="24">
                  <c:v>-7.7760854930999983</c:v>
                </c:pt>
                <c:pt idx="25">
                  <c:v>-6.2793691088999992</c:v>
                </c:pt>
                <c:pt idx="26">
                  <c:v>-3.1395073420000017</c:v>
                </c:pt>
                <c:pt idx="27">
                  <c:v>-0.13611199780000049</c:v>
                </c:pt>
                <c:pt idx="28">
                  <c:v>4.2570376560999961</c:v>
                </c:pt>
                <c:pt idx="29">
                  <c:v>3.9547549262999979</c:v>
                </c:pt>
                <c:pt idx="30">
                  <c:v>4.6565299640000006</c:v>
                </c:pt>
                <c:pt idx="31">
                  <c:v>5.2358296761999981</c:v>
                </c:pt>
                <c:pt idx="32">
                  <c:v>3.4372303115000022</c:v>
                </c:pt>
                <c:pt idx="33">
                  <c:v>4.9965217630000041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526-4A13-A34A-0411113BE9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6100864"/>
        <c:axId val="156573696"/>
      </c:lineChart>
      <c:lineChart>
        <c:grouping val="standard"/>
        <c:varyColors val="0"/>
        <c:ser>
          <c:idx val="5"/>
          <c:order val="4"/>
          <c:tx>
            <c:strRef>
              <c:f>'výkonnost odvětví 5a'!$H$66</c:f>
              <c:strCache>
                <c:ptCount val="1"/>
                <c:pt idx="0">
                  <c:v>Maloobchod, bez motor. segm. (2021=100)</c:v>
                </c:pt>
              </c:strCache>
            </c:strRef>
          </c:tx>
          <c:spPr>
            <a:ln w="15875">
              <a:solidFill>
                <a:schemeClr val="tx1">
                  <a:lumMod val="95000"/>
                  <a:lumOff val="5000"/>
                </a:schemeClr>
              </a:solidFill>
              <a:prstDash val="solid"/>
            </a:ln>
          </c:spPr>
          <c:marker>
            <c:symbol val="none"/>
          </c:marker>
          <c:cat>
            <c:multiLvlStrRef>
              <c:f>'výkonnost odvětví 5a'!$B$75:$C$109</c:f>
              <c:multiLvlStrCache>
                <c:ptCount val="35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'výkonnost odvětví 5a'!$H$75:$H$109</c:f>
              <c:numCache>
                <c:formatCode>#\ ##0.0</c:formatCode>
                <c:ptCount val="35"/>
                <c:pt idx="0">
                  <c:v>87.495099866700002</c:v>
                </c:pt>
                <c:pt idx="1">
                  <c:v>89.138431163299998</c:v>
                </c:pt>
                <c:pt idx="2">
                  <c:v>90.161633323299995</c:v>
                </c:pt>
                <c:pt idx="3">
                  <c:v>90.497394953300002</c:v>
                </c:pt>
                <c:pt idx="4">
                  <c:v>93.094801029999999</c:v>
                </c:pt>
                <c:pt idx="5">
                  <c:v>93.18768412</c:v>
                </c:pt>
                <c:pt idx="6">
                  <c:v>93.508700056699993</c:v>
                </c:pt>
                <c:pt idx="7">
                  <c:v>93.474682340000001</c:v>
                </c:pt>
                <c:pt idx="8">
                  <c:v>95.051863356699997</c:v>
                </c:pt>
                <c:pt idx="9">
                  <c:v>97.727929486700006</c:v>
                </c:pt>
                <c:pt idx="10">
                  <c:v>97.382384529999996</c:v>
                </c:pt>
                <c:pt idx="11">
                  <c:v>98.750010893300001</c:v>
                </c:pt>
                <c:pt idx="12">
                  <c:v>95.168453310000004</c:v>
                </c:pt>
                <c:pt idx="13">
                  <c:v>94.223485960000005</c:v>
                </c:pt>
                <c:pt idx="14">
                  <c:v>98.290064009999995</c:v>
                </c:pt>
                <c:pt idx="15">
                  <c:v>95.235280143300002</c:v>
                </c:pt>
                <c:pt idx="16">
                  <c:v>92.933554726699995</c:v>
                </c:pt>
                <c:pt idx="17">
                  <c:v>100.6487260967</c:v>
                </c:pt>
                <c:pt idx="18">
                  <c:v>102.09204868</c:v>
                </c:pt>
                <c:pt idx="19">
                  <c:v>101.6024935267</c:v>
                </c:pt>
                <c:pt idx="20">
                  <c:v>99.538618193299996</c:v>
                </c:pt>
                <c:pt idx="21">
                  <c:v>97.732834566700006</c:v>
                </c:pt>
                <c:pt idx="22">
                  <c:v>94.912353056699999</c:v>
                </c:pt>
                <c:pt idx="23">
                  <c:v>92.886521160000001</c:v>
                </c:pt>
                <c:pt idx="24">
                  <c:v>91.583920813299997</c:v>
                </c:pt>
                <c:pt idx="25">
                  <c:v>91.315467116700006</c:v>
                </c:pt>
                <c:pt idx="26">
                  <c:v>91.886206119999997</c:v>
                </c:pt>
                <c:pt idx="27">
                  <c:v>92.831514513299993</c:v>
                </c:pt>
                <c:pt idx="28">
                  <c:v>94.970655723299998</c:v>
                </c:pt>
                <c:pt idx="29">
                  <c:v>95.161160519999996</c:v>
                </c:pt>
                <c:pt idx="30">
                  <c:v>96.537863659999999</c:v>
                </c:pt>
                <c:pt idx="31">
                  <c:v>97.383945109999999</c:v>
                </c:pt>
                <c:pt idx="32">
                  <c:v>98.206021776699998</c:v>
                </c:pt>
                <c:pt idx="33">
                  <c:v>99.708527436699995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F526-4A13-A34A-0411113BE9CA}"/>
            </c:ext>
          </c:extLst>
        </c:ser>
        <c:ser>
          <c:idx val="2"/>
          <c:order val="5"/>
          <c:tx>
            <c:strRef>
              <c:f>'výkonnost odvětví 5a'!$I$66</c:f>
              <c:strCache>
                <c:ptCount val="1"/>
                <c:pt idx="0">
                  <c:v>z toho: maloobchod.prodej PHM (2021=100)</c:v>
                </c:pt>
              </c:strCache>
            </c:strRef>
          </c:tx>
          <c:spPr>
            <a:ln w="15875">
              <a:solidFill>
                <a:schemeClr val="bg2">
                  <a:lumMod val="50000"/>
                </a:schemeClr>
              </a:solidFill>
              <a:prstDash val="sysDash"/>
            </a:ln>
          </c:spPr>
          <c:marker>
            <c:symbol val="none"/>
          </c:marker>
          <c:cat>
            <c:multiLvlStrRef>
              <c:f>'výkonnost odvětví 5a'!$B$75:$C$109</c:f>
              <c:multiLvlStrCache>
                <c:ptCount val="35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'výkonnost odvětví 5a'!$I$75:$I$109</c:f>
              <c:numCache>
                <c:formatCode>#\ ##0.0</c:formatCode>
                <c:ptCount val="35"/>
                <c:pt idx="0">
                  <c:v>96.055973429999995</c:v>
                </c:pt>
                <c:pt idx="1">
                  <c:v>97.663561083299996</c:v>
                </c:pt>
                <c:pt idx="2">
                  <c:v>99.232546576700003</c:v>
                </c:pt>
                <c:pt idx="3">
                  <c:v>100.27997863669999</c:v>
                </c:pt>
                <c:pt idx="4">
                  <c:v>101.92380869669999</c:v>
                </c:pt>
                <c:pt idx="5">
                  <c:v>102.3573869567</c:v>
                </c:pt>
                <c:pt idx="6">
                  <c:v>101.9803127767</c:v>
                </c:pt>
                <c:pt idx="7">
                  <c:v>101.9116452767</c:v>
                </c:pt>
                <c:pt idx="8">
                  <c:v>105.5158907133</c:v>
                </c:pt>
                <c:pt idx="9">
                  <c:v>106.7628022633</c:v>
                </c:pt>
                <c:pt idx="10">
                  <c:v>102.2787380533</c:v>
                </c:pt>
                <c:pt idx="11">
                  <c:v>102.40340343</c:v>
                </c:pt>
                <c:pt idx="12">
                  <c:v>101.81614777999999</c:v>
                </c:pt>
                <c:pt idx="13">
                  <c:v>89.515623356700004</c:v>
                </c:pt>
                <c:pt idx="14">
                  <c:v>98.569475176699996</c:v>
                </c:pt>
                <c:pt idx="15">
                  <c:v>92.226775443299999</c:v>
                </c:pt>
                <c:pt idx="16">
                  <c:v>96.031489089999994</c:v>
                </c:pt>
                <c:pt idx="17">
                  <c:v>100.9564280333</c:v>
                </c:pt>
                <c:pt idx="18">
                  <c:v>102.18491040000001</c:v>
                </c:pt>
                <c:pt idx="19">
                  <c:v>100.0333046567</c:v>
                </c:pt>
                <c:pt idx="20">
                  <c:v>100.55400859</c:v>
                </c:pt>
                <c:pt idx="21">
                  <c:v>95.842980303299996</c:v>
                </c:pt>
                <c:pt idx="22">
                  <c:v>95.153523616699999</c:v>
                </c:pt>
                <c:pt idx="23">
                  <c:v>97.981541676700004</c:v>
                </c:pt>
                <c:pt idx="24">
                  <c:v>98.912439943300001</c:v>
                </c:pt>
                <c:pt idx="25">
                  <c:v>101.98739453</c:v>
                </c:pt>
                <c:pt idx="26">
                  <c:v>102.9161225533</c:v>
                </c:pt>
                <c:pt idx="27">
                  <c:v>101.77824656999999</c:v>
                </c:pt>
                <c:pt idx="28">
                  <c:v>104.32449022999999</c:v>
                </c:pt>
                <c:pt idx="29">
                  <c:v>104.54604530330001</c:v>
                </c:pt>
                <c:pt idx="30">
                  <c:v>107.1809136267</c:v>
                </c:pt>
                <c:pt idx="31">
                  <c:v>110.6168236867</c:v>
                </c:pt>
                <c:pt idx="32">
                  <c:v>112.48553464</c:v>
                </c:pt>
                <c:pt idx="33">
                  <c:v>116.1244751867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F526-4A13-A34A-0411113BE9CA}"/>
            </c:ext>
          </c:extLst>
        </c:ser>
        <c:ser>
          <c:idx val="6"/>
          <c:order val="6"/>
          <c:tx>
            <c:strRef>
              <c:f>'výkonnost odvětví 5a'!$J$66</c:f>
              <c:strCache>
                <c:ptCount val="1"/>
                <c:pt idx="0">
                  <c:v>Obchod a opravy motor. vozidel (2021=100)</c:v>
                </c:pt>
              </c:strCache>
            </c:strRef>
          </c:tx>
          <c:spPr>
            <a:ln w="15875">
              <a:solidFill>
                <a:srgbClr val="984807"/>
              </a:solidFill>
              <a:prstDash val="solid"/>
            </a:ln>
          </c:spPr>
          <c:marker>
            <c:symbol val="none"/>
          </c:marker>
          <c:cat>
            <c:multiLvlStrRef>
              <c:f>'výkonnost odvětví 5a'!$B$75:$C$109</c:f>
              <c:multiLvlStrCache>
                <c:ptCount val="35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'výkonnost odvětví 5a'!$J$75:$J$109</c:f>
              <c:numCache>
                <c:formatCode>#\ ##0.0</c:formatCode>
                <c:ptCount val="35"/>
                <c:pt idx="0">
                  <c:v>109.6931493133</c:v>
                </c:pt>
                <c:pt idx="1">
                  <c:v>110.1404259533</c:v>
                </c:pt>
                <c:pt idx="2">
                  <c:v>109.35124661330001</c:v>
                </c:pt>
                <c:pt idx="3">
                  <c:v>110.30069229670001</c:v>
                </c:pt>
                <c:pt idx="4">
                  <c:v>108.8070253133</c:v>
                </c:pt>
                <c:pt idx="5">
                  <c:v>108.53626257000001</c:v>
                </c:pt>
                <c:pt idx="6">
                  <c:v>108.41447377999999</c:v>
                </c:pt>
                <c:pt idx="7">
                  <c:v>106.84909192000001</c:v>
                </c:pt>
                <c:pt idx="8">
                  <c:v>108.70853031670001</c:v>
                </c:pt>
                <c:pt idx="9">
                  <c:v>109.27449573</c:v>
                </c:pt>
                <c:pt idx="10">
                  <c:v>107.5435867133</c:v>
                </c:pt>
                <c:pt idx="11">
                  <c:v>107.39297555</c:v>
                </c:pt>
                <c:pt idx="12">
                  <c:v>95.102227563300005</c:v>
                </c:pt>
                <c:pt idx="13">
                  <c:v>78.841400570000005</c:v>
                </c:pt>
                <c:pt idx="14">
                  <c:v>99.650671279999997</c:v>
                </c:pt>
                <c:pt idx="15">
                  <c:v>99.510519133299994</c:v>
                </c:pt>
                <c:pt idx="16">
                  <c:v>101.37814797670001</c:v>
                </c:pt>
                <c:pt idx="17">
                  <c:v>101.22781486</c:v>
                </c:pt>
                <c:pt idx="18">
                  <c:v>98.598877060000007</c:v>
                </c:pt>
                <c:pt idx="19">
                  <c:v>97.351351283300005</c:v>
                </c:pt>
                <c:pt idx="20">
                  <c:v>96.564264863299996</c:v>
                </c:pt>
                <c:pt idx="21">
                  <c:v>95.532165923299999</c:v>
                </c:pt>
                <c:pt idx="22">
                  <c:v>95.550303906699995</c:v>
                </c:pt>
                <c:pt idx="23">
                  <c:v>96.030030993300002</c:v>
                </c:pt>
                <c:pt idx="24">
                  <c:v>98.767171903299996</c:v>
                </c:pt>
                <c:pt idx="25">
                  <c:v>99.523271626699994</c:v>
                </c:pt>
                <c:pt idx="26">
                  <c:v>100.9205239133</c:v>
                </c:pt>
                <c:pt idx="27">
                  <c:v>101.4525278567</c:v>
                </c:pt>
                <c:pt idx="28">
                  <c:v>101.25825571670001</c:v>
                </c:pt>
                <c:pt idx="29">
                  <c:v>100.94653855999999</c:v>
                </c:pt>
                <c:pt idx="30">
                  <c:v>100.5523555467</c:v>
                </c:pt>
                <c:pt idx="31">
                  <c:v>101.56578739</c:v>
                </c:pt>
                <c:pt idx="32">
                  <c:v>102.4387382133</c:v>
                </c:pt>
                <c:pt idx="33">
                  <c:v>102.7176832567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F526-4A13-A34A-0411113BE9CA}"/>
            </c:ext>
          </c:extLst>
        </c:ser>
        <c:ser>
          <c:idx val="7"/>
          <c:order val="7"/>
          <c:tx>
            <c:strRef>
              <c:f>'výkonnost odvětví 5a'!$K$66</c:f>
              <c:strCache>
                <c:ptCount val="1"/>
              </c:strCache>
            </c:strRef>
          </c:tx>
          <c:spPr>
            <a:ln w="3175">
              <a:noFill/>
              <a:prstDash val="sysDash"/>
            </a:ln>
          </c:spPr>
          <c:marker>
            <c:symbol val="none"/>
          </c:marker>
          <c:cat>
            <c:multiLvlStrRef>
              <c:f>'výkonnost odvětví 5a'!$B$75:$C$109</c:f>
              <c:multiLvlStrCache>
                <c:ptCount val="35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'výkonnost odvětví 5a'!$K$75:$K$109</c:f>
              <c:numCache>
                <c:formatCode>#\ ##0.0</c:formatCode>
                <c:ptCount val="35"/>
                <c:pt idx="0">
                  <c:v>-0.41669776696149152</c:v>
                </c:pt>
                <c:pt idx="1">
                  <c:v>-0.32810873638579163</c:v>
                </c:pt>
                <c:pt idx="2">
                  <c:v>-0.31940656881348628</c:v>
                </c:pt>
                <c:pt idx="3">
                  <c:v>-0.358104500763891</c:v>
                </c:pt>
                <c:pt idx="4">
                  <c:v>-0.13457360180062816</c:v>
                </c:pt>
                <c:pt idx="5">
                  <c:v>-9.4970736626778574E-2</c:v>
                </c:pt>
                <c:pt idx="6">
                  <c:v>-4.4864223498477129E-2</c:v>
                </c:pt>
                <c:pt idx="7">
                  <c:v>-0.18088015187490841</c:v>
                </c:pt>
                <c:pt idx="8">
                  <c:v>-8.2058583909226379E-2</c:v>
                </c:pt>
                <c:pt idx="9">
                  <c:v>-3.110411021866416E-2</c:v>
                </c:pt>
                <c:pt idx="10">
                  <c:v>-0.1834551643126755</c:v>
                </c:pt>
                <c:pt idx="11">
                  <c:v>-7.13674934438501E-2</c:v>
                </c:pt>
                <c:pt idx="12">
                  <c:v>-3.1342892435007874E-2</c:v>
                </c:pt>
                <c:pt idx="13">
                  <c:v>-0.11327453069134075</c:v>
                </c:pt>
                <c:pt idx="14">
                  <c:v>-4.0161880745671424E-2</c:v>
                </c:pt>
                <c:pt idx="15">
                  <c:v>6.4817909681791352E-2</c:v>
                </c:pt>
                <c:pt idx="16">
                  <c:v>-6.4459399803580286E-2</c:v>
                </c:pt>
                <c:pt idx="17">
                  <c:v>-0.16962894059360556</c:v>
                </c:pt>
                <c:pt idx="18">
                  <c:v>-0.11611243281140859</c:v>
                </c:pt>
                <c:pt idx="19">
                  <c:v>-9.9237050881706534E-2</c:v>
                </c:pt>
                <c:pt idx="20">
                  <c:v>-0.40645886838904177</c:v>
                </c:pt>
                <c:pt idx="21">
                  <c:v>-4.0624915814545415E-2</c:v>
                </c:pt>
                <c:pt idx="22">
                  <c:v>2.091619603460293E-2</c:v>
                </c:pt>
                <c:pt idx="23">
                  <c:v>-7.9835963936958354E-4</c:v>
                </c:pt>
                <c:pt idx="24">
                  <c:v>1.8341346920214996E-2</c:v>
                </c:pt>
                <c:pt idx="25">
                  <c:v>1.3874299026128023E-2</c:v>
                </c:pt>
                <c:pt idx="26">
                  <c:v>-1.7817001552552503E-2</c:v>
                </c:pt>
                <c:pt idx="27">
                  <c:v>-6.3555903707277095E-2</c:v>
                </c:pt>
                <c:pt idx="28">
                  <c:v>-3.5298214923756843E-3</c:v>
                </c:pt>
                <c:pt idx="29">
                  <c:v>5.7855242241394711E-4</c:v>
                </c:pt>
                <c:pt idx="30">
                  <c:v>-3.0184714824660341E-4</c:v>
                </c:pt>
                <c:pt idx="31">
                  <c:v>-9.7597148815919965E-4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F526-4A13-A34A-0411113BE9CA}"/>
            </c:ext>
          </c:extLst>
        </c:ser>
        <c:ser>
          <c:idx val="8"/>
          <c:order val="8"/>
          <c:tx>
            <c:strRef>
              <c:f>'výkonnost odvětví 5a'!$L$66</c:f>
              <c:strCache>
                <c:ptCount val="1"/>
                <c:pt idx="0">
                  <c:v>Saldo indikátoru důvěry spotřebitelů</c:v>
                </c:pt>
              </c:strCache>
            </c:strRef>
          </c:tx>
          <c:spPr>
            <a:ln w="12700">
              <a:solidFill>
                <a:schemeClr val="bg1">
                  <a:lumMod val="50000"/>
                </a:schemeClr>
              </a:solidFill>
              <a:prstDash val="sysDot"/>
            </a:ln>
          </c:spPr>
          <c:marker>
            <c:symbol val="circle"/>
            <c:size val="5"/>
            <c:spPr>
              <a:solidFill>
                <a:srgbClr val="FFFF00"/>
              </a:solidFill>
              <a:ln>
                <a:solidFill>
                  <a:schemeClr val="bg1">
                    <a:lumMod val="50000"/>
                  </a:schemeClr>
                </a:solidFill>
              </a:ln>
            </c:spPr>
          </c:marker>
          <c:cat>
            <c:multiLvlStrRef>
              <c:f>'výkonnost odvětví 5a'!$B$75:$C$109</c:f>
              <c:multiLvlStrCache>
                <c:ptCount val="35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'výkonnost odvětví 5a'!$L$75:$L$109</c:f>
              <c:numCache>
                <c:formatCode>0.0</c:formatCode>
                <c:ptCount val="35"/>
                <c:pt idx="0">
                  <c:v>1.25</c:v>
                </c:pt>
                <c:pt idx="1">
                  <c:v>-0.5</c:v>
                </c:pt>
                <c:pt idx="2">
                  <c:v>0.5</c:v>
                </c:pt>
                <c:pt idx="3">
                  <c:v>5</c:v>
                </c:pt>
                <c:pt idx="4">
                  <c:v>3.75</c:v>
                </c:pt>
                <c:pt idx="5">
                  <c:v>6</c:v>
                </c:pt>
                <c:pt idx="6">
                  <c:v>4</c:v>
                </c:pt>
                <c:pt idx="7">
                  <c:v>1</c:v>
                </c:pt>
                <c:pt idx="8">
                  <c:v>3.25</c:v>
                </c:pt>
                <c:pt idx="9">
                  <c:v>0</c:v>
                </c:pt>
                <c:pt idx="10">
                  <c:v>2.25</c:v>
                </c:pt>
                <c:pt idx="11">
                  <c:v>-0.5</c:v>
                </c:pt>
                <c:pt idx="12">
                  <c:v>-1.75</c:v>
                </c:pt>
                <c:pt idx="13">
                  <c:v>-9.25</c:v>
                </c:pt>
                <c:pt idx="14">
                  <c:v>-8.75</c:v>
                </c:pt>
                <c:pt idx="15">
                  <c:v>-18.5</c:v>
                </c:pt>
                <c:pt idx="16">
                  <c:v>-16.25</c:v>
                </c:pt>
                <c:pt idx="17">
                  <c:v>-6.75</c:v>
                </c:pt>
                <c:pt idx="18">
                  <c:v>-4.5</c:v>
                </c:pt>
                <c:pt idx="19">
                  <c:v>-17</c:v>
                </c:pt>
                <c:pt idx="20">
                  <c:v>-16.5</c:v>
                </c:pt>
                <c:pt idx="21">
                  <c:v>-31</c:v>
                </c:pt>
                <c:pt idx="22">
                  <c:v>-29.8</c:v>
                </c:pt>
                <c:pt idx="23">
                  <c:v>-30.8</c:v>
                </c:pt>
                <c:pt idx="24">
                  <c:v>-21</c:v>
                </c:pt>
                <c:pt idx="25">
                  <c:v>-20.3</c:v>
                </c:pt>
                <c:pt idx="26">
                  <c:v>-18</c:v>
                </c:pt>
                <c:pt idx="27">
                  <c:v>-18.3</c:v>
                </c:pt>
                <c:pt idx="28">
                  <c:v>-15.8</c:v>
                </c:pt>
                <c:pt idx="29">
                  <c:v>-9</c:v>
                </c:pt>
                <c:pt idx="30">
                  <c:v>-12.8</c:v>
                </c:pt>
                <c:pt idx="31">
                  <c:v>-9</c:v>
                </c:pt>
                <c:pt idx="32">
                  <c:v>-13.5</c:v>
                </c:pt>
                <c:pt idx="33">
                  <c:v>-9.8000000000000007</c:v>
                </c:pt>
                <c:pt idx="34">
                  <c:v>-11.3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F526-4A13-A34A-0411113BE9CA}"/>
            </c:ext>
          </c:extLst>
        </c:ser>
        <c:ser>
          <c:idx val="9"/>
          <c:order val="9"/>
          <c:tx>
            <c:strRef>
              <c:f>'výkonnost odvětví 5a'!$M$66</c:f>
              <c:strCache>
                <c:ptCount val="1"/>
                <c:pt idx="0">
                  <c:v>Saldo indikátoru důvěry obchodníků</c:v>
                </c:pt>
              </c:strCache>
            </c:strRef>
          </c:tx>
          <c:spPr>
            <a:ln w="6350">
              <a:solidFill>
                <a:schemeClr val="bg1">
                  <a:lumMod val="50000"/>
                </a:schemeClr>
              </a:solidFill>
              <a:prstDash val="sysDash"/>
            </a:ln>
          </c:spPr>
          <c:marker>
            <c:symbol val="triangle"/>
            <c:size val="5"/>
            <c:spPr>
              <a:solidFill>
                <a:schemeClr val="accent6">
                  <a:lumMod val="40000"/>
                  <a:lumOff val="60000"/>
                </a:schemeClr>
              </a:solidFill>
              <a:ln>
                <a:solidFill>
                  <a:schemeClr val="bg1">
                    <a:lumMod val="50000"/>
                  </a:schemeClr>
                </a:solidFill>
              </a:ln>
            </c:spPr>
          </c:marker>
          <c:cat>
            <c:multiLvlStrRef>
              <c:f>'výkonnost odvětví 5a'!$B$75:$C$109</c:f>
              <c:multiLvlStrCache>
                <c:ptCount val="35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'výkonnost odvětví 5a'!$M$75:$M$109</c:f>
              <c:numCache>
                <c:formatCode>0.0</c:formatCode>
                <c:ptCount val="35"/>
                <c:pt idx="0">
                  <c:v>24.3</c:v>
                </c:pt>
                <c:pt idx="1">
                  <c:v>17.3</c:v>
                </c:pt>
                <c:pt idx="2">
                  <c:v>22.7</c:v>
                </c:pt>
                <c:pt idx="3">
                  <c:v>21.7</c:v>
                </c:pt>
                <c:pt idx="4">
                  <c:v>23.3</c:v>
                </c:pt>
                <c:pt idx="5">
                  <c:v>17.3</c:v>
                </c:pt>
                <c:pt idx="6">
                  <c:v>15.6</c:v>
                </c:pt>
                <c:pt idx="7">
                  <c:v>15</c:v>
                </c:pt>
                <c:pt idx="8">
                  <c:v>12.7</c:v>
                </c:pt>
                <c:pt idx="9">
                  <c:v>12.3</c:v>
                </c:pt>
                <c:pt idx="10">
                  <c:v>14.7</c:v>
                </c:pt>
                <c:pt idx="11">
                  <c:v>14.7</c:v>
                </c:pt>
                <c:pt idx="12">
                  <c:v>18.7</c:v>
                </c:pt>
                <c:pt idx="13">
                  <c:v>-1</c:v>
                </c:pt>
                <c:pt idx="14">
                  <c:v>12</c:v>
                </c:pt>
                <c:pt idx="15">
                  <c:v>7</c:v>
                </c:pt>
                <c:pt idx="16">
                  <c:v>1.3</c:v>
                </c:pt>
                <c:pt idx="17">
                  <c:v>15</c:v>
                </c:pt>
                <c:pt idx="18">
                  <c:v>18.3</c:v>
                </c:pt>
                <c:pt idx="19">
                  <c:v>21.3</c:v>
                </c:pt>
                <c:pt idx="20">
                  <c:v>19.7</c:v>
                </c:pt>
                <c:pt idx="21">
                  <c:v>19.600000000000001</c:v>
                </c:pt>
                <c:pt idx="22">
                  <c:v>10.3</c:v>
                </c:pt>
                <c:pt idx="23">
                  <c:v>14.7</c:v>
                </c:pt>
                <c:pt idx="24">
                  <c:v>9.3000000000000007</c:v>
                </c:pt>
                <c:pt idx="25">
                  <c:v>13.3</c:v>
                </c:pt>
                <c:pt idx="26">
                  <c:v>5.7</c:v>
                </c:pt>
                <c:pt idx="27">
                  <c:v>3.3</c:v>
                </c:pt>
                <c:pt idx="28">
                  <c:v>1.7</c:v>
                </c:pt>
                <c:pt idx="29">
                  <c:v>11.3</c:v>
                </c:pt>
                <c:pt idx="30">
                  <c:v>9.3000000000000007</c:v>
                </c:pt>
                <c:pt idx="31">
                  <c:v>11.3</c:v>
                </c:pt>
                <c:pt idx="32">
                  <c:v>15</c:v>
                </c:pt>
                <c:pt idx="33">
                  <c:v>13.3</c:v>
                </c:pt>
                <c:pt idx="34">
                  <c:v>13.3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F526-4A13-A34A-0411113BE9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75570767"/>
        <c:axId val="1875563695"/>
      </c:lineChart>
      <c:catAx>
        <c:axId val="156100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txPr>
          <a:bodyPr/>
          <a:lstStyle/>
          <a:p>
            <a:pPr>
              <a:defRPr sz="800"/>
            </a:pPr>
            <a:endParaRPr lang="cs-CZ"/>
          </a:p>
        </c:txPr>
        <c:crossAx val="156573696"/>
        <c:crosses val="autoZero"/>
        <c:auto val="1"/>
        <c:lblAlgn val="ctr"/>
        <c:lblOffset val="0"/>
        <c:noMultiLvlLbl val="0"/>
      </c:catAx>
      <c:valAx>
        <c:axId val="156573696"/>
        <c:scaling>
          <c:orientation val="minMax"/>
          <c:max val="12"/>
          <c:min val="-1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750" b="0" i="1"/>
                </a:pPr>
                <a:r>
                  <a:rPr lang="cs-CZ" sz="750" b="0" i="1"/>
                  <a:t>Tržby</a:t>
                </a:r>
                <a:r>
                  <a:rPr lang="cs-CZ" sz="750" b="0" i="1" baseline="0"/>
                  <a:t> (příspěvky k meziroč. změně)</a:t>
                </a:r>
                <a:endParaRPr lang="cs-CZ" sz="750" b="0" i="1"/>
              </a:p>
            </c:rich>
          </c:tx>
          <c:layout>
            <c:manualLayout>
              <c:xMode val="edge"/>
              <c:yMode val="edge"/>
              <c:x val="2.6086947381477195E-3"/>
              <c:y val="0.16393316671713359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56100864"/>
        <c:crosses val="autoZero"/>
        <c:crossBetween val="between"/>
        <c:majorUnit val="2"/>
      </c:valAx>
      <c:valAx>
        <c:axId val="1875563695"/>
        <c:scaling>
          <c:orientation val="minMax"/>
          <c:max val="125"/>
          <c:min val="-40"/>
        </c:scaling>
        <c:delete val="0"/>
        <c:axPos val="r"/>
        <c:title>
          <c:tx>
            <c:rich>
              <a:bodyPr/>
              <a:lstStyle/>
              <a:p>
                <a:pPr>
                  <a:defRPr sz="750" b="0" i="1"/>
                </a:pPr>
                <a:r>
                  <a:rPr lang="cs-CZ" sz="750" b="0" i="1">
                    <a:latin typeface="Arial" panose="020B0604020202020204" pitchFamily="34" charset="0"/>
                    <a:cs typeface="Arial" panose="020B0604020202020204" pitchFamily="34" charset="0"/>
                  </a:rPr>
                  <a:t>Tržby</a:t>
                </a:r>
                <a:r>
                  <a:rPr lang="cs-CZ" sz="750" b="0" i="1" baseline="0">
                    <a:latin typeface="Arial" panose="020B0604020202020204" pitchFamily="34" charset="0"/>
                    <a:cs typeface="Arial" panose="020B0604020202020204" pitchFamily="34" charset="0"/>
                  </a:rPr>
                  <a:t> (rok 2021=100), </a:t>
                </a:r>
                <a:r>
                  <a:rPr lang="cs-CZ" sz="750" b="0" i="1" u="none" strike="noStrike" baseline="0">
                    <a:effectLst/>
                    <a:latin typeface="Arial" panose="020B0604020202020204" pitchFamily="34" charset="0"/>
                    <a:cs typeface="Arial" panose="020B0604020202020204" pitchFamily="34" charset="0"/>
                  </a:rPr>
                  <a:t>saldo důvěry</a:t>
                </a:r>
                <a:endParaRPr lang="cs-CZ" sz="750" b="0" i="1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layout>
            <c:manualLayout>
              <c:xMode val="edge"/>
              <c:yMode val="edge"/>
              <c:x val="0.96896265019335537"/>
              <c:y val="0.1743397117509615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875570767"/>
        <c:crosses val="max"/>
        <c:crossBetween val="between"/>
        <c:majorUnit val="15"/>
      </c:valAx>
      <c:catAx>
        <c:axId val="1875570767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875563695"/>
        <c:crosses val="autoZero"/>
        <c:auto val="1"/>
        <c:lblAlgn val="ctr"/>
        <c:lblOffset val="100"/>
        <c:noMultiLvlLbl val="0"/>
      </c:catAx>
      <c:spPr>
        <a:ln>
          <a:solidFill>
            <a:schemeClr val="tx1"/>
          </a:solidFill>
        </a:ln>
      </c:spPr>
    </c:plotArea>
    <c:legend>
      <c:legendPos val="r"/>
      <c:layout>
        <c:manualLayout>
          <c:xMode val="edge"/>
          <c:yMode val="edge"/>
          <c:x val="2.468684205823891E-3"/>
          <c:y val="0.83019315530312354"/>
          <c:w val="0.98989464522781667"/>
          <c:h val="0.16278392037883976"/>
        </c:manualLayout>
      </c:layout>
      <c:overlay val="0"/>
      <c:spPr>
        <a:ln w="6350">
          <a:solidFill>
            <a:schemeClr val="tx1"/>
          </a:solidFill>
        </a:ln>
      </c:spPr>
      <c:txPr>
        <a:bodyPr/>
        <a:lstStyle/>
        <a:p>
          <a:pPr>
            <a:defRPr sz="750"/>
          </a:pPr>
          <a:endParaRPr lang="cs-CZ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500" baseline="0">
          <a:latin typeface="Arial" pitchFamily="34" charset="0"/>
        </a:defRPr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204C7C21F48A488F44995C5F8FB06D" ma:contentTypeVersion="11" ma:contentTypeDescription="Vytvoří nový dokument" ma:contentTypeScope="" ma:versionID="1df8c39b067b5d25b5f5e865a8e6deb3">
  <xsd:schema xmlns:xsd="http://www.w3.org/2001/XMLSchema" xmlns:xs="http://www.w3.org/2001/XMLSchema" xmlns:p="http://schemas.microsoft.com/office/2006/metadata/properties" xmlns:ns3="b8c0c86d-151e-4fca-b0d5-747e6692fa1d" targetNamespace="http://schemas.microsoft.com/office/2006/metadata/properties" ma:root="true" ma:fieldsID="0a1e36cc980726b26aea9439dfb6e5b7" ns3:_="">
    <xsd:import namespace="b8c0c86d-151e-4fca-b0d5-747e6692fa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0c86d-151e-4fca-b0d5-747e6692f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8A1E1-1E99-4B4F-B9B5-70567730AA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7681AD-41B0-431A-9D34-CF6700A12FAC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b8c0c86d-151e-4fca-b0d5-747e6692fa1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5BC6B78-CD4F-4CCE-9179-CFFE2F383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0c86d-151e-4fca-b0d5-747e6692f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5F1460-6EA1-47F7-ACF1-CB78CF588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4994</Words>
  <Characters>29470</Characters>
  <Application>Microsoft Office Word</Application>
  <DocSecurity>0</DocSecurity>
  <Lines>245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34396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Kučerová Jana</dc:creator>
  <cp:keywords/>
  <cp:lastModifiedBy>Zábojníková Karolína</cp:lastModifiedBy>
  <cp:revision>3</cp:revision>
  <cp:lastPrinted>2014-07-17T14:07:00Z</cp:lastPrinted>
  <dcterms:created xsi:type="dcterms:W3CDTF">2025-09-16T11:02:00Z</dcterms:created>
  <dcterms:modified xsi:type="dcterms:W3CDTF">2025-09-16T11:09:00Z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0x01010070204C7C21F48A488F44995C5F8FB06D</vt:lpwstr>
  </property>
  <property fmtid="{D5CDD505-2E9C-101B-9397-08002B2CF9AE}" pid="3" name="Názevformuláře">
    <vt:lpwstr>Publikace CZ barevné - vícetematické analýzy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2018-04-17T07:00:00Z</vt:filetime>
  </property>
  <property fmtid="{D5CDD505-2E9C-101B-9397-08002B2CF9AE}" pid="8" name="Označení">
    <vt:lpwstr>Form_c444</vt:lpwstr>
  </property>
  <property fmtid="{D5CDD505-2E9C-101B-9397-08002B2CF9AE}" pid="9" name="MediaServiceImageTags">
    <vt:lpwstr/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</Properties>
</file>