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3372" w14:textId="77777777" w:rsidR="00F052D2" w:rsidRDefault="00F052D2" w:rsidP="00F052D2">
      <w:pPr>
        <w:pStyle w:val="Nadpis11"/>
      </w:pPr>
      <w:bookmarkStart w:id="0" w:name="_Toc121993819"/>
      <w:bookmarkStart w:id="1" w:name="_Toc114134047"/>
      <w:bookmarkStart w:id="2" w:name="_Toc114134048"/>
      <w:bookmarkStart w:id="3" w:name="_Toc97736119"/>
      <w:bookmarkStart w:id="4" w:name="_Toc74643859"/>
      <w:bookmarkStart w:id="5" w:name="_Toc90395915"/>
      <w:bookmarkStart w:id="6" w:name="_Toc98245446"/>
      <w:bookmarkStart w:id="7" w:name="_Toc74643860"/>
      <w:r>
        <w:rPr>
          <w:szCs w:val="32"/>
        </w:rPr>
        <w:t>3</w:t>
      </w:r>
      <w:r>
        <w:t>. Výkonnost odvětví</w:t>
      </w:r>
      <w:bookmarkEnd w:id="0"/>
    </w:p>
    <w:tbl>
      <w:tblPr>
        <w:tblW w:w="963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47"/>
        <w:gridCol w:w="212"/>
        <w:gridCol w:w="7680"/>
      </w:tblGrid>
      <w:tr w:rsidR="00F052D2" w:rsidRPr="003C07E6" w14:paraId="295DB75F" w14:textId="77777777" w:rsidTr="004149F4">
        <w:trPr>
          <w:trHeight w:val="145"/>
        </w:trPr>
        <w:tc>
          <w:tcPr>
            <w:tcW w:w="1747" w:type="dxa"/>
            <w:tcBorders>
              <w:top w:val="nil"/>
              <w:left w:val="nil"/>
              <w:bottom w:val="nil"/>
              <w:right w:val="nil"/>
            </w:tcBorders>
            <w:shd w:val="clear" w:color="auto" w:fill="auto"/>
            <w:tcMar>
              <w:left w:w="0" w:type="dxa"/>
            </w:tcMar>
          </w:tcPr>
          <w:p w14:paraId="205083BE" w14:textId="77777777" w:rsidR="00F052D2" w:rsidRPr="003B6934" w:rsidRDefault="00F052D2" w:rsidP="004149F4">
            <w:pPr>
              <w:pStyle w:val="Marginlie"/>
              <w:rPr>
                <w:color w:val="0D0D0D" w:themeColor="text1" w:themeTint="F2"/>
                <w:spacing w:val="-4"/>
              </w:rPr>
            </w:pPr>
            <w:proofErr w:type="spellStart"/>
            <w:r>
              <w:rPr>
                <w:color w:val="0D0D0D" w:themeColor="text1" w:themeTint="F2"/>
                <w:spacing w:val="-4"/>
              </w:rPr>
              <w:t>Mezikvartální</w:t>
            </w:r>
            <w:proofErr w:type="spellEnd"/>
            <w:r>
              <w:rPr>
                <w:color w:val="0D0D0D" w:themeColor="text1" w:themeTint="F2"/>
                <w:spacing w:val="-4"/>
              </w:rPr>
              <w:t xml:space="preserve"> růst HPH v</w:t>
            </w:r>
            <w:r w:rsidRPr="003B6934">
              <w:rPr>
                <w:color w:val="0D0D0D" w:themeColor="text1" w:themeTint="F2"/>
                <w:spacing w:val="-4"/>
              </w:rPr>
              <w:t> </w:t>
            </w:r>
            <w:r>
              <w:rPr>
                <w:color w:val="0D0D0D" w:themeColor="text1" w:themeTint="F2"/>
                <w:spacing w:val="-4"/>
              </w:rPr>
              <w:t>ekonomice se ve 3.</w:t>
            </w:r>
            <w:r w:rsidRPr="003B6934">
              <w:rPr>
                <w:color w:val="0D0D0D" w:themeColor="text1" w:themeTint="F2"/>
                <w:spacing w:val="-4"/>
              </w:rPr>
              <w:t> </w:t>
            </w:r>
            <w:r>
              <w:rPr>
                <w:color w:val="0D0D0D" w:themeColor="text1" w:themeTint="F2"/>
                <w:spacing w:val="-4"/>
              </w:rPr>
              <w:t xml:space="preserve">čtvrtletí zastavil. Výkon většiny odvětví ale stále mírně rostl. </w:t>
            </w:r>
          </w:p>
        </w:tc>
        <w:tc>
          <w:tcPr>
            <w:tcW w:w="212" w:type="dxa"/>
            <w:tcBorders>
              <w:top w:val="nil"/>
              <w:left w:val="nil"/>
              <w:bottom w:val="nil"/>
              <w:right w:val="nil"/>
            </w:tcBorders>
            <w:shd w:val="clear" w:color="auto" w:fill="auto"/>
            <w:tcMar>
              <w:left w:w="0" w:type="dxa"/>
            </w:tcMar>
          </w:tcPr>
          <w:p w14:paraId="4BDAD602"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2550D73B" w14:textId="77777777" w:rsidR="00F052D2" w:rsidRPr="009A525C" w:rsidRDefault="00F052D2" w:rsidP="004149F4">
            <w:pPr>
              <w:rPr>
                <w:spacing w:val="-5"/>
              </w:rPr>
            </w:pPr>
            <w:proofErr w:type="spellStart"/>
            <w:r w:rsidRPr="003D1D6D">
              <w:rPr>
                <w:spacing w:val="-5"/>
              </w:rPr>
              <w:t>Mezikvartální</w:t>
            </w:r>
            <w:proofErr w:type="spellEnd"/>
            <w:r w:rsidRPr="003D1D6D">
              <w:rPr>
                <w:spacing w:val="-5"/>
              </w:rPr>
              <w:t xml:space="preserve"> růst hrubé přidané hodnoty (HPH)</w:t>
            </w:r>
            <w:r w:rsidRPr="003D1D6D">
              <w:rPr>
                <w:rStyle w:val="Znakapoznpodarou"/>
                <w:color w:val="0D0D0D" w:themeColor="text1" w:themeTint="F2"/>
                <w:spacing w:val="-5"/>
              </w:rPr>
              <w:footnoteReference w:id="1"/>
            </w:r>
            <w:r w:rsidRPr="003D1D6D">
              <w:rPr>
                <w:spacing w:val="-5"/>
              </w:rPr>
              <w:t>, trvající pět čtvrtletí v řadě, se zastavil. Během 3. čtvrtletí se totiž výkon tuzemské ekonomiky nepatrně snížil (o 0,2 %). Zřetelný pokles HPH ale postihl jen stavebnictví a též váhově významný segment služeb – obchod, doprava, ubytování a pohostinství. To souviselo zejména s prohlubujícím se poklesem spotřeby domácností. Poziti</w:t>
            </w:r>
            <w:r>
              <w:rPr>
                <w:spacing w:val="-5"/>
              </w:rPr>
              <w:t>vně naproti tomu</w:t>
            </w:r>
            <w:r w:rsidRPr="003D1D6D">
              <w:rPr>
                <w:spacing w:val="-5"/>
              </w:rPr>
              <w:t xml:space="preserve"> působil průmysl, jenž zaznamenal nejvyšší </w:t>
            </w:r>
            <w:proofErr w:type="spellStart"/>
            <w:r w:rsidRPr="003D1D6D">
              <w:rPr>
                <w:spacing w:val="-5"/>
              </w:rPr>
              <w:t>mezikvartální</w:t>
            </w:r>
            <w:proofErr w:type="spellEnd"/>
            <w:r>
              <w:rPr>
                <w:spacing w:val="-5"/>
              </w:rPr>
              <w:t xml:space="preserve"> růst</w:t>
            </w:r>
            <w:r w:rsidRPr="003D1D6D">
              <w:rPr>
                <w:spacing w:val="-5"/>
              </w:rPr>
              <w:t xml:space="preserve"> od konce roku 2020. Potíže s dostupností některých výrobních kompone</w:t>
            </w:r>
            <w:r>
              <w:rPr>
                <w:spacing w:val="-5"/>
              </w:rPr>
              <w:t>nt se dočasně zlepšily, pomohla</w:t>
            </w:r>
            <w:r w:rsidRPr="003D1D6D">
              <w:rPr>
                <w:spacing w:val="-5"/>
              </w:rPr>
              <w:t xml:space="preserve"> </w:t>
            </w:r>
            <w:r>
              <w:rPr>
                <w:spacing w:val="-5"/>
              </w:rPr>
              <w:t>patrně také</w:t>
            </w:r>
            <w:r w:rsidRPr="003D1D6D">
              <w:rPr>
                <w:spacing w:val="-5"/>
              </w:rPr>
              <w:t xml:space="preserve"> vyšší poptávka po uhlí. </w:t>
            </w:r>
            <w:r w:rsidRPr="003D1D6D">
              <w:rPr>
                <w:color w:val="0D0D0D" w:themeColor="text1" w:themeTint="F2"/>
                <w:spacing w:val="-5"/>
              </w:rPr>
              <w:t xml:space="preserve">Výkon všech odvětví </w:t>
            </w:r>
            <w:r w:rsidRPr="00025BDC">
              <w:rPr>
                <w:color w:val="0D0D0D" w:themeColor="text1" w:themeTint="F2"/>
                <w:spacing w:val="-6"/>
              </w:rPr>
              <w:t>ekonomiky ale ve 3. čtvrtletí za svým maximem (z konce roku 2019) stále zaostával (o 0,7 %)</w:t>
            </w:r>
            <w:r>
              <w:rPr>
                <w:color w:val="0D0D0D" w:themeColor="text1" w:themeTint="F2"/>
                <w:spacing w:val="-6"/>
              </w:rPr>
              <w:t>.</w:t>
            </w:r>
          </w:p>
        </w:tc>
      </w:tr>
      <w:tr w:rsidR="00F052D2" w:rsidRPr="003C07E6" w14:paraId="0F2ACA38" w14:textId="77777777" w:rsidTr="004149F4">
        <w:trPr>
          <w:trHeight w:val="145"/>
        </w:trPr>
        <w:tc>
          <w:tcPr>
            <w:tcW w:w="1747" w:type="dxa"/>
            <w:tcBorders>
              <w:top w:val="nil"/>
              <w:left w:val="nil"/>
              <w:bottom w:val="nil"/>
              <w:right w:val="nil"/>
            </w:tcBorders>
            <w:shd w:val="clear" w:color="auto" w:fill="auto"/>
            <w:tcMar>
              <w:left w:w="0" w:type="dxa"/>
            </w:tcMar>
          </w:tcPr>
          <w:p w14:paraId="0B506F30" w14:textId="77777777" w:rsidR="00F052D2" w:rsidRDefault="00F052D2" w:rsidP="004149F4">
            <w:pPr>
              <w:pStyle w:val="Marginlie"/>
              <w:rPr>
                <w:color w:val="0D0D0D" w:themeColor="text1" w:themeTint="F2"/>
                <w:spacing w:val="-4"/>
              </w:rPr>
            </w:pPr>
            <w:r>
              <w:rPr>
                <w:color w:val="0D0D0D" w:themeColor="text1" w:themeTint="F2"/>
                <w:spacing w:val="-4"/>
              </w:rPr>
              <w:t>Meziroční růst HPH letos slábl. To bylo patrné zejména ve stavebnictví či v odvětví obchodu, dopravy, ubytování a stravování. Naopak oblast ICT ze stabilní poptávky nadále profitovala.</w:t>
            </w:r>
          </w:p>
          <w:p w14:paraId="27C63657" w14:textId="77777777" w:rsidR="00F052D2" w:rsidRDefault="00F052D2" w:rsidP="004149F4">
            <w:pPr>
              <w:pStyle w:val="Marginlie"/>
              <w:rPr>
                <w:color w:val="0D0D0D" w:themeColor="text1" w:themeTint="F2"/>
                <w:spacing w:val="-4"/>
              </w:rPr>
            </w:pPr>
          </w:p>
          <w:p w14:paraId="7A1F8064" w14:textId="77777777" w:rsidR="00F052D2" w:rsidRDefault="00F052D2" w:rsidP="004149F4">
            <w:pPr>
              <w:pStyle w:val="Marginlie"/>
              <w:rPr>
                <w:color w:val="0D0D0D" w:themeColor="text1" w:themeTint="F2"/>
                <w:spacing w:val="-4"/>
              </w:rPr>
            </w:pPr>
          </w:p>
          <w:p w14:paraId="258D85E6" w14:textId="77777777" w:rsidR="00F052D2" w:rsidRDefault="00F052D2" w:rsidP="004149F4">
            <w:pPr>
              <w:pStyle w:val="Marginlie"/>
              <w:rPr>
                <w:color w:val="0D0D0D" w:themeColor="text1" w:themeTint="F2"/>
                <w:spacing w:val="-4"/>
              </w:rPr>
            </w:pPr>
          </w:p>
          <w:p w14:paraId="41568EEA" w14:textId="77777777" w:rsidR="00F052D2" w:rsidRDefault="00F052D2" w:rsidP="004149F4">
            <w:pPr>
              <w:pStyle w:val="Marginlie"/>
              <w:rPr>
                <w:color w:val="0D0D0D" w:themeColor="text1" w:themeTint="F2"/>
                <w:spacing w:val="-4"/>
              </w:rPr>
            </w:pPr>
          </w:p>
          <w:p w14:paraId="30B56FFD" w14:textId="77777777" w:rsidR="00F052D2" w:rsidRPr="003B6934" w:rsidRDefault="00F052D2" w:rsidP="004149F4">
            <w:pPr>
              <w:pStyle w:val="Marginlie"/>
              <w:rPr>
                <w:color w:val="0D0D0D" w:themeColor="text1" w:themeTint="F2"/>
                <w:spacing w:val="-4"/>
              </w:rPr>
            </w:pPr>
            <w:r>
              <w:rPr>
                <w:color w:val="0D0D0D" w:themeColor="text1" w:themeTint="F2"/>
                <w:spacing w:val="-4"/>
              </w:rPr>
              <w:t>Situace v rostlinné i živočišné výrobě zůstávala relativně stabilizovaná. Horší výsledky primárního sektoru pramenily hlavně z poklesu živelní těžby dřeva.</w:t>
            </w:r>
          </w:p>
        </w:tc>
        <w:tc>
          <w:tcPr>
            <w:tcW w:w="212" w:type="dxa"/>
            <w:tcBorders>
              <w:top w:val="nil"/>
              <w:left w:val="nil"/>
              <w:bottom w:val="nil"/>
              <w:right w:val="nil"/>
            </w:tcBorders>
            <w:shd w:val="clear" w:color="auto" w:fill="auto"/>
            <w:tcMar>
              <w:left w:w="0" w:type="dxa"/>
            </w:tcMar>
          </w:tcPr>
          <w:p w14:paraId="3B96139A"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077ADADB" w14:textId="4540BA76" w:rsidR="00F052D2" w:rsidRDefault="00F052D2" w:rsidP="004149F4">
            <w:pPr>
              <w:spacing w:after="200"/>
              <w:rPr>
                <w:spacing w:val="-5"/>
              </w:rPr>
            </w:pPr>
            <w:r>
              <w:rPr>
                <w:color w:val="0D0D0D" w:themeColor="text1" w:themeTint="F2"/>
                <w:spacing w:val="-4"/>
              </w:rPr>
              <w:t>V meziročním pohledu růst HPH letos slábl (až na 1,4 % ve 3. kvartálu). V úhrnu za tři čtvrtletí dosáhl 2,9 %. Nejvíce rostl výkon v ostatních činnostech služeb</w:t>
            </w:r>
            <w:r>
              <w:rPr>
                <w:rStyle w:val="Znakapoznpodarou"/>
                <w:color w:val="0D0D0D" w:themeColor="text1" w:themeTint="F2"/>
                <w:spacing w:val="-4"/>
              </w:rPr>
              <w:footnoteReference w:id="2"/>
            </w:r>
            <w:r>
              <w:rPr>
                <w:color w:val="0D0D0D" w:themeColor="text1" w:themeTint="F2"/>
                <w:spacing w:val="-4"/>
              </w:rPr>
              <w:t xml:space="preserve"> (9,8 %) </w:t>
            </w:r>
            <w:r>
              <w:rPr>
                <w:color w:val="0D0D0D" w:themeColor="text1" w:themeTint="F2"/>
                <w:spacing w:val="-4"/>
              </w:rPr>
              <w:br/>
              <w:t xml:space="preserve">a v odvětví </w:t>
            </w:r>
            <w:r>
              <w:rPr>
                <w:spacing w:val="-4"/>
              </w:rPr>
              <w:t>o</w:t>
            </w:r>
            <w:r w:rsidRPr="00385BD8">
              <w:rPr>
                <w:spacing w:val="-4"/>
              </w:rPr>
              <w:t>bchod, doprava, ubytování a pohostinstv</w:t>
            </w:r>
            <w:r>
              <w:rPr>
                <w:spacing w:val="-4"/>
              </w:rPr>
              <w:t>í (6,6 %) – v obou případech se ale projevila nízká srovnávací základna z počátku loňského roku, kdy byly tyto služby v důsledku protipandemických restrikcí citelně omezeny. Svižný i stabilní růst výkonu potvrzují informační a</w:t>
            </w:r>
            <w:r w:rsidRPr="008D3CD4">
              <w:rPr>
                <w:color w:val="0D0D0D" w:themeColor="text1" w:themeTint="F2"/>
                <w:spacing w:val="-4"/>
              </w:rPr>
              <w:t> </w:t>
            </w:r>
            <w:r>
              <w:rPr>
                <w:spacing w:val="-4"/>
              </w:rPr>
              <w:t xml:space="preserve">komunikační činnosti či finančnictví, HPH zde letos ve 3. čtvrtletí převýšila úroveň z konce roku 2019 o 15 %, resp. 8 %. V pandemickém období se dařilo </w:t>
            </w:r>
            <w:r>
              <w:rPr>
                <w:spacing w:val="-4"/>
              </w:rPr>
              <w:br/>
              <w:t>i veřejným službám</w:t>
            </w:r>
            <w:r>
              <w:rPr>
                <w:rStyle w:val="Znakapoznpodarou"/>
                <w:spacing w:val="-4"/>
              </w:rPr>
              <w:footnoteReference w:id="3"/>
            </w:r>
            <w:r>
              <w:rPr>
                <w:spacing w:val="-4"/>
              </w:rPr>
              <w:t>, letos za 1. až 3. čtvrtletí zde růst HPH ale zmírnil (na 1,3 %). Obdobný slabý růst si připsal i</w:t>
            </w:r>
            <w:r w:rsidRPr="008D3CD4">
              <w:rPr>
                <w:color w:val="0D0D0D" w:themeColor="text1" w:themeTint="F2"/>
                <w:spacing w:val="-4"/>
              </w:rPr>
              <w:t> </w:t>
            </w:r>
            <w:r>
              <w:rPr>
                <w:spacing w:val="-4"/>
              </w:rPr>
              <w:t>zpracovatelský průmysl a za svým předpandemickým vrcholem stále významně zaostával (ve 3. čtvrtletí o 6,3 %). V z</w:t>
            </w:r>
            <w:r w:rsidRPr="00202D59">
              <w:rPr>
                <w:spacing w:val="-4"/>
              </w:rPr>
              <w:t>emědělství, lesnictví a rybářství</w:t>
            </w:r>
            <w:r>
              <w:rPr>
                <w:spacing w:val="-4"/>
              </w:rPr>
              <w:t xml:space="preserve"> klesla letos HPH druhým rokem v řadě. Za tři čtvrtletí byla meziročně nižší o 2,5 %. Celková letošní úroda obilovin</w:t>
            </w:r>
            <w:r>
              <w:rPr>
                <w:rStyle w:val="Znakapoznpodarou"/>
                <w:spacing w:val="-4"/>
              </w:rPr>
              <w:footnoteReference w:id="4"/>
            </w:r>
            <w:r>
              <w:rPr>
                <w:spacing w:val="-4"/>
              </w:rPr>
              <w:t xml:space="preserve"> však zaostala za nadprůměrnou loňskou sklizní jen o 0,9 %</w:t>
            </w:r>
            <w:r>
              <w:rPr>
                <w:rStyle w:val="Znakapoznpodarou"/>
                <w:spacing w:val="-4"/>
              </w:rPr>
              <w:footnoteReference w:id="5"/>
            </w:r>
            <w:r>
              <w:rPr>
                <w:spacing w:val="-4"/>
              </w:rPr>
              <w:t>. Dařilo se technickým plodinám či ovoci, meziroční pokles úrody ovšem nastal u kukuřice, brambor, cukrovky a většiny druhů zeleniny. K propadu sklizně došlo u chmele</w:t>
            </w:r>
            <w:r>
              <w:rPr>
                <w:rStyle w:val="Znakapoznpodarou"/>
                <w:spacing w:val="-4"/>
              </w:rPr>
              <w:footnoteReference w:id="6"/>
            </w:r>
            <w:r>
              <w:rPr>
                <w:spacing w:val="-4"/>
              </w:rPr>
              <w:t>. Čtyři roky trvající růst fyzické výroby masa se letos zastavil. Za meziročním poklesem v 1. až 3. čtvrtletí (−2,9 %) stály všechny hlavní druhy masa. Projevil se vysoký růst výrobních nákladů i nižší spotřeba v domácnostech. Pokles v rámci živočišné výroby byl zčásti tlumen mírně rostoucí produkcí mléka. Pro dynamiku celého primárního sektoru byl patrně rozhodující vývoj v lesnictví. Ustupující kůrovcová kalamita vedla druhým rokem v řadě k nižší potřebě těžby dřeva</w:t>
            </w:r>
            <w:r>
              <w:rPr>
                <w:rStyle w:val="Znakapoznpodarou"/>
                <w:spacing w:val="-4"/>
              </w:rPr>
              <w:footnoteReference w:id="7"/>
            </w:r>
            <w:r>
              <w:rPr>
                <w:spacing w:val="-4"/>
              </w:rPr>
              <w:t>.</w:t>
            </w:r>
          </w:p>
        </w:tc>
      </w:tr>
      <w:tr w:rsidR="00F052D2" w:rsidRPr="003C07E6" w14:paraId="3BA69706" w14:textId="77777777" w:rsidTr="004149F4">
        <w:trPr>
          <w:trHeight w:val="145"/>
        </w:trPr>
        <w:tc>
          <w:tcPr>
            <w:tcW w:w="1747" w:type="dxa"/>
            <w:tcBorders>
              <w:top w:val="nil"/>
              <w:left w:val="nil"/>
              <w:bottom w:val="nil"/>
              <w:right w:val="nil"/>
            </w:tcBorders>
            <w:shd w:val="clear" w:color="auto" w:fill="auto"/>
            <w:tcMar>
              <w:left w:w="0" w:type="dxa"/>
            </w:tcMar>
          </w:tcPr>
          <w:p w14:paraId="779C84D5" w14:textId="77777777" w:rsidR="00F052D2" w:rsidRDefault="00F052D2" w:rsidP="004149F4">
            <w:pPr>
              <w:pStyle w:val="Marginlie"/>
              <w:rPr>
                <w:color w:val="0D0D0D" w:themeColor="text1" w:themeTint="F2"/>
                <w:spacing w:val="-4"/>
              </w:rPr>
            </w:pPr>
            <w:proofErr w:type="spellStart"/>
            <w:r>
              <w:rPr>
                <w:color w:val="0D0D0D" w:themeColor="text1" w:themeTint="F2"/>
                <w:spacing w:val="-4"/>
              </w:rPr>
              <w:t>Mezikvartální</w:t>
            </w:r>
            <w:proofErr w:type="spellEnd"/>
            <w:r>
              <w:rPr>
                <w:color w:val="0D0D0D" w:themeColor="text1" w:themeTint="F2"/>
                <w:spacing w:val="-4"/>
              </w:rPr>
              <w:t xml:space="preserve"> růst průmyslové produkce letos pokračoval, ve </w:t>
            </w:r>
            <w:r>
              <w:rPr>
                <w:color w:val="0D0D0D" w:themeColor="text1" w:themeTint="F2"/>
                <w:spacing w:val="-4"/>
              </w:rPr>
              <w:br/>
              <w:t>2.</w:t>
            </w:r>
            <w:r w:rsidRPr="003B6934">
              <w:rPr>
                <w:color w:val="0D0D0D" w:themeColor="text1" w:themeTint="F2"/>
                <w:spacing w:val="-4"/>
              </w:rPr>
              <w:t> </w:t>
            </w:r>
            <w:r>
              <w:rPr>
                <w:color w:val="0D0D0D" w:themeColor="text1" w:themeTint="F2"/>
                <w:spacing w:val="-4"/>
              </w:rPr>
              <w:t>i</w:t>
            </w:r>
            <w:r w:rsidRPr="003B6934">
              <w:rPr>
                <w:color w:val="0D0D0D" w:themeColor="text1" w:themeTint="F2"/>
                <w:spacing w:val="-4"/>
              </w:rPr>
              <w:t> </w:t>
            </w:r>
            <w:r>
              <w:rPr>
                <w:color w:val="0D0D0D" w:themeColor="text1" w:themeTint="F2"/>
                <w:spacing w:val="-4"/>
              </w:rPr>
              <w:t xml:space="preserve">3. čtvrtletí ovšem převážně jen díky </w:t>
            </w:r>
            <w:r>
              <w:rPr>
                <w:color w:val="0D0D0D" w:themeColor="text1" w:themeTint="F2"/>
                <w:spacing w:val="-4"/>
              </w:rPr>
              <w:br/>
              <w:t xml:space="preserve">výrobě automobilů. </w:t>
            </w:r>
          </w:p>
          <w:p w14:paraId="4AA0CBF3" w14:textId="77777777" w:rsidR="00F052D2" w:rsidRDefault="00F052D2" w:rsidP="004149F4">
            <w:pPr>
              <w:pStyle w:val="Marginlie"/>
              <w:rPr>
                <w:color w:val="0D0D0D" w:themeColor="text1" w:themeTint="F2"/>
                <w:spacing w:val="-4"/>
              </w:rPr>
            </w:pPr>
          </w:p>
          <w:p w14:paraId="15BD0AC3" w14:textId="77777777" w:rsidR="00F052D2" w:rsidRDefault="00F052D2" w:rsidP="004149F4">
            <w:pPr>
              <w:pStyle w:val="Marginlie"/>
              <w:rPr>
                <w:color w:val="0D0D0D" w:themeColor="text1" w:themeTint="F2"/>
                <w:spacing w:val="-4"/>
              </w:rPr>
            </w:pPr>
          </w:p>
          <w:p w14:paraId="10529A62" w14:textId="77777777" w:rsidR="00F052D2" w:rsidRDefault="00F052D2" w:rsidP="004149F4">
            <w:pPr>
              <w:pStyle w:val="Marginlie"/>
              <w:rPr>
                <w:color w:val="0D0D0D" w:themeColor="text1" w:themeTint="F2"/>
                <w:spacing w:val="-4"/>
              </w:rPr>
            </w:pPr>
          </w:p>
          <w:p w14:paraId="4BF95647" w14:textId="77777777" w:rsidR="00F052D2" w:rsidRDefault="00F052D2" w:rsidP="004149F4">
            <w:pPr>
              <w:pStyle w:val="Marginlie"/>
              <w:rPr>
                <w:color w:val="0D0D0D" w:themeColor="text1" w:themeTint="F2"/>
                <w:spacing w:val="-4"/>
              </w:rPr>
            </w:pPr>
          </w:p>
          <w:p w14:paraId="376FAFDE" w14:textId="77777777" w:rsidR="00F052D2" w:rsidRDefault="00F052D2" w:rsidP="004149F4">
            <w:pPr>
              <w:pStyle w:val="Marginlie"/>
              <w:rPr>
                <w:color w:val="0D0D0D" w:themeColor="text1" w:themeTint="F2"/>
                <w:spacing w:val="-4"/>
              </w:rPr>
            </w:pPr>
          </w:p>
          <w:p w14:paraId="52BABBD4" w14:textId="77777777" w:rsidR="00F052D2" w:rsidRPr="003B6934" w:rsidRDefault="00F052D2" w:rsidP="004149F4">
            <w:pPr>
              <w:pStyle w:val="Marginlie"/>
              <w:rPr>
                <w:color w:val="0D0D0D" w:themeColor="text1" w:themeTint="F2"/>
                <w:spacing w:val="-4"/>
              </w:rPr>
            </w:pPr>
            <w:r>
              <w:rPr>
                <w:color w:val="0D0D0D" w:themeColor="text1" w:themeTint="F2"/>
                <w:spacing w:val="-4"/>
              </w:rPr>
              <w:t xml:space="preserve">Během léta výkon průmyslu poprvé vystoupal nad úroveň z roku 2019. </w:t>
            </w:r>
          </w:p>
        </w:tc>
        <w:tc>
          <w:tcPr>
            <w:tcW w:w="212" w:type="dxa"/>
            <w:tcBorders>
              <w:top w:val="nil"/>
              <w:left w:val="nil"/>
              <w:bottom w:val="nil"/>
              <w:right w:val="nil"/>
            </w:tcBorders>
            <w:shd w:val="clear" w:color="auto" w:fill="auto"/>
            <w:tcMar>
              <w:left w:w="0" w:type="dxa"/>
            </w:tcMar>
          </w:tcPr>
          <w:p w14:paraId="60C4883C"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6EAB45ED" w14:textId="77777777" w:rsidR="00F052D2" w:rsidRPr="008D3CD4" w:rsidRDefault="00F052D2" w:rsidP="004149F4">
            <w:pPr>
              <w:spacing w:after="220"/>
              <w:rPr>
                <w:color w:val="0D0D0D" w:themeColor="text1" w:themeTint="F2"/>
                <w:spacing w:val="-4"/>
              </w:rPr>
            </w:pPr>
            <w:r w:rsidRPr="008D3CD4">
              <w:rPr>
                <w:spacing w:val="-4"/>
              </w:rPr>
              <w:t xml:space="preserve">Údaje </w:t>
            </w:r>
            <w:r w:rsidRPr="008D3CD4">
              <w:rPr>
                <w:color w:val="0D0D0D" w:themeColor="text1" w:themeTint="F2"/>
                <w:spacing w:val="-4"/>
              </w:rPr>
              <w:t>z podnikových statistik potvrzují, že trend mírného zotavování tuzemského průmyslu pokračoval i během letošního 3. čtvrtletí. Na rozdíl od první poloviny roku k tomu docházelo v podmínkách, kdy se tuzemská ekonomika již nacházela na hraně recese. Průmyslová produkce</w:t>
            </w:r>
            <w:r w:rsidRPr="008D3CD4">
              <w:rPr>
                <w:rStyle w:val="Znakapoznpodarou"/>
                <w:color w:val="0D0D0D" w:themeColor="text1" w:themeTint="F2"/>
                <w:spacing w:val="-4"/>
              </w:rPr>
              <w:footnoteReference w:id="8"/>
            </w:r>
            <w:r w:rsidRPr="008D3CD4">
              <w:rPr>
                <w:color w:val="0D0D0D" w:themeColor="text1" w:themeTint="F2"/>
                <w:spacing w:val="-4"/>
              </w:rPr>
              <w:t xml:space="preserve"> se sice mezi</w:t>
            </w:r>
            <w:r>
              <w:rPr>
                <w:color w:val="0D0D0D" w:themeColor="text1" w:themeTint="F2"/>
                <w:spacing w:val="-4"/>
              </w:rPr>
              <w:t>kvartálně zvýšila o významných 1,9</w:t>
            </w:r>
            <w:r w:rsidRPr="008D3CD4">
              <w:rPr>
                <w:color w:val="0D0D0D" w:themeColor="text1" w:themeTint="F2"/>
                <w:spacing w:val="-4"/>
              </w:rPr>
              <w:t> </w:t>
            </w:r>
            <w:r>
              <w:rPr>
                <w:color w:val="0D0D0D" w:themeColor="text1" w:themeTint="F2"/>
                <w:spacing w:val="-4"/>
              </w:rPr>
              <w:t>% (ve 2. čtvrtletí o 0,9 %), k</w:t>
            </w:r>
            <w:r w:rsidRPr="008D3CD4">
              <w:rPr>
                <w:color w:val="0D0D0D" w:themeColor="text1" w:themeTint="F2"/>
                <w:spacing w:val="-4"/>
              </w:rPr>
              <w:t> růstu však zásadně přispěl relativně příznivý vývoj ve výrobě automobilů</w:t>
            </w:r>
            <w:r>
              <w:rPr>
                <w:color w:val="0D0D0D" w:themeColor="text1" w:themeTint="F2"/>
                <w:spacing w:val="-4"/>
              </w:rPr>
              <w:t xml:space="preserve">, kde problémy </w:t>
            </w:r>
            <w:r w:rsidRPr="008D3CD4">
              <w:rPr>
                <w:color w:val="0D0D0D" w:themeColor="text1" w:themeTint="F2"/>
                <w:spacing w:val="-4"/>
              </w:rPr>
              <w:t xml:space="preserve">s dodávkami výrobních komponent během jara mírně polevily. Bez zahrnutí tohoto klíčového odvětví by výkon průmyslu ve 3. čtvrtletí pouze stagnoval. Produkce </w:t>
            </w:r>
            <w:r>
              <w:rPr>
                <w:color w:val="0D0D0D" w:themeColor="text1" w:themeTint="F2"/>
                <w:spacing w:val="-4"/>
              </w:rPr>
              <w:br/>
            </w:r>
            <w:r w:rsidRPr="008D3CD4">
              <w:rPr>
                <w:color w:val="0D0D0D" w:themeColor="text1" w:themeTint="F2"/>
                <w:spacing w:val="-4"/>
              </w:rPr>
              <w:t xml:space="preserve">v řadě dalších významných odvětví (vyjma strojírenství a elektrotechniky) se totiž snižovala. Vzplanutí války na Ukrajině výrazně přispělo i k eskalaci cenového růstu energií i dalších materiálových vstupů, což se již patrně negativně odrazilo ve výkonu zejména některých energeticky náročnějších odvětví. Vedle toho začaly průmyslové podniky v Česku stále více pociťovat obavy související se zhoršující se ekonomickou situací v řadě významných </w:t>
            </w:r>
            <w:r w:rsidRPr="008D3CD4">
              <w:rPr>
                <w:color w:val="0D0D0D" w:themeColor="text1" w:themeTint="F2"/>
                <w:spacing w:val="-4"/>
              </w:rPr>
              <w:lastRenderedPageBreak/>
              <w:t xml:space="preserve">exportních teritorií, která se projevovala i v oblasti nových zakázek ze zahraničí. </w:t>
            </w:r>
            <w:r>
              <w:rPr>
                <w:color w:val="0D0D0D" w:themeColor="text1" w:themeTint="F2"/>
                <w:spacing w:val="-4"/>
              </w:rPr>
              <w:t xml:space="preserve">I přes </w:t>
            </w:r>
            <w:r w:rsidRPr="008D3CD4">
              <w:rPr>
                <w:color w:val="0D0D0D" w:themeColor="text1" w:themeTint="F2"/>
                <w:spacing w:val="-4"/>
              </w:rPr>
              <w:t xml:space="preserve">to </w:t>
            </w:r>
            <w:r>
              <w:rPr>
                <w:color w:val="0D0D0D" w:themeColor="text1" w:themeTint="F2"/>
                <w:spacing w:val="-4"/>
              </w:rPr>
              <w:t>ale produkce v</w:t>
            </w:r>
            <w:r w:rsidRPr="008D3CD4">
              <w:rPr>
                <w:color w:val="0D0D0D" w:themeColor="text1" w:themeTint="F2"/>
                <w:spacing w:val="-4"/>
              </w:rPr>
              <w:t xml:space="preserve"> průmyslu letos v létě poprvé překonala úroveň z předpandemické konju</w:t>
            </w:r>
            <w:r>
              <w:rPr>
                <w:color w:val="0D0D0D" w:themeColor="text1" w:themeTint="F2"/>
                <w:spacing w:val="-4"/>
              </w:rPr>
              <w:t>n</w:t>
            </w:r>
            <w:r w:rsidRPr="008D3CD4">
              <w:rPr>
                <w:color w:val="0D0D0D" w:themeColor="text1" w:themeTint="F2"/>
                <w:spacing w:val="-4"/>
              </w:rPr>
              <w:t>ktury</w:t>
            </w:r>
            <w:r w:rsidRPr="008D3CD4">
              <w:rPr>
                <w:rStyle w:val="Znakapoznpodarou"/>
                <w:color w:val="0D0D0D" w:themeColor="text1" w:themeTint="F2"/>
                <w:spacing w:val="-4"/>
              </w:rPr>
              <w:footnoteReference w:id="9"/>
            </w:r>
            <w:r w:rsidRPr="008D3CD4">
              <w:rPr>
                <w:color w:val="0D0D0D" w:themeColor="text1" w:themeTint="F2"/>
                <w:spacing w:val="-4"/>
              </w:rPr>
              <w:t>.</w:t>
            </w:r>
          </w:p>
        </w:tc>
      </w:tr>
      <w:tr w:rsidR="00F052D2" w:rsidRPr="003C07E6" w14:paraId="00923312" w14:textId="77777777" w:rsidTr="004149F4">
        <w:trPr>
          <w:trHeight w:val="145"/>
        </w:trPr>
        <w:tc>
          <w:tcPr>
            <w:tcW w:w="1747" w:type="dxa"/>
            <w:tcBorders>
              <w:top w:val="nil"/>
              <w:left w:val="nil"/>
              <w:bottom w:val="nil"/>
              <w:right w:val="nil"/>
            </w:tcBorders>
            <w:shd w:val="clear" w:color="auto" w:fill="auto"/>
            <w:tcMar>
              <w:left w:w="0" w:type="dxa"/>
            </w:tcMar>
          </w:tcPr>
          <w:p w14:paraId="00FC99D3" w14:textId="77777777" w:rsidR="00F052D2" w:rsidRDefault="00F052D2" w:rsidP="004149F4">
            <w:pPr>
              <w:pStyle w:val="Marginlie"/>
              <w:rPr>
                <w:color w:val="0D0D0D" w:themeColor="text1" w:themeTint="F2"/>
                <w:spacing w:val="-4"/>
              </w:rPr>
            </w:pPr>
            <w:r>
              <w:rPr>
                <w:color w:val="0D0D0D" w:themeColor="text1" w:themeTint="F2"/>
                <w:spacing w:val="-4"/>
              </w:rPr>
              <w:lastRenderedPageBreak/>
              <w:t xml:space="preserve">V 1. až 3. čtvrtletí zaznamenaly nejvyšší meziroční růst průmyslové obory nejvíce poznamenané propadem poptávky </w:t>
            </w:r>
            <w:r>
              <w:rPr>
                <w:color w:val="0D0D0D" w:themeColor="text1" w:themeTint="F2"/>
                <w:spacing w:val="-5"/>
              </w:rPr>
              <w:t>v kritických fázích</w:t>
            </w:r>
            <w:r w:rsidRPr="00BC0151">
              <w:rPr>
                <w:color w:val="0D0D0D" w:themeColor="text1" w:themeTint="F2"/>
                <w:spacing w:val="-5"/>
              </w:rPr>
              <w:t xml:space="preserve"> pandemie</w:t>
            </w:r>
            <w:r>
              <w:rPr>
                <w:color w:val="0D0D0D" w:themeColor="text1" w:themeTint="F2"/>
                <w:spacing w:val="-5"/>
              </w:rPr>
              <w:t>.</w:t>
            </w:r>
          </w:p>
        </w:tc>
        <w:tc>
          <w:tcPr>
            <w:tcW w:w="212" w:type="dxa"/>
            <w:tcBorders>
              <w:top w:val="nil"/>
              <w:left w:val="nil"/>
              <w:bottom w:val="nil"/>
              <w:right w:val="nil"/>
            </w:tcBorders>
            <w:shd w:val="clear" w:color="auto" w:fill="auto"/>
            <w:tcMar>
              <w:left w:w="0" w:type="dxa"/>
            </w:tcMar>
          </w:tcPr>
          <w:p w14:paraId="75A5E28E"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77F1568C" w14:textId="77777777" w:rsidR="00F052D2" w:rsidRPr="008D3CD4" w:rsidRDefault="00F052D2" w:rsidP="004149F4">
            <w:pPr>
              <w:spacing w:after="220"/>
              <w:rPr>
                <w:spacing w:val="-4"/>
              </w:rPr>
            </w:pPr>
            <w:r w:rsidRPr="008D3CD4">
              <w:rPr>
                <w:color w:val="0D0D0D" w:themeColor="text1" w:themeTint="F2"/>
                <w:spacing w:val="-4"/>
              </w:rPr>
              <w:t>V meziročním srovnání se letos ve 3. čtvrtletí p</w:t>
            </w:r>
            <w:r>
              <w:rPr>
                <w:color w:val="0D0D0D" w:themeColor="text1" w:themeTint="F2"/>
                <w:spacing w:val="-4"/>
              </w:rPr>
              <w:t>růmyslová produkce zvýšila o 5,2 %, když narostla poprvé od 2. kvartálu</w:t>
            </w:r>
            <w:r w:rsidRPr="008D3CD4">
              <w:rPr>
                <w:color w:val="0D0D0D" w:themeColor="text1" w:themeTint="F2"/>
                <w:spacing w:val="-4"/>
              </w:rPr>
              <w:t xml:space="preserve"> 2021. Stála za tím primárně nízká srovnávací základna, neboť loni v létě došlo vlivem eskalace nedostupnosti polovodičů k opakovanému omezení výroby v automobilovém průmyslu. Bez přispění výrobců automobilů by tak letos v létě průmyslová produkce mírně klesala (</w:t>
            </w:r>
            <w:r>
              <w:rPr>
                <w:color w:val="0D0D0D" w:themeColor="text1" w:themeTint="F2"/>
                <w:spacing w:val="-4"/>
              </w:rPr>
              <w:t>o 0,6</w:t>
            </w:r>
            <w:r w:rsidRPr="008D3CD4">
              <w:rPr>
                <w:color w:val="0D0D0D" w:themeColor="text1" w:themeTint="F2"/>
                <w:spacing w:val="-4"/>
              </w:rPr>
              <w:t xml:space="preserve"> %). V úhrnu od ledna do září byl výkon p</w:t>
            </w:r>
            <w:r>
              <w:rPr>
                <w:color w:val="0D0D0D" w:themeColor="text1" w:themeTint="F2"/>
                <w:spacing w:val="-4"/>
              </w:rPr>
              <w:t>růmyslu meziročně vyšší o 1,4</w:t>
            </w:r>
            <w:r w:rsidRPr="008D3CD4">
              <w:rPr>
                <w:color w:val="0D0D0D" w:themeColor="text1" w:themeTint="F2"/>
                <w:spacing w:val="-4"/>
              </w:rPr>
              <w:t xml:space="preserve"> %, opět hlavně zásluhou seg</w:t>
            </w:r>
            <w:r>
              <w:rPr>
                <w:color w:val="0D0D0D" w:themeColor="text1" w:themeTint="F2"/>
                <w:spacing w:val="-4"/>
              </w:rPr>
              <w:t xml:space="preserve">mentu </w:t>
            </w:r>
            <w:proofErr w:type="spellStart"/>
            <w:r>
              <w:rPr>
                <w:color w:val="0D0D0D" w:themeColor="text1" w:themeTint="F2"/>
                <w:spacing w:val="-4"/>
              </w:rPr>
              <w:t>automotive</w:t>
            </w:r>
            <w:proofErr w:type="spellEnd"/>
            <w:r>
              <w:rPr>
                <w:color w:val="0D0D0D" w:themeColor="text1" w:themeTint="F2"/>
                <w:spacing w:val="-4"/>
              </w:rPr>
              <w:t xml:space="preserve"> (příspěvek +1,3</w:t>
            </w:r>
            <w:r w:rsidRPr="008D3CD4">
              <w:rPr>
                <w:color w:val="0D0D0D" w:themeColor="text1" w:themeTint="F2"/>
                <w:spacing w:val="-4"/>
              </w:rPr>
              <w:t xml:space="preserve"> p. b.). Největší </w:t>
            </w:r>
            <w:r>
              <w:rPr>
                <w:color w:val="0D0D0D" w:themeColor="text1" w:themeTint="F2"/>
                <w:spacing w:val="2"/>
              </w:rPr>
              <w:t>dynamiku ale vykázaly obory silně zasaže</w:t>
            </w:r>
            <w:r w:rsidRPr="00E4073A">
              <w:rPr>
                <w:color w:val="0D0D0D" w:themeColor="text1" w:themeTint="F2"/>
                <w:spacing w:val="2"/>
              </w:rPr>
              <w:t xml:space="preserve">né hlubokým útlumem poptávky v důsledku </w:t>
            </w:r>
            <w:r w:rsidRPr="00E4073A">
              <w:rPr>
                <w:color w:val="0D0D0D" w:themeColor="text1" w:themeTint="F2"/>
                <w:spacing w:val="-4"/>
              </w:rPr>
              <w:t>protipandemických restrikcí – obuvnictví i kožedělnictví</w:t>
            </w:r>
            <w:r>
              <w:rPr>
                <w:color w:val="0D0D0D" w:themeColor="text1" w:themeTint="F2"/>
                <w:spacing w:val="-4"/>
              </w:rPr>
              <w:t xml:space="preserve"> (+21,5</w:t>
            </w:r>
            <w:r w:rsidRPr="00E4073A">
              <w:rPr>
                <w:color w:val="0D0D0D" w:themeColor="text1" w:themeTint="F2"/>
                <w:spacing w:val="-4"/>
              </w:rPr>
              <w:t xml:space="preserve"> %),</w:t>
            </w:r>
            <w:r>
              <w:rPr>
                <w:color w:val="0D0D0D" w:themeColor="text1" w:themeTint="F2"/>
                <w:spacing w:val="-4"/>
              </w:rPr>
              <w:t xml:space="preserve"> oděvnictví (+9,6</w:t>
            </w:r>
            <w:r w:rsidRPr="00E4073A">
              <w:rPr>
                <w:color w:val="0D0D0D" w:themeColor="text1" w:themeTint="F2"/>
                <w:spacing w:val="-4"/>
              </w:rPr>
              <w:t> %) a</w:t>
            </w:r>
            <w:r w:rsidRPr="008D3CD4">
              <w:rPr>
                <w:color w:val="0D0D0D" w:themeColor="text1" w:themeTint="F2"/>
                <w:spacing w:val="-4"/>
              </w:rPr>
              <w:t> </w:t>
            </w:r>
            <w:r w:rsidRPr="00E4073A">
              <w:rPr>
                <w:color w:val="0D0D0D" w:themeColor="text1" w:themeTint="F2"/>
                <w:spacing w:val="-4"/>
              </w:rPr>
              <w:t>též výroba</w:t>
            </w:r>
            <w:r>
              <w:rPr>
                <w:color w:val="0D0D0D" w:themeColor="text1" w:themeTint="F2"/>
                <w:spacing w:val="-4"/>
              </w:rPr>
              <w:t xml:space="preserve"> nápojů (+7,8</w:t>
            </w:r>
            <w:r w:rsidRPr="00E4073A">
              <w:rPr>
                <w:color w:val="0D0D0D" w:themeColor="text1" w:themeTint="F2"/>
                <w:spacing w:val="-4"/>
              </w:rPr>
              <w:t xml:space="preserve"> %)</w:t>
            </w:r>
            <w:r>
              <w:rPr>
                <w:color w:val="0D0D0D" w:themeColor="text1" w:themeTint="F2"/>
                <w:spacing w:val="-4"/>
              </w:rPr>
              <w:t>, které</w:t>
            </w:r>
            <w:r w:rsidRPr="00E4073A">
              <w:rPr>
                <w:color w:val="0D0D0D" w:themeColor="text1" w:themeTint="F2"/>
                <w:spacing w:val="-4"/>
              </w:rPr>
              <w:t xml:space="preserve"> pomohly i postupně rostoucí počty zahraničních turistů.</w:t>
            </w:r>
            <w:r w:rsidRPr="00E4073A">
              <w:rPr>
                <w:color w:val="0D0D0D" w:themeColor="text1" w:themeTint="F2"/>
                <w:spacing w:val="2"/>
              </w:rPr>
              <w:t xml:space="preserve"> </w:t>
            </w:r>
            <w:r>
              <w:rPr>
                <w:color w:val="0D0D0D" w:themeColor="text1" w:themeTint="F2"/>
                <w:spacing w:val="2"/>
              </w:rPr>
              <w:t>Díky stále silné poptávce z tuzemska</w:t>
            </w:r>
            <w:r w:rsidRPr="00E4073A">
              <w:rPr>
                <w:color w:val="0D0D0D" w:themeColor="text1" w:themeTint="F2"/>
                <w:spacing w:val="2"/>
              </w:rPr>
              <w:t xml:space="preserve"> i zahraničí se dařilo</w:t>
            </w:r>
            <w:r w:rsidRPr="008D3CD4">
              <w:rPr>
                <w:color w:val="0D0D0D" w:themeColor="text1" w:themeTint="F2"/>
                <w:spacing w:val="-6"/>
              </w:rPr>
              <w:t xml:space="preserve"> farmaceutickému</w:t>
            </w:r>
            <w:r>
              <w:rPr>
                <w:color w:val="0D0D0D" w:themeColor="text1" w:themeTint="F2"/>
                <w:spacing w:val="-4"/>
              </w:rPr>
              <w:t xml:space="preserve"> průmyslu (+11,7</w:t>
            </w:r>
            <w:r w:rsidRPr="008D3CD4">
              <w:rPr>
                <w:color w:val="0D0D0D" w:themeColor="text1" w:themeTint="F2"/>
                <w:spacing w:val="-4"/>
              </w:rPr>
              <w:t> %), který spo</w:t>
            </w:r>
            <w:r>
              <w:rPr>
                <w:color w:val="0D0D0D" w:themeColor="text1" w:themeTint="F2"/>
                <w:spacing w:val="-4"/>
              </w:rPr>
              <w:t>lu s papírenským průmyslem (+4,2</w:t>
            </w:r>
            <w:r w:rsidRPr="008D3CD4">
              <w:rPr>
                <w:color w:val="0D0D0D" w:themeColor="text1" w:themeTint="F2"/>
                <w:spacing w:val="-4"/>
              </w:rPr>
              <w:t xml:space="preserve"> %) patřil k jediným průmyslovým oborům, jehož růst produkce nebyl </w:t>
            </w:r>
            <w:r>
              <w:rPr>
                <w:color w:val="0D0D0D" w:themeColor="text1" w:themeTint="F2"/>
                <w:spacing w:val="-4"/>
              </w:rPr>
              <w:t xml:space="preserve">dosud </w:t>
            </w:r>
            <w:r w:rsidRPr="008D3CD4">
              <w:rPr>
                <w:color w:val="0D0D0D" w:themeColor="text1" w:themeTint="F2"/>
                <w:spacing w:val="-4"/>
              </w:rPr>
              <w:t xml:space="preserve">po celé pandemické období přerušen. </w:t>
            </w:r>
          </w:p>
        </w:tc>
      </w:tr>
      <w:tr w:rsidR="00F052D2" w:rsidRPr="003C07E6" w14:paraId="60A46E0E" w14:textId="77777777" w:rsidTr="004149F4">
        <w:trPr>
          <w:trHeight w:val="145"/>
        </w:trPr>
        <w:tc>
          <w:tcPr>
            <w:tcW w:w="1747" w:type="dxa"/>
            <w:tcBorders>
              <w:top w:val="nil"/>
              <w:left w:val="nil"/>
              <w:bottom w:val="nil"/>
              <w:right w:val="nil"/>
            </w:tcBorders>
            <w:shd w:val="clear" w:color="auto" w:fill="auto"/>
            <w:tcMar>
              <w:left w:w="0" w:type="dxa"/>
            </w:tcMar>
          </w:tcPr>
          <w:p w14:paraId="03BDF6E9" w14:textId="77777777" w:rsidR="00F052D2" w:rsidRDefault="00F052D2" w:rsidP="004149F4">
            <w:pPr>
              <w:pStyle w:val="Marginlie"/>
            </w:pPr>
            <w:r>
              <w:t xml:space="preserve">Fyzická výroba automobilů se letos v létě přiblížila předkrizové úrovni. Využití výrobních kapacit ale za dlouhodobým průměrem stále zaostávalo. </w:t>
            </w:r>
          </w:p>
          <w:p w14:paraId="29B5F30F" w14:textId="77777777" w:rsidR="00F052D2" w:rsidRDefault="00F052D2" w:rsidP="004149F4">
            <w:pPr>
              <w:pStyle w:val="Marginlie"/>
            </w:pPr>
          </w:p>
          <w:p w14:paraId="443A3E14" w14:textId="77777777" w:rsidR="00F052D2" w:rsidRDefault="00F052D2" w:rsidP="004149F4">
            <w:pPr>
              <w:pStyle w:val="Marginlie"/>
            </w:pPr>
          </w:p>
          <w:p w14:paraId="096C6597" w14:textId="77777777" w:rsidR="00F052D2" w:rsidRDefault="00F052D2" w:rsidP="004149F4">
            <w:pPr>
              <w:pStyle w:val="Marginlie"/>
            </w:pPr>
          </w:p>
          <w:p w14:paraId="1E820542" w14:textId="77777777" w:rsidR="00F052D2" w:rsidRDefault="00F052D2" w:rsidP="004149F4">
            <w:pPr>
              <w:pStyle w:val="Marginlie"/>
            </w:pPr>
            <w:r>
              <w:t>Mírný růst produkce v elektrotechnickém i strojírenském průmyslu letos přetrvával.</w:t>
            </w:r>
          </w:p>
        </w:tc>
        <w:tc>
          <w:tcPr>
            <w:tcW w:w="212" w:type="dxa"/>
            <w:tcBorders>
              <w:top w:val="nil"/>
              <w:left w:val="nil"/>
              <w:bottom w:val="nil"/>
              <w:right w:val="nil"/>
            </w:tcBorders>
            <w:shd w:val="clear" w:color="auto" w:fill="auto"/>
            <w:tcMar>
              <w:left w:w="0" w:type="dxa"/>
            </w:tcMar>
          </w:tcPr>
          <w:p w14:paraId="7D107FAD"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7CFF13B8" w14:textId="77777777" w:rsidR="00F052D2" w:rsidRPr="00E4073A" w:rsidRDefault="00F052D2" w:rsidP="004149F4">
            <w:pPr>
              <w:spacing w:after="200"/>
              <w:rPr>
                <w:color w:val="0D0D0D" w:themeColor="text1" w:themeTint="F2"/>
                <w:spacing w:val="-6"/>
              </w:rPr>
            </w:pPr>
            <w:r w:rsidRPr="00E4073A">
              <w:rPr>
                <w:spacing w:val="-6"/>
              </w:rPr>
              <w:t>P</w:t>
            </w:r>
            <w:r w:rsidRPr="00E4073A">
              <w:rPr>
                <w:color w:val="0D0D0D" w:themeColor="text1" w:themeTint="F2"/>
                <w:spacing w:val="-6"/>
              </w:rPr>
              <w:t xml:space="preserve">rodukce v klíčovém odvětví výroby motorových vozidel se za tři letošní čtvrtletí meziročně </w:t>
            </w:r>
            <w:r>
              <w:rPr>
                <w:color w:val="0D0D0D" w:themeColor="text1" w:themeTint="F2"/>
                <w:spacing w:val="-6"/>
              </w:rPr>
              <w:t>navýšila o 7,0</w:t>
            </w:r>
            <w:r w:rsidRPr="00E4073A">
              <w:rPr>
                <w:color w:val="0D0D0D" w:themeColor="text1" w:themeTint="F2"/>
                <w:spacing w:val="-6"/>
              </w:rPr>
              <w:t> %. Po částečném zmírnění napětí v dodavatelských řetězcích (u čipů či kabelových svazků) tak doháněli výrobci aut loňské ztráty. Pomohla k tomu silná poptávka související s obnovou firemního vozového parku (přerušenou během pandemie) i postupně se rozvíjející segment elektromobility – což dokládají i údaje o fyzické produkci</w:t>
            </w:r>
            <w:r w:rsidRPr="00E4073A">
              <w:rPr>
                <w:rStyle w:val="Znakapoznpodarou"/>
                <w:color w:val="0D0D0D" w:themeColor="text1" w:themeTint="F2"/>
                <w:spacing w:val="-6"/>
              </w:rPr>
              <w:footnoteReference w:id="10"/>
            </w:r>
            <w:r w:rsidRPr="00E4073A">
              <w:rPr>
                <w:color w:val="0D0D0D" w:themeColor="text1" w:themeTint="F2"/>
                <w:spacing w:val="-6"/>
              </w:rPr>
              <w:t>. Navzdory tomu zůstává situace v automobilovém průmyslu stále komplikovaná. Využití výrobních kapacit se zde již pátý kvartál v řadě pohybovalo znatelně pod dlouhodobým průměrem</w:t>
            </w:r>
            <w:r w:rsidRPr="00E4073A">
              <w:rPr>
                <w:rStyle w:val="Znakapoznpodarou"/>
                <w:color w:val="0D0D0D" w:themeColor="text1" w:themeTint="F2"/>
                <w:spacing w:val="-6"/>
              </w:rPr>
              <w:footnoteReference w:id="11"/>
            </w:r>
            <w:r w:rsidRPr="00E4073A">
              <w:rPr>
                <w:color w:val="0D0D0D" w:themeColor="text1" w:themeTint="F2"/>
                <w:spacing w:val="-6"/>
              </w:rPr>
              <w:t>. Nedostatek materiálu a zařízení deklarovalo letos v říjnu 85 % podniků v odvětví výroby motorových vozidel (v celém průmyslu rovněž vysokých 46 %)</w:t>
            </w:r>
            <w:r w:rsidRPr="00E4073A">
              <w:rPr>
                <w:rStyle w:val="Znakapoznpodarou"/>
                <w:color w:val="0D0D0D" w:themeColor="text1" w:themeTint="F2"/>
                <w:spacing w:val="-6"/>
              </w:rPr>
              <w:footnoteReference w:id="12"/>
            </w:r>
            <w:r w:rsidRPr="00E4073A">
              <w:rPr>
                <w:color w:val="0D0D0D" w:themeColor="text1" w:themeTint="F2"/>
                <w:spacing w:val="-6"/>
              </w:rPr>
              <w:t xml:space="preserve">. Situace v automobilovém průmyslu se promítla i do návazné výroby pryžových a plastových výrobků, v níž v 1. až </w:t>
            </w:r>
            <w:r>
              <w:rPr>
                <w:color w:val="0D0D0D" w:themeColor="text1" w:themeTint="F2"/>
                <w:spacing w:val="-6"/>
              </w:rPr>
              <w:br/>
            </w:r>
            <w:r w:rsidRPr="00E4073A">
              <w:rPr>
                <w:color w:val="0D0D0D" w:themeColor="text1" w:themeTint="F2"/>
                <w:spacing w:val="-6"/>
              </w:rPr>
              <w:t>3. čtvrtletí produkce</w:t>
            </w:r>
            <w:r>
              <w:rPr>
                <w:color w:val="0D0D0D" w:themeColor="text1" w:themeTint="F2"/>
                <w:spacing w:val="-6"/>
              </w:rPr>
              <w:t xml:space="preserve"> meziročně mírně poklesla (o 2,6</w:t>
            </w:r>
            <w:r w:rsidRPr="00E4073A">
              <w:rPr>
                <w:color w:val="0D0D0D" w:themeColor="text1" w:themeTint="F2"/>
                <w:spacing w:val="-6"/>
              </w:rPr>
              <w:t xml:space="preserve"> %). Naopak v diverzifikované výrobě elektrických zařízení výkon dále rostl</w:t>
            </w:r>
            <w:r>
              <w:rPr>
                <w:color w:val="0D0D0D" w:themeColor="text1" w:themeTint="F2"/>
                <w:spacing w:val="-6"/>
              </w:rPr>
              <w:t xml:space="preserve"> (+4,8</w:t>
            </w:r>
            <w:r w:rsidRPr="00E4073A">
              <w:rPr>
                <w:color w:val="0D0D0D" w:themeColor="text1" w:themeTint="F2"/>
                <w:spacing w:val="-6"/>
              </w:rPr>
              <w:t xml:space="preserve"> %), když byl podporován solidní poptávkou z tuzemska i zahraničí. Podobné platilo i pro váhově významný obor</w:t>
            </w:r>
            <w:r>
              <w:rPr>
                <w:color w:val="0D0D0D" w:themeColor="text1" w:themeTint="F2"/>
                <w:spacing w:val="-6"/>
              </w:rPr>
              <w:t xml:space="preserve"> strojírenství (+3,6 %). P</w:t>
            </w:r>
            <w:r w:rsidRPr="00E4073A">
              <w:rPr>
                <w:color w:val="0D0D0D" w:themeColor="text1" w:themeTint="F2"/>
                <w:spacing w:val="-6"/>
              </w:rPr>
              <w:t xml:space="preserve">rodukce </w:t>
            </w:r>
            <w:r>
              <w:rPr>
                <w:color w:val="0D0D0D" w:themeColor="text1" w:themeTint="F2"/>
                <w:spacing w:val="-6"/>
              </w:rPr>
              <w:t>se zde během léta téměř</w:t>
            </w:r>
            <w:r w:rsidRPr="00E4073A">
              <w:rPr>
                <w:color w:val="0D0D0D" w:themeColor="text1" w:themeTint="F2"/>
                <w:spacing w:val="-6"/>
              </w:rPr>
              <w:t xml:space="preserve"> dorovnal</w:t>
            </w:r>
            <w:r>
              <w:rPr>
                <w:color w:val="0D0D0D" w:themeColor="text1" w:themeTint="F2"/>
                <w:spacing w:val="-6"/>
              </w:rPr>
              <w:t>a úrovni</w:t>
            </w:r>
            <w:r w:rsidRPr="00E4073A">
              <w:rPr>
                <w:color w:val="0D0D0D" w:themeColor="text1" w:themeTint="F2"/>
                <w:spacing w:val="-6"/>
              </w:rPr>
              <w:t xml:space="preserve"> z vrcholu předpandemické konjunktury. K tomu pomohlo předchozí oživení investiční aktivity v tuzemské ekonomice i v eurozóně (údaje z 3. čtvrtletí naznačují, že investiční aktivita v Česku se zatím </w:t>
            </w:r>
            <w:r>
              <w:rPr>
                <w:color w:val="0D0D0D" w:themeColor="text1" w:themeTint="F2"/>
                <w:spacing w:val="-6"/>
              </w:rPr>
              <w:t xml:space="preserve">meziročně </w:t>
            </w:r>
            <w:r w:rsidRPr="00E4073A">
              <w:rPr>
                <w:color w:val="0D0D0D" w:themeColor="text1" w:themeTint="F2"/>
                <w:spacing w:val="-6"/>
              </w:rPr>
              <w:t xml:space="preserve">nesnižovala). </w:t>
            </w:r>
          </w:p>
        </w:tc>
      </w:tr>
      <w:tr w:rsidR="00F052D2" w:rsidRPr="003C07E6" w14:paraId="0C6370B9" w14:textId="77777777" w:rsidTr="004149F4">
        <w:trPr>
          <w:trHeight w:val="145"/>
        </w:trPr>
        <w:tc>
          <w:tcPr>
            <w:tcW w:w="1747" w:type="dxa"/>
            <w:tcBorders>
              <w:top w:val="nil"/>
              <w:left w:val="nil"/>
              <w:bottom w:val="nil"/>
              <w:right w:val="nil"/>
            </w:tcBorders>
            <w:shd w:val="clear" w:color="auto" w:fill="auto"/>
            <w:tcMar>
              <w:left w:w="0" w:type="dxa"/>
            </w:tcMar>
          </w:tcPr>
          <w:p w14:paraId="1F1F04CD" w14:textId="77777777" w:rsidR="00F052D2" w:rsidRDefault="00F052D2" w:rsidP="004149F4">
            <w:pPr>
              <w:pStyle w:val="Marginlie"/>
              <w:rPr>
                <w:spacing w:val="-4"/>
              </w:rPr>
            </w:pPr>
            <w:r>
              <w:rPr>
                <w:spacing w:val="-4"/>
              </w:rPr>
              <w:t>Produkce v energeticky náročných oborech hutnického, kovodělného i</w:t>
            </w:r>
            <w:r>
              <w:t> </w:t>
            </w:r>
            <w:r>
              <w:rPr>
                <w:spacing w:val="-4"/>
              </w:rPr>
              <w:t>chemického průmyslu se snižovala.</w:t>
            </w:r>
          </w:p>
          <w:p w14:paraId="0407EDAA" w14:textId="77777777" w:rsidR="00F052D2" w:rsidRDefault="00F052D2" w:rsidP="004149F4">
            <w:pPr>
              <w:pStyle w:val="Marginlie"/>
              <w:rPr>
                <w:spacing w:val="-4"/>
              </w:rPr>
            </w:pPr>
          </w:p>
          <w:p w14:paraId="3F354748" w14:textId="77777777" w:rsidR="00F052D2" w:rsidRDefault="00F052D2" w:rsidP="004149F4">
            <w:pPr>
              <w:pStyle w:val="Marginlie"/>
              <w:rPr>
                <w:spacing w:val="-4"/>
              </w:rPr>
            </w:pPr>
          </w:p>
          <w:p w14:paraId="79FC7BA8" w14:textId="77777777" w:rsidR="00F052D2" w:rsidRDefault="00F052D2" w:rsidP="004149F4">
            <w:pPr>
              <w:pStyle w:val="Marginlie"/>
            </w:pPr>
            <w:r>
              <w:rPr>
                <w:spacing w:val="-4"/>
              </w:rPr>
              <w:t>Slábnoucí spotřebitelská poptávka se odrazila také v nižší produkci potravinářského průmyslu.</w:t>
            </w:r>
          </w:p>
        </w:tc>
        <w:tc>
          <w:tcPr>
            <w:tcW w:w="212" w:type="dxa"/>
            <w:tcBorders>
              <w:top w:val="nil"/>
              <w:left w:val="nil"/>
              <w:bottom w:val="nil"/>
              <w:right w:val="nil"/>
            </w:tcBorders>
            <w:shd w:val="clear" w:color="auto" w:fill="auto"/>
            <w:tcMar>
              <w:left w:w="0" w:type="dxa"/>
            </w:tcMar>
          </w:tcPr>
          <w:p w14:paraId="6620C873"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12B6DDB0" w14:textId="77777777" w:rsidR="00F052D2" w:rsidRPr="00C63719" w:rsidRDefault="00F052D2" w:rsidP="004149F4">
            <w:pPr>
              <w:spacing w:after="200"/>
              <w:rPr>
                <w:color w:val="0D0D0D" w:themeColor="text1" w:themeTint="F2"/>
                <w:spacing w:val="-5"/>
              </w:rPr>
            </w:pPr>
            <w:r>
              <w:rPr>
                <w:color w:val="0D0D0D" w:themeColor="text1" w:themeTint="F2"/>
                <w:spacing w:val="-4"/>
              </w:rPr>
              <w:t>Stále složitější situace panuje naopak v energeticky náročných odvětvích chemického, hutnického a kovodělného průmyslu. Po rychlém loňském zotavení, kdy výkon těchto oborů pod vlivem svižné poptávky z tuzemska i zahraničí vystoupal na předkrizovou úroveň, docházelo vlivem prudkého růstu cen vstupů (umocněného energetickou krizí) k útlumu. Ten byl obzvláště patrný v hutnictví, kde vinou slabé zahraniční poptávky produkce ve 3.</w:t>
            </w:r>
            <w:r>
              <w:rPr>
                <w:color w:val="0D0D0D" w:themeColor="text1" w:themeTint="F2"/>
                <w:spacing w:val="-5"/>
              </w:rPr>
              <w:t> </w:t>
            </w:r>
            <w:r>
              <w:rPr>
                <w:color w:val="0D0D0D" w:themeColor="text1" w:themeTint="F2"/>
                <w:spacing w:val="-4"/>
              </w:rPr>
              <w:t xml:space="preserve">čtvrtletí 2022 oproti předchozímu kvartálu propadla o více než desetinu. Řádově menší, ale rovněž významný pokles produkce zaznamenalo potravinářství. Jeho výkon se dosud mezikvartálně mírně snižoval po celý letošní rok, což souviselo s propadem spotřebitelské důvěry i s tržbami v maloobchodě. Produkce v potravinářském průmyslu zůstala i přesto letos ve 3. čtvrtletí velmi mírně nad úrovní konjunkturního roku 2019. Odlišné pozadí měl naopak útlum ve dřevozpracujícím průmyslu. K němu dochází vlivem částečného ústupu </w:t>
            </w:r>
            <w:r>
              <w:rPr>
                <w:color w:val="0D0D0D" w:themeColor="text1" w:themeTint="F2"/>
                <w:spacing w:val="-4"/>
              </w:rPr>
              <w:lastRenderedPageBreak/>
              <w:t>kůrovcové kalamity v</w:t>
            </w:r>
            <w:r>
              <w:rPr>
                <w:color w:val="0D0D0D" w:themeColor="text1" w:themeTint="F2"/>
                <w:spacing w:val="-5"/>
              </w:rPr>
              <w:t> </w:t>
            </w:r>
            <w:r>
              <w:rPr>
                <w:color w:val="0D0D0D" w:themeColor="text1" w:themeTint="F2"/>
                <w:spacing w:val="-4"/>
              </w:rPr>
              <w:t>meziročním pohledu již od poloviny loňského roku</w:t>
            </w:r>
            <w:r>
              <w:rPr>
                <w:rStyle w:val="Znakapoznpodarou"/>
                <w:color w:val="0D0D0D" w:themeColor="text1" w:themeTint="F2"/>
                <w:spacing w:val="-4"/>
              </w:rPr>
              <w:footnoteReference w:id="13"/>
            </w:r>
            <w:r>
              <w:rPr>
                <w:color w:val="0D0D0D" w:themeColor="text1" w:themeTint="F2"/>
                <w:spacing w:val="-4"/>
              </w:rPr>
              <w:t xml:space="preserve"> a v úhrnu za tři letošní čtvrtletí činil 9,4 %. Výkon návazných oborů – papírenství a</w:t>
            </w:r>
            <w:r>
              <w:rPr>
                <w:color w:val="0D0D0D" w:themeColor="text1" w:themeTint="F2"/>
                <w:spacing w:val="-5"/>
              </w:rPr>
              <w:t> </w:t>
            </w:r>
            <w:r>
              <w:rPr>
                <w:color w:val="0D0D0D" w:themeColor="text1" w:themeTint="F2"/>
                <w:spacing w:val="-4"/>
              </w:rPr>
              <w:t>nábytkářství – působením setrvačnosti ale stále mírně rostl, během léta se ovšem i zde začala projevovat slábnoucí poptávka.</w:t>
            </w:r>
          </w:p>
        </w:tc>
      </w:tr>
      <w:tr w:rsidR="00F052D2" w:rsidRPr="00F704D2" w14:paraId="6E25643B" w14:textId="77777777" w:rsidTr="004149F4">
        <w:trPr>
          <w:trHeight w:val="170"/>
        </w:trPr>
        <w:tc>
          <w:tcPr>
            <w:tcW w:w="1747" w:type="dxa"/>
            <w:vMerge w:val="restart"/>
            <w:tcBorders>
              <w:top w:val="nil"/>
              <w:left w:val="nil"/>
              <w:bottom w:val="nil"/>
              <w:right w:val="nil"/>
            </w:tcBorders>
            <w:shd w:val="clear" w:color="auto" w:fill="auto"/>
            <w:tcMar>
              <w:left w:w="0" w:type="dxa"/>
            </w:tcMar>
          </w:tcPr>
          <w:p w14:paraId="5DE81D21" w14:textId="77777777" w:rsidR="00F052D2" w:rsidRDefault="00F052D2" w:rsidP="004149F4">
            <w:pPr>
              <w:pStyle w:val="Marginlie"/>
            </w:pPr>
          </w:p>
        </w:tc>
        <w:tc>
          <w:tcPr>
            <w:tcW w:w="212" w:type="dxa"/>
            <w:vMerge w:val="restart"/>
            <w:tcBorders>
              <w:top w:val="nil"/>
              <w:left w:val="nil"/>
              <w:bottom w:val="nil"/>
              <w:right w:val="nil"/>
            </w:tcBorders>
            <w:shd w:val="clear" w:color="auto" w:fill="auto"/>
            <w:tcMar>
              <w:left w:w="0" w:type="dxa"/>
            </w:tcMar>
          </w:tcPr>
          <w:p w14:paraId="2CB27679"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5577C09F" w14:textId="77777777" w:rsidR="00F052D2" w:rsidRPr="00A92514" w:rsidRDefault="00F052D2" w:rsidP="004149F4">
            <w:pPr>
              <w:spacing w:after="0"/>
              <w:rPr>
                <w:spacing w:val="-4"/>
              </w:rPr>
            </w:pPr>
            <w:r w:rsidRPr="008E64D7">
              <w:rPr>
                <w:rFonts w:cs="Arial"/>
                <w:b/>
                <w:bCs/>
                <w:color w:val="000000"/>
                <w:szCs w:val="20"/>
              </w:rPr>
              <w:t xml:space="preserve">Graf č. 4 </w:t>
            </w:r>
            <w:r w:rsidRPr="008E64D7">
              <w:rPr>
                <w:b/>
              </w:rPr>
              <w:t>Příspěvky dílčích odvětví k meziroční změně průmyslové produkce</w:t>
            </w:r>
            <w:r w:rsidRPr="008E64D7">
              <w:rPr>
                <w:b/>
              </w:rPr>
              <w:br/>
            </w:r>
            <w:r w:rsidRPr="008E64D7">
              <w:t xml:space="preserve">(očištěno o kalendářní vlivy, reálně, v p. b.) </w:t>
            </w:r>
            <w:r w:rsidRPr="008E64D7">
              <w:rPr>
                <w:b/>
              </w:rPr>
              <w:t xml:space="preserve">a tržby* i produkce v celém průmyslu </w:t>
            </w:r>
            <w:r w:rsidRPr="008E64D7">
              <w:t>(sezónně očištěno, úroveň roku 2015=100, pravá osa)</w:t>
            </w:r>
          </w:p>
        </w:tc>
      </w:tr>
      <w:tr w:rsidR="00F052D2" w14:paraId="3DF90031" w14:textId="77777777" w:rsidTr="004149F4">
        <w:tblPrEx>
          <w:tblCellMar>
            <w:left w:w="70" w:type="dxa"/>
            <w:right w:w="70" w:type="dxa"/>
          </w:tblCellMar>
        </w:tblPrEx>
        <w:trPr>
          <w:trHeight w:val="170"/>
        </w:trPr>
        <w:tc>
          <w:tcPr>
            <w:tcW w:w="1747" w:type="dxa"/>
            <w:vMerge/>
            <w:tcBorders>
              <w:top w:val="nil"/>
              <w:left w:val="nil"/>
              <w:bottom w:val="nil"/>
              <w:right w:val="nil"/>
            </w:tcBorders>
            <w:shd w:val="clear" w:color="auto" w:fill="auto"/>
          </w:tcPr>
          <w:p w14:paraId="2B832EC9" w14:textId="77777777" w:rsidR="00F052D2" w:rsidRDefault="00F052D2" w:rsidP="004149F4">
            <w:pPr>
              <w:pStyle w:val="Marginlie"/>
            </w:pPr>
          </w:p>
        </w:tc>
        <w:tc>
          <w:tcPr>
            <w:tcW w:w="212" w:type="dxa"/>
            <w:vMerge/>
            <w:tcBorders>
              <w:top w:val="nil"/>
              <w:left w:val="nil"/>
              <w:bottom w:val="nil"/>
              <w:right w:val="nil"/>
            </w:tcBorders>
            <w:shd w:val="clear" w:color="auto" w:fill="auto"/>
          </w:tcPr>
          <w:p w14:paraId="62A69887"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Pr>
          <w:p w14:paraId="2C366622" w14:textId="77777777" w:rsidR="00F052D2" w:rsidRPr="0067514E" w:rsidRDefault="00F052D2" w:rsidP="004149F4">
            <w:pPr>
              <w:spacing w:after="0"/>
              <w:rPr>
                <w:spacing w:val="-6"/>
              </w:rPr>
            </w:pPr>
            <w:r>
              <w:rPr>
                <w:noProof/>
              </w:rPr>
              <w:drawing>
                <wp:inline distT="0" distB="0" distL="0" distR="0" wp14:anchorId="30EB2BE5" wp14:editId="48FFC22A">
                  <wp:extent cx="4600332" cy="3413371"/>
                  <wp:effectExtent l="0" t="0" r="0" b="0"/>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F052D2" w:rsidRPr="007B3A78" w14:paraId="1E512DB4" w14:textId="77777777" w:rsidTr="004149F4">
        <w:trPr>
          <w:trHeight w:val="170"/>
        </w:trPr>
        <w:tc>
          <w:tcPr>
            <w:tcW w:w="1747" w:type="dxa"/>
            <w:vMerge/>
            <w:tcBorders>
              <w:top w:val="nil"/>
              <w:left w:val="nil"/>
              <w:bottom w:val="nil"/>
              <w:right w:val="nil"/>
            </w:tcBorders>
            <w:shd w:val="clear" w:color="auto" w:fill="auto"/>
            <w:tcMar>
              <w:left w:w="0" w:type="dxa"/>
            </w:tcMar>
          </w:tcPr>
          <w:p w14:paraId="1489297A" w14:textId="77777777" w:rsidR="00F052D2" w:rsidRDefault="00F052D2" w:rsidP="004149F4">
            <w:pPr>
              <w:pStyle w:val="Marginlie"/>
            </w:pPr>
          </w:p>
        </w:tc>
        <w:tc>
          <w:tcPr>
            <w:tcW w:w="212" w:type="dxa"/>
            <w:vMerge/>
            <w:tcBorders>
              <w:top w:val="nil"/>
              <w:left w:val="nil"/>
              <w:bottom w:val="nil"/>
              <w:right w:val="nil"/>
            </w:tcBorders>
            <w:shd w:val="clear" w:color="auto" w:fill="auto"/>
            <w:tcMar>
              <w:left w:w="0" w:type="dxa"/>
            </w:tcMar>
          </w:tcPr>
          <w:p w14:paraId="6D08E058"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08938490" w14:textId="77777777" w:rsidR="00F052D2" w:rsidRPr="00E52D45" w:rsidRDefault="00F052D2" w:rsidP="004149F4">
            <w:pPr>
              <w:tabs>
                <w:tab w:val="right" w:pos="7683"/>
              </w:tabs>
              <w:spacing w:line="240" w:lineRule="auto"/>
              <w:jc w:val="left"/>
              <w:rPr>
                <w:spacing w:val="-2"/>
                <w:sz w:val="14"/>
                <w:szCs w:val="14"/>
              </w:rPr>
            </w:pPr>
            <w:r>
              <w:rPr>
                <w:rFonts w:cs="Arial"/>
                <w:sz w:val="14"/>
                <w:szCs w:val="14"/>
              </w:rPr>
              <w:t xml:space="preserve">Poznámka: Tržby jsou uvedeny v běžných cenách. </w:t>
            </w:r>
            <w:r>
              <w:rPr>
                <w:rFonts w:cs="Arial"/>
                <w:sz w:val="14"/>
                <w:szCs w:val="14"/>
              </w:rPr>
              <w:tab/>
              <w:t xml:space="preserve"> </w:t>
            </w:r>
            <w:r w:rsidRPr="00883202">
              <w:rPr>
                <w:rFonts w:cs="Arial"/>
                <w:sz w:val="14"/>
                <w:szCs w:val="14"/>
              </w:rPr>
              <w:t>Zdroj: ČSÚ</w:t>
            </w:r>
          </w:p>
        </w:tc>
      </w:tr>
      <w:tr w:rsidR="00F052D2" w:rsidRPr="007B3A78" w14:paraId="1131E046" w14:textId="77777777" w:rsidTr="004149F4">
        <w:trPr>
          <w:trHeight w:val="170"/>
        </w:trPr>
        <w:tc>
          <w:tcPr>
            <w:tcW w:w="1747" w:type="dxa"/>
            <w:tcBorders>
              <w:top w:val="nil"/>
              <w:left w:val="nil"/>
              <w:bottom w:val="nil"/>
              <w:right w:val="nil"/>
            </w:tcBorders>
            <w:shd w:val="clear" w:color="auto" w:fill="auto"/>
            <w:tcMar>
              <w:left w:w="0" w:type="dxa"/>
            </w:tcMar>
          </w:tcPr>
          <w:p w14:paraId="2B531E5F" w14:textId="77777777" w:rsidR="00F052D2" w:rsidRDefault="00F052D2" w:rsidP="004149F4">
            <w:pPr>
              <w:pStyle w:val="Marginlie"/>
              <w:rPr>
                <w:spacing w:val="-4"/>
              </w:rPr>
            </w:pPr>
            <w:r>
              <w:rPr>
                <w:spacing w:val="-4"/>
              </w:rPr>
              <w:t>Produkce v těžbě uhlí ve 3. čtvrtletí rekordně vzrostla.</w:t>
            </w:r>
          </w:p>
          <w:p w14:paraId="2EC0DD08" w14:textId="77777777" w:rsidR="00F052D2" w:rsidRDefault="00F052D2" w:rsidP="004149F4">
            <w:pPr>
              <w:pStyle w:val="Marginlie"/>
              <w:rPr>
                <w:spacing w:val="-4"/>
              </w:rPr>
            </w:pPr>
          </w:p>
          <w:p w14:paraId="37EC506D" w14:textId="77777777" w:rsidR="00F052D2" w:rsidRDefault="00F052D2" w:rsidP="004149F4">
            <w:pPr>
              <w:pStyle w:val="Marginlie"/>
              <w:rPr>
                <w:spacing w:val="-4"/>
              </w:rPr>
            </w:pPr>
          </w:p>
          <w:p w14:paraId="7FD63B3D" w14:textId="77777777" w:rsidR="00F052D2" w:rsidRDefault="00F052D2" w:rsidP="004149F4">
            <w:pPr>
              <w:pStyle w:val="Marginlie"/>
              <w:rPr>
                <w:spacing w:val="-4"/>
              </w:rPr>
            </w:pPr>
          </w:p>
          <w:p w14:paraId="58AB849A" w14:textId="77777777" w:rsidR="00F052D2" w:rsidRDefault="00F052D2" w:rsidP="004149F4">
            <w:pPr>
              <w:pStyle w:val="Marginlie"/>
              <w:rPr>
                <w:spacing w:val="-4"/>
              </w:rPr>
            </w:pPr>
          </w:p>
          <w:p w14:paraId="470AE215" w14:textId="77777777" w:rsidR="00F052D2" w:rsidRDefault="00F052D2" w:rsidP="004149F4">
            <w:pPr>
              <w:pStyle w:val="Marginlie"/>
              <w:rPr>
                <w:spacing w:val="-4"/>
              </w:rPr>
            </w:pPr>
          </w:p>
          <w:p w14:paraId="07902D2E" w14:textId="77777777" w:rsidR="00F052D2" w:rsidRDefault="00F052D2" w:rsidP="004149F4">
            <w:pPr>
              <w:pStyle w:val="Marginlie"/>
              <w:rPr>
                <w:spacing w:val="-4"/>
              </w:rPr>
            </w:pPr>
            <w:r>
              <w:rPr>
                <w:spacing w:val="-4"/>
              </w:rPr>
              <w:t xml:space="preserve">Produkce v energetice za tři čtvrtletí navzdory nižší srovnávací základně stagnovala. Projevovala se </w:t>
            </w:r>
            <w:r w:rsidRPr="00052ADA">
              <w:rPr>
                <w:color w:val="0D0D0D" w:themeColor="text1" w:themeTint="F2"/>
                <w:spacing w:val="-4"/>
              </w:rPr>
              <w:t xml:space="preserve">slabší poptávka po plynu i teplu vlivem </w:t>
            </w:r>
            <w:r>
              <w:rPr>
                <w:color w:val="0D0D0D" w:themeColor="text1" w:themeTint="F2"/>
                <w:spacing w:val="-4"/>
              </w:rPr>
              <w:t>počasí i úspor v domácnostech a</w:t>
            </w:r>
            <w:r w:rsidRPr="00052ADA">
              <w:rPr>
                <w:color w:val="0D0D0D" w:themeColor="text1" w:themeTint="F2"/>
                <w:spacing w:val="-4"/>
              </w:rPr>
              <w:t> podnicích.</w:t>
            </w:r>
          </w:p>
        </w:tc>
        <w:tc>
          <w:tcPr>
            <w:tcW w:w="212" w:type="dxa"/>
            <w:tcBorders>
              <w:top w:val="nil"/>
              <w:left w:val="nil"/>
              <w:bottom w:val="nil"/>
              <w:right w:val="nil"/>
            </w:tcBorders>
            <w:shd w:val="clear" w:color="auto" w:fill="auto"/>
            <w:tcMar>
              <w:left w:w="0" w:type="dxa"/>
            </w:tcMar>
          </w:tcPr>
          <w:p w14:paraId="4121E041"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4BA4ED56" w14:textId="77777777" w:rsidR="00F052D2" w:rsidRPr="00F46CAE" w:rsidRDefault="00F052D2" w:rsidP="004149F4">
            <w:pPr>
              <w:spacing w:after="200"/>
              <w:rPr>
                <w:color w:val="0D0D0D" w:themeColor="text1" w:themeTint="F2"/>
                <w:spacing w:val="-4"/>
              </w:rPr>
            </w:pPr>
            <w:r>
              <w:rPr>
                <w:color w:val="0D0D0D" w:themeColor="text1" w:themeTint="F2"/>
                <w:spacing w:val="-4"/>
              </w:rPr>
              <w:t xml:space="preserve">Situaci v nezpracovatelských průmyslových odvětvích letos výrazně ovlivnil energetický šok spjatý s ekonomickými dopady války na Ukrajině. Neočekávaný výpadek dodávek ruského </w:t>
            </w:r>
            <w:r w:rsidRPr="00E951D7">
              <w:rPr>
                <w:color w:val="0D0D0D" w:themeColor="text1" w:themeTint="F2"/>
                <w:spacing w:val="-5"/>
              </w:rPr>
              <w:t>plynu otřásl relativně ustáleným energetickým mixem v řadě evropských ekonomik a přerušil</w:t>
            </w:r>
            <w:r>
              <w:rPr>
                <w:color w:val="0D0D0D" w:themeColor="text1" w:themeTint="F2"/>
                <w:spacing w:val="-4"/>
              </w:rPr>
              <w:t xml:space="preserve"> některé dlouhodobé trendy v poptávce po důležitých komoditách. </w:t>
            </w:r>
            <w:r w:rsidRPr="0023321C">
              <w:rPr>
                <w:color w:val="0D0D0D" w:themeColor="text1" w:themeTint="F2"/>
                <w:spacing w:val="-4"/>
              </w:rPr>
              <w:t>Produkce v dlouh</w:t>
            </w:r>
            <w:r>
              <w:rPr>
                <w:color w:val="0D0D0D" w:themeColor="text1" w:themeTint="F2"/>
                <w:spacing w:val="-4"/>
              </w:rPr>
              <w:t xml:space="preserve">odobě útlumovém tuzemském odvětví </w:t>
            </w:r>
            <w:r w:rsidRPr="00F46CAE">
              <w:rPr>
                <w:color w:val="0D0D0D" w:themeColor="text1" w:themeTint="F2"/>
                <w:spacing w:val="-4"/>
              </w:rPr>
              <w:t xml:space="preserve">těžby a dobývání </w:t>
            </w:r>
            <w:r>
              <w:rPr>
                <w:color w:val="0D0D0D" w:themeColor="text1" w:themeTint="F2"/>
                <w:spacing w:val="-4"/>
              </w:rPr>
              <w:t>se od ledna do září meziročně zvýšila o rekordních 5,1 % (a navázala n</w:t>
            </w:r>
            <w:r w:rsidRPr="0023321C">
              <w:rPr>
                <w:color w:val="0D0D0D" w:themeColor="text1" w:themeTint="F2"/>
                <w:spacing w:val="-4"/>
              </w:rPr>
              <w:t>a růst z 2. </w:t>
            </w:r>
            <w:r>
              <w:rPr>
                <w:color w:val="0D0D0D" w:themeColor="text1" w:themeTint="F2"/>
                <w:spacing w:val="-4"/>
              </w:rPr>
              <w:t>pololetí 2021). Zatímco v těžbě stavebních materiálů se vlivem situace ve stavebnictví postupně projevovalo oslabování poptávky (ve 2. i 3. čtvrtletí tak produkce klesala), v dominantním segmentu těžby uhlí růst produkce naopak sílil (ve 3. čtvrtletí meziročně na bezprecedentních 21,6 %). Produkce v odvětví energetiky v 1. až 3. čtvrtletí stagnovala (v samotném 2. i 3. čtvrtletí 2022 ovšem mírně rostla) navzdory snížené srovnávací základně (významné</w:t>
            </w:r>
            <w:r w:rsidRPr="0023321C">
              <w:rPr>
                <w:color w:val="0D0D0D" w:themeColor="text1" w:themeTint="F2"/>
                <w:spacing w:val="-4"/>
              </w:rPr>
              <w:t xml:space="preserve"> omezen</w:t>
            </w:r>
            <w:r>
              <w:rPr>
                <w:color w:val="0D0D0D" w:themeColor="text1" w:themeTint="F2"/>
                <w:spacing w:val="-4"/>
              </w:rPr>
              <w:t>í</w:t>
            </w:r>
            <w:r w:rsidRPr="0023321C">
              <w:rPr>
                <w:color w:val="0D0D0D" w:themeColor="text1" w:themeTint="F2"/>
                <w:spacing w:val="-4"/>
              </w:rPr>
              <w:t xml:space="preserve"> chod</w:t>
            </w:r>
            <w:r>
              <w:rPr>
                <w:color w:val="0D0D0D" w:themeColor="text1" w:themeTint="F2"/>
                <w:spacing w:val="-4"/>
              </w:rPr>
              <w:t>u</w:t>
            </w:r>
            <w:r w:rsidRPr="0023321C">
              <w:rPr>
                <w:color w:val="0D0D0D" w:themeColor="text1" w:themeTint="F2"/>
                <w:spacing w:val="-4"/>
              </w:rPr>
              <w:t xml:space="preserve"> řady prov</w:t>
            </w:r>
            <w:r>
              <w:rPr>
                <w:color w:val="0D0D0D" w:themeColor="text1" w:themeTint="F2"/>
                <w:spacing w:val="-4"/>
              </w:rPr>
              <w:t xml:space="preserve">ozoven maloobchodu a služeb </w:t>
            </w:r>
            <w:r w:rsidRPr="0023321C">
              <w:rPr>
                <w:color w:val="0D0D0D" w:themeColor="text1" w:themeTint="F2"/>
                <w:spacing w:val="-4"/>
              </w:rPr>
              <w:t>loni od</w:t>
            </w:r>
            <w:r>
              <w:rPr>
                <w:color w:val="0D0D0D" w:themeColor="text1" w:themeTint="F2"/>
                <w:spacing w:val="-4"/>
              </w:rPr>
              <w:t xml:space="preserve"> ledna do dubna bylo spojeno se slabší spotřebou elektřiny). Spotřeba</w:t>
            </w:r>
            <w:r w:rsidRPr="0023321C">
              <w:rPr>
                <w:color w:val="0D0D0D" w:themeColor="text1" w:themeTint="F2"/>
                <w:spacing w:val="-4"/>
              </w:rPr>
              <w:t xml:space="preserve"> plyn</w:t>
            </w:r>
            <w:r>
              <w:rPr>
                <w:color w:val="0D0D0D" w:themeColor="text1" w:themeTint="F2"/>
                <w:spacing w:val="-4"/>
              </w:rPr>
              <w:t>u i vyrobeného tepla se významně snížila (vlivem</w:t>
            </w:r>
            <w:r w:rsidRPr="0023321C">
              <w:rPr>
                <w:color w:val="0D0D0D" w:themeColor="text1" w:themeTint="F2"/>
                <w:spacing w:val="-4"/>
              </w:rPr>
              <w:t xml:space="preserve"> nadprůměrných teplot v zimních m</w:t>
            </w:r>
            <w:r>
              <w:rPr>
                <w:color w:val="0D0D0D" w:themeColor="text1" w:themeTint="F2"/>
                <w:spacing w:val="-4"/>
              </w:rPr>
              <w:t>ěsících i úspor v domácnostech a </w:t>
            </w:r>
            <w:r w:rsidRPr="0023321C">
              <w:rPr>
                <w:color w:val="0D0D0D" w:themeColor="text1" w:themeTint="F2"/>
                <w:spacing w:val="-4"/>
              </w:rPr>
              <w:t>podnicích)</w:t>
            </w:r>
            <w:r w:rsidRPr="0023321C">
              <w:rPr>
                <w:rStyle w:val="Znakapoznpodarou"/>
                <w:color w:val="0D0D0D" w:themeColor="text1" w:themeTint="F2"/>
                <w:spacing w:val="-4"/>
              </w:rPr>
              <w:footnoteReference w:id="14"/>
            </w:r>
            <w:r>
              <w:rPr>
                <w:color w:val="0D0D0D" w:themeColor="text1" w:themeTint="F2"/>
                <w:spacing w:val="-4"/>
              </w:rPr>
              <w:t xml:space="preserve">. Množství vyrobené </w:t>
            </w:r>
            <w:r w:rsidRPr="0023321C">
              <w:rPr>
                <w:color w:val="0D0D0D" w:themeColor="text1" w:themeTint="F2"/>
                <w:spacing w:val="-4"/>
              </w:rPr>
              <w:t>elektřiny</w:t>
            </w:r>
            <w:r>
              <w:rPr>
                <w:color w:val="0D0D0D" w:themeColor="text1" w:themeTint="F2"/>
                <w:spacing w:val="-4"/>
              </w:rPr>
              <w:t xml:space="preserve"> naopak meziročně mírně vzrostlo</w:t>
            </w:r>
            <w:r w:rsidRPr="0023321C">
              <w:rPr>
                <w:rStyle w:val="Znakapoznpodarou"/>
                <w:color w:val="0D0D0D" w:themeColor="text1" w:themeTint="F2"/>
                <w:spacing w:val="-4"/>
              </w:rPr>
              <w:footnoteReference w:id="15"/>
            </w:r>
            <w:r w:rsidRPr="0023321C">
              <w:rPr>
                <w:color w:val="0D0D0D" w:themeColor="text1" w:themeTint="F2"/>
                <w:spacing w:val="-4"/>
              </w:rPr>
              <w:t>.</w:t>
            </w:r>
          </w:p>
        </w:tc>
      </w:tr>
      <w:tr w:rsidR="00F052D2" w:rsidRPr="007B3A78" w14:paraId="01B8F308" w14:textId="77777777" w:rsidTr="004149F4">
        <w:trPr>
          <w:trHeight w:val="170"/>
        </w:trPr>
        <w:tc>
          <w:tcPr>
            <w:tcW w:w="1747" w:type="dxa"/>
            <w:tcBorders>
              <w:top w:val="nil"/>
              <w:left w:val="nil"/>
              <w:bottom w:val="nil"/>
              <w:right w:val="nil"/>
            </w:tcBorders>
            <w:shd w:val="clear" w:color="auto" w:fill="auto"/>
            <w:tcMar>
              <w:left w:w="0" w:type="dxa"/>
            </w:tcMar>
          </w:tcPr>
          <w:p w14:paraId="4175A3B6" w14:textId="77777777" w:rsidR="00F052D2" w:rsidRDefault="00F052D2" w:rsidP="004149F4">
            <w:pPr>
              <w:pStyle w:val="Marginlie"/>
            </w:pPr>
            <w:r>
              <w:rPr>
                <w:color w:val="0D0D0D" w:themeColor="text1" w:themeTint="F2"/>
              </w:rPr>
              <w:lastRenderedPageBreak/>
              <w:t>Růst tržeb podniků z průmyslové činnosti sílil zejména vlivem vyšších cen energií, surovin a dalších meziproduktů.</w:t>
            </w:r>
          </w:p>
        </w:tc>
        <w:tc>
          <w:tcPr>
            <w:tcW w:w="212" w:type="dxa"/>
            <w:tcBorders>
              <w:top w:val="nil"/>
              <w:left w:val="nil"/>
              <w:bottom w:val="nil"/>
              <w:right w:val="nil"/>
            </w:tcBorders>
            <w:shd w:val="clear" w:color="auto" w:fill="auto"/>
            <w:tcMar>
              <w:left w:w="0" w:type="dxa"/>
            </w:tcMar>
          </w:tcPr>
          <w:p w14:paraId="5916657E"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4B406D96" w14:textId="77777777" w:rsidR="00F052D2" w:rsidRDefault="00F052D2" w:rsidP="004149F4">
            <w:pPr>
              <w:spacing w:after="200"/>
              <w:rPr>
                <w:color w:val="0D0D0D" w:themeColor="text1" w:themeTint="F2"/>
                <w:spacing w:val="-5"/>
              </w:rPr>
            </w:pPr>
            <w:r w:rsidRPr="009E6A58">
              <w:rPr>
                <w:rFonts w:cs="Arial"/>
                <w:bCs/>
                <w:color w:val="0D0D0D" w:themeColor="text1" w:themeTint="F2"/>
                <w:spacing w:val="-5"/>
                <w:szCs w:val="20"/>
              </w:rPr>
              <w:t xml:space="preserve">Nominální tržby průmyslových </w:t>
            </w:r>
            <w:r w:rsidRPr="00030362">
              <w:rPr>
                <w:rFonts w:cs="Arial"/>
                <w:bCs/>
                <w:color w:val="0D0D0D" w:themeColor="text1" w:themeTint="F2"/>
                <w:spacing w:val="-5"/>
                <w:szCs w:val="20"/>
              </w:rPr>
              <w:t>podniků</w:t>
            </w:r>
            <w:r w:rsidRPr="00030362">
              <w:rPr>
                <w:rStyle w:val="Znakapoznpodarou"/>
                <w:bCs/>
                <w:color w:val="0D0D0D" w:themeColor="text1" w:themeTint="F2"/>
                <w:spacing w:val="-5"/>
                <w:szCs w:val="20"/>
              </w:rPr>
              <w:footnoteReference w:id="16"/>
            </w:r>
            <w:r>
              <w:rPr>
                <w:rFonts w:cs="Arial"/>
                <w:bCs/>
                <w:color w:val="0D0D0D" w:themeColor="text1" w:themeTint="F2"/>
                <w:spacing w:val="-5"/>
                <w:szCs w:val="20"/>
              </w:rPr>
              <w:t xml:space="preserve"> letos výrazně zrychlovaly svůj růst. V posledním loňském kvartálu se zvyšovaly meziročně o střídmých 3,2 % (tržby z přímého vývozu dokonce nepatrně klesaly), ve 3. čtvrtletí 2022 již o 22,9 %. K této akceleraci zásadně přispěly tržby v energetice, jež byly letos v létě oproti loňsku téměř dvojnásobné. Sílící</w:t>
            </w:r>
            <w:r w:rsidRPr="00030362">
              <w:rPr>
                <w:rFonts w:cs="Arial"/>
                <w:bCs/>
                <w:color w:val="0D0D0D" w:themeColor="text1" w:themeTint="F2"/>
                <w:spacing w:val="-5"/>
                <w:szCs w:val="20"/>
              </w:rPr>
              <w:t xml:space="preserve"> </w:t>
            </w:r>
            <w:r>
              <w:rPr>
                <w:rFonts w:cs="Arial"/>
                <w:bCs/>
                <w:color w:val="0D0D0D" w:themeColor="text1" w:themeTint="F2"/>
                <w:spacing w:val="-5"/>
                <w:szCs w:val="20"/>
              </w:rPr>
              <w:t>ceny vstupů, které</w:t>
            </w:r>
            <w:r w:rsidRPr="00030362">
              <w:rPr>
                <w:rFonts w:cs="Arial"/>
                <w:bCs/>
                <w:color w:val="0D0D0D" w:themeColor="text1" w:themeTint="F2"/>
                <w:spacing w:val="-5"/>
                <w:szCs w:val="20"/>
              </w:rPr>
              <w:t xml:space="preserve"> podniky promítají do svých finálních produktů</w:t>
            </w:r>
            <w:r>
              <w:rPr>
                <w:rFonts w:cs="Arial"/>
                <w:bCs/>
                <w:color w:val="0D0D0D" w:themeColor="text1" w:themeTint="F2"/>
                <w:spacing w:val="-5"/>
                <w:szCs w:val="20"/>
              </w:rPr>
              <w:t>, ve 3. čtvrtletí zásadně přispěly ke svižnému navýšení tržeb také v těžbě a dobývání (na 33 %), v papírenském (25 %), chemickém a</w:t>
            </w:r>
            <w:r w:rsidRPr="00030362">
              <w:rPr>
                <w:rFonts w:cs="Arial"/>
                <w:bCs/>
                <w:color w:val="0D0D0D" w:themeColor="text1" w:themeTint="F2"/>
                <w:spacing w:val="-5"/>
                <w:szCs w:val="20"/>
              </w:rPr>
              <w:t> </w:t>
            </w:r>
            <w:r>
              <w:rPr>
                <w:rFonts w:cs="Arial"/>
                <w:bCs/>
                <w:color w:val="0D0D0D" w:themeColor="text1" w:themeTint="F2"/>
                <w:spacing w:val="-5"/>
                <w:szCs w:val="20"/>
              </w:rPr>
              <w:t>potravinářském průmyslu (shodně 21 %), ve výrobě stavebních hmot (17 %) či kovodělném průmyslu (13 %). Naopak vyšší tržby ve výrazně proexportní výrobě motorových vozidel (+40 %), podobně jako ve farmacii (+23 %), souvisely primárně s vyšším odbytem a cenový posun byl zde dosud umírněný. Ani silný cenový růst nezabránil tomu, že tržby dřevozpracujícího i nábytkářského průmyslu mírně poklesly.</w:t>
            </w:r>
          </w:p>
        </w:tc>
      </w:tr>
      <w:tr w:rsidR="00F052D2" w:rsidRPr="007B3A78" w14:paraId="381DAC6F" w14:textId="77777777" w:rsidTr="004149F4">
        <w:trPr>
          <w:trHeight w:val="170"/>
        </w:trPr>
        <w:tc>
          <w:tcPr>
            <w:tcW w:w="1747" w:type="dxa"/>
            <w:tcBorders>
              <w:top w:val="nil"/>
              <w:left w:val="nil"/>
              <w:bottom w:val="nil"/>
              <w:right w:val="nil"/>
            </w:tcBorders>
            <w:shd w:val="clear" w:color="auto" w:fill="auto"/>
            <w:tcMar>
              <w:left w:w="0" w:type="dxa"/>
            </w:tcMar>
          </w:tcPr>
          <w:p w14:paraId="2F501DB9" w14:textId="77777777" w:rsidR="00F052D2" w:rsidRDefault="00F052D2" w:rsidP="004149F4">
            <w:pPr>
              <w:pStyle w:val="Marginlie"/>
            </w:pPr>
            <w:r>
              <w:t xml:space="preserve">Růst hodnoty nových průmyslových zakázek od počátku roku zaostával za </w:t>
            </w:r>
            <w:r>
              <w:br/>
              <w:t xml:space="preserve">dynamikou </w:t>
            </w:r>
            <w:proofErr w:type="gramStart"/>
            <w:r>
              <w:t>tržeb..</w:t>
            </w:r>
            <w:proofErr w:type="gramEnd"/>
          </w:p>
        </w:tc>
        <w:tc>
          <w:tcPr>
            <w:tcW w:w="212" w:type="dxa"/>
            <w:tcBorders>
              <w:top w:val="nil"/>
              <w:left w:val="nil"/>
              <w:bottom w:val="nil"/>
              <w:right w:val="nil"/>
            </w:tcBorders>
            <w:shd w:val="clear" w:color="auto" w:fill="auto"/>
            <w:tcMar>
              <w:left w:w="0" w:type="dxa"/>
            </w:tcMar>
          </w:tcPr>
          <w:p w14:paraId="2F91154E"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6BEB2CAC" w14:textId="77777777" w:rsidR="00F052D2" w:rsidRPr="00F344B0" w:rsidRDefault="00F052D2" w:rsidP="004149F4">
            <w:pPr>
              <w:spacing w:after="200"/>
              <w:rPr>
                <w:color w:val="0D0D0D" w:themeColor="text1" w:themeTint="F2"/>
                <w:spacing w:val="-5"/>
              </w:rPr>
            </w:pPr>
            <w:r>
              <w:rPr>
                <w:color w:val="0D0D0D" w:themeColor="text1" w:themeTint="F2"/>
                <w:spacing w:val="-5"/>
              </w:rPr>
              <w:t>R</w:t>
            </w:r>
            <w:r w:rsidRPr="00030362">
              <w:rPr>
                <w:color w:val="0D0D0D" w:themeColor="text1" w:themeTint="F2"/>
                <w:spacing w:val="-5"/>
              </w:rPr>
              <w:t xml:space="preserve">ůst </w:t>
            </w:r>
            <w:r>
              <w:rPr>
                <w:color w:val="0D0D0D" w:themeColor="text1" w:themeTint="F2"/>
                <w:spacing w:val="-5"/>
              </w:rPr>
              <w:t xml:space="preserve">nominální </w:t>
            </w:r>
            <w:r w:rsidRPr="00030362">
              <w:rPr>
                <w:color w:val="0D0D0D" w:themeColor="text1" w:themeTint="F2"/>
                <w:spacing w:val="-5"/>
              </w:rPr>
              <w:t xml:space="preserve">hodnoty </w:t>
            </w:r>
            <w:r w:rsidRPr="00F344B0">
              <w:rPr>
                <w:color w:val="0D0D0D" w:themeColor="text1" w:themeTint="F2"/>
                <w:spacing w:val="-5"/>
              </w:rPr>
              <w:t xml:space="preserve">nových zakázek ve vybraných </w:t>
            </w:r>
            <w:r w:rsidRPr="00030362">
              <w:rPr>
                <w:color w:val="0D0D0D" w:themeColor="text1" w:themeTint="F2"/>
                <w:spacing w:val="-5"/>
              </w:rPr>
              <w:t>průmyslových odvětvích</w:t>
            </w:r>
            <w:r w:rsidRPr="00030362">
              <w:rPr>
                <w:rStyle w:val="Znakapoznpodarou"/>
                <w:color w:val="0D0D0D" w:themeColor="text1" w:themeTint="F2"/>
                <w:spacing w:val="-5"/>
              </w:rPr>
              <w:footnoteReference w:id="17"/>
            </w:r>
            <w:r>
              <w:rPr>
                <w:color w:val="0D0D0D" w:themeColor="text1" w:themeTint="F2"/>
                <w:spacing w:val="-5"/>
              </w:rPr>
              <w:t xml:space="preserve"> ve 3. </w:t>
            </w:r>
            <w:r w:rsidRPr="00030362">
              <w:rPr>
                <w:color w:val="0D0D0D" w:themeColor="text1" w:themeTint="F2"/>
                <w:spacing w:val="-5"/>
              </w:rPr>
              <w:t>čtv</w:t>
            </w:r>
            <w:r>
              <w:rPr>
                <w:color w:val="0D0D0D" w:themeColor="text1" w:themeTint="F2"/>
                <w:spacing w:val="-5"/>
              </w:rPr>
              <w:t>rtletí meziročně zrychlil na 14,5 %</w:t>
            </w:r>
            <w:r w:rsidRPr="00030362">
              <w:rPr>
                <w:color w:val="0D0D0D" w:themeColor="text1" w:themeTint="F2"/>
                <w:spacing w:val="-5"/>
              </w:rPr>
              <w:t xml:space="preserve"> </w:t>
            </w:r>
            <w:r>
              <w:rPr>
                <w:color w:val="0D0D0D" w:themeColor="text1" w:themeTint="F2"/>
                <w:spacing w:val="-5"/>
              </w:rPr>
              <w:t>(za</w:t>
            </w:r>
            <w:r w:rsidRPr="00030362">
              <w:rPr>
                <w:color w:val="0D0D0D" w:themeColor="text1" w:themeTint="F2"/>
                <w:spacing w:val="-5"/>
              </w:rPr>
              <w:t xml:space="preserve"> dynamikou tržeb i růstem cen průmyslových výrobců</w:t>
            </w:r>
            <w:r>
              <w:rPr>
                <w:color w:val="0D0D0D" w:themeColor="text1" w:themeTint="F2"/>
                <w:spacing w:val="-5"/>
              </w:rPr>
              <w:t xml:space="preserve"> však dosud letos znatelně zaostával). Téměř polovinou přispěli k růstu výrobci motorových vozů, a to hlavně díky sílící tuzemské poptávce. Pozitivně lze hodnotit i aktuální vývoj zakázek v elektrotechnickém průmyslu (+14 % meziročně), ve strojírenství (+13 %) </w:t>
            </w:r>
            <w:r>
              <w:rPr>
                <w:color w:val="0D0D0D" w:themeColor="text1" w:themeTint="F2"/>
                <w:spacing w:val="-5"/>
              </w:rPr>
              <w:br/>
              <w:t>a v menších oborech – farmacii (18 %) i oděvnictví (11 %). Oproti tomu ani pětinové navýšení nových zakázek v chemickém průmyslu růst cen vstupů v tomto oboru zdaleka nepokrývá.</w:t>
            </w:r>
          </w:p>
        </w:tc>
      </w:tr>
      <w:tr w:rsidR="00F052D2" w:rsidRPr="008266F0" w14:paraId="6DF3D432" w14:textId="77777777" w:rsidTr="004149F4">
        <w:trPr>
          <w:trHeight w:val="134"/>
        </w:trPr>
        <w:tc>
          <w:tcPr>
            <w:tcW w:w="1747" w:type="dxa"/>
            <w:vMerge w:val="restart"/>
            <w:tcBorders>
              <w:top w:val="nil"/>
              <w:left w:val="nil"/>
              <w:bottom w:val="nil"/>
              <w:right w:val="nil"/>
            </w:tcBorders>
            <w:shd w:val="clear" w:color="auto" w:fill="auto"/>
            <w:tcMar>
              <w:left w:w="0" w:type="dxa"/>
            </w:tcMar>
          </w:tcPr>
          <w:p w14:paraId="656CF22B" w14:textId="77777777" w:rsidR="00F052D2" w:rsidRDefault="00F052D2" w:rsidP="004149F4">
            <w:pPr>
              <w:pStyle w:val="Marginlie"/>
            </w:pPr>
          </w:p>
        </w:tc>
        <w:tc>
          <w:tcPr>
            <w:tcW w:w="212" w:type="dxa"/>
            <w:vMerge w:val="restart"/>
            <w:tcBorders>
              <w:top w:val="nil"/>
              <w:left w:val="nil"/>
              <w:bottom w:val="nil"/>
              <w:right w:val="nil"/>
            </w:tcBorders>
            <w:shd w:val="clear" w:color="auto" w:fill="auto"/>
            <w:tcMar>
              <w:left w:w="0" w:type="dxa"/>
            </w:tcMar>
          </w:tcPr>
          <w:p w14:paraId="1F933F47"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6EEF5098" w14:textId="77777777" w:rsidR="00F052D2" w:rsidRPr="00705C3E" w:rsidRDefault="00F052D2" w:rsidP="004149F4">
            <w:pPr>
              <w:spacing w:after="0"/>
              <w:rPr>
                <w:color w:val="0D0D0D" w:themeColor="text1" w:themeTint="F2"/>
                <w:spacing w:val="-5"/>
              </w:rPr>
            </w:pPr>
            <w:r w:rsidRPr="00760356">
              <w:rPr>
                <w:b/>
                <w:spacing w:val="-2"/>
              </w:rPr>
              <w:t>Graf č. 5</w:t>
            </w:r>
            <w:r>
              <w:rPr>
                <w:b/>
                <w:spacing w:val="-2"/>
              </w:rPr>
              <w:t xml:space="preserve"> Nové zakázky v </w:t>
            </w:r>
            <w:r w:rsidRPr="00760356">
              <w:rPr>
                <w:b/>
                <w:spacing w:val="-2"/>
              </w:rPr>
              <w:t xml:space="preserve">průmyslu </w:t>
            </w:r>
            <w:r w:rsidRPr="00760356">
              <w:rPr>
                <w:bCs/>
                <w:spacing w:val="-2"/>
              </w:rPr>
              <w:t>(</w:t>
            </w:r>
            <w:r>
              <w:rPr>
                <w:bCs/>
                <w:spacing w:val="-2"/>
              </w:rPr>
              <w:t>nominálně</w:t>
            </w:r>
            <w:r w:rsidRPr="00760356">
              <w:rPr>
                <w:bCs/>
                <w:spacing w:val="-2"/>
              </w:rPr>
              <w:t xml:space="preserve">, </w:t>
            </w:r>
            <w:r w:rsidRPr="00760356">
              <w:rPr>
                <w:spacing w:val="-2"/>
              </w:rPr>
              <w:t>meziročně</w:t>
            </w:r>
            <w:r>
              <w:rPr>
                <w:spacing w:val="-2"/>
              </w:rPr>
              <w:t>,</w:t>
            </w:r>
            <w:r w:rsidRPr="00760356">
              <w:rPr>
                <w:bCs/>
                <w:spacing w:val="-2"/>
              </w:rPr>
              <w:t xml:space="preserve"> v %)</w:t>
            </w:r>
            <w:r>
              <w:rPr>
                <w:b/>
                <w:spacing w:val="-2"/>
              </w:rPr>
              <w:t xml:space="preserve">, </w:t>
            </w:r>
            <w:r w:rsidRPr="00760356">
              <w:rPr>
                <w:b/>
                <w:spacing w:val="-2"/>
              </w:rPr>
              <w:t>využi</w:t>
            </w:r>
            <w:r>
              <w:rPr>
                <w:b/>
                <w:spacing w:val="-2"/>
              </w:rPr>
              <w:t xml:space="preserve">tí výrobních kapacit v průmyslu, </w:t>
            </w:r>
            <w:r w:rsidRPr="00760356">
              <w:rPr>
                <w:b/>
                <w:spacing w:val="-2"/>
              </w:rPr>
              <w:t>vybrané bariéry růst</w:t>
            </w:r>
            <w:r w:rsidRPr="006E759E">
              <w:rPr>
                <w:b/>
                <w:spacing w:val="-2"/>
              </w:rPr>
              <w:t>u</w:t>
            </w:r>
            <w:r w:rsidRPr="006E759E">
              <w:rPr>
                <w:spacing w:val="-2"/>
              </w:rPr>
              <w:t xml:space="preserve">* (v %, pravá osa) </w:t>
            </w:r>
            <w:r w:rsidRPr="006E759E">
              <w:rPr>
                <w:b/>
                <w:spacing w:val="-2"/>
              </w:rPr>
              <w:t>a </w:t>
            </w:r>
            <w:r>
              <w:rPr>
                <w:b/>
              </w:rPr>
              <w:t>saldo</w:t>
            </w:r>
            <w:r w:rsidRPr="006E759E">
              <w:rPr>
                <w:b/>
              </w:rPr>
              <w:t xml:space="preserve"> důvěry</w:t>
            </w:r>
            <w:r w:rsidRPr="00883202">
              <w:rPr>
                <w:b/>
              </w:rPr>
              <w:t xml:space="preserve"> </w:t>
            </w:r>
            <w:r>
              <w:rPr>
                <w:b/>
              </w:rPr>
              <w:t xml:space="preserve">podnikatelů </w:t>
            </w:r>
            <w:r w:rsidRPr="00883202">
              <w:rPr>
                <w:b/>
              </w:rPr>
              <w:t xml:space="preserve">v průmyslu* </w:t>
            </w:r>
            <w:r>
              <w:t xml:space="preserve">(v p. b., pravá </w:t>
            </w:r>
            <w:r w:rsidRPr="00883202">
              <w:t>osa)</w:t>
            </w:r>
          </w:p>
        </w:tc>
      </w:tr>
      <w:tr w:rsidR="00F052D2" w:rsidRPr="008266F0" w14:paraId="14D5DEE6" w14:textId="77777777" w:rsidTr="004149F4">
        <w:tblPrEx>
          <w:tblCellMar>
            <w:left w:w="70" w:type="dxa"/>
            <w:right w:w="70" w:type="dxa"/>
          </w:tblCellMar>
        </w:tblPrEx>
        <w:trPr>
          <w:trHeight w:val="133"/>
        </w:trPr>
        <w:tc>
          <w:tcPr>
            <w:tcW w:w="1747" w:type="dxa"/>
            <w:vMerge/>
            <w:tcBorders>
              <w:top w:val="nil"/>
              <w:left w:val="nil"/>
              <w:bottom w:val="nil"/>
              <w:right w:val="nil"/>
            </w:tcBorders>
            <w:shd w:val="clear" w:color="auto" w:fill="auto"/>
          </w:tcPr>
          <w:p w14:paraId="3E208178" w14:textId="77777777" w:rsidR="00F052D2" w:rsidRDefault="00F052D2" w:rsidP="004149F4">
            <w:pPr>
              <w:pStyle w:val="Marginlie"/>
            </w:pPr>
          </w:p>
        </w:tc>
        <w:tc>
          <w:tcPr>
            <w:tcW w:w="212" w:type="dxa"/>
            <w:vMerge/>
            <w:tcBorders>
              <w:top w:val="nil"/>
              <w:left w:val="nil"/>
              <w:bottom w:val="nil"/>
              <w:right w:val="nil"/>
            </w:tcBorders>
            <w:shd w:val="clear" w:color="auto" w:fill="auto"/>
          </w:tcPr>
          <w:p w14:paraId="0013A374"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Pr>
          <w:p w14:paraId="0C7237DD" w14:textId="77777777" w:rsidR="00F052D2" w:rsidRPr="00705C3E" w:rsidRDefault="00F052D2" w:rsidP="004149F4">
            <w:pPr>
              <w:spacing w:after="0"/>
              <w:rPr>
                <w:color w:val="0D0D0D" w:themeColor="text1" w:themeTint="F2"/>
                <w:spacing w:val="-5"/>
              </w:rPr>
            </w:pPr>
            <w:r>
              <w:rPr>
                <w:noProof/>
              </w:rPr>
              <w:drawing>
                <wp:inline distT="0" distB="0" distL="0" distR="0" wp14:anchorId="16C89429" wp14:editId="27E8A6A3">
                  <wp:extent cx="4665980" cy="3697357"/>
                  <wp:effectExtent l="0" t="0" r="1270" b="0"/>
                  <wp:docPr id="42" name="Graf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F052D2" w:rsidRPr="008266F0" w14:paraId="2744C70E" w14:textId="77777777" w:rsidTr="004149F4">
        <w:trPr>
          <w:trHeight w:val="133"/>
        </w:trPr>
        <w:tc>
          <w:tcPr>
            <w:tcW w:w="1747" w:type="dxa"/>
            <w:vMerge/>
            <w:tcBorders>
              <w:top w:val="nil"/>
              <w:left w:val="nil"/>
              <w:bottom w:val="nil"/>
              <w:right w:val="nil"/>
            </w:tcBorders>
            <w:shd w:val="clear" w:color="auto" w:fill="auto"/>
            <w:tcMar>
              <w:left w:w="0" w:type="dxa"/>
            </w:tcMar>
          </w:tcPr>
          <w:p w14:paraId="6BD4D4DE" w14:textId="77777777" w:rsidR="00F052D2" w:rsidRDefault="00F052D2" w:rsidP="004149F4">
            <w:pPr>
              <w:pStyle w:val="Marginlie"/>
            </w:pPr>
          </w:p>
        </w:tc>
        <w:tc>
          <w:tcPr>
            <w:tcW w:w="212" w:type="dxa"/>
            <w:vMerge/>
            <w:tcBorders>
              <w:top w:val="nil"/>
              <w:left w:val="nil"/>
              <w:bottom w:val="nil"/>
              <w:right w:val="nil"/>
            </w:tcBorders>
            <w:shd w:val="clear" w:color="auto" w:fill="auto"/>
            <w:tcMar>
              <w:left w:w="0" w:type="dxa"/>
            </w:tcMar>
          </w:tcPr>
          <w:p w14:paraId="5EF742F3"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4ED0471B" w14:textId="77777777" w:rsidR="00F052D2" w:rsidRPr="00705C3E" w:rsidRDefault="00F052D2" w:rsidP="004149F4">
            <w:pPr>
              <w:spacing w:after="200" w:line="240" w:lineRule="auto"/>
              <w:rPr>
                <w:color w:val="0D0D0D" w:themeColor="text1" w:themeTint="F2"/>
                <w:spacing w:val="-5"/>
              </w:rPr>
            </w:pPr>
            <w:r>
              <w:rPr>
                <w:color w:val="0D0D0D" w:themeColor="text1" w:themeTint="F2"/>
                <w:spacing w:val="-5"/>
              </w:rPr>
              <w:t>*</w:t>
            </w:r>
            <w:r w:rsidRPr="00883202">
              <w:rPr>
                <w:rFonts w:cs="Arial"/>
                <w:sz w:val="14"/>
                <w:szCs w:val="14"/>
              </w:rPr>
              <w:t>Využití průmys</w:t>
            </w:r>
            <w:r>
              <w:rPr>
                <w:rFonts w:cs="Arial"/>
                <w:sz w:val="14"/>
                <w:szCs w:val="14"/>
              </w:rPr>
              <w:t xml:space="preserve">lových kapacit i bariéry růstu vyjadřují stav v prvním měsíci daného čtvrtletí, </w:t>
            </w:r>
            <w:r w:rsidRPr="006E759E">
              <w:rPr>
                <w:rFonts w:cs="Arial"/>
                <w:sz w:val="14"/>
                <w:szCs w:val="14"/>
              </w:rPr>
              <w:t>saldo důvěry</w:t>
            </w:r>
            <w:r>
              <w:rPr>
                <w:rFonts w:cs="Arial"/>
                <w:sz w:val="14"/>
                <w:szCs w:val="14"/>
              </w:rPr>
              <w:t xml:space="preserve"> podnikatelů je vztaženo k</w:t>
            </w:r>
            <w:r w:rsidRPr="00883202">
              <w:rPr>
                <w:rFonts w:cs="Arial"/>
                <w:sz w:val="14"/>
                <w:szCs w:val="14"/>
              </w:rPr>
              <w:t xml:space="preserve">e </w:t>
            </w:r>
            <w:r>
              <w:rPr>
                <w:rFonts w:cs="Arial"/>
                <w:sz w:val="14"/>
                <w:szCs w:val="14"/>
              </w:rPr>
              <w:t xml:space="preserve">druhému měsíci čtvrtletí. Zakázky jsou očištěny o kalendářní vlivy, ostatní ukazatele jsou </w:t>
            </w:r>
            <w:r w:rsidRPr="00883202">
              <w:rPr>
                <w:rFonts w:cs="Arial"/>
                <w:spacing w:val="-2"/>
                <w:sz w:val="14"/>
                <w:szCs w:val="14"/>
              </w:rPr>
              <w:t>sezónně očištěny</w:t>
            </w:r>
            <w:r>
              <w:rPr>
                <w:rFonts w:cs="Arial"/>
                <w:spacing w:val="-2"/>
                <w:sz w:val="14"/>
                <w:szCs w:val="14"/>
              </w:rPr>
              <w:t>.</w:t>
            </w:r>
            <w:r w:rsidRPr="00883202">
              <w:rPr>
                <w:rFonts w:cs="Arial"/>
                <w:spacing w:val="-2"/>
                <w:sz w:val="14"/>
                <w:szCs w:val="14"/>
              </w:rPr>
              <w:t xml:space="preserve"> </w:t>
            </w:r>
            <w:r>
              <w:rPr>
                <w:rFonts w:cs="Arial"/>
                <w:sz w:val="14"/>
                <w:szCs w:val="14"/>
              </w:rPr>
              <w:t xml:space="preserve">Podniky mohly uvést více hlavních růstových bariér současně.                                                                   </w:t>
            </w:r>
            <w:r w:rsidRPr="00883202">
              <w:rPr>
                <w:rFonts w:cs="Arial"/>
                <w:sz w:val="14"/>
                <w:szCs w:val="14"/>
              </w:rPr>
              <w:t>Zdroj: ČSÚ</w:t>
            </w:r>
            <w:r>
              <w:rPr>
                <w:rFonts w:cs="Arial"/>
                <w:sz w:val="14"/>
                <w:szCs w:val="14"/>
              </w:rPr>
              <w:t xml:space="preserve">, </w:t>
            </w:r>
            <w:proofErr w:type="spellStart"/>
            <w:r>
              <w:rPr>
                <w:rFonts w:cs="Arial"/>
                <w:sz w:val="14"/>
                <w:szCs w:val="14"/>
              </w:rPr>
              <w:t>Eurostat</w:t>
            </w:r>
            <w:proofErr w:type="spellEnd"/>
          </w:p>
        </w:tc>
      </w:tr>
      <w:tr w:rsidR="00F052D2" w:rsidRPr="00F704D2" w14:paraId="35F1B0F7" w14:textId="77777777" w:rsidTr="004149F4">
        <w:trPr>
          <w:trHeight w:val="170"/>
        </w:trPr>
        <w:tc>
          <w:tcPr>
            <w:tcW w:w="1747" w:type="dxa"/>
            <w:tcBorders>
              <w:top w:val="nil"/>
              <w:left w:val="nil"/>
              <w:bottom w:val="nil"/>
              <w:right w:val="nil"/>
            </w:tcBorders>
            <w:shd w:val="clear" w:color="auto" w:fill="auto"/>
            <w:tcMar>
              <w:left w:w="0" w:type="dxa"/>
            </w:tcMar>
          </w:tcPr>
          <w:p w14:paraId="14951B50" w14:textId="77777777" w:rsidR="00F052D2" w:rsidRPr="00D85AE5" w:rsidRDefault="00F052D2" w:rsidP="004149F4">
            <w:pPr>
              <w:pStyle w:val="Marginlie"/>
              <w:rPr>
                <w:spacing w:val="-4"/>
              </w:rPr>
            </w:pPr>
            <w:r w:rsidRPr="00D85AE5">
              <w:rPr>
                <w:spacing w:val="-4"/>
              </w:rPr>
              <w:lastRenderedPageBreak/>
              <w:t>Důvěra podnikatelů v průmyslu ve 3. čtvrtletí znatelně poklesla. Ti</w:t>
            </w:r>
            <w:r>
              <w:rPr>
                <w:spacing w:val="-4"/>
              </w:rPr>
              <w:t xml:space="preserve"> hůře hodnotili</w:t>
            </w:r>
            <w:r w:rsidRPr="00D85AE5">
              <w:rPr>
                <w:spacing w:val="-4"/>
              </w:rPr>
              <w:t xml:space="preserve"> současnou poptávku, mírně negativní očekávání převažovala i u krátkodobých výhledů.</w:t>
            </w:r>
          </w:p>
          <w:p w14:paraId="37457A85" w14:textId="77777777" w:rsidR="00F052D2" w:rsidRDefault="00F052D2" w:rsidP="004149F4">
            <w:pPr>
              <w:pStyle w:val="Marginlie"/>
            </w:pPr>
          </w:p>
          <w:p w14:paraId="7F7A0B77" w14:textId="77777777" w:rsidR="00F052D2" w:rsidRDefault="00F052D2" w:rsidP="004149F4">
            <w:pPr>
              <w:pStyle w:val="Marginlie"/>
            </w:pPr>
          </w:p>
          <w:p w14:paraId="0816DB8E" w14:textId="77777777" w:rsidR="00F052D2" w:rsidRPr="00D85AE5" w:rsidRDefault="00F052D2" w:rsidP="004149F4">
            <w:pPr>
              <w:pStyle w:val="Marginlie"/>
              <w:rPr>
                <w:spacing w:val="-3"/>
              </w:rPr>
            </w:pPr>
            <w:r w:rsidRPr="00D85AE5">
              <w:rPr>
                <w:spacing w:val="-3"/>
              </w:rPr>
              <w:t>I přes mírn</w:t>
            </w:r>
            <w:r>
              <w:rPr>
                <w:spacing w:val="-3"/>
              </w:rPr>
              <w:t>é</w:t>
            </w:r>
            <w:r w:rsidRPr="00D85AE5">
              <w:rPr>
                <w:spacing w:val="-3"/>
              </w:rPr>
              <w:t xml:space="preserve"> zlepšení zůstává klíčovou růstovou bariérou nedostatek materiálů a zařízení.</w:t>
            </w:r>
          </w:p>
        </w:tc>
        <w:tc>
          <w:tcPr>
            <w:tcW w:w="212" w:type="dxa"/>
            <w:tcBorders>
              <w:top w:val="nil"/>
              <w:left w:val="nil"/>
              <w:bottom w:val="nil"/>
              <w:right w:val="nil"/>
            </w:tcBorders>
            <w:shd w:val="clear" w:color="auto" w:fill="auto"/>
            <w:tcMar>
              <w:left w:w="0" w:type="dxa"/>
            </w:tcMar>
          </w:tcPr>
          <w:p w14:paraId="6FF18BDB"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208F5662" w14:textId="77777777" w:rsidR="00F052D2" w:rsidRPr="00D30472" w:rsidRDefault="00F052D2" w:rsidP="004149F4">
            <w:pPr>
              <w:spacing w:after="200"/>
              <w:rPr>
                <w:spacing w:val="-5"/>
              </w:rPr>
            </w:pPr>
            <w:r w:rsidRPr="00095064">
              <w:rPr>
                <w:color w:val="0D0D0D" w:themeColor="text1" w:themeTint="F2"/>
                <w:spacing w:val="-4"/>
              </w:rPr>
              <w:t xml:space="preserve">Důvěra podnikatelů v průmyslu se po krátkém růstu ve 2. čtvrtletí 2022 v další části roku </w:t>
            </w:r>
            <w:r>
              <w:rPr>
                <w:color w:val="0D0D0D" w:themeColor="text1" w:themeTint="F2"/>
                <w:spacing w:val="-4"/>
              </w:rPr>
              <w:t>postupně snižovala. V říjnu tak v tomto odvětví zavládl nepatrně vyšší pesimismus než v období těsně před propuknutím pandemie. Podniky hodnotily stále hůře svou současnou poptávku, slabší byla i očekávání výrobní činnosti s výhledem na konec letošního roku (růst ovšem stále předpokládalo 17 % podniků, pokles 12 %). Mírně převažovaly podniky očekávající v příštích třech i šesti měsících zhoršení celkové ekonomické situace. Poprvé od jara 2021 převládly i mírně negativní výhledy v oblasti zaměstnanosti (evidenční počet zaměstnanců ve 3. čtvrtletí přitom meziročně stagnoval). Podíl podniků plánujících zdražování vlastních produktů klesl na nejnižší úroveň od počátku roku (45 %). Jen desetina podniků uvedla, že není sužována žádnými významnými růstovými bariérami. Od poloviny loňského roku zůstává klíčovou bariérou nedostatek materiálu a zařízení (během 3. čtvrtletí 2022 došlo jen k mírnému zlepšení). Každý čtvrtý podnik byl limitován v oblasti lidských zdrojů, nedostatečnou poptávku pociťovalo již 30 % firem.</w:t>
            </w:r>
          </w:p>
        </w:tc>
      </w:tr>
      <w:tr w:rsidR="00F052D2" w:rsidRPr="00F704D2" w14:paraId="6C1A3640" w14:textId="77777777" w:rsidTr="004149F4">
        <w:trPr>
          <w:trHeight w:val="170"/>
        </w:trPr>
        <w:tc>
          <w:tcPr>
            <w:tcW w:w="1747" w:type="dxa"/>
            <w:tcBorders>
              <w:top w:val="nil"/>
              <w:left w:val="nil"/>
              <w:bottom w:val="nil"/>
              <w:right w:val="nil"/>
            </w:tcBorders>
            <w:shd w:val="clear" w:color="auto" w:fill="auto"/>
            <w:tcMar>
              <w:left w:w="0" w:type="dxa"/>
            </w:tcMar>
          </w:tcPr>
          <w:p w14:paraId="141EB286" w14:textId="77777777" w:rsidR="00F052D2" w:rsidRPr="00982911" w:rsidRDefault="00F052D2" w:rsidP="004149F4">
            <w:pPr>
              <w:pStyle w:val="Marginlie"/>
              <w:rPr>
                <w:spacing w:val="-4"/>
              </w:rPr>
            </w:pPr>
            <w:r w:rsidRPr="00982911">
              <w:rPr>
                <w:spacing w:val="-4"/>
              </w:rPr>
              <w:t xml:space="preserve">Výkon stavebnictví vlivem sílících nákladových tlaků i růstových bariér slábl, ve 3. čtvrtletí se produkce snižovala meziročně i mezikvartálně. </w:t>
            </w:r>
          </w:p>
        </w:tc>
        <w:tc>
          <w:tcPr>
            <w:tcW w:w="212" w:type="dxa"/>
            <w:tcBorders>
              <w:top w:val="nil"/>
              <w:left w:val="nil"/>
              <w:bottom w:val="nil"/>
              <w:right w:val="nil"/>
            </w:tcBorders>
            <w:shd w:val="clear" w:color="auto" w:fill="auto"/>
            <w:tcMar>
              <w:left w:w="0" w:type="dxa"/>
            </w:tcMar>
          </w:tcPr>
          <w:p w14:paraId="78B37A65"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186B6BFB" w14:textId="77777777" w:rsidR="00F052D2" w:rsidRPr="006B64A9" w:rsidRDefault="00F052D2" w:rsidP="004149F4">
            <w:pPr>
              <w:spacing w:after="200"/>
              <w:rPr>
                <w:color w:val="0D0D0D" w:themeColor="text1" w:themeTint="F2"/>
                <w:spacing w:val="-5"/>
              </w:rPr>
            </w:pPr>
            <w:r w:rsidRPr="00D30472">
              <w:rPr>
                <w:spacing w:val="-5"/>
              </w:rPr>
              <w:t>Výkon stavebnictví během letošního roku slábl.</w:t>
            </w:r>
            <w:r w:rsidRPr="00CD6813">
              <w:rPr>
                <w:color w:val="0D0D0D" w:themeColor="text1" w:themeTint="F2"/>
                <w:spacing w:val="-5"/>
              </w:rPr>
              <w:t xml:space="preserve"> </w:t>
            </w:r>
            <w:r>
              <w:rPr>
                <w:color w:val="0D0D0D" w:themeColor="text1" w:themeTint="F2"/>
                <w:spacing w:val="-5"/>
              </w:rPr>
              <w:t xml:space="preserve">V 1. čtvrtletí 2022 ještě růst </w:t>
            </w:r>
            <w:r w:rsidRPr="0086477A">
              <w:rPr>
                <w:color w:val="0D0D0D" w:themeColor="text1" w:themeTint="F2"/>
                <w:spacing w:val="-5"/>
              </w:rPr>
              <w:t>produkce</w:t>
            </w:r>
            <w:r w:rsidRPr="0086477A">
              <w:rPr>
                <w:rStyle w:val="Znakapoznpodarou"/>
                <w:color w:val="0D0D0D" w:themeColor="text1" w:themeTint="F2"/>
                <w:spacing w:val="-5"/>
              </w:rPr>
              <w:footnoteReference w:id="18"/>
            </w:r>
            <w:r>
              <w:rPr>
                <w:color w:val="0D0D0D" w:themeColor="text1" w:themeTint="F2"/>
                <w:spacing w:val="-5"/>
              </w:rPr>
              <w:t xml:space="preserve"> vlivem teplé zimy a vysoké zásoby</w:t>
            </w:r>
            <w:r w:rsidRPr="0086477A">
              <w:rPr>
                <w:color w:val="0D0D0D" w:themeColor="text1" w:themeTint="F2"/>
                <w:spacing w:val="-5"/>
              </w:rPr>
              <w:t xml:space="preserve"> veřejných i soukromých zakázek </w:t>
            </w:r>
            <w:r>
              <w:rPr>
                <w:color w:val="0D0D0D" w:themeColor="text1" w:themeTint="F2"/>
                <w:spacing w:val="-5"/>
              </w:rPr>
              <w:t xml:space="preserve">akceleroval (na 3,8 % mezikvartálně). Výše produkce také poprvé překonala předkrizový rok 2019. V následujícím čtvrtletí došlo ke korekci tempa (−2,5 %, v samotném inženýrském stavitelství −7,8 %) </w:t>
            </w:r>
            <w:r>
              <w:rPr>
                <w:color w:val="0D0D0D" w:themeColor="text1" w:themeTint="F2"/>
                <w:spacing w:val="-5"/>
              </w:rPr>
              <w:br/>
              <w:t>a během 3. čtvrtletí se produkce snížila o dalších 2,7 %. Na celém odvětví se začíná stále více podepisovat bezprecedentní cenový růst (energií, pohonných hmot i materiálových vstupů), horší dostupnost materiálů, zařízení, ale i pracovní síly (zčásti vlivem války na Ukrajině). To mnohdy vedlo k prodloužení realizace stávajících projektů či k odkladu zahájení, popř. k revizi plánovaných investičních akcí. Ve srovnání s loňským létem byla letos ve 3. čtvrtletí stavební produkce o 1,7 % nižší (srovnatelně klesla v pozemním i inženýrském stavitelství).</w:t>
            </w:r>
          </w:p>
        </w:tc>
      </w:tr>
      <w:tr w:rsidR="00F052D2" w:rsidRPr="00F704D2" w14:paraId="1B363EA6" w14:textId="77777777" w:rsidTr="004149F4">
        <w:trPr>
          <w:trHeight w:val="170"/>
        </w:trPr>
        <w:tc>
          <w:tcPr>
            <w:tcW w:w="1747" w:type="dxa"/>
            <w:tcBorders>
              <w:top w:val="nil"/>
              <w:left w:val="nil"/>
              <w:bottom w:val="nil"/>
              <w:right w:val="nil"/>
            </w:tcBorders>
            <w:shd w:val="clear" w:color="auto" w:fill="auto"/>
            <w:tcMar>
              <w:left w:w="0" w:type="dxa"/>
            </w:tcMar>
          </w:tcPr>
          <w:p w14:paraId="44A02CB0" w14:textId="77777777" w:rsidR="00F052D2" w:rsidRDefault="00F052D2" w:rsidP="004149F4">
            <w:pPr>
              <w:pStyle w:val="Marginlie"/>
            </w:pPr>
            <w:r>
              <w:t>V úhrnu od počátku roku výkon v pozemním i</w:t>
            </w:r>
            <w:r w:rsidRPr="00982911">
              <w:rPr>
                <w:spacing w:val="-4"/>
              </w:rPr>
              <w:t> </w:t>
            </w:r>
            <w:r>
              <w:t>inženýrském stavitelství ještě mírně rostl.</w:t>
            </w:r>
          </w:p>
          <w:p w14:paraId="4FDF2418" w14:textId="77777777" w:rsidR="00F052D2" w:rsidRDefault="00F052D2" w:rsidP="004149F4">
            <w:pPr>
              <w:pStyle w:val="Marginlie"/>
            </w:pPr>
          </w:p>
          <w:p w14:paraId="3E78837C" w14:textId="77777777" w:rsidR="00F052D2" w:rsidRDefault="00F052D2" w:rsidP="004149F4">
            <w:pPr>
              <w:pStyle w:val="Marginlie"/>
            </w:pPr>
          </w:p>
          <w:p w14:paraId="305912ED" w14:textId="77777777" w:rsidR="00F052D2" w:rsidRDefault="00F052D2" w:rsidP="004149F4">
            <w:pPr>
              <w:pStyle w:val="Marginlie"/>
            </w:pPr>
          </w:p>
          <w:p w14:paraId="6437D0A2" w14:textId="77777777" w:rsidR="00F052D2" w:rsidRDefault="00F052D2" w:rsidP="004149F4">
            <w:pPr>
              <w:pStyle w:val="Marginlie"/>
            </w:pPr>
          </w:p>
          <w:p w14:paraId="4C4BBC14" w14:textId="77777777" w:rsidR="00F052D2" w:rsidRDefault="00F052D2" w:rsidP="004149F4">
            <w:pPr>
              <w:pStyle w:val="Marginlie"/>
            </w:pPr>
          </w:p>
          <w:p w14:paraId="107B3451" w14:textId="77777777" w:rsidR="00F052D2" w:rsidRDefault="00F052D2" w:rsidP="004149F4">
            <w:pPr>
              <w:pStyle w:val="Marginlie"/>
            </w:pPr>
            <w:r>
              <w:t>Počet zahájených bytů se ve 2.</w:t>
            </w:r>
            <w:r>
              <w:rPr>
                <w:spacing w:val="-4"/>
              </w:rPr>
              <w:t xml:space="preserve"> </w:t>
            </w:r>
            <w:r>
              <w:t>i</w:t>
            </w:r>
            <w:r w:rsidRPr="00982911">
              <w:rPr>
                <w:spacing w:val="-4"/>
              </w:rPr>
              <w:t> </w:t>
            </w:r>
            <w:r>
              <w:t>3. čtvrtletí meziročně snižoval.</w:t>
            </w:r>
          </w:p>
          <w:p w14:paraId="6192D43A" w14:textId="77777777" w:rsidR="00F052D2" w:rsidRDefault="00F052D2" w:rsidP="004149F4">
            <w:pPr>
              <w:pStyle w:val="Marginlie"/>
            </w:pPr>
          </w:p>
        </w:tc>
        <w:tc>
          <w:tcPr>
            <w:tcW w:w="212" w:type="dxa"/>
            <w:tcBorders>
              <w:top w:val="nil"/>
              <w:left w:val="nil"/>
              <w:bottom w:val="nil"/>
              <w:right w:val="nil"/>
            </w:tcBorders>
            <w:shd w:val="clear" w:color="auto" w:fill="auto"/>
            <w:tcMar>
              <w:left w:w="0" w:type="dxa"/>
            </w:tcMar>
          </w:tcPr>
          <w:p w14:paraId="58E495E0"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5456A64A" w14:textId="77777777" w:rsidR="00F052D2" w:rsidRPr="00C5421A" w:rsidRDefault="00F052D2" w:rsidP="004149F4">
            <w:pPr>
              <w:spacing w:after="200"/>
              <w:rPr>
                <w:spacing w:val="-5"/>
              </w:rPr>
            </w:pPr>
            <w:r w:rsidRPr="00C5421A">
              <w:rPr>
                <w:spacing w:val="-5"/>
              </w:rPr>
              <w:t xml:space="preserve">V úhrnu za 1. až 3. čtvrtletí </w:t>
            </w:r>
            <w:r>
              <w:rPr>
                <w:spacing w:val="-5"/>
              </w:rPr>
              <w:t>si stavební produkce i díky slabší loňské základně</w:t>
            </w:r>
            <w:r w:rsidRPr="00CD6813">
              <w:rPr>
                <w:rStyle w:val="Znakapoznpodarou"/>
                <w:color w:val="0D0D0D" w:themeColor="text1" w:themeTint="F2"/>
                <w:spacing w:val="-5"/>
              </w:rPr>
              <w:footnoteReference w:id="19"/>
            </w:r>
            <w:r>
              <w:rPr>
                <w:spacing w:val="-5"/>
              </w:rPr>
              <w:t xml:space="preserve"> stále udržela mírný růst (2,7 %), k čemuž přispělo zejména váhově významné pozemní stavitelství (+2,2</w:t>
            </w:r>
            <w:r>
              <w:rPr>
                <w:color w:val="0D0D0D" w:themeColor="text1" w:themeTint="F2"/>
                <w:spacing w:val="-5"/>
              </w:rPr>
              <w:t> </w:t>
            </w:r>
            <w:r>
              <w:rPr>
                <w:spacing w:val="-5"/>
              </w:rPr>
              <w:t>p.</w:t>
            </w:r>
            <w:r>
              <w:rPr>
                <w:color w:val="0D0D0D" w:themeColor="text1" w:themeTint="F2"/>
                <w:spacing w:val="-5"/>
              </w:rPr>
              <w:t> </w:t>
            </w:r>
            <w:r>
              <w:rPr>
                <w:spacing w:val="-5"/>
              </w:rPr>
              <w:t>b.), vyšší meziroční výkon byl zaznamenán rovněž v segmentu inženýrských staveb. Tomu pomáhalo i solidní tempo růstu veřejných výdajů v oblasti dopravní infrastruktury</w:t>
            </w:r>
            <w:r>
              <w:rPr>
                <w:rStyle w:val="Znakapoznpodarou"/>
                <w:spacing w:val="-5"/>
              </w:rPr>
              <w:footnoteReference w:id="20"/>
            </w:r>
            <w:r>
              <w:rPr>
                <w:spacing w:val="-5"/>
              </w:rPr>
              <w:t xml:space="preserve"> související zejména s čerpáním evropských dotací. V pozemním stavitelství, jež tradičně odráží zejména investiční aktivitu podniků i domácností (a na rozdíl od inženýrských staveb tak reaguje na celkový hospodářský cyklus pružněji), se již začínají projevovat náznaky útlumu související i s citelným ochlazením hypotečního „boomu“. Např. počet zahájených bytů se ve 2. čtvrtletí meziročně mírně snížil (o 3,1 %) a ve 3. kvartálu se pokles citelně prohloubil (na</w:t>
            </w:r>
            <w:r>
              <w:rPr>
                <w:color w:val="0D0D0D" w:themeColor="text1" w:themeTint="F2"/>
                <w:spacing w:val="-5"/>
              </w:rPr>
              <w:t> −2</w:t>
            </w:r>
            <w:r>
              <w:rPr>
                <w:spacing w:val="-5"/>
              </w:rPr>
              <w:t>7,8</w:t>
            </w:r>
            <w:r>
              <w:rPr>
                <w:color w:val="0D0D0D" w:themeColor="text1" w:themeTint="F2"/>
                <w:spacing w:val="-5"/>
              </w:rPr>
              <w:t> </w:t>
            </w:r>
            <w:r>
              <w:rPr>
                <w:spacing w:val="-5"/>
              </w:rPr>
              <w:t xml:space="preserve">%). Nových bytů ubylo ve všech hlavních formách výstavby, nejvíce u nově vznikajících bytových domů. Dokončených bytů naopak letos stále přibývalo (v úhrnu od počátku roku o 10,9 %, z toho ve 3. kvartálu o 30,3 %). Dělo se tak díky vzedmuté zahajované výstavbě v předchozích 2 až 3 letech, jež se již blížila rekordní úrovni z konjunkturních let 2006–2008. Proti svižnějšímu dokončování rozestavěných bytů (zejména v rodinných domech) stále působil </w:t>
            </w:r>
            <w:r>
              <w:rPr>
                <w:color w:val="0D0D0D" w:themeColor="text1" w:themeTint="F2"/>
                <w:spacing w:val="-4"/>
              </w:rPr>
              <w:t>silný růst cen materiálů</w:t>
            </w:r>
            <w:r>
              <w:rPr>
                <w:rStyle w:val="Znakapoznpodarou"/>
                <w:color w:val="0D0D0D" w:themeColor="text1" w:themeTint="F2"/>
                <w:spacing w:val="-4"/>
              </w:rPr>
              <w:footnoteReference w:id="21"/>
            </w:r>
            <w:r>
              <w:rPr>
                <w:color w:val="0D0D0D" w:themeColor="text1" w:themeTint="F2"/>
                <w:spacing w:val="-4"/>
              </w:rPr>
              <w:t xml:space="preserve"> a značná vytíženost stavebních firem</w:t>
            </w:r>
            <w:r>
              <w:rPr>
                <w:rStyle w:val="Znakapoznpodarou"/>
                <w:color w:val="0D0D0D" w:themeColor="text1" w:themeTint="F2"/>
                <w:spacing w:val="-4"/>
              </w:rPr>
              <w:footnoteReference w:id="22"/>
            </w:r>
            <w:r>
              <w:rPr>
                <w:color w:val="0D0D0D" w:themeColor="text1" w:themeTint="F2"/>
                <w:spacing w:val="-4"/>
              </w:rPr>
              <w:t>.</w:t>
            </w:r>
          </w:p>
        </w:tc>
      </w:tr>
      <w:tr w:rsidR="00F052D2" w:rsidRPr="00F704D2" w14:paraId="2FD91B5E" w14:textId="77777777" w:rsidTr="004149F4">
        <w:trPr>
          <w:trHeight w:val="170"/>
        </w:trPr>
        <w:tc>
          <w:tcPr>
            <w:tcW w:w="1747" w:type="dxa"/>
            <w:tcBorders>
              <w:top w:val="nil"/>
              <w:left w:val="nil"/>
              <w:bottom w:val="nil"/>
              <w:right w:val="nil"/>
            </w:tcBorders>
            <w:shd w:val="clear" w:color="auto" w:fill="auto"/>
            <w:tcMar>
              <w:left w:w="0" w:type="dxa"/>
            </w:tcMar>
          </w:tcPr>
          <w:p w14:paraId="0B0E3103" w14:textId="77777777" w:rsidR="00F052D2" w:rsidRDefault="00F052D2" w:rsidP="004149F4">
            <w:pPr>
              <w:pStyle w:val="Marginlie"/>
              <w:spacing w:after="200"/>
            </w:pPr>
            <w:r>
              <w:t xml:space="preserve">Růst hodnoty nových stavebních zakázek, stejně jako povolených staveb, se v úhrnu za </w:t>
            </w:r>
            <w:r>
              <w:lastRenderedPageBreak/>
              <w:t xml:space="preserve">1. až 3. čtvrtletí příliš neodlišoval od dynamiky cen stavebních </w:t>
            </w:r>
            <w:proofErr w:type="gramStart"/>
            <w:r>
              <w:t>prací..</w:t>
            </w:r>
            <w:proofErr w:type="gramEnd"/>
          </w:p>
        </w:tc>
        <w:tc>
          <w:tcPr>
            <w:tcW w:w="212" w:type="dxa"/>
            <w:tcBorders>
              <w:top w:val="nil"/>
              <w:left w:val="nil"/>
              <w:bottom w:val="nil"/>
              <w:right w:val="nil"/>
            </w:tcBorders>
            <w:shd w:val="clear" w:color="auto" w:fill="auto"/>
            <w:tcMar>
              <w:left w:w="0" w:type="dxa"/>
            </w:tcMar>
          </w:tcPr>
          <w:p w14:paraId="3A7AF73D" w14:textId="77777777" w:rsidR="00F052D2" w:rsidRDefault="00F052D2" w:rsidP="004149F4">
            <w:pPr>
              <w:pStyle w:val="Textpoznpodarou"/>
              <w:spacing w:after="200"/>
              <w:jc w:val="both"/>
              <w:rPr>
                <w:spacing w:val="-4"/>
              </w:rPr>
            </w:pPr>
          </w:p>
        </w:tc>
        <w:tc>
          <w:tcPr>
            <w:tcW w:w="7680" w:type="dxa"/>
            <w:tcBorders>
              <w:top w:val="nil"/>
              <w:left w:val="nil"/>
              <w:bottom w:val="nil"/>
              <w:right w:val="nil"/>
            </w:tcBorders>
            <w:shd w:val="clear" w:color="auto" w:fill="auto"/>
            <w:tcMar>
              <w:left w:w="0" w:type="dxa"/>
            </w:tcMar>
          </w:tcPr>
          <w:p w14:paraId="1A6BAD03" w14:textId="77777777" w:rsidR="00F052D2" w:rsidRPr="008D6E03" w:rsidRDefault="00F052D2" w:rsidP="004149F4">
            <w:pPr>
              <w:spacing w:after="200"/>
              <w:rPr>
                <w:color w:val="0D0D0D" w:themeColor="text1" w:themeTint="F2"/>
                <w:spacing w:val="-5"/>
              </w:rPr>
            </w:pPr>
            <w:r>
              <w:rPr>
                <w:rFonts w:cs="Arial"/>
                <w:color w:val="0D0D0D" w:themeColor="text1" w:themeTint="F2"/>
                <w:spacing w:val="-6"/>
              </w:rPr>
              <w:t>Meziroční tempo růstu n</w:t>
            </w:r>
            <w:r w:rsidRPr="00CD6813">
              <w:rPr>
                <w:rFonts w:cs="Arial"/>
                <w:color w:val="0D0D0D" w:themeColor="text1" w:themeTint="F2"/>
                <w:spacing w:val="-6"/>
              </w:rPr>
              <w:t xml:space="preserve">ominální </w:t>
            </w:r>
            <w:r>
              <w:rPr>
                <w:rFonts w:cs="Arial"/>
                <w:color w:val="0D0D0D" w:themeColor="text1" w:themeTint="F2"/>
                <w:spacing w:val="-6"/>
              </w:rPr>
              <w:t xml:space="preserve">hodnoty nových </w:t>
            </w:r>
            <w:r w:rsidRPr="001E7777">
              <w:rPr>
                <w:rFonts w:cs="Arial"/>
                <w:color w:val="0D0D0D" w:themeColor="text1" w:themeTint="F2"/>
                <w:spacing w:val="-6"/>
              </w:rPr>
              <w:t>stavebních zakázek</w:t>
            </w:r>
            <w:r>
              <w:rPr>
                <w:rFonts w:cs="Arial"/>
                <w:color w:val="0D0D0D" w:themeColor="text1" w:themeTint="F2"/>
                <w:spacing w:val="-6"/>
              </w:rPr>
              <w:t xml:space="preserve"> v tuzemsku</w:t>
            </w:r>
            <w:r w:rsidRPr="001E7777">
              <w:rPr>
                <w:rFonts w:cs="Arial"/>
                <w:color w:val="0D0D0D" w:themeColor="text1" w:themeTint="F2"/>
                <w:spacing w:val="-6"/>
              </w:rPr>
              <w:t xml:space="preserve"> (v podnicích s více než 50 zaměstnanci)</w:t>
            </w:r>
            <w:r>
              <w:rPr>
                <w:rFonts w:cs="Arial"/>
                <w:color w:val="0D0D0D" w:themeColor="text1" w:themeTint="F2"/>
                <w:spacing w:val="-6"/>
              </w:rPr>
              <w:t xml:space="preserve"> letos rostlo dvojcifernými tempy (ve 3. čtvrtletí o</w:t>
            </w:r>
            <w:r w:rsidRPr="001E7777">
              <w:rPr>
                <w:rFonts w:cs="Arial"/>
                <w:color w:val="0D0D0D" w:themeColor="text1" w:themeTint="F2"/>
                <w:spacing w:val="-6"/>
              </w:rPr>
              <w:t> </w:t>
            </w:r>
            <w:r>
              <w:rPr>
                <w:rFonts w:cs="Arial"/>
                <w:color w:val="0D0D0D" w:themeColor="text1" w:themeTint="F2"/>
                <w:spacing w:val="-6"/>
              </w:rPr>
              <w:t>12,6</w:t>
            </w:r>
            <w:r w:rsidRPr="001E7777">
              <w:rPr>
                <w:rFonts w:cs="Arial"/>
                <w:color w:val="0D0D0D" w:themeColor="text1" w:themeTint="F2"/>
                <w:spacing w:val="-6"/>
              </w:rPr>
              <w:t> </w:t>
            </w:r>
            <w:r>
              <w:rPr>
                <w:rFonts w:cs="Arial"/>
                <w:color w:val="0D0D0D" w:themeColor="text1" w:themeTint="F2"/>
                <w:spacing w:val="-6"/>
              </w:rPr>
              <w:t xml:space="preserve">%). Zatímco na počátku roku byl růst zakázek podpořen jen pozemními stavbami </w:t>
            </w:r>
            <w:r>
              <w:rPr>
                <w:rFonts w:cs="Arial"/>
                <w:color w:val="0D0D0D" w:themeColor="text1" w:themeTint="F2"/>
                <w:spacing w:val="-6"/>
              </w:rPr>
              <w:lastRenderedPageBreak/>
              <w:t>(v</w:t>
            </w:r>
            <w:r w:rsidRPr="001E7777">
              <w:rPr>
                <w:rFonts w:cs="Arial"/>
                <w:color w:val="0D0D0D" w:themeColor="text1" w:themeTint="F2"/>
                <w:spacing w:val="-6"/>
              </w:rPr>
              <w:t> </w:t>
            </w:r>
            <w:r>
              <w:rPr>
                <w:rFonts w:cs="Arial"/>
                <w:color w:val="0D0D0D" w:themeColor="text1" w:themeTint="F2"/>
                <w:spacing w:val="-6"/>
              </w:rPr>
              <w:t>následujícím kvartálu naopak pouze inženýrskými), ve 3. čtvrtletí pozitivně přispěly oba tyto hlavní segmenty. Při zohlednění růstu cen stavebních prací</w:t>
            </w:r>
            <w:r>
              <w:rPr>
                <w:rStyle w:val="Znakapoznpodarou"/>
                <w:color w:val="0D0D0D" w:themeColor="text1" w:themeTint="F2"/>
                <w:spacing w:val="-6"/>
              </w:rPr>
              <w:footnoteReference w:id="23"/>
            </w:r>
            <w:r>
              <w:rPr>
                <w:rFonts w:cs="Arial"/>
                <w:color w:val="0D0D0D" w:themeColor="text1" w:themeTint="F2"/>
                <w:spacing w:val="-6"/>
              </w:rPr>
              <w:t xml:space="preserve"> lze hovořit jen o stagnaci reálné poptávky v celém stavebnictví. Růst celkové zásoby práce během letošního roku zvolnil. Jestliže hodnota veškerých </w:t>
            </w:r>
            <w:r>
              <w:rPr>
                <w:rFonts w:cs="Arial"/>
                <w:color w:val="0D0D0D" w:themeColor="text1" w:themeTint="F2"/>
                <w:spacing w:val="-4"/>
              </w:rPr>
              <w:t>dosud nerealizovaných</w:t>
            </w:r>
            <w:r w:rsidRPr="003448DB">
              <w:rPr>
                <w:rFonts w:cs="Arial"/>
                <w:color w:val="0D0D0D" w:themeColor="text1" w:themeTint="F2"/>
                <w:spacing w:val="-4"/>
              </w:rPr>
              <w:t xml:space="preserve"> stavební</w:t>
            </w:r>
            <w:r>
              <w:rPr>
                <w:rFonts w:cs="Arial"/>
                <w:color w:val="0D0D0D" w:themeColor="text1" w:themeTint="F2"/>
                <w:spacing w:val="-4"/>
              </w:rPr>
              <w:t>ch zakázek</w:t>
            </w:r>
            <w:r w:rsidRPr="003448DB">
              <w:rPr>
                <w:rFonts w:cs="Arial"/>
                <w:color w:val="0D0D0D" w:themeColor="text1" w:themeTint="F2"/>
                <w:spacing w:val="-4"/>
              </w:rPr>
              <w:t xml:space="preserve"> byla </w:t>
            </w:r>
            <w:r>
              <w:rPr>
                <w:rFonts w:cs="Arial"/>
                <w:color w:val="0D0D0D" w:themeColor="text1" w:themeTint="F2"/>
                <w:spacing w:val="-4"/>
              </w:rPr>
              <w:t>loni na konci prosince meziročně o 13,1 % vyšší, na sklonku září již jen 8,5</w:t>
            </w:r>
            <w:r w:rsidRPr="003448DB">
              <w:rPr>
                <w:rFonts w:cs="Arial"/>
                <w:color w:val="0D0D0D" w:themeColor="text1" w:themeTint="F2"/>
                <w:spacing w:val="-4"/>
              </w:rPr>
              <w:t xml:space="preserve"> %</w:t>
            </w:r>
            <w:r>
              <w:rPr>
                <w:rFonts w:cs="Arial"/>
                <w:color w:val="0D0D0D" w:themeColor="text1" w:themeTint="F2"/>
                <w:spacing w:val="-4"/>
              </w:rPr>
              <w:t>. Přispěly k tomu především soukromé zakázky z tuzemska – růst jejich zásoby se totiž v letošním 2. čtvrtletí téměř zastavil (poprvé od roku 2017). Náznaky ochlazování poptávky jsou letos patrné také u vydaných stavebních povolení. Jejich orientační hodnota v 1. i 2. čtvrtletí rostla meziročně zhruba o pětinu, ve 3. kvartálu propadla skoro o třetinu. Byť zde sehrálo významnou roli loňské povolení výstavby nové trasy pražského metra, k poklesu došlo rovněž u bytových budov (</w:t>
            </w:r>
            <w:r>
              <w:rPr>
                <w:color w:val="0D0D0D" w:themeColor="text1" w:themeTint="F2"/>
                <w:spacing w:val="-5"/>
              </w:rPr>
              <w:t>−</w:t>
            </w:r>
            <w:r>
              <w:rPr>
                <w:rFonts w:cs="Arial"/>
                <w:color w:val="0D0D0D" w:themeColor="text1" w:themeTint="F2"/>
                <w:spacing w:val="-4"/>
              </w:rPr>
              <w:t>17,3 %) i těch nebytových (</w:t>
            </w:r>
            <w:r>
              <w:rPr>
                <w:color w:val="0D0D0D" w:themeColor="text1" w:themeTint="F2"/>
                <w:spacing w:val="-5"/>
              </w:rPr>
              <w:t>−</w:t>
            </w:r>
            <w:r>
              <w:rPr>
                <w:rFonts w:cs="Arial"/>
                <w:color w:val="0D0D0D" w:themeColor="text1" w:themeTint="F2"/>
                <w:spacing w:val="-4"/>
              </w:rPr>
              <w:t>10,6 %). V úhrnu za tři letošní čtvrtletí hodnota povolených staveb nepatrně klesla (1,2 %), Pokud bychom vyloučili velké projekty (nad 1 mld. korun), činil by růst povolení 13,1 %, což odpovídá dynamice cen stavebních prací.</w:t>
            </w:r>
          </w:p>
        </w:tc>
      </w:tr>
      <w:tr w:rsidR="00F052D2" w:rsidRPr="00F704D2" w14:paraId="6D08690C" w14:textId="77777777" w:rsidTr="004149F4">
        <w:trPr>
          <w:trHeight w:val="170"/>
        </w:trPr>
        <w:tc>
          <w:tcPr>
            <w:tcW w:w="1747" w:type="dxa"/>
            <w:tcBorders>
              <w:top w:val="nil"/>
              <w:left w:val="nil"/>
              <w:bottom w:val="nil"/>
              <w:right w:val="nil"/>
            </w:tcBorders>
            <w:shd w:val="clear" w:color="auto" w:fill="auto"/>
            <w:tcMar>
              <w:left w:w="0" w:type="dxa"/>
            </w:tcMar>
          </w:tcPr>
          <w:p w14:paraId="36FB9F5E" w14:textId="77777777" w:rsidR="00F052D2" w:rsidRDefault="00F052D2" w:rsidP="004149F4">
            <w:pPr>
              <w:pStyle w:val="Marginlie"/>
              <w:spacing w:after="200"/>
            </w:pPr>
            <w:r>
              <w:lastRenderedPageBreak/>
              <w:t xml:space="preserve">Důvěra podnikatelů ve stavebnictví se ve </w:t>
            </w:r>
            <w:r>
              <w:br/>
              <w:t>2. i 3. čtvrtletí zhoršovala. Firmy byly sužovány významnými růstovými bariérami.</w:t>
            </w:r>
          </w:p>
        </w:tc>
        <w:tc>
          <w:tcPr>
            <w:tcW w:w="212" w:type="dxa"/>
            <w:tcBorders>
              <w:top w:val="nil"/>
              <w:left w:val="nil"/>
              <w:bottom w:val="nil"/>
              <w:right w:val="nil"/>
            </w:tcBorders>
            <w:shd w:val="clear" w:color="auto" w:fill="auto"/>
            <w:tcMar>
              <w:left w:w="0" w:type="dxa"/>
            </w:tcMar>
          </w:tcPr>
          <w:p w14:paraId="6E1DB828" w14:textId="77777777" w:rsidR="00F052D2" w:rsidRDefault="00F052D2" w:rsidP="004149F4">
            <w:pPr>
              <w:pStyle w:val="Textpoznpodarou"/>
              <w:spacing w:after="200"/>
              <w:jc w:val="both"/>
              <w:rPr>
                <w:spacing w:val="-4"/>
              </w:rPr>
            </w:pPr>
          </w:p>
        </w:tc>
        <w:tc>
          <w:tcPr>
            <w:tcW w:w="7680" w:type="dxa"/>
            <w:tcBorders>
              <w:top w:val="nil"/>
              <w:left w:val="nil"/>
              <w:bottom w:val="nil"/>
              <w:right w:val="nil"/>
            </w:tcBorders>
            <w:shd w:val="clear" w:color="auto" w:fill="auto"/>
            <w:tcMar>
              <w:left w:w="0" w:type="dxa"/>
            </w:tcMar>
          </w:tcPr>
          <w:p w14:paraId="052EBCAA" w14:textId="77777777" w:rsidR="00F052D2" w:rsidRPr="003273FC" w:rsidRDefault="00F052D2" w:rsidP="004149F4">
            <w:pPr>
              <w:spacing w:after="200"/>
              <w:rPr>
                <w:rFonts w:cs="Arial"/>
                <w:color w:val="0D0D0D" w:themeColor="text1" w:themeTint="F2"/>
                <w:spacing w:val="-6"/>
              </w:rPr>
            </w:pPr>
            <w:r>
              <w:rPr>
                <w:rFonts w:cs="Arial"/>
                <w:color w:val="0D0D0D" w:themeColor="text1" w:themeTint="F2"/>
                <w:spacing w:val="-6"/>
              </w:rPr>
              <w:t xml:space="preserve">Dobré výsledky stavebnictví na počátku letošního roku podpořily optimismus podnikatelů v tomto odvětví a únorové </w:t>
            </w:r>
            <w:r w:rsidRPr="003B286D">
              <w:rPr>
                <w:rFonts w:cs="Arial"/>
                <w:color w:val="0D0D0D" w:themeColor="text1" w:themeTint="F2"/>
                <w:spacing w:val="-6"/>
              </w:rPr>
              <w:t xml:space="preserve">saldo důvěry se </w:t>
            </w:r>
            <w:r>
              <w:rPr>
                <w:rFonts w:cs="Arial"/>
                <w:color w:val="0D0D0D" w:themeColor="text1" w:themeTint="F2"/>
                <w:spacing w:val="-6"/>
              </w:rPr>
              <w:t xml:space="preserve">tak srovnalo s absolutním maximem (z ledna 2019). Později se ale nálada v odvětví zhoršovala, v říjnu dosáhla nejníže od počátku roku 2021 (stále se ovšem pohybovala nad dlouhodobým průměrem). Rychle rostoucí nákladové tlaky spolu s problémy s dostupností stavebních materiálů se promítly do negativního hodnocení současné i očekávané poptávky či budoucí ekonomické situace firem v nejbližších šesti měsících. Po takřka dvou letech převážily i negativní výhledy v oblasti zaměstnanosti (evidenční počet zaměstnanců však zatím i ve 3. čtvrtletí meziročně mírně rostl). </w:t>
            </w:r>
          </w:p>
        </w:tc>
      </w:tr>
      <w:tr w:rsidR="00F052D2" w:rsidRPr="00F704D2" w14:paraId="376068A2" w14:textId="77777777" w:rsidTr="004149F4">
        <w:trPr>
          <w:trHeight w:val="170"/>
        </w:trPr>
        <w:tc>
          <w:tcPr>
            <w:tcW w:w="1747" w:type="dxa"/>
            <w:vMerge w:val="restart"/>
            <w:tcBorders>
              <w:top w:val="nil"/>
              <w:left w:val="nil"/>
              <w:bottom w:val="nil"/>
              <w:right w:val="nil"/>
            </w:tcBorders>
            <w:shd w:val="clear" w:color="auto" w:fill="auto"/>
            <w:tcMar>
              <w:left w:w="0" w:type="dxa"/>
            </w:tcMar>
          </w:tcPr>
          <w:p w14:paraId="76B2E066" w14:textId="77777777" w:rsidR="00F052D2" w:rsidRDefault="00F052D2" w:rsidP="004149F4">
            <w:pPr>
              <w:pStyle w:val="Marginlie"/>
            </w:pPr>
          </w:p>
        </w:tc>
        <w:tc>
          <w:tcPr>
            <w:tcW w:w="212" w:type="dxa"/>
            <w:vMerge w:val="restart"/>
            <w:tcBorders>
              <w:top w:val="nil"/>
              <w:left w:val="nil"/>
              <w:bottom w:val="nil"/>
              <w:right w:val="nil"/>
            </w:tcBorders>
            <w:shd w:val="clear" w:color="auto" w:fill="auto"/>
            <w:tcMar>
              <w:left w:w="0" w:type="dxa"/>
            </w:tcMar>
          </w:tcPr>
          <w:p w14:paraId="4757B0C0"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0A248DCB" w14:textId="77777777" w:rsidR="00F052D2" w:rsidRPr="00D232BB" w:rsidRDefault="00F052D2" w:rsidP="004149F4">
            <w:pPr>
              <w:spacing w:after="20"/>
              <w:rPr>
                <w:rFonts w:cs="Arial"/>
                <w:bCs/>
              </w:rPr>
            </w:pPr>
            <w:r w:rsidRPr="006E759E">
              <w:rPr>
                <w:b/>
                <w:spacing w:val="-5"/>
              </w:rPr>
              <w:t xml:space="preserve">Graf č. 6 Příspěvky odvětví k meziroční změně stavební produkce </w:t>
            </w:r>
            <w:r w:rsidRPr="006E759E">
              <w:rPr>
                <w:spacing w:val="-5"/>
              </w:rPr>
              <w:t>(reálně, v p. b.)</w:t>
            </w:r>
            <w:r w:rsidRPr="006E759E">
              <w:rPr>
                <w:b/>
                <w:bCs/>
                <w:spacing w:val="-5"/>
              </w:rPr>
              <w:t>,</w:t>
            </w:r>
            <w:r w:rsidRPr="006E759E">
              <w:rPr>
                <w:b/>
                <w:bCs/>
                <w:spacing w:val="-5"/>
              </w:rPr>
              <w:br/>
            </w:r>
            <w:r w:rsidRPr="006E759E">
              <w:rPr>
                <w:b/>
                <w:spacing w:val="-5"/>
              </w:rPr>
              <w:t xml:space="preserve">nové stavební zakázky </w:t>
            </w:r>
            <w:r w:rsidRPr="006E759E">
              <w:rPr>
                <w:spacing w:val="-5"/>
              </w:rPr>
              <w:t>(</w:t>
            </w:r>
            <w:r w:rsidRPr="006E759E">
              <w:rPr>
                <w:bCs/>
                <w:spacing w:val="-5"/>
              </w:rPr>
              <w:t xml:space="preserve">nominálně, </w:t>
            </w:r>
            <w:r w:rsidRPr="006E759E">
              <w:rPr>
                <w:spacing w:val="-5"/>
              </w:rPr>
              <w:t>meziročně,</w:t>
            </w:r>
            <w:r w:rsidRPr="006E759E">
              <w:rPr>
                <w:bCs/>
                <w:spacing w:val="-5"/>
              </w:rPr>
              <w:t xml:space="preserve"> v %)</w:t>
            </w:r>
            <w:r w:rsidRPr="006E759E">
              <w:rPr>
                <w:b/>
                <w:spacing w:val="-5"/>
              </w:rPr>
              <w:t>, saldo důvěry podnikatelů ve stavebnictví*</w:t>
            </w:r>
            <w:r w:rsidRPr="006E759E">
              <w:rPr>
                <w:spacing w:val="-5"/>
              </w:rPr>
              <w:t xml:space="preserve"> (v p. b., pravá osa) </w:t>
            </w:r>
            <w:r w:rsidRPr="006E759E">
              <w:rPr>
                <w:b/>
                <w:spacing w:val="-5"/>
              </w:rPr>
              <w:t>a vybrané bariéry růstu</w:t>
            </w:r>
            <w:r w:rsidRPr="006E759E">
              <w:rPr>
                <w:spacing w:val="-5"/>
              </w:rPr>
              <w:t>* (v %, pravá osa)</w:t>
            </w:r>
          </w:p>
        </w:tc>
      </w:tr>
      <w:tr w:rsidR="00F052D2" w14:paraId="40B3820B" w14:textId="77777777" w:rsidTr="004149F4">
        <w:tblPrEx>
          <w:tblCellMar>
            <w:left w:w="70" w:type="dxa"/>
            <w:right w:w="70" w:type="dxa"/>
          </w:tblCellMar>
        </w:tblPrEx>
        <w:trPr>
          <w:trHeight w:val="170"/>
        </w:trPr>
        <w:tc>
          <w:tcPr>
            <w:tcW w:w="1747" w:type="dxa"/>
            <w:vMerge/>
            <w:tcBorders>
              <w:top w:val="nil"/>
              <w:left w:val="nil"/>
              <w:bottom w:val="nil"/>
              <w:right w:val="nil"/>
            </w:tcBorders>
            <w:shd w:val="clear" w:color="auto" w:fill="auto"/>
          </w:tcPr>
          <w:p w14:paraId="089AD80F" w14:textId="77777777" w:rsidR="00F052D2" w:rsidRDefault="00F052D2" w:rsidP="004149F4">
            <w:pPr>
              <w:pStyle w:val="Marginlie"/>
            </w:pPr>
          </w:p>
        </w:tc>
        <w:tc>
          <w:tcPr>
            <w:tcW w:w="212" w:type="dxa"/>
            <w:vMerge/>
            <w:tcBorders>
              <w:top w:val="nil"/>
              <w:left w:val="nil"/>
              <w:bottom w:val="nil"/>
              <w:right w:val="nil"/>
            </w:tcBorders>
            <w:shd w:val="clear" w:color="auto" w:fill="auto"/>
          </w:tcPr>
          <w:p w14:paraId="375F7CAF"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Pr>
          <w:p w14:paraId="653F191E" w14:textId="77777777" w:rsidR="00F052D2" w:rsidRPr="0067514E" w:rsidRDefault="00F052D2" w:rsidP="004149F4">
            <w:pPr>
              <w:spacing w:after="0"/>
              <w:rPr>
                <w:spacing w:val="-6"/>
              </w:rPr>
            </w:pPr>
            <w:r>
              <w:rPr>
                <w:noProof/>
              </w:rPr>
              <w:drawing>
                <wp:inline distT="0" distB="0" distL="0" distR="0" wp14:anchorId="234D8878" wp14:editId="7079217B">
                  <wp:extent cx="4681855" cy="3625795"/>
                  <wp:effectExtent l="0" t="0" r="4445"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F052D2" w:rsidRPr="00343AC1" w14:paraId="3FC62CA0" w14:textId="77777777" w:rsidTr="004149F4">
        <w:trPr>
          <w:trHeight w:val="170"/>
        </w:trPr>
        <w:tc>
          <w:tcPr>
            <w:tcW w:w="1747" w:type="dxa"/>
            <w:vMerge/>
            <w:tcBorders>
              <w:top w:val="nil"/>
              <w:left w:val="nil"/>
              <w:bottom w:val="nil"/>
              <w:right w:val="nil"/>
            </w:tcBorders>
            <w:shd w:val="clear" w:color="auto" w:fill="auto"/>
            <w:tcMar>
              <w:left w:w="0" w:type="dxa"/>
            </w:tcMar>
          </w:tcPr>
          <w:p w14:paraId="4190BA49" w14:textId="77777777" w:rsidR="00F052D2" w:rsidRDefault="00F052D2" w:rsidP="004149F4">
            <w:pPr>
              <w:pStyle w:val="Marginlie"/>
            </w:pPr>
          </w:p>
        </w:tc>
        <w:tc>
          <w:tcPr>
            <w:tcW w:w="212" w:type="dxa"/>
            <w:vMerge/>
            <w:tcBorders>
              <w:top w:val="nil"/>
              <w:left w:val="nil"/>
              <w:bottom w:val="nil"/>
              <w:right w:val="nil"/>
            </w:tcBorders>
            <w:shd w:val="clear" w:color="auto" w:fill="auto"/>
            <w:tcMar>
              <w:left w:w="0" w:type="dxa"/>
            </w:tcMar>
          </w:tcPr>
          <w:p w14:paraId="684757A3"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13F9EF3F" w14:textId="77777777" w:rsidR="00F052D2" w:rsidRPr="00883202" w:rsidRDefault="00F052D2" w:rsidP="004149F4">
            <w:pPr>
              <w:spacing w:after="0"/>
              <w:rPr>
                <w:rFonts w:cs="Arial"/>
                <w:sz w:val="14"/>
                <w:szCs w:val="14"/>
              </w:rPr>
            </w:pPr>
            <w:r>
              <w:rPr>
                <w:rFonts w:cs="Arial"/>
                <w:sz w:val="14"/>
                <w:szCs w:val="14"/>
              </w:rPr>
              <w:t xml:space="preserve">Poznámka: </w:t>
            </w:r>
            <w:r w:rsidRPr="00883202">
              <w:rPr>
                <w:rFonts w:cs="Arial"/>
                <w:sz w:val="14"/>
                <w:szCs w:val="14"/>
              </w:rPr>
              <w:t>Údaje o stavební produkci jsou očištěny o kalendářní vlivy.</w:t>
            </w:r>
          </w:p>
          <w:p w14:paraId="765BEDFE" w14:textId="77777777" w:rsidR="00F052D2" w:rsidRPr="008F2BE2" w:rsidRDefault="00F052D2" w:rsidP="004149F4">
            <w:pPr>
              <w:pStyle w:val="Textpoznpodarou"/>
              <w:spacing w:after="200"/>
              <w:rPr>
                <w:spacing w:val="-4"/>
                <w:sz w:val="14"/>
                <w:szCs w:val="14"/>
              </w:rPr>
            </w:pPr>
            <w:r w:rsidRPr="00883202">
              <w:rPr>
                <w:rFonts w:cs="Arial"/>
                <w:sz w:val="14"/>
                <w:szCs w:val="14"/>
              </w:rPr>
              <w:t>*</w:t>
            </w:r>
            <w:r w:rsidRPr="006E759E">
              <w:rPr>
                <w:rFonts w:cs="Arial"/>
                <w:spacing w:val="-2"/>
                <w:sz w:val="14"/>
                <w:szCs w:val="14"/>
              </w:rPr>
              <w:t>Saldo důvěry podnikatelů i bariéry</w:t>
            </w:r>
            <w:r w:rsidRPr="00883202">
              <w:rPr>
                <w:rFonts w:cs="Arial"/>
                <w:spacing w:val="-2"/>
                <w:sz w:val="14"/>
                <w:szCs w:val="14"/>
              </w:rPr>
              <w:t xml:space="preserve"> růstu jsou sezónně očištěny a vyjadřují stav ve druhém měsíci daného čtvrtletí</w:t>
            </w:r>
            <w:r w:rsidRPr="00883202">
              <w:rPr>
                <w:rFonts w:cs="Arial"/>
                <w:sz w:val="14"/>
                <w:szCs w:val="14"/>
              </w:rPr>
              <w:t>.</w:t>
            </w:r>
            <w:r>
              <w:rPr>
                <w:rFonts w:cs="Arial"/>
                <w:sz w:val="14"/>
                <w:szCs w:val="14"/>
              </w:rPr>
              <w:t xml:space="preserve"> Podniky mohly uvést více hlavních bariér současně.                                                                                          </w:t>
            </w:r>
            <w:r w:rsidRPr="00883202">
              <w:rPr>
                <w:rFonts w:cs="Arial"/>
                <w:sz w:val="14"/>
                <w:szCs w:val="14"/>
              </w:rPr>
              <w:t>Zdroj: ČSÚ</w:t>
            </w:r>
            <w:r>
              <w:rPr>
                <w:rFonts w:cs="Arial"/>
                <w:sz w:val="14"/>
                <w:szCs w:val="14"/>
              </w:rPr>
              <w:t xml:space="preserve">, </w:t>
            </w:r>
            <w:proofErr w:type="spellStart"/>
            <w:r>
              <w:rPr>
                <w:rFonts w:cs="Arial"/>
                <w:sz w:val="14"/>
                <w:szCs w:val="14"/>
              </w:rPr>
              <w:t>Eurostat</w:t>
            </w:r>
            <w:proofErr w:type="spellEnd"/>
          </w:p>
        </w:tc>
      </w:tr>
      <w:tr w:rsidR="00F052D2" w:rsidRPr="00343AC1" w14:paraId="61BBE700" w14:textId="77777777" w:rsidTr="004149F4">
        <w:trPr>
          <w:trHeight w:val="170"/>
        </w:trPr>
        <w:tc>
          <w:tcPr>
            <w:tcW w:w="1747" w:type="dxa"/>
            <w:tcBorders>
              <w:top w:val="nil"/>
              <w:left w:val="nil"/>
              <w:bottom w:val="nil"/>
              <w:right w:val="nil"/>
            </w:tcBorders>
            <w:shd w:val="clear" w:color="auto" w:fill="auto"/>
            <w:tcMar>
              <w:left w:w="0" w:type="dxa"/>
            </w:tcMar>
          </w:tcPr>
          <w:p w14:paraId="30AAB9A3" w14:textId="77777777" w:rsidR="00F052D2" w:rsidRDefault="00F052D2" w:rsidP="004149F4">
            <w:pPr>
              <w:pStyle w:val="Marginlie"/>
            </w:pPr>
            <w:r>
              <w:lastRenderedPageBreak/>
              <w:t>Tržby ve službách posilovaly a překonaly úroveň z roku 2019. Ve 3. čtvrtletí se ale v některých významných odvětvích začaly projevovat náznaky oslabování poptávky.</w:t>
            </w:r>
          </w:p>
        </w:tc>
        <w:tc>
          <w:tcPr>
            <w:tcW w:w="212" w:type="dxa"/>
            <w:tcBorders>
              <w:top w:val="nil"/>
              <w:left w:val="nil"/>
              <w:bottom w:val="nil"/>
              <w:right w:val="nil"/>
            </w:tcBorders>
            <w:shd w:val="clear" w:color="auto" w:fill="auto"/>
            <w:tcMar>
              <w:left w:w="0" w:type="dxa"/>
            </w:tcMar>
          </w:tcPr>
          <w:p w14:paraId="20A06EF2"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45CCED64" w14:textId="7BC0238F" w:rsidR="00F052D2" w:rsidRPr="0025676A" w:rsidRDefault="00F052D2" w:rsidP="004149F4">
            <w:pPr>
              <w:spacing w:after="200"/>
              <w:rPr>
                <w:color w:val="0D0D0D" w:themeColor="text1" w:themeTint="F2"/>
                <w:spacing w:val="-4"/>
              </w:rPr>
            </w:pPr>
            <w:r>
              <w:rPr>
                <w:rFonts w:cs="Arial"/>
                <w:color w:val="0D0D0D" w:themeColor="text1" w:themeTint="F2"/>
                <w:spacing w:val="-6"/>
              </w:rPr>
              <w:t>Poptávka po službách se stále zvyšovala.</w:t>
            </w:r>
            <w:r w:rsidRPr="00231745">
              <w:rPr>
                <w:color w:val="0D0D0D" w:themeColor="text1" w:themeTint="F2"/>
                <w:spacing w:val="-4"/>
              </w:rPr>
              <w:t xml:space="preserve"> </w:t>
            </w:r>
            <w:r>
              <w:rPr>
                <w:color w:val="0D0D0D" w:themeColor="text1" w:themeTint="F2"/>
                <w:spacing w:val="-4"/>
              </w:rPr>
              <w:t xml:space="preserve">Tržby ve vybraných </w:t>
            </w:r>
            <w:r w:rsidRPr="00231745">
              <w:rPr>
                <w:color w:val="0D0D0D" w:themeColor="text1" w:themeTint="F2"/>
                <w:spacing w:val="-4"/>
              </w:rPr>
              <w:t>službách</w:t>
            </w:r>
            <w:r w:rsidRPr="00231745">
              <w:rPr>
                <w:color w:val="0D0D0D" w:themeColor="text1" w:themeTint="F2"/>
                <w:spacing w:val="-4"/>
                <w:vertAlign w:val="superscript"/>
              </w:rPr>
              <w:footnoteReference w:id="24"/>
            </w:r>
            <w:r>
              <w:rPr>
                <w:color w:val="0D0D0D" w:themeColor="text1" w:themeTint="F2"/>
                <w:spacing w:val="-4"/>
              </w:rPr>
              <w:t xml:space="preserve"> mezikvartálně rostly nepřetržitě od počátku loňského roku a v 1. čtvrtletí 2022 poprvé vystoupaly na úroveň z vrcholu předpandemické konjunktury. Službám se dařilo i ve 2. čtvrtletí, kdy výrazně ožila zejména odvětví s těsnou vazbou na cestovní ruch. V následujícím období ovšem </w:t>
            </w:r>
            <w:proofErr w:type="spellStart"/>
            <w:r>
              <w:rPr>
                <w:color w:val="0D0D0D" w:themeColor="text1" w:themeTint="F2"/>
                <w:spacing w:val="-4"/>
              </w:rPr>
              <w:t>mezikvartální</w:t>
            </w:r>
            <w:proofErr w:type="spellEnd"/>
            <w:r>
              <w:rPr>
                <w:color w:val="0D0D0D" w:themeColor="text1" w:themeTint="F2"/>
                <w:spacing w:val="-4"/>
              </w:rPr>
              <w:t xml:space="preserve"> růst tržeb citelně zvolnil (na 0,1 %). Náznaky oslabování poptávky totiž registrovalo klíčové odvětví dopravy a skladování</w:t>
            </w:r>
            <w:r>
              <w:rPr>
                <w:rStyle w:val="Znakapoznpodarou"/>
                <w:color w:val="0D0D0D" w:themeColor="text1" w:themeTint="F2"/>
                <w:spacing w:val="-4"/>
              </w:rPr>
              <w:footnoteReference w:id="25"/>
            </w:r>
            <w:r>
              <w:rPr>
                <w:color w:val="0D0D0D" w:themeColor="text1" w:themeTint="F2"/>
                <w:spacing w:val="-4"/>
              </w:rPr>
              <w:t xml:space="preserve"> (poprvé od poloviny roku 2020). Vedle toho se zhoršující ekonomická situace tuzemských domácností promítla v oblasti stravování i pohostinství. K tomu i podniky patrně začaly omezovat svou poptávku po některých službách (hlavně administrativního a podpůrného charakteru). V meziročním srovnání tržby ve službách stále zřetelně rostly – letos v září o</w:t>
            </w:r>
            <w:r w:rsidR="00A269AB">
              <w:rPr>
                <w:color w:val="0D0D0D" w:themeColor="text1" w:themeTint="F2"/>
                <w:spacing w:val="-4"/>
              </w:rPr>
              <w:t xml:space="preserve"> 3,5</w:t>
            </w:r>
            <w:r>
              <w:rPr>
                <w:color w:val="0D0D0D" w:themeColor="text1" w:themeTint="F2"/>
                <w:spacing w:val="-4"/>
              </w:rPr>
              <w:t xml:space="preserve"> % (ale nejslaběji od loňského března).</w:t>
            </w:r>
          </w:p>
        </w:tc>
      </w:tr>
      <w:tr w:rsidR="00F052D2" w:rsidRPr="00D232BB" w14:paraId="38613616" w14:textId="77777777" w:rsidTr="004149F4">
        <w:trPr>
          <w:trHeight w:val="170"/>
        </w:trPr>
        <w:tc>
          <w:tcPr>
            <w:tcW w:w="1747" w:type="dxa"/>
            <w:tcBorders>
              <w:top w:val="nil"/>
              <w:left w:val="nil"/>
              <w:bottom w:val="nil"/>
              <w:right w:val="nil"/>
            </w:tcBorders>
            <w:shd w:val="clear" w:color="auto" w:fill="auto"/>
            <w:tcMar>
              <w:left w:w="0" w:type="dxa"/>
            </w:tcMar>
          </w:tcPr>
          <w:p w14:paraId="0099C465" w14:textId="77777777" w:rsidR="00F052D2" w:rsidRDefault="00F052D2" w:rsidP="004149F4">
            <w:pPr>
              <w:pStyle w:val="Marginlie"/>
            </w:pPr>
          </w:p>
        </w:tc>
        <w:tc>
          <w:tcPr>
            <w:tcW w:w="212" w:type="dxa"/>
            <w:tcBorders>
              <w:top w:val="nil"/>
              <w:left w:val="nil"/>
              <w:bottom w:val="nil"/>
              <w:right w:val="nil"/>
            </w:tcBorders>
            <w:shd w:val="clear" w:color="auto" w:fill="auto"/>
            <w:tcMar>
              <w:left w:w="0" w:type="dxa"/>
            </w:tcMar>
          </w:tcPr>
          <w:p w14:paraId="260FFE8E"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4EA55957" w14:textId="77777777" w:rsidR="00F052D2" w:rsidRPr="004C1143" w:rsidRDefault="00F052D2" w:rsidP="004149F4">
            <w:pPr>
              <w:spacing w:after="0"/>
              <w:rPr>
                <w:rFonts w:cs="Arial"/>
                <w:sz w:val="14"/>
                <w:szCs w:val="14"/>
              </w:rPr>
            </w:pPr>
            <w:r w:rsidRPr="004405E2">
              <w:rPr>
                <w:b/>
              </w:rPr>
              <w:t>Graf č. 7</w:t>
            </w:r>
            <w:r w:rsidRPr="00F0005D">
              <w:rPr>
                <w:b/>
              </w:rPr>
              <w:t xml:space="preserve"> Příspěvky dílčích odvětví k meziroční změně tržeb ve službách*</w:t>
            </w:r>
            <w:r w:rsidRPr="00052ADA">
              <w:br/>
              <w:t>(</w:t>
            </w:r>
            <w:r w:rsidRPr="00052ADA">
              <w:rPr>
                <w:bCs/>
              </w:rPr>
              <w:t xml:space="preserve">reálně, </w:t>
            </w:r>
            <w:r w:rsidRPr="00052ADA">
              <w:t>v p. b)</w:t>
            </w:r>
            <w:r w:rsidRPr="00052ADA">
              <w:rPr>
                <w:bCs/>
              </w:rPr>
              <w:t xml:space="preserve">, </w:t>
            </w:r>
            <w:r w:rsidRPr="00F0005D">
              <w:rPr>
                <w:b/>
              </w:rPr>
              <w:t>saldo důvěry podnikatelů ve službách**</w:t>
            </w:r>
            <w:r w:rsidRPr="00052ADA">
              <w:t xml:space="preserve"> (v p. b., </w:t>
            </w:r>
            <w:r>
              <w:t xml:space="preserve">sezónně očištěno </w:t>
            </w:r>
            <w:r w:rsidRPr="00052ADA">
              <w:t>pravá osa)</w:t>
            </w:r>
            <w:r w:rsidRPr="004405E2">
              <w:rPr>
                <w:b/>
              </w:rPr>
              <w:t xml:space="preserve"> a vybrané bariéry růstu**</w:t>
            </w:r>
            <w:r w:rsidRPr="00052ADA">
              <w:t xml:space="preserve"> (v %, </w:t>
            </w:r>
            <w:r>
              <w:t>sezónně očištěno,</w:t>
            </w:r>
            <w:r w:rsidRPr="00052ADA">
              <w:t xml:space="preserve"> pravá osa)</w:t>
            </w:r>
            <w:r w:rsidRPr="004C1143">
              <w:rPr>
                <w:rFonts w:cs="Arial"/>
                <w:sz w:val="14"/>
                <w:szCs w:val="14"/>
              </w:rPr>
              <w:t xml:space="preserve"> </w:t>
            </w:r>
          </w:p>
        </w:tc>
      </w:tr>
      <w:tr w:rsidR="00F052D2" w:rsidRPr="0067514E" w14:paraId="2A38998C" w14:textId="77777777" w:rsidTr="004149F4">
        <w:tblPrEx>
          <w:tblCellMar>
            <w:left w:w="70" w:type="dxa"/>
            <w:right w:w="70" w:type="dxa"/>
          </w:tblCellMar>
        </w:tblPrEx>
        <w:trPr>
          <w:trHeight w:val="170"/>
        </w:trPr>
        <w:tc>
          <w:tcPr>
            <w:tcW w:w="1747" w:type="dxa"/>
            <w:tcBorders>
              <w:top w:val="nil"/>
              <w:left w:val="nil"/>
              <w:bottom w:val="nil"/>
              <w:right w:val="nil"/>
            </w:tcBorders>
            <w:shd w:val="clear" w:color="auto" w:fill="auto"/>
          </w:tcPr>
          <w:p w14:paraId="0464B320" w14:textId="77777777" w:rsidR="00F052D2" w:rsidRDefault="00F052D2" w:rsidP="004149F4">
            <w:pPr>
              <w:pStyle w:val="Marginlie"/>
            </w:pPr>
          </w:p>
        </w:tc>
        <w:tc>
          <w:tcPr>
            <w:tcW w:w="212" w:type="dxa"/>
            <w:tcBorders>
              <w:top w:val="nil"/>
              <w:left w:val="nil"/>
              <w:bottom w:val="nil"/>
              <w:right w:val="nil"/>
            </w:tcBorders>
            <w:shd w:val="clear" w:color="auto" w:fill="auto"/>
          </w:tcPr>
          <w:p w14:paraId="263890E4"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Pr>
          <w:p w14:paraId="631B527E" w14:textId="77777777" w:rsidR="00F052D2" w:rsidRPr="004C1143" w:rsidRDefault="00F052D2" w:rsidP="004149F4">
            <w:pPr>
              <w:spacing w:after="0"/>
              <w:rPr>
                <w:rFonts w:cs="Arial"/>
                <w:sz w:val="14"/>
                <w:szCs w:val="14"/>
              </w:rPr>
            </w:pPr>
            <w:r>
              <w:rPr>
                <w:noProof/>
              </w:rPr>
              <w:drawing>
                <wp:inline distT="0" distB="0" distL="0" distR="0" wp14:anchorId="72066D3B" wp14:editId="7B9972E1">
                  <wp:extent cx="4658360" cy="3482671"/>
                  <wp:effectExtent l="0" t="0" r="8890" b="3810"/>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F052D2" w:rsidRPr="008F2BE2" w14:paraId="5DC67877" w14:textId="77777777" w:rsidTr="004149F4">
        <w:trPr>
          <w:trHeight w:val="170"/>
        </w:trPr>
        <w:tc>
          <w:tcPr>
            <w:tcW w:w="1747" w:type="dxa"/>
            <w:tcBorders>
              <w:top w:val="nil"/>
              <w:left w:val="nil"/>
              <w:bottom w:val="nil"/>
              <w:right w:val="nil"/>
            </w:tcBorders>
            <w:shd w:val="clear" w:color="auto" w:fill="auto"/>
            <w:tcMar>
              <w:left w:w="0" w:type="dxa"/>
            </w:tcMar>
          </w:tcPr>
          <w:p w14:paraId="5867474E" w14:textId="77777777" w:rsidR="00F052D2" w:rsidRDefault="00F052D2" w:rsidP="004149F4">
            <w:pPr>
              <w:pStyle w:val="Marginlie"/>
            </w:pPr>
          </w:p>
        </w:tc>
        <w:tc>
          <w:tcPr>
            <w:tcW w:w="212" w:type="dxa"/>
            <w:tcBorders>
              <w:top w:val="nil"/>
              <w:left w:val="nil"/>
              <w:bottom w:val="nil"/>
              <w:right w:val="nil"/>
            </w:tcBorders>
            <w:shd w:val="clear" w:color="auto" w:fill="auto"/>
            <w:tcMar>
              <w:left w:w="0" w:type="dxa"/>
            </w:tcMar>
          </w:tcPr>
          <w:p w14:paraId="0D276510"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3B5CD59A" w14:textId="77777777" w:rsidR="00F052D2" w:rsidRPr="00052ADA" w:rsidRDefault="00F052D2" w:rsidP="004149F4">
            <w:pPr>
              <w:spacing w:after="0" w:line="240" w:lineRule="auto"/>
              <w:rPr>
                <w:rFonts w:cs="Arial"/>
                <w:sz w:val="14"/>
                <w:szCs w:val="14"/>
              </w:rPr>
            </w:pPr>
            <w:r>
              <w:rPr>
                <w:rFonts w:cs="Arial"/>
                <w:color w:val="0D0D0D" w:themeColor="text1" w:themeTint="F2"/>
                <w:spacing w:val="-6"/>
              </w:rPr>
              <w:t>*</w:t>
            </w:r>
            <w:r w:rsidRPr="00052ADA">
              <w:rPr>
                <w:color w:val="0D0D0D" w:themeColor="text1" w:themeTint="F2"/>
                <w:sz w:val="14"/>
                <w:szCs w:val="14"/>
              </w:rPr>
              <w:t xml:space="preserve">Bez odvětví obchodu, peněžnictví, pojišťovnictví, vědy, výzkumu a veřejných služeb. </w:t>
            </w:r>
            <w:r w:rsidRPr="00052ADA">
              <w:rPr>
                <w:rFonts w:cs="Arial"/>
                <w:sz w:val="14"/>
                <w:szCs w:val="14"/>
              </w:rPr>
              <w:t>Tržby jsou očištěny o kalendářní vlivy.</w:t>
            </w:r>
          </w:p>
          <w:p w14:paraId="737B5706" w14:textId="77777777" w:rsidR="00F052D2" w:rsidRPr="004C1143" w:rsidRDefault="00F052D2" w:rsidP="004149F4">
            <w:pPr>
              <w:spacing w:line="240" w:lineRule="auto"/>
              <w:rPr>
                <w:rFonts w:cs="Arial"/>
                <w:sz w:val="14"/>
                <w:szCs w:val="14"/>
              </w:rPr>
            </w:pPr>
            <w:r w:rsidRPr="00052ADA">
              <w:rPr>
                <w:rFonts w:cs="Arial"/>
                <w:sz w:val="14"/>
                <w:szCs w:val="14"/>
              </w:rPr>
              <w:t>**</w:t>
            </w:r>
            <w:r w:rsidRPr="00052ADA">
              <w:rPr>
                <w:rFonts w:cs="Arial"/>
                <w:spacing w:val="-2"/>
                <w:sz w:val="14"/>
                <w:szCs w:val="14"/>
              </w:rPr>
              <w:t>Zahrnuje i finanční sektor. Saldo důvěry podnikatelů i barié</w:t>
            </w:r>
            <w:r>
              <w:rPr>
                <w:rFonts w:cs="Arial"/>
                <w:spacing w:val="-2"/>
                <w:sz w:val="14"/>
                <w:szCs w:val="14"/>
              </w:rPr>
              <w:t xml:space="preserve">ry růstu </w:t>
            </w:r>
            <w:r w:rsidRPr="00052ADA">
              <w:rPr>
                <w:rFonts w:cs="Arial"/>
                <w:spacing w:val="-2"/>
                <w:sz w:val="14"/>
                <w:szCs w:val="14"/>
              </w:rPr>
              <w:t xml:space="preserve">vyjadřují stav v prvním (bariéry růstu), resp. ve druhém měsíci daného čtvrtletí (saldo důvěry). </w:t>
            </w:r>
            <w:r w:rsidRPr="00052ADA">
              <w:rPr>
                <w:rFonts w:cs="Arial"/>
                <w:sz w:val="14"/>
                <w:szCs w:val="14"/>
              </w:rPr>
              <w:t>Podniky mohly uvést více hlavních bariér současně.</w:t>
            </w:r>
            <w:r>
              <w:rPr>
                <w:rFonts w:cs="Arial"/>
                <w:sz w:val="14"/>
                <w:szCs w:val="14"/>
              </w:rPr>
              <w:t xml:space="preserve">                     </w:t>
            </w:r>
            <w:r w:rsidRPr="00052ADA">
              <w:rPr>
                <w:rFonts w:cs="Arial"/>
                <w:sz w:val="14"/>
                <w:szCs w:val="14"/>
              </w:rPr>
              <w:t xml:space="preserve">    Zdroj: ČSÚ, </w:t>
            </w:r>
            <w:proofErr w:type="spellStart"/>
            <w:r w:rsidRPr="00052ADA">
              <w:rPr>
                <w:rFonts w:cs="Arial"/>
                <w:sz w:val="14"/>
                <w:szCs w:val="14"/>
              </w:rPr>
              <w:t>Eurostat</w:t>
            </w:r>
            <w:proofErr w:type="spellEnd"/>
          </w:p>
        </w:tc>
      </w:tr>
      <w:tr w:rsidR="00F052D2" w14:paraId="4BDCA698" w14:textId="77777777" w:rsidTr="004149F4">
        <w:trPr>
          <w:trHeight w:val="170"/>
        </w:trPr>
        <w:tc>
          <w:tcPr>
            <w:tcW w:w="1747" w:type="dxa"/>
            <w:tcBorders>
              <w:top w:val="nil"/>
              <w:left w:val="nil"/>
              <w:bottom w:val="nil"/>
              <w:right w:val="nil"/>
            </w:tcBorders>
            <w:shd w:val="clear" w:color="auto" w:fill="auto"/>
            <w:tcMar>
              <w:left w:w="0" w:type="dxa"/>
            </w:tcMar>
          </w:tcPr>
          <w:p w14:paraId="22084DAA" w14:textId="6DCEA1C7" w:rsidR="00F052D2" w:rsidRDefault="00F052D2" w:rsidP="004149F4">
            <w:pPr>
              <w:pStyle w:val="Marginlie"/>
            </w:pPr>
            <w:r>
              <w:t xml:space="preserve">K meziročnímu </w:t>
            </w:r>
            <w:r w:rsidR="00A269AB">
              <w:t>růstu tržeb ve službách přispěly</w:t>
            </w:r>
            <w:r>
              <w:t xml:space="preserve"> z dílčích odvětví nejvíce </w:t>
            </w:r>
            <w:r w:rsidR="00A269AB">
              <w:t xml:space="preserve">cestovní kanceláře a také </w:t>
            </w:r>
            <w:r>
              <w:t xml:space="preserve">skladování. Opačně působily zejména stravování a pohostinství </w:t>
            </w:r>
            <w:r>
              <w:lastRenderedPageBreak/>
              <w:t>a také reklama a průzkum trhu.</w:t>
            </w:r>
          </w:p>
          <w:p w14:paraId="339843D5" w14:textId="77777777" w:rsidR="00F052D2" w:rsidRDefault="00F052D2" w:rsidP="004149F4">
            <w:pPr>
              <w:pStyle w:val="Marginlie"/>
            </w:pPr>
          </w:p>
          <w:p w14:paraId="736F0A62" w14:textId="77777777" w:rsidR="00F052D2" w:rsidRDefault="00F052D2" w:rsidP="004149F4">
            <w:pPr>
              <w:pStyle w:val="Marginlie"/>
            </w:pPr>
          </w:p>
          <w:p w14:paraId="05EE40CD" w14:textId="77777777" w:rsidR="00F052D2" w:rsidRDefault="00F052D2" w:rsidP="004149F4">
            <w:pPr>
              <w:pStyle w:val="Marginlie"/>
            </w:pPr>
          </w:p>
        </w:tc>
        <w:tc>
          <w:tcPr>
            <w:tcW w:w="212" w:type="dxa"/>
            <w:tcBorders>
              <w:top w:val="nil"/>
              <w:left w:val="nil"/>
              <w:bottom w:val="nil"/>
              <w:right w:val="nil"/>
            </w:tcBorders>
            <w:shd w:val="clear" w:color="auto" w:fill="auto"/>
            <w:tcMar>
              <w:left w:w="0" w:type="dxa"/>
            </w:tcMar>
          </w:tcPr>
          <w:p w14:paraId="20389ADE"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3699F870" w14:textId="3918830C" w:rsidR="00F052D2" w:rsidRPr="00D85AE5" w:rsidRDefault="00F052D2" w:rsidP="00A269AB">
            <w:pPr>
              <w:spacing w:after="200"/>
              <w:rPr>
                <w:color w:val="0D0D0D" w:themeColor="text1" w:themeTint="F2"/>
                <w:spacing w:val="-5"/>
              </w:rPr>
            </w:pPr>
            <w:r w:rsidRPr="00D85AE5">
              <w:rPr>
                <w:color w:val="0D0D0D" w:themeColor="text1" w:themeTint="F2"/>
                <w:spacing w:val="-5"/>
              </w:rPr>
              <w:t>V úhrnu za celé 3. čtvrtletí 2022 tržby ve službách meziročně posílily o 6,9 %. K růstu zásadně při</w:t>
            </w:r>
            <w:r>
              <w:rPr>
                <w:color w:val="0D0D0D" w:themeColor="text1" w:themeTint="F2"/>
                <w:spacing w:val="-5"/>
              </w:rPr>
              <w:t>spěla doprava a skladování (+3,8</w:t>
            </w:r>
            <w:r w:rsidRPr="00D85AE5">
              <w:rPr>
                <w:color w:val="0D0D0D" w:themeColor="text1" w:themeTint="F2"/>
                <w:spacing w:val="-5"/>
              </w:rPr>
              <w:t xml:space="preserve"> p. b.), pozitivně však působila všechna hlavní odvětví, vyjma ubytování, stravování a pohostinství (</w:t>
            </w:r>
            <w:r>
              <w:rPr>
                <w:color w:val="0D0D0D" w:themeColor="text1" w:themeTint="F2"/>
                <w:spacing w:val="-5"/>
              </w:rPr>
              <w:t>−</w:t>
            </w:r>
            <w:r w:rsidRPr="00D85AE5">
              <w:rPr>
                <w:color w:val="0D0D0D" w:themeColor="text1" w:themeTint="F2"/>
                <w:spacing w:val="-5"/>
              </w:rPr>
              <w:t>0,4 p. b.). V samotném ubyto</w:t>
            </w:r>
            <w:r>
              <w:rPr>
                <w:color w:val="0D0D0D" w:themeColor="text1" w:themeTint="F2"/>
                <w:spacing w:val="-5"/>
              </w:rPr>
              <w:t>vání ale tržby dále rostly (+8,7</w:t>
            </w:r>
            <w:r w:rsidRPr="00D85AE5">
              <w:rPr>
                <w:color w:val="0D0D0D" w:themeColor="text1" w:themeTint="F2"/>
                <w:spacing w:val="-5"/>
              </w:rPr>
              <w:t xml:space="preserve"> %). I přes úspěšnou letní sezónu</w:t>
            </w:r>
            <w:r w:rsidRPr="00D85AE5">
              <w:rPr>
                <w:rStyle w:val="Znakapoznpodarou"/>
                <w:color w:val="0D0D0D" w:themeColor="text1" w:themeTint="F2"/>
                <w:spacing w:val="-5"/>
              </w:rPr>
              <w:footnoteReference w:id="26"/>
            </w:r>
            <w:r w:rsidRPr="00D85AE5">
              <w:rPr>
                <w:color w:val="0D0D0D" w:themeColor="text1" w:themeTint="F2"/>
                <w:spacing w:val="-5"/>
              </w:rPr>
              <w:t xml:space="preserve"> se tržby ubytovatelů nacházely o více </w:t>
            </w:r>
            <w:r>
              <w:rPr>
                <w:color w:val="0D0D0D" w:themeColor="text1" w:themeTint="F2"/>
                <w:spacing w:val="-5"/>
              </w:rPr>
              <w:t xml:space="preserve">než </w:t>
            </w:r>
            <w:r w:rsidRPr="00D85AE5">
              <w:rPr>
                <w:color w:val="0D0D0D" w:themeColor="text1" w:themeTint="F2"/>
                <w:spacing w:val="-5"/>
              </w:rPr>
              <w:t>čtvrtinu pod úrovní ze 3. čtvrtletí 2019 (v případě stravování a pohostinství o necelou pětinu). Razantní oživení (vč. výjezdů občanů ČR na letní dovolené) se odrazil</w:t>
            </w:r>
            <w:r>
              <w:rPr>
                <w:color w:val="0D0D0D" w:themeColor="text1" w:themeTint="F2"/>
                <w:spacing w:val="-5"/>
              </w:rPr>
              <w:t>o</w:t>
            </w:r>
            <w:r w:rsidRPr="00D85AE5">
              <w:rPr>
                <w:color w:val="0D0D0D" w:themeColor="text1" w:themeTint="F2"/>
                <w:spacing w:val="-5"/>
              </w:rPr>
              <w:t xml:space="preserve"> i ve výkonech cestovních kanceláří a agentur – ty zároveň táhly svižný růst tržeb v celém odvětví </w:t>
            </w:r>
            <w:r w:rsidRPr="00D85AE5">
              <w:rPr>
                <w:color w:val="0D0D0D" w:themeColor="text1" w:themeTint="F2"/>
                <w:spacing w:val="-5"/>
              </w:rPr>
              <w:lastRenderedPageBreak/>
              <w:t>administrativ</w:t>
            </w:r>
            <w:r>
              <w:rPr>
                <w:color w:val="0D0D0D" w:themeColor="text1" w:themeTint="F2"/>
                <w:spacing w:val="-5"/>
              </w:rPr>
              <w:t>ních a podpůrných činností (17,7</w:t>
            </w:r>
            <w:r w:rsidRPr="00D85AE5">
              <w:rPr>
                <w:color w:val="0D0D0D" w:themeColor="text1" w:themeTint="F2"/>
                <w:spacing w:val="-5"/>
              </w:rPr>
              <w:t xml:space="preserve"> % meziročně). Opačně působily pracovní agentury, u nichž se tržby snižovaly pátým kvartálem v řadě (</w:t>
            </w:r>
            <w:r>
              <w:rPr>
                <w:color w:val="0D0D0D" w:themeColor="text1" w:themeTint="F2"/>
                <w:spacing w:val="-5"/>
              </w:rPr>
              <w:t>a oproti roku 2019 byly o</w:t>
            </w:r>
            <w:r w:rsidRPr="00D85AE5">
              <w:rPr>
                <w:color w:val="0D0D0D" w:themeColor="text1" w:themeTint="F2"/>
                <w:spacing w:val="-5"/>
              </w:rPr>
              <w:t> </w:t>
            </w:r>
            <w:r>
              <w:rPr>
                <w:color w:val="0D0D0D" w:themeColor="text1" w:themeTint="F2"/>
                <w:spacing w:val="-5"/>
              </w:rPr>
              <w:t>30 %</w:t>
            </w:r>
            <w:r w:rsidRPr="00D85AE5">
              <w:rPr>
                <w:color w:val="0D0D0D" w:themeColor="text1" w:themeTint="F2"/>
                <w:spacing w:val="-5"/>
              </w:rPr>
              <w:t xml:space="preserve"> nižší). V odvětví </w:t>
            </w:r>
            <w:r w:rsidRPr="00D85AE5">
              <w:rPr>
                <w:rFonts w:cs="Arial"/>
                <w:color w:val="0D0D0D" w:themeColor="text1" w:themeTint="F2"/>
                <w:spacing w:val="-5"/>
              </w:rPr>
              <w:t>profesní, vědecké a technické činnosti vzrostly tržby mírněji (</w:t>
            </w:r>
            <w:r w:rsidRPr="00B81C9D">
              <w:rPr>
                <w:rFonts w:cs="Arial"/>
                <w:color w:val="0D0D0D" w:themeColor="text1" w:themeTint="F2"/>
                <w:spacing w:val="-6"/>
              </w:rPr>
              <w:t>o</w:t>
            </w:r>
            <w:r w:rsidRPr="00B81C9D">
              <w:rPr>
                <w:color w:val="0D0D0D" w:themeColor="text1" w:themeTint="F2"/>
                <w:spacing w:val="-6"/>
              </w:rPr>
              <w:t> </w:t>
            </w:r>
            <w:r>
              <w:rPr>
                <w:rFonts w:cs="Arial"/>
                <w:color w:val="0D0D0D" w:themeColor="text1" w:themeTint="F2"/>
                <w:spacing w:val="-6"/>
              </w:rPr>
              <w:t>2,5</w:t>
            </w:r>
            <w:r w:rsidRPr="00B81C9D">
              <w:rPr>
                <w:color w:val="0D0D0D" w:themeColor="text1" w:themeTint="F2"/>
                <w:spacing w:val="-6"/>
              </w:rPr>
              <w:t> </w:t>
            </w:r>
            <w:r w:rsidRPr="00B81C9D">
              <w:rPr>
                <w:rFonts w:cs="Arial"/>
                <w:color w:val="0D0D0D" w:themeColor="text1" w:themeTint="F2"/>
                <w:spacing w:val="-6"/>
              </w:rPr>
              <w:t>%). Toto odvětví ale poskytuje sofi</w:t>
            </w:r>
            <w:r>
              <w:rPr>
                <w:rFonts w:cs="Arial"/>
                <w:color w:val="0D0D0D" w:themeColor="text1" w:themeTint="F2"/>
                <w:spacing w:val="-6"/>
              </w:rPr>
              <w:t>stikovanější služby pro podniky a p</w:t>
            </w:r>
            <w:r w:rsidRPr="00B81C9D">
              <w:rPr>
                <w:rFonts w:cs="Arial"/>
                <w:color w:val="0D0D0D" w:themeColor="text1" w:themeTint="F2"/>
                <w:spacing w:val="-6"/>
              </w:rPr>
              <w:t>optávka po mnohých z nich nebyla za pandemického období příliš narušena (právní a</w:t>
            </w:r>
            <w:r w:rsidRPr="00B81C9D">
              <w:rPr>
                <w:spacing w:val="-6"/>
              </w:rPr>
              <w:t> </w:t>
            </w:r>
            <w:r w:rsidRPr="00B81C9D">
              <w:rPr>
                <w:rFonts w:cs="Arial"/>
                <w:color w:val="0D0D0D" w:themeColor="text1" w:themeTint="F2"/>
                <w:spacing w:val="-6"/>
              </w:rPr>
              <w:t xml:space="preserve">účetnické činnosti, poradenství v oblasti řízení). K růstu </w:t>
            </w:r>
            <w:r>
              <w:rPr>
                <w:rFonts w:cs="Arial"/>
                <w:color w:val="0D0D0D" w:themeColor="text1" w:themeTint="F2"/>
                <w:spacing w:val="-6"/>
              </w:rPr>
              <w:t xml:space="preserve">tohoto </w:t>
            </w:r>
            <w:r w:rsidRPr="00B81C9D">
              <w:rPr>
                <w:rFonts w:cs="Arial"/>
                <w:color w:val="0D0D0D" w:themeColor="text1" w:themeTint="F2"/>
                <w:spacing w:val="-6"/>
              </w:rPr>
              <w:t xml:space="preserve">odvětví </w:t>
            </w:r>
            <w:r w:rsidR="00A269AB">
              <w:rPr>
                <w:rFonts w:cs="Arial"/>
                <w:color w:val="0D0D0D" w:themeColor="text1" w:themeTint="F2"/>
                <w:spacing w:val="-6"/>
              </w:rPr>
              <w:t xml:space="preserve">ve 3. čtvrtletí 2022 významně </w:t>
            </w:r>
            <w:r w:rsidRPr="00B81C9D">
              <w:rPr>
                <w:rFonts w:cs="Arial"/>
                <w:color w:val="0D0D0D" w:themeColor="text1" w:themeTint="F2"/>
                <w:spacing w:val="-6"/>
              </w:rPr>
              <w:t>přis</w:t>
            </w:r>
            <w:r>
              <w:rPr>
                <w:rFonts w:cs="Arial"/>
                <w:color w:val="0D0D0D" w:themeColor="text1" w:themeTint="F2"/>
                <w:spacing w:val="-6"/>
              </w:rPr>
              <w:t xml:space="preserve">pěly </w:t>
            </w:r>
            <w:r w:rsidR="00A269AB">
              <w:rPr>
                <w:rFonts w:cs="Arial"/>
                <w:color w:val="0D0D0D" w:themeColor="text1" w:themeTint="F2"/>
                <w:spacing w:val="-6"/>
              </w:rPr>
              <w:t>právní a</w:t>
            </w:r>
            <w:r w:rsidR="00A269AB" w:rsidRPr="00B81C9D">
              <w:rPr>
                <w:rFonts w:cs="Arial"/>
                <w:color w:val="0D0D0D" w:themeColor="text1" w:themeTint="F2"/>
                <w:spacing w:val="-6"/>
              </w:rPr>
              <w:t> </w:t>
            </w:r>
            <w:r w:rsidR="00A269AB" w:rsidRPr="00A269AB">
              <w:rPr>
                <w:rFonts w:cs="Arial"/>
                <w:color w:val="0D0D0D" w:themeColor="text1" w:themeTint="F2"/>
                <w:spacing w:val="-6"/>
              </w:rPr>
              <w:t>účetnické činnosti</w:t>
            </w:r>
            <w:r w:rsidR="00A269AB">
              <w:rPr>
                <w:rFonts w:cs="Arial"/>
                <w:color w:val="0D0D0D" w:themeColor="text1" w:themeTint="F2"/>
                <w:spacing w:val="-6"/>
              </w:rPr>
              <w:t xml:space="preserve"> a také </w:t>
            </w:r>
            <w:r>
              <w:rPr>
                <w:rFonts w:cs="Arial"/>
                <w:color w:val="0D0D0D" w:themeColor="text1" w:themeTint="F2"/>
                <w:spacing w:val="-6"/>
              </w:rPr>
              <w:t>architektonické a</w:t>
            </w:r>
            <w:r w:rsidRPr="00B81C9D">
              <w:rPr>
                <w:rFonts w:cs="Arial"/>
                <w:color w:val="0D0D0D" w:themeColor="text1" w:themeTint="F2"/>
                <w:spacing w:val="-6"/>
              </w:rPr>
              <w:t xml:space="preserve"> inženýrské činnosti, jimž se dařilo navzdory slábnoucímu výkonu stavebnictví. Růst poptávky pokračoval i v dalších dílčích </w:t>
            </w:r>
            <w:r w:rsidRPr="00307F0B">
              <w:rPr>
                <w:rFonts w:cs="Arial"/>
                <w:color w:val="0D0D0D" w:themeColor="text1" w:themeTint="F2"/>
                <w:spacing w:val="-6"/>
              </w:rPr>
              <w:t>oborech podnikových služeb. Výjimkou byly reklamní činnosti a průzkum trhu a veřejného mínění, kde tržby meziročně poklesly o 12,8 % (a zaostaly i ve srovnání s předkrizovým rokem 2019).</w:t>
            </w:r>
            <w:r w:rsidRPr="00307F0B">
              <w:rPr>
                <w:rFonts w:cs="Arial"/>
                <w:color w:val="0D0D0D" w:themeColor="text1" w:themeTint="F2"/>
                <w:spacing w:val="-5"/>
              </w:rPr>
              <w:t xml:space="preserve"> </w:t>
            </w:r>
          </w:p>
        </w:tc>
      </w:tr>
      <w:tr w:rsidR="00F052D2" w14:paraId="22934545" w14:textId="77777777" w:rsidTr="004149F4">
        <w:trPr>
          <w:trHeight w:val="170"/>
        </w:trPr>
        <w:tc>
          <w:tcPr>
            <w:tcW w:w="1747" w:type="dxa"/>
            <w:tcBorders>
              <w:top w:val="nil"/>
              <w:left w:val="nil"/>
              <w:bottom w:val="nil"/>
              <w:right w:val="nil"/>
            </w:tcBorders>
            <w:shd w:val="clear" w:color="auto" w:fill="auto"/>
            <w:tcMar>
              <w:left w:w="0" w:type="dxa"/>
            </w:tcMar>
          </w:tcPr>
          <w:p w14:paraId="6AF0011D" w14:textId="77777777" w:rsidR="00F052D2" w:rsidRDefault="00F052D2" w:rsidP="004149F4">
            <w:pPr>
              <w:pStyle w:val="Marginlie"/>
            </w:pPr>
            <w:r>
              <w:lastRenderedPageBreak/>
              <w:t>Růst tržeb v pozemní dopravě i vlivem slabší dynamiky vývozu zboží ve 2. čtvrtletí zvolnil. Poptávka ve skladování zůstala vysoká.</w:t>
            </w:r>
          </w:p>
          <w:p w14:paraId="1467A4F5" w14:textId="77777777" w:rsidR="00F052D2" w:rsidRDefault="00F052D2" w:rsidP="004149F4">
            <w:pPr>
              <w:pStyle w:val="Marginlie"/>
            </w:pPr>
          </w:p>
          <w:p w14:paraId="67300260" w14:textId="77777777" w:rsidR="00F052D2" w:rsidRDefault="00F052D2" w:rsidP="004149F4">
            <w:pPr>
              <w:pStyle w:val="Marginlie"/>
            </w:pPr>
          </w:p>
          <w:p w14:paraId="37D7FFA2" w14:textId="77777777" w:rsidR="00F052D2" w:rsidRDefault="00F052D2" w:rsidP="004149F4">
            <w:pPr>
              <w:pStyle w:val="Marginlie"/>
            </w:pPr>
          </w:p>
          <w:p w14:paraId="7476ACC2" w14:textId="77777777" w:rsidR="00F052D2" w:rsidRDefault="00F052D2" w:rsidP="004149F4">
            <w:pPr>
              <w:pStyle w:val="Marginlie"/>
            </w:pPr>
          </w:p>
          <w:p w14:paraId="07CE968D" w14:textId="77777777" w:rsidR="00F052D2" w:rsidRDefault="00F052D2" w:rsidP="004149F4">
            <w:pPr>
              <w:pStyle w:val="Marginlie"/>
            </w:pPr>
          </w:p>
          <w:p w14:paraId="1B724D4E" w14:textId="77777777" w:rsidR="00F052D2" w:rsidRDefault="00F052D2" w:rsidP="004149F4">
            <w:pPr>
              <w:pStyle w:val="Marginlie"/>
            </w:pPr>
            <w:r>
              <w:t>Poptávka v klíčových oborech informačních a komunikačních činností dále rostla.</w:t>
            </w:r>
          </w:p>
          <w:p w14:paraId="0B0C7804" w14:textId="77777777" w:rsidR="00F052D2" w:rsidRDefault="00F052D2" w:rsidP="004149F4">
            <w:pPr>
              <w:pStyle w:val="Marginlie"/>
            </w:pPr>
          </w:p>
        </w:tc>
        <w:tc>
          <w:tcPr>
            <w:tcW w:w="212" w:type="dxa"/>
            <w:tcBorders>
              <w:top w:val="nil"/>
              <w:left w:val="nil"/>
              <w:bottom w:val="nil"/>
              <w:right w:val="nil"/>
            </w:tcBorders>
            <w:shd w:val="clear" w:color="auto" w:fill="auto"/>
            <w:tcMar>
              <w:left w:w="0" w:type="dxa"/>
            </w:tcMar>
          </w:tcPr>
          <w:p w14:paraId="7864DA49"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5017227F" w14:textId="77777777" w:rsidR="00F052D2" w:rsidRPr="00E04DF2" w:rsidRDefault="00F052D2" w:rsidP="004149F4">
            <w:pPr>
              <w:rPr>
                <w:rFonts w:cs="Arial"/>
                <w:spacing w:val="-4"/>
                <w:sz w:val="14"/>
                <w:szCs w:val="14"/>
              </w:rPr>
            </w:pPr>
            <w:r w:rsidRPr="00E04DF2">
              <w:rPr>
                <w:rFonts w:cs="Arial"/>
                <w:color w:val="0D0D0D" w:themeColor="text1" w:themeTint="F2"/>
                <w:spacing w:val="-4"/>
              </w:rPr>
              <w:t>Váhově dominantní odvětví dopravy a skladování zaznamenalo ve 3. čtvrtletí meziroční růst tržeb o 12,5 %. Bezmála z poloviny se o to zasloužilo samotné skladování. Mírnější růst registrovala pozemní doprava, kde tempo ve srovnání s počátkem roku zvolnilo (na 6,7 %). To bylo ovlivněno i slabšími výsledky tuzemských vývozců zboží. Výrazně ožila letecká doprava (+81,9 %), proti roku 2019 však její tržby zhruba o desetinu zaostaly (obdobně jako ve vodní dopravě). Tržby poštovních a kurýrních činností meziročně spíše stagnovaly (svůj předpandemický vrchol ale zhruba o šestinu již překonaly). Růst tržeb v dlouhodobě posilujícím odvětví informačních a</w:t>
            </w:r>
            <w:r w:rsidRPr="00E04DF2">
              <w:rPr>
                <w:color w:val="0D0D0D" w:themeColor="text1" w:themeTint="F2"/>
                <w:spacing w:val="-4"/>
              </w:rPr>
              <w:t> </w:t>
            </w:r>
            <w:r w:rsidRPr="00E04DF2">
              <w:rPr>
                <w:rFonts w:cs="Arial"/>
                <w:color w:val="0D0D0D" w:themeColor="text1" w:themeTint="F2"/>
                <w:spacing w:val="-4"/>
              </w:rPr>
              <w:t>komunikačních činností zvolnil na 2,9 %. Výkon odvětví stále táhla vysoká poptávka zejména po činnostech v oblasti informačních technologií (např. programování, správa počítačového vybavení). Dařilo se i informačním činnostem (např. zpracování dat, činnost webových portálů) a telekomunikacím. Naopak pokles tržeb za tvorbu rozhlasových i televizních programů a vysílání se prohluboval a zotavování filmového i hudebního průmyslu se zastavilo</w:t>
            </w:r>
            <w:r w:rsidRPr="00E04DF2">
              <w:rPr>
                <w:rStyle w:val="Znakapoznpodarou"/>
                <w:color w:val="0D0D0D" w:themeColor="text1" w:themeTint="F2"/>
                <w:spacing w:val="-4"/>
              </w:rPr>
              <w:footnoteReference w:id="27"/>
            </w:r>
            <w:r w:rsidRPr="00E04DF2">
              <w:rPr>
                <w:rFonts w:cs="Arial"/>
                <w:color w:val="0D0D0D" w:themeColor="text1" w:themeTint="F2"/>
                <w:spacing w:val="-4"/>
              </w:rPr>
              <w:t>. V obou těchto váhově spíše okrajových oborech tržby oproti loňskému 3. čtvrtletí propadly zhruba o čtvrtinu a zaostaly i za rokem 2019.</w:t>
            </w:r>
          </w:p>
        </w:tc>
      </w:tr>
      <w:tr w:rsidR="00F052D2" w14:paraId="070F4820" w14:textId="77777777" w:rsidTr="004149F4">
        <w:trPr>
          <w:trHeight w:val="170"/>
        </w:trPr>
        <w:tc>
          <w:tcPr>
            <w:tcW w:w="1747" w:type="dxa"/>
            <w:tcBorders>
              <w:top w:val="nil"/>
              <w:left w:val="nil"/>
              <w:bottom w:val="nil"/>
              <w:right w:val="nil"/>
            </w:tcBorders>
            <w:shd w:val="clear" w:color="auto" w:fill="auto"/>
            <w:tcMar>
              <w:left w:w="0" w:type="dxa"/>
            </w:tcMar>
          </w:tcPr>
          <w:p w14:paraId="06D52776" w14:textId="68C37A4D" w:rsidR="00F052D2" w:rsidRDefault="00F052D2" w:rsidP="004149F4">
            <w:pPr>
              <w:pStyle w:val="Marginlie"/>
            </w:pPr>
            <w:proofErr w:type="spellStart"/>
            <w:r>
              <w:t>Mezikvartální</w:t>
            </w:r>
            <w:proofErr w:type="spellEnd"/>
            <w:r>
              <w:t xml:space="preserve"> pokles maloobchod</w:t>
            </w:r>
            <w:r w:rsidR="00A269AB">
              <w:t>ních tržeb přetrvává od 4. čtvrtletí</w:t>
            </w:r>
            <w:r>
              <w:t xml:space="preserve"> loňského roku.</w:t>
            </w:r>
          </w:p>
          <w:p w14:paraId="3A57809B" w14:textId="77777777" w:rsidR="00F052D2" w:rsidRDefault="00F052D2" w:rsidP="004149F4">
            <w:pPr>
              <w:pStyle w:val="Marginlie"/>
            </w:pPr>
          </w:p>
          <w:p w14:paraId="49ED90A0" w14:textId="77777777" w:rsidR="00F052D2" w:rsidRDefault="00F052D2" w:rsidP="004149F4">
            <w:pPr>
              <w:pStyle w:val="Marginlie"/>
            </w:pPr>
          </w:p>
          <w:p w14:paraId="39D22D8E" w14:textId="77777777" w:rsidR="00F052D2" w:rsidRDefault="00F052D2" w:rsidP="004149F4">
            <w:pPr>
              <w:pStyle w:val="Marginlie"/>
            </w:pPr>
          </w:p>
          <w:p w14:paraId="4F2A7BD9" w14:textId="77777777" w:rsidR="00F052D2" w:rsidRDefault="00F052D2" w:rsidP="004149F4">
            <w:pPr>
              <w:pStyle w:val="Marginlie"/>
            </w:pPr>
          </w:p>
          <w:p w14:paraId="2BDE16D0" w14:textId="77777777" w:rsidR="00F052D2" w:rsidRDefault="00F052D2" w:rsidP="004149F4">
            <w:pPr>
              <w:pStyle w:val="Marginlie"/>
            </w:pPr>
            <w:r>
              <w:t>Pesimismus spotřebitelů byl v říjnu rekordní.</w:t>
            </w:r>
          </w:p>
          <w:p w14:paraId="021E0162" w14:textId="77777777" w:rsidR="00F052D2" w:rsidRDefault="00F052D2" w:rsidP="004149F4">
            <w:pPr>
              <w:pStyle w:val="Marginlie"/>
            </w:pPr>
            <w:r>
              <w:t xml:space="preserve">Důvěra obchodníků se ale dosud letos snižovala jen mírně. </w:t>
            </w:r>
          </w:p>
          <w:p w14:paraId="5427BB95" w14:textId="77777777" w:rsidR="00F052D2" w:rsidRDefault="00F052D2" w:rsidP="004149F4">
            <w:pPr>
              <w:pStyle w:val="Marginlie"/>
            </w:pPr>
          </w:p>
        </w:tc>
        <w:tc>
          <w:tcPr>
            <w:tcW w:w="212" w:type="dxa"/>
            <w:tcBorders>
              <w:top w:val="nil"/>
              <w:left w:val="nil"/>
              <w:bottom w:val="nil"/>
              <w:right w:val="nil"/>
            </w:tcBorders>
            <w:shd w:val="clear" w:color="auto" w:fill="auto"/>
            <w:tcMar>
              <w:left w:w="0" w:type="dxa"/>
            </w:tcMar>
          </w:tcPr>
          <w:p w14:paraId="135418B4"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1C446625" w14:textId="77777777" w:rsidR="00F052D2" w:rsidRPr="00D06CFC" w:rsidRDefault="00F052D2" w:rsidP="004149F4">
            <w:pPr>
              <w:spacing w:after="0"/>
              <w:rPr>
                <w:rFonts w:cs="Arial"/>
                <w:color w:val="0D0D0D" w:themeColor="text1" w:themeTint="F2"/>
                <w:spacing w:val="-4"/>
                <w:szCs w:val="20"/>
              </w:rPr>
            </w:pPr>
            <w:r w:rsidRPr="007E16DE">
              <w:rPr>
                <w:rFonts w:cs="Arial"/>
                <w:color w:val="0D0D0D" w:themeColor="text1" w:themeTint="F2"/>
                <w:spacing w:val="-4"/>
                <w:szCs w:val="20"/>
              </w:rPr>
              <w:t>Tržby v maloobchodu</w:t>
            </w:r>
            <w:r w:rsidRPr="007E16DE">
              <w:rPr>
                <w:rStyle w:val="Znakapoznpodarou"/>
                <w:color w:val="0D0D0D" w:themeColor="text1" w:themeTint="F2"/>
                <w:spacing w:val="-4"/>
              </w:rPr>
              <w:footnoteReference w:id="28"/>
            </w:r>
            <w:r>
              <w:rPr>
                <w:rFonts w:cs="Arial"/>
                <w:color w:val="0D0D0D" w:themeColor="text1" w:themeTint="F2"/>
                <w:spacing w:val="-4"/>
                <w:szCs w:val="20"/>
              </w:rPr>
              <w:t xml:space="preserve"> byly ve 3. čtvrtletí 2022 mezikvartálně nižší o 2,0 %, když klesaly prakticky ve všech jeho segmentech. Útlum poptávky v maloobchodu je patrný již čtvrtý kvartál v řadě (shodně jako v případě celkových výdajů na konečnou spotřebu domácností). V září 2022 se sice meziměsíční pokles maloobchodních tržeb dočasně zastavil</w:t>
            </w:r>
            <w:r>
              <w:rPr>
                <w:rStyle w:val="Znakapoznpodarou"/>
                <w:color w:val="0D0D0D" w:themeColor="text1" w:themeTint="F2"/>
                <w:spacing w:val="-4"/>
                <w:szCs w:val="20"/>
              </w:rPr>
              <w:footnoteReference w:id="29"/>
            </w:r>
            <w:r>
              <w:rPr>
                <w:rFonts w:cs="Arial"/>
                <w:color w:val="0D0D0D" w:themeColor="text1" w:themeTint="F2"/>
                <w:spacing w:val="-4"/>
                <w:szCs w:val="20"/>
              </w:rPr>
              <w:t>, jejich výše se ale pouze dorovnala úrovni z července</w:t>
            </w:r>
            <w:r w:rsidRPr="00D74A69">
              <w:rPr>
                <w:rFonts w:cs="Arial"/>
                <w:color w:val="0D0D0D" w:themeColor="text1" w:themeTint="F2"/>
                <w:spacing w:val="-4"/>
                <w:szCs w:val="20"/>
              </w:rPr>
              <w:t xml:space="preserve"> 2019.</w:t>
            </w:r>
            <w:r>
              <w:rPr>
                <w:rFonts w:cs="Arial"/>
                <w:color w:val="0D0D0D" w:themeColor="text1" w:themeTint="F2"/>
                <w:spacing w:val="-4"/>
                <w:szCs w:val="20"/>
              </w:rPr>
              <w:t xml:space="preserve"> To</w:t>
            </w:r>
            <w:r w:rsidRPr="00D74A69">
              <w:rPr>
                <w:rFonts w:cs="Arial"/>
                <w:color w:val="0D0D0D" w:themeColor="text1" w:themeTint="F2"/>
                <w:spacing w:val="-4"/>
                <w:szCs w:val="20"/>
              </w:rPr>
              <w:t xml:space="preserve"> úzce souvisel</w:t>
            </w:r>
            <w:r>
              <w:rPr>
                <w:rFonts w:cs="Arial"/>
                <w:color w:val="0D0D0D" w:themeColor="text1" w:themeTint="F2"/>
                <w:spacing w:val="-4"/>
                <w:szCs w:val="20"/>
              </w:rPr>
              <w:t>o</w:t>
            </w:r>
            <w:r w:rsidRPr="00D74A69">
              <w:rPr>
                <w:rFonts w:cs="Arial"/>
                <w:color w:val="0D0D0D" w:themeColor="text1" w:themeTint="F2"/>
                <w:spacing w:val="-4"/>
                <w:szCs w:val="20"/>
              </w:rPr>
              <w:t xml:space="preserve"> s postupným útlumem spotřebitelské důvěry až n</w:t>
            </w:r>
            <w:r>
              <w:rPr>
                <w:rFonts w:cs="Arial"/>
                <w:color w:val="0D0D0D" w:themeColor="text1" w:themeTint="F2"/>
                <w:spacing w:val="-4"/>
                <w:szCs w:val="20"/>
              </w:rPr>
              <w:t>a historické minimum (v říjnu</w:t>
            </w:r>
            <w:r w:rsidRPr="00D74A69">
              <w:rPr>
                <w:rFonts w:cs="Arial"/>
                <w:color w:val="0D0D0D" w:themeColor="text1" w:themeTint="F2"/>
                <w:spacing w:val="-4"/>
                <w:szCs w:val="20"/>
              </w:rPr>
              <w:t xml:space="preserve"> 2</w:t>
            </w:r>
            <w:r>
              <w:rPr>
                <w:rFonts w:cs="Arial"/>
                <w:color w:val="0D0D0D" w:themeColor="text1" w:themeTint="F2"/>
                <w:spacing w:val="-4"/>
                <w:szCs w:val="20"/>
              </w:rPr>
              <w:t xml:space="preserve">022). Meziroční reálný propad průměrných mezd dosáhl ve 2. i 3. </w:t>
            </w:r>
            <w:r w:rsidRPr="00D74A69">
              <w:rPr>
                <w:rFonts w:cs="Arial"/>
                <w:color w:val="0D0D0D" w:themeColor="text1" w:themeTint="F2"/>
                <w:spacing w:val="-4"/>
                <w:szCs w:val="20"/>
              </w:rPr>
              <w:t>čtvr</w:t>
            </w:r>
            <w:r>
              <w:rPr>
                <w:rFonts w:cs="Arial"/>
                <w:color w:val="0D0D0D" w:themeColor="text1" w:themeTint="F2"/>
                <w:spacing w:val="-4"/>
                <w:szCs w:val="20"/>
              </w:rPr>
              <w:t>tletí 2022 téměř 10 % a vyústil v citelný</w:t>
            </w:r>
            <w:r w:rsidRPr="00D74A69">
              <w:rPr>
                <w:rFonts w:cs="Arial"/>
                <w:color w:val="0D0D0D" w:themeColor="text1" w:themeTint="F2"/>
                <w:spacing w:val="-4"/>
                <w:szCs w:val="20"/>
              </w:rPr>
              <w:t xml:space="preserve"> </w:t>
            </w:r>
            <w:r>
              <w:rPr>
                <w:rFonts w:cs="Arial"/>
                <w:color w:val="0D0D0D" w:themeColor="text1" w:themeTint="F2"/>
                <w:spacing w:val="-4"/>
                <w:szCs w:val="20"/>
              </w:rPr>
              <w:t xml:space="preserve">pokles celkového </w:t>
            </w:r>
            <w:r w:rsidRPr="00D74A69">
              <w:rPr>
                <w:rFonts w:cs="Arial"/>
                <w:color w:val="0D0D0D" w:themeColor="text1" w:themeTint="F2"/>
                <w:spacing w:val="-4"/>
                <w:szCs w:val="20"/>
              </w:rPr>
              <w:t>disponibilního důchodu domácností</w:t>
            </w:r>
            <w:r>
              <w:rPr>
                <w:rStyle w:val="Znakapoznpodarou"/>
                <w:color w:val="0D0D0D" w:themeColor="text1" w:themeTint="F2"/>
                <w:spacing w:val="-4"/>
                <w:szCs w:val="20"/>
              </w:rPr>
              <w:footnoteReference w:id="30"/>
            </w:r>
            <w:r>
              <w:rPr>
                <w:rFonts w:cs="Arial"/>
                <w:color w:val="0D0D0D" w:themeColor="text1" w:themeTint="F2"/>
                <w:spacing w:val="-4"/>
                <w:szCs w:val="20"/>
              </w:rPr>
              <w:t>. Spolu se zhoršující se finanční situací domácností se prohlubovaly i negativní výhledy v oblasti celkové ekonomické situace v ČR</w:t>
            </w:r>
            <w:r w:rsidRPr="00D74A69">
              <w:rPr>
                <w:rFonts w:cs="Arial"/>
                <w:color w:val="0D0D0D" w:themeColor="text1" w:themeTint="F2"/>
                <w:spacing w:val="-4"/>
                <w:szCs w:val="20"/>
              </w:rPr>
              <w:t xml:space="preserve"> na období nejbl</w:t>
            </w:r>
            <w:r>
              <w:rPr>
                <w:rFonts w:cs="Arial"/>
                <w:color w:val="0D0D0D" w:themeColor="text1" w:themeTint="F2"/>
                <w:spacing w:val="-4"/>
                <w:szCs w:val="20"/>
              </w:rPr>
              <w:t>ižších 12 měsíců</w:t>
            </w:r>
            <w:r>
              <w:rPr>
                <w:rStyle w:val="Znakapoznpodarou"/>
                <w:color w:val="0D0D0D" w:themeColor="text1" w:themeTint="F2"/>
                <w:spacing w:val="-4"/>
                <w:szCs w:val="20"/>
              </w:rPr>
              <w:footnoteReference w:id="31"/>
            </w:r>
            <w:r>
              <w:rPr>
                <w:rFonts w:cs="Arial"/>
                <w:color w:val="0D0D0D" w:themeColor="text1" w:themeTint="F2"/>
                <w:spacing w:val="-4"/>
                <w:szCs w:val="20"/>
              </w:rPr>
              <w:t>. Ovšem</w:t>
            </w:r>
            <w:r w:rsidRPr="00D74A69">
              <w:rPr>
                <w:rFonts w:cs="Arial"/>
                <w:color w:val="0D0D0D" w:themeColor="text1" w:themeTint="F2"/>
                <w:spacing w:val="-4"/>
                <w:szCs w:val="20"/>
              </w:rPr>
              <w:t xml:space="preserve"> nálada samotných obchodníků zůstávala i přes mírné zhoršení pozitivní</w:t>
            </w:r>
            <w:r w:rsidRPr="00D74A69">
              <w:rPr>
                <w:rStyle w:val="Znakapoznpodarou"/>
                <w:color w:val="0D0D0D" w:themeColor="text1" w:themeTint="F2"/>
                <w:spacing w:val="-4"/>
                <w:szCs w:val="20"/>
              </w:rPr>
              <w:footnoteReference w:id="32"/>
            </w:r>
            <w:r w:rsidRPr="00D74A69">
              <w:rPr>
                <w:rFonts w:cs="Arial"/>
                <w:color w:val="0D0D0D" w:themeColor="text1" w:themeTint="F2"/>
                <w:spacing w:val="-4"/>
                <w:szCs w:val="20"/>
              </w:rPr>
              <w:t>.</w:t>
            </w:r>
            <w:r>
              <w:rPr>
                <w:rFonts w:cs="Arial"/>
                <w:color w:val="0D0D0D" w:themeColor="text1" w:themeTint="F2"/>
                <w:spacing w:val="-4"/>
                <w:szCs w:val="20"/>
              </w:rPr>
              <w:t xml:space="preserve"> Ti spoléhali i na</w:t>
            </w:r>
            <w:r w:rsidRPr="00D74A69">
              <w:rPr>
                <w:rFonts w:cs="Arial"/>
                <w:color w:val="0D0D0D" w:themeColor="text1" w:themeTint="F2"/>
                <w:spacing w:val="-4"/>
                <w:szCs w:val="20"/>
              </w:rPr>
              <w:t xml:space="preserve"> setrvačnost ve spotřebním chování tuzemských domácností (vč. </w:t>
            </w:r>
            <w:r>
              <w:rPr>
                <w:rFonts w:cs="Arial"/>
                <w:color w:val="0D0D0D" w:themeColor="text1" w:themeTint="F2"/>
                <w:spacing w:val="-4"/>
                <w:szCs w:val="20"/>
              </w:rPr>
              <w:t xml:space="preserve">jejich </w:t>
            </w:r>
            <w:r w:rsidRPr="00D74A69">
              <w:rPr>
                <w:rFonts w:cs="Arial"/>
                <w:color w:val="0D0D0D" w:themeColor="text1" w:themeTint="F2"/>
                <w:spacing w:val="-4"/>
                <w:szCs w:val="20"/>
              </w:rPr>
              <w:t>využití zbývající části „zadržených“ úspor z let 2020 a 2021</w:t>
            </w:r>
            <w:r>
              <w:rPr>
                <w:rFonts w:cs="Arial"/>
                <w:color w:val="0D0D0D" w:themeColor="text1" w:themeTint="F2"/>
                <w:spacing w:val="-4"/>
                <w:szCs w:val="20"/>
              </w:rPr>
              <w:t xml:space="preserve"> k současným nákupům</w:t>
            </w:r>
            <w:r w:rsidRPr="00D74A69">
              <w:rPr>
                <w:rFonts w:cs="Arial"/>
                <w:color w:val="0D0D0D" w:themeColor="text1" w:themeTint="F2"/>
                <w:spacing w:val="-4"/>
                <w:szCs w:val="20"/>
              </w:rPr>
              <w:t>)</w:t>
            </w:r>
            <w:r>
              <w:rPr>
                <w:rFonts w:cs="Arial"/>
                <w:color w:val="0D0D0D" w:themeColor="text1" w:themeTint="F2"/>
                <w:spacing w:val="-4"/>
                <w:szCs w:val="20"/>
              </w:rPr>
              <w:t xml:space="preserve"> </w:t>
            </w:r>
            <w:proofErr w:type="gramStart"/>
            <w:r>
              <w:rPr>
                <w:rFonts w:cs="Arial"/>
                <w:color w:val="0D0D0D" w:themeColor="text1" w:themeTint="F2"/>
                <w:spacing w:val="-4"/>
                <w:szCs w:val="20"/>
              </w:rPr>
              <w:t>a</w:t>
            </w:r>
            <w:r w:rsidRPr="00D74A69">
              <w:rPr>
                <w:rFonts w:cs="Arial"/>
                <w:color w:val="0D0D0D" w:themeColor="text1" w:themeTint="F2"/>
                <w:spacing w:val="-4"/>
                <w:szCs w:val="20"/>
              </w:rPr>
              <w:t xml:space="preserve">  na</w:t>
            </w:r>
            <w:proofErr w:type="gramEnd"/>
            <w:r w:rsidRPr="00D74A69">
              <w:rPr>
                <w:rFonts w:cs="Arial"/>
                <w:color w:val="0D0D0D" w:themeColor="text1" w:themeTint="F2"/>
                <w:spacing w:val="-4"/>
                <w:szCs w:val="20"/>
              </w:rPr>
              <w:t xml:space="preserve"> vyšší výdaje nerezidentů</w:t>
            </w:r>
            <w:r>
              <w:rPr>
                <w:rStyle w:val="Znakapoznpodarou"/>
                <w:color w:val="0D0D0D" w:themeColor="text1" w:themeTint="F2"/>
                <w:spacing w:val="-4"/>
                <w:szCs w:val="20"/>
              </w:rPr>
              <w:footnoteReference w:id="33"/>
            </w:r>
            <w:r w:rsidRPr="00D74A69">
              <w:rPr>
                <w:rFonts w:cs="Arial"/>
                <w:color w:val="0D0D0D" w:themeColor="text1" w:themeTint="F2"/>
                <w:spacing w:val="-4"/>
                <w:szCs w:val="20"/>
              </w:rPr>
              <w:t xml:space="preserve"> související s oživením turismu </w:t>
            </w:r>
            <w:r>
              <w:rPr>
                <w:rFonts w:cs="Arial"/>
                <w:color w:val="0D0D0D" w:themeColor="text1" w:themeTint="F2"/>
                <w:spacing w:val="-4"/>
                <w:szCs w:val="20"/>
              </w:rPr>
              <w:t>č</w:t>
            </w:r>
            <w:r w:rsidRPr="00D74A69">
              <w:rPr>
                <w:rFonts w:cs="Arial"/>
                <w:color w:val="0D0D0D" w:themeColor="text1" w:themeTint="F2"/>
                <w:spacing w:val="-4"/>
                <w:szCs w:val="20"/>
              </w:rPr>
              <w:t>i uprchlickou vlnou z Ukrajiny.</w:t>
            </w:r>
            <w:r>
              <w:rPr>
                <w:rFonts w:cs="Arial"/>
                <w:color w:val="0D0D0D" w:themeColor="text1" w:themeTint="F2"/>
                <w:spacing w:val="-4"/>
                <w:szCs w:val="20"/>
              </w:rPr>
              <w:t xml:space="preserve"> </w:t>
            </w:r>
          </w:p>
        </w:tc>
      </w:tr>
      <w:tr w:rsidR="00F052D2" w14:paraId="7CCEFF02" w14:textId="77777777" w:rsidTr="004149F4">
        <w:trPr>
          <w:trHeight w:val="170"/>
        </w:trPr>
        <w:tc>
          <w:tcPr>
            <w:tcW w:w="1747" w:type="dxa"/>
            <w:tcBorders>
              <w:top w:val="nil"/>
              <w:left w:val="nil"/>
              <w:bottom w:val="nil"/>
              <w:right w:val="nil"/>
            </w:tcBorders>
            <w:shd w:val="clear" w:color="auto" w:fill="auto"/>
            <w:tcMar>
              <w:left w:w="0" w:type="dxa"/>
            </w:tcMar>
          </w:tcPr>
          <w:p w14:paraId="704EAD51" w14:textId="77777777" w:rsidR="00F052D2" w:rsidRDefault="00F052D2" w:rsidP="004149F4">
            <w:pPr>
              <w:pStyle w:val="Marginlie"/>
            </w:pPr>
            <w:r>
              <w:lastRenderedPageBreak/>
              <w:t>Meziroční pokles tržeb v maloobchodě dosáhl ve 3. čtvrtletí rekordní hloubky. Nižší poptávka sužovala všechny jeho významnější segmenty.</w:t>
            </w:r>
          </w:p>
          <w:p w14:paraId="155BF763" w14:textId="77777777" w:rsidR="00F052D2" w:rsidRDefault="00F052D2" w:rsidP="004149F4">
            <w:pPr>
              <w:pStyle w:val="Marginlie"/>
            </w:pPr>
          </w:p>
          <w:p w14:paraId="042E474B" w14:textId="77777777" w:rsidR="00F052D2" w:rsidRDefault="00F052D2" w:rsidP="004149F4">
            <w:pPr>
              <w:pStyle w:val="Marginlie"/>
            </w:pPr>
          </w:p>
          <w:p w14:paraId="7E71AFCE" w14:textId="77777777" w:rsidR="00F052D2" w:rsidRDefault="00F052D2" w:rsidP="004149F4">
            <w:pPr>
              <w:pStyle w:val="Marginlie"/>
            </w:pPr>
          </w:p>
          <w:p w14:paraId="6A726E70" w14:textId="77777777" w:rsidR="00F052D2" w:rsidRDefault="00F052D2" w:rsidP="004149F4">
            <w:pPr>
              <w:pStyle w:val="Marginlie"/>
            </w:pPr>
          </w:p>
          <w:p w14:paraId="4303C196" w14:textId="77777777" w:rsidR="00F052D2" w:rsidRDefault="00F052D2" w:rsidP="004149F4">
            <w:pPr>
              <w:pStyle w:val="Marginlie"/>
            </w:pPr>
          </w:p>
          <w:p w14:paraId="02267DD9" w14:textId="77777777" w:rsidR="00F052D2" w:rsidRDefault="00F052D2" w:rsidP="004149F4">
            <w:pPr>
              <w:pStyle w:val="Marginlie"/>
            </w:pPr>
            <w:r>
              <w:t xml:space="preserve">Pokles poptávky v motoristickém segmentu obchodu se zmírnil, přesto za rokem 2019 stále citelně zaostával. </w:t>
            </w:r>
          </w:p>
        </w:tc>
        <w:tc>
          <w:tcPr>
            <w:tcW w:w="212" w:type="dxa"/>
            <w:tcBorders>
              <w:top w:val="nil"/>
              <w:left w:val="nil"/>
              <w:bottom w:val="nil"/>
              <w:right w:val="nil"/>
            </w:tcBorders>
            <w:shd w:val="clear" w:color="auto" w:fill="auto"/>
            <w:tcMar>
              <w:left w:w="0" w:type="dxa"/>
            </w:tcMar>
          </w:tcPr>
          <w:p w14:paraId="19B6A5F5"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0F095D5C" w14:textId="77777777" w:rsidR="00F052D2" w:rsidRPr="00E04DF2" w:rsidRDefault="00F052D2" w:rsidP="004149F4">
            <w:pPr>
              <w:spacing w:after="0"/>
              <w:rPr>
                <w:rFonts w:cs="Arial"/>
                <w:color w:val="0D0D0D" w:themeColor="text1" w:themeTint="F2"/>
                <w:spacing w:val="-8"/>
                <w:szCs w:val="20"/>
              </w:rPr>
            </w:pPr>
            <w:r w:rsidRPr="00E04DF2">
              <w:rPr>
                <w:rFonts w:cs="Arial"/>
                <w:color w:val="0D0D0D" w:themeColor="text1" w:themeTint="F2"/>
                <w:spacing w:val="-4"/>
                <w:szCs w:val="20"/>
              </w:rPr>
              <w:t>Maloobchodní tržby se ve 3. čtvrtletí meziročně propadly o rekordních 7,1 % a prohloubily tak svůj pokles z předchozího kvartálu (−3,0 %). Jestliže ve 2. čtvrtletí stály za poklesem celého maloobchodu především nižší nákupy potravin, v následujícím období pak prodeje nepotravinářského zboží (s meziročním propadem tržeb o 7,4 %). Ty táhly dolů klesající tržby ve specializovaných prodejnách – nejvíce v těch s výrobky převážně pro domácnost</w:t>
            </w:r>
            <w:r w:rsidRPr="00E04DF2">
              <w:rPr>
                <w:rStyle w:val="Znakapoznpodarou"/>
                <w:color w:val="0D0D0D" w:themeColor="text1" w:themeTint="F2"/>
                <w:spacing w:val="-4"/>
                <w:szCs w:val="20"/>
              </w:rPr>
              <w:footnoteReference w:id="34"/>
            </w:r>
            <w:r w:rsidRPr="00E04DF2">
              <w:rPr>
                <w:rFonts w:cs="Arial"/>
                <w:color w:val="0D0D0D" w:themeColor="text1" w:themeTint="F2"/>
                <w:spacing w:val="-4"/>
                <w:szCs w:val="20"/>
              </w:rPr>
              <w:t xml:space="preserve"> (−11,4 %). Citelně klesla poptávka i po počítačovém a komunikačním zařízení (−11,2 %), výrobcích pro kulturu a rekreaci (−8,5 %) či oděvech, obuvi a koženém zboží (−7,9 %). Třetí čtvrtletí v řadě stržili meziročně méně i internetoví prodejci (−6,6 %), oproti </w:t>
            </w:r>
            <w:proofErr w:type="spellStart"/>
            <w:r w:rsidRPr="00E04DF2">
              <w:rPr>
                <w:rFonts w:cs="Arial"/>
                <w:color w:val="0D0D0D" w:themeColor="text1" w:themeTint="F2"/>
                <w:spacing w:val="-4"/>
                <w:szCs w:val="20"/>
              </w:rPr>
              <w:t>předpademickému</w:t>
            </w:r>
            <w:proofErr w:type="spellEnd"/>
            <w:r w:rsidRPr="00E04DF2">
              <w:rPr>
                <w:rFonts w:cs="Arial"/>
                <w:color w:val="0D0D0D" w:themeColor="text1" w:themeTint="F2"/>
                <w:spacing w:val="-4"/>
                <w:szCs w:val="20"/>
              </w:rPr>
              <w:t xml:space="preserve"> období (3. čtvrtletí 2019) ale registrovali skoro 30% růst. Také poptávka po farmaceutickém a zdravotnickém zboží nebyla za pandemie příliš narušena a rostla i letos ve 3. čtvrtletí (+4,2 %) jako jediná ze sortimentních skupin ve specializovaných prodejnách</w:t>
            </w:r>
            <w:r w:rsidRPr="00E04DF2">
              <w:rPr>
                <w:rStyle w:val="Znakapoznpodarou"/>
                <w:color w:val="0D0D0D" w:themeColor="text1" w:themeTint="F2"/>
                <w:spacing w:val="-4"/>
                <w:szCs w:val="20"/>
              </w:rPr>
              <w:footnoteReference w:id="35"/>
            </w:r>
            <w:r w:rsidRPr="00E04DF2">
              <w:rPr>
                <w:rFonts w:cs="Arial"/>
                <w:color w:val="0D0D0D" w:themeColor="text1" w:themeTint="F2"/>
                <w:spacing w:val="-4"/>
                <w:szCs w:val="20"/>
              </w:rPr>
              <w:t>. Tržby za potraviny se snižovaly od poloviny loňského roku a ve 3. čtvrtletí 2022 poklesly již o 5,6 %. Hůře si letos, stejně jako v úhrnu za celé pandemické období, vedly menší specializované prodejny s potravinami, nižší tržby ale zaznamenaly i velké řetězce</w:t>
            </w:r>
            <w:r w:rsidRPr="00E04DF2">
              <w:rPr>
                <w:rStyle w:val="Znakapoznpodarou"/>
                <w:color w:val="0D0D0D" w:themeColor="text1" w:themeTint="F2"/>
                <w:spacing w:val="-4"/>
                <w:szCs w:val="20"/>
              </w:rPr>
              <w:footnoteReference w:id="36"/>
            </w:r>
            <w:r w:rsidRPr="00E04DF2">
              <w:rPr>
                <w:rFonts w:cs="Arial"/>
                <w:color w:val="0D0D0D" w:themeColor="text1" w:themeTint="F2"/>
                <w:spacing w:val="-4"/>
                <w:szCs w:val="20"/>
              </w:rPr>
              <w:t>. Meziroční pokles prodeje pohonných hmot se letos prohloubil až na rovných 10 % (ve 2. čtvrtletí činil 4,0 %) a ve srovnání s rokem 2019 stále zaostával (o 7,4 %)</w:t>
            </w:r>
            <w:r w:rsidRPr="00E04DF2">
              <w:rPr>
                <w:rStyle w:val="Znakapoznpodarou"/>
                <w:color w:val="0D0D0D" w:themeColor="text1" w:themeTint="F2"/>
                <w:spacing w:val="-4"/>
                <w:szCs w:val="20"/>
              </w:rPr>
              <w:footnoteReference w:id="37"/>
            </w:r>
            <w:r w:rsidRPr="00E04DF2">
              <w:rPr>
                <w:rFonts w:cs="Arial"/>
                <w:color w:val="0D0D0D" w:themeColor="text1" w:themeTint="F2"/>
                <w:spacing w:val="-4"/>
                <w:szCs w:val="20"/>
              </w:rPr>
              <w:t xml:space="preserve">. To platilo i pro motoristický segment obchodu, v němž ovšem pokles tržeb trvající od poloviny loňského roku letos ve 3. čtvrtletí zmírnil na 3,8 %. Jedinou částí tohoto segmentu, kde letos </w:t>
            </w:r>
            <w:r w:rsidRPr="00E04DF2">
              <w:rPr>
                <w:rFonts w:cs="Arial"/>
                <w:color w:val="0D0D0D" w:themeColor="text1" w:themeTint="F2"/>
                <w:spacing w:val="-8"/>
                <w:szCs w:val="20"/>
              </w:rPr>
              <w:t>v létě poptávka předčila předkrizový rok 2019, byl obchod, opravy a údržba motocyklů (+2,7 %).</w:t>
            </w:r>
          </w:p>
          <w:p w14:paraId="754F431F" w14:textId="77777777" w:rsidR="00F052D2" w:rsidRPr="00E04DF2" w:rsidRDefault="00F052D2" w:rsidP="004149F4">
            <w:pPr>
              <w:spacing w:after="0"/>
              <w:rPr>
                <w:rFonts w:cs="Arial"/>
                <w:spacing w:val="-4"/>
                <w:sz w:val="14"/>
                <w:szCs w:val="14"/>
              </w:rPr>
            </w:pPr>
          </w:p>
        </w:tc>
      </w:tr>
      <w:tr w:rsidR="00F052D2" w:rsidRPr="004C1143" w14:paraId="1233A17E" w14:textId="77777777" w:rsidTr="004149F4">
        <w:trPr>
          <w:trHeight w:val="170"/>
        </w:trPr>
        <w:tc>
          <w:tcPr>
            <w:tcW w:w="1747" w:type="dxa"/>
            <w:tcBorders>
              <w:top w:val="nil"/>
              <w:left w:val="nil"/>
              <w:bottom w:val="nil"/>
              <w:right w:val="nil"/>
            </w:tcBorders>
            <w:shd w:val="clear" w:color="auto" w:fill="auto"/>
            <w:tcMar>
              <w:left w:w="0" w:type="dxa"/>
            </w:tcMar>
          </w:tcPr>
          <w:p w14:paraId="2C19EE95" w14:textId="77777777" w:rsidR="00F052D2" w:rsidRDefault="00F052D2" w:rsidP="004149F4">
            <w:pPr>
              <w:pStyle w:val="Marginlie"/>
            </w:pPr>
          </w:p>
        </w:tc>
        <w:tc>
          <w:tcPr>
            <w:tcW w:w="212" w:type="dxa"/>
            <w:tcBorders>
              <w:top w:val="nil"/>
              <w:left w:val="nil"/>
              <w:bottom w:val="nil"/>
              <w:right w:val="nil"/>
            </w:tcBorders>
            <w:shd w:val="clear" w:color="auto" w:fill="auto"/>
            <w:tcMar>
              <w:left w:w="0" w:type="dxa"/>
            </w:tcMar>
          </w:tcPr>
          <w:p w14:paraId="79E29188"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03F61295" w14:textId="77777777" w:rsidR="00F052D2" w:rsidRPr="004C1143" w:rsidRDefault="00F052D2" w:rsidP="004149F4">
            <w:pPr>
              <w:spacing w:after="0"/>
              <w:rPr>
                <w:rFonts w:cs="Arial"/>
                <w:sz w:val="14"/>
                <w:szCs w:val="14"/>
              </w:rPr>
            </w:pPr>
            <w:r w:rsidRPr="004C1143">
              <w:rPr>
                <w:rFonts w:cs="Arial"/>
                <w:sz w:val="14"/>
                <w:szCs w:val="14"/>
              </w:rPr>
              <w:t xml:space="preserve"> </w:t>
            </w:r>
            <w:r>
              <w:rPr>
                <w:b/>
              </w:rPr>
              <w:t>Graf č. 8</w:t>
            </w:r>
            <w:r w:rsidRPr="00F0005D">
              <w:rPr>
                <w:b/>
              </w:rPr>
              <w:t xml:space="preserve"> </w:t>
            </w:r>
            <w:r w:rsidRPr="004405E2">
              <w:rPr>
                <w:rFonts w:cs="Arial"/>
                <w:b/>
                <w:bCs/>
                <w:color w:val="0D0D0D" w:themeColor="text1" w:themeTint="F2"/>
                <w:spacing w:val="-6"/>
              </w:rPr>
              <w:t xml:space="preserve">Příspěvky dílčích odvětví k meziroční změně tržeb v maloobchodu* </w:t>
            </w:r>
            <w:r w:rsidRPr="004405E2">
              <w:rPr>
                <w:rFonts w:cs="Arial"/>
                <w:color w:val="0D0D0D" w:themeColor="text1" w:themeTint="F2"/>
                <w:spacing w:val="-6"/>
              </w:rPr>
              <w:t xml:space="preserve">(reálně, v p. b.), </w:t>
            </w:r>
            <w:r w:rsidRPr="004405E2">
              <w:rPr>
                <w:rFonts w:cs="Arial"/>
                <w:b/>
                <w:bCs/>
                <w:color w:val="0D0D0D" w:themeColor="text1" w:themeTint="F2"/>
                <w:spacing w:val="-6"/>
              </w:rPr>
              <w:t xml:space="preserve">tržby v maloobchodu a v motoristickém segmentu obchodu** </w:t>
            </w:r>
            <w:r w:rsidRPr="004405E2">
              <w:rPr>
                <w:rFonts w:cs="Arial"/>
                <w:color w:val="0D0D0D" w:themeColor="text1" w:themeTint="F2"/>
                <w:spacing w:val="-6"/>
              </w:rPr>
              <w:t xml:space="preserve">(reálně, úroveň roku 2015=100, pravá osa) </w:t>
            </w:r>
            <w:r w:rsidRPr="004405E2">
              <w:rPr>
                <w:rFonts w:cs="Arial"/>
                <w:b/>
                <w:bCs/>
                <w:color w:val="0D0D0D" w:themeColor="text1" w:themeTint="F2"/>
                <w:spacing w:val="-6"/>
              </w:rPr>
              <w:t xml:space="preserve">a saldo celkové důvěry spotřebitelů*** </w:t>
            </w:r>
            <w:r w:rsidRPr="004405E2">
              <w:rPr>
                <w:rFonts w:cs="Arial"/>
                <w:color w:val="0D0D0D" w:themeColor="text1" w:themeTint="F2"/>
                <w:spacing w:val="-6"/>
              </w:rPr>
              <w:t>(v p. b., pravá osa)</w:t>
            </w:r>
          </w:p>
        </w:tc>
      </w:tr>
      <w:tr w:rsidR="00F052D2" w:rsidRPr="004C1143" w14:paraId="4215E578" w14:textId="77777777" w:rsidTr="004149F4">
        <w:tblPrEx>
          <w:tblCellMar>
            <w:left w:w="70" w:type="dxa"/>
            <w:right w:w="70" w:type="dxa"/>
          </w:tblCellMar>
        </w:tblPrEx>
        <w:trPr>
          <w:trHeight w:val="170"/>
        </w:trPr>
        <w:tc>
          <w:tcPr>
            <w:tcW w:w="1747" w:type="dxa"/>
            <w:tcBorders>
              <w:top w:val="nil"/>
              <w:left w:val="nil"/>
              <w:bottom w:val="nil"/>
              <w:right w:val="nil"/>
            </w:tcBorders>
            <w:shd w:val="clear" w:color="auto" w:fill="auto"/>
          </w:tcPr>
          <w:p w14:paraId="61C71D90" w14:textId="77777777" w:rsidR="00F052D2" w:rsidRDefault="00F052D2" w:rsidP="004149F4">
            <w:pPr>
              <w:pStyle w:val="Marginlie"/>
            </w:pPr>
          </w:p>
        </w:tc>
        <w:tc>
          <w:tcPr>
            <w:tcW w:w="212" w:type="dxa"/>
            <w:tcBorders>
              <w:top w:val="nil"/>
              <w:left w:val="nil"/>
              <w:bottom w:val="nil"/>
              <w:right w:val="nil"/>
            </w:tcBorders>
            <w:shd w:val="clear" w:color="auto" w:fill="auto"/>
          </w:tcPr>
          <w:p w14:paraId="2EC5FF65"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Pr>
          <w:p w14:paraId="7CE3969C" w14:textId="77777777" w:rsidR="00F052D2" w:rsidRPr="004C1143" w:rsidRDefault="00F052D2" w:rsidP="004149F4">
            <w:pPr>
              <w:spacing w:after="0"/>
              <w:rPr>
                <w:rFonts w:cs="Arial"/>
                <w:sz w:val="14"/>
                <w:szCs w:val="14"/>
              </w:rPr>
            </w:pPr>
            <w:r>
              <w:rPr>
                <w:noProof/>
              </w:rPr>
              <w:drawing>
                <wp:inline distT="0" distB="0" distL="0" distR="0" wp14:anchorId="48D92B15" wp14:editId="4E569C85">
                  <wp:extent cx="4788000" cy="3716118"/>
                  <wp:effectExtent l="0" t="0" r="0" b="0"/>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F052D2" w:rsidRPr="004C1143" w14:paraId="61528176" w14:textId="77777777" w:rsidTr="004149F4">
        <w:trPr>
          <w:trHeight w:val="170"/>
        </w:trPr>
        <w:tc>
          <w:tcPr>
            <w:tcW w:w="1747" w:type="dxa"/>
            <w:tcBorders>
              <w:top w:val="nil"/>
              <w:left w:val="nil"/>
              <w:bottom w:val="nil"/>
              <w:right w:val="nil"/>
            </w:tcBorders>
            <w:shd w:val="clear" w:color="auto" w:fill="auto"/>
            <w:tcMar>
              <w:left w:w="0" w:type="dxa"/>
            </w:tcMar>
          </w:tcPr>
          <w:p w14:paraId="5D10FDBD" w14:textId="77777777" w:rsidR="00F052D2" w:rsidRDefault="00F052D2" w:rsidP="004149F4">
            <w:pPr>
              <w:pStyle w:val="Marginlie"/>
            </w:pPr>
          </w:p>
        </w:tc>
        <w:tc>
          <w:tcPr>
            <w:tcW w:w="212" w:type="dxa"/>
            <w:tcBorders>
              <w:top w:val="nil"/>
              <w:left w:val="nil"/>
              <w:bottom w:val="nil"/>
              <w:right w:val="nil"/>
            </w:tcBorders>
            <w:shd w:val="clear" w:color="auto" w:fill="auto"/>
            <w:tcMar>
              <w:left w:w="0" w:type="dxa"/>
            </w:tcMar>
          </w:tcPr>
          <w:p w14:paraId="6FE330FF" w14:textId="77777777" w:rsidR="00F052D2" w:rsidRDefault="00F052D2" w:rsidP="004149F4">
            <w:pPr>
              <w:pStyle w:val="Textpoznpodarou"/>
              <w:jc w:val="both"/>
              <w:rPr>
                <w:spacing w:val="-4"/>
              </w:rPr>
            </w:pPr>
          </w:p>
        </w:tc>
        <w:tc>
          <w:tcPr>
            <w:tcW w:w="7680" w:type="dxa"/>
            <w:tcBorders>
              <w:top w:val="nil"/>
              <w:left w:val="nil"/>
              <w:bottom w:val="nil"/>
              <w:right w:val="nil"/>
            </w:tcBorders>
            <w:shd w:val="clear" w:color="auto" w:fill="auto"/>
            <w:tcMar>
              <w:left w:w="0" w:type="dxa"/>
            </w:tcMar>
          </w:tcPr>
          <w:p w14:paraId="79DB91B5" w14:textId="77777777" w:rsidR="00F052D2" w:rsidRPr="00052ADA" w:rsidRDefault="00F052D2" w:rsidP="004149F4">
            <w:pPr>
              <w:spacing w:after="0" w:line="240" w:lineRule="auto"/>
              <w:rPr>
                <w:rFonts w:cs="Arial"/>
                <w:sz w:val="14"/>
                <w:szCs w:val="14"/>
              </w:rPr>
            </w:pPr>
            <w:r>
              <w:rPr>
                <w:rFonts w:cs="Arial"/>
                <w:color w:val="0D0D0D" w:themeColor="text1" w:themeTint="F2"/>
                <w:spacing w:val="-6"/>
              </w:rPr>
              <w:t>*</w:t>
            </w:r>
            <w:r w:rsidRPr="00052ADA">
              <w:rPr>
                <w:rFonts w:cs="Arial"/>
                <w:sz w:val="14"/>
                <w:szCs w:val="14"/>
              </w:rPr>
              <w:t xml:space="preserve"> Tržby jsou očištěny o kalendářní vlivy.       ** Tržby jsou sezónně i kalendářně očištěny.</w:t>
            </w:r>
          </w:p>
          <w:p w14:paraId="7771BC52" w14:textId="77777777" w:rsidR="00F052D2" w:rsidRPr="004C1143" w:rsidRDefault="00F052D2" w:rsidP="004149F4">
            <w:pPr>
              <w:spacing w:after="0"/>
              <w:rPr>
                <w:rFonts w:cs="Arial"/>
                <w:sz w:val="14"/>
                <w:szCs w:val="14"/>
              </w:rPr>
            </w:pPr>
            <w:r w:rsidRPr="00052ADA">
              <w:rPr>
                <w:rFonts w:cs="Arial"/>
                <w:color w:val="0D0D0D" w:themeColor="text1" w:themeTint="F2"/>
                <w:spacing w:val="-4"/>
                <w:sz w:val="14"/>
                <w:szCs w:val="14"/>
              </w:rPr>
              <w:t>*** Saldo důvěry spotřebitelů je sezónně očištěno a vyjadřuje stav ve druhém měs</w:t>
            </w:r>
            <w:r>
              <w:rPr>
                <w:rFonts w:cs="Arial"/>
                <w:color w:val="0D0D0D" w:themeColor="text1" w:themeTint="F2"/>
                <w:spacing w:val="-4"/>
                <w:sz w:val="14"/>
                <w:szCs w:val="14"/>
              </w:rPr>
              <w:t>íci daného čtvrtletí.</w:t>
            </w:r>
            <w:r>
              <w:rPr>
                <w:rFonts w:cs="Arial"/>
                <w:color w:val="0D0D0D" w:themeColor="text1" w:themeTint="F2"/>
                <w:spacing w:val="-4"/>
                <w:sz w:val="14"/>
                <w:szCs w:val="14"/>
              </w:rPr>
              <w:tab/>
              <w:t xml:space="preserve">      </w:t>
            </w:r>
            <w:r w:rsidRPr="00052ADA">
              <w:rPr>
                <w:rFonts w:cs="Arial"/>
                <w:color w:val="0D0D0D" w:themeColor="text1" w:themeTint="F2"/>
                <w:spacing w:val="-4"/>
                <w:sz w:val="14"/>
                <w:szCs w:val="14"/>
              </w:rPr>
              <w:t xml:space="preserve">         Zdroj: ČSÚ</w:t>
            </w:r>
          </w:p>
        </w:tc>
      </w:tr>
    </w:tbl>
    <w:p w14:paraId="353D6675" w14:textId="77777777" w:rsidR="00F052D2" w:rsidRPr="00E42054" w:rsidRDefault="00F052D2" w:rsidP="00F052D2">
      <w:pPr>
        <w:pStyle w:val="Nadpis11"/>
        <w:rPr>
          <w:b w:val="0"/>
          <w:sz w:val="2"/>
          <w:szCs w:val="2"/>
        </w:rPr>
      </w:pPr>
    </w:p>
    <w:p w14:paraId="0F906123" w14:textId="77777777" w:rsidR="00F052D2" w:rsidRPr="00E42054" w:rsidRDefault="00F052D2" w:rsidP="00F052D2">
      <w:pPr>
        <w:pStyle w:val="Nadpis11"/>
        <w:rPr>
          <w:b w:val="0"/>
          <w:sz w:val="2"/>
          <w:szCs w:val="2"/>
        </w:rPr>
      </w:pPr>
    </w:p>
    <w:bookmarkEnd w:id="1"/>
    <w:bookmarkEnd w:id="2"/>
    <w:bookmarkEnd w:id="3"/>
    <w:bookmarkEnd w:id="4"/>
    <w:bookmarkEnd w:id="5"/>
    <w:bookmarkEnd w:id="6"/>
    <w:bookmarkEnd w:id="7"/>
    <w:p w14:paraId="53552171" w14:textId="77777777" w:rsidR="00A30EA4" w:rsidRPr="00E42054" w:rsidRDefault="00A30EA4" w:rsidP="00A30EA4">
      <w:pPr>
        <w:pStyle w:val="Nadpis11"/>
        <w:rPr>
          <w:b w:val="0"/>
          <w:sz w:val="2"/>
          <w:szCs w:val="2"/>
        </w:rPr>
      </w:pPr>
    </w:p>
    <w:p w14:paraId="5BAB8EA3" w14:textId="6926CA10" w:rsidR="000663F0" w:rsidRPr="00E42054" w:rsidRDefault="000663F0" w:rsidP="00A30EA4">
      <w:pPr>
        <w:pStyle w:val="Nadpis11"/>
        <w:rPr>
          <w:b w:val="0"/>
          <w:sz w:val="2"/>
          <w:szCs w:val="2"/>
        </w:rPr>
      </w:pPr>
    </w:p>
    <w:sectPr w:rsidR="000663F0" w:rsidRPr="00E42054" w:rsidSect="00B91F4A">
      <w:headerReference w:type="even" r:id="rId14"/>
      <w:headerReference w:type="default" r:id="rId15"/>
      <w:footerReference w:type="even" r:id="rId16"/>
      <w:footerReference w:type="default" r:id="rId17"/>
      <w:pgSz w:w="11906" w:h="16838" w:code="9"/>
      <w:pgMar w:top="1134" w:right="1134" w:bottom="1418" w:left="1134" w:header="680" w:footer="737"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9558" w14:textId="77777777" w:rsidR="00665501" w:rsidRDefault="00665501" w:rsidP="00E71A58">
      <w:r>
        <w:separator/>
      </w:r>
    </w:p>
  </w:endnote>
  <w:endnote w:type="continuationSeparator" w:id="0">
    <w:p w14:paraId="1D4B7205" w14:textId="77777777" w:rsidR="00665501" w:rsidRDefault="0066550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B6C8" w14:textId="1E100CD2" w:rsidR="00275E43" w:rsidRPr="00932443" w:rsidRDefault="00275E43"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B42902">
      <w:rPr>
        <w:szCs w:val="16"/>
      </w:rPr>
      <w:t>20</w:t>
    </w:r>
    <w:r w:rsidRPr="00932443">
      <w:rPr>
        <w:szCs w:val="16"/>
      </w:rPr>
      <w:fldChar w:fldCharType="end"/>
    </w:r>
    <w:r w:rsidRPr="00932443">
      <w:rPr>
        <w:szCs w:val="16"/>
      </w:rPr>
      <w:tab/>
    </w:r>
    <w:r>
      <w:rPr>
        <w:szCs w:val="16"/>
      </w:rPr>
      <w:t>1. až 3. čtvrtletí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AFAF" w14:textId="720FC4B9" w:rsidR="00275E43" w:rsidRPr="00932443" w:rsidRDefault="00275E43" w:rsidP="00FA6CB6">
    <w:pPr>
      <w:pStyle w:val="Zpat"/>
      <w:rPr>
        <w:szCs w:val="16"/>
      </w:rPr>
    </w:pPr>
    <w:r w:rsidRPr="00FA6CB6">
      <w:rPr>
        <w:szCs w:val="16"/>
      </w:rPr>
      <w:tab/>
    </w:r>
    <w:r>
      <w:rPr>
        <w:szCs w:val="16"/>
      </w:rPr>
      <w:t>1. až 3. čtvrtletí 202</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B42902">
      <w:rPr>
        <w:rStyle w:val="ZpatChar"/>
        <w:szCs w:val="16"/>
      </w:rPr>
      <w:t>21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5C823" w14:textId="77777777" w:rsidR="00665501" w:rsidRDefault="00665501" w:rsidP="00A21B4D">
      <w:pPr>
        <w:spacing w:after="0"/>
      </w:pPr>
      <w:r>
        <w:separator/>
      </w:r>
    </w:p>
  </w:footnote>
  <w:footnote w:type="continuationSeparator" w:id="0">
    <w:p w14:paraId="01B4EBFF" w14:textId="77777777" w:rsidR="00665501" w:rsidRDefault="00665501" w:rsidP="00E71A58">
      <w:r>
        <w:continuationSeparator/>
      </w:r>
    </w:p>
  </w:footnote>
  <w:footnote w:id="1">
    <w:p w14:paraId="6BBF76A0" w14:textId="77777777" w:rsidR="00F052D2" w:rsidRPr="007163BD" w:rsidRDefault="00F052D2" w:rsidP="00F052D2">
      <w:pPr>
        <w:pStyle w:val="Textpoznpodarou"/>
        <w:jc w:val="both"/>
        <w:rPr>
          <w:rFonts w:cs="Arial"/>
          <w:color w:val="0D0D0D" w:themeColor="text1" w:themeTint="F2"/>
          <w:spacing w:val="-2"/>
          <w:sz w:val="16"/>
          <w:szCs w:val="16"/>
        </w:rPr>
      </w:pPr>
      <w:r w:rsidRPr="007163BD">
        <w:rPr>
          <w:rStyle w:val="Znakapoznpodarou"/>
          <w:rFonts w:cs="Arial"/>
          <w:color w:val="0D0D0D" w:themeColor="text1" w:themeTint="F2"/>
          <w:spacing w:val="-2"/>
          <w:sz w:val="16"/>
          <w:szCs w:val="16"/>
        </w:rPr>
        <w:footnoteRef/>
      </w:r>
      <w:r w:rsidRPr="007163BD">
        <w:rPr>
          <w:rFonts w:cs="Arial"/>
          <w:color w:val="0D0D0D" w:themeColor="text1" w:themeTint="F2"/>
          <w:spacing w:val="-2"/>
          <w:sz w:val="16"/>
          <w:szCs w:val="16"/>
        </w:rPr>
        <w:t xml:space="preserve"> Údaje o HPH jsou vyjádřeny ve stálých cenách a v očištění o sezónní a kalendářní vlivy.</w:t>
      </w:r>
    </w:p>
  </w:footnote>
  <w:footnote w:id="2">
    <w:p w14:paraId="2B36CFF0" w14:textId="77777777" w:rsidR="00F052D2" w:rsidRDefault="00F052D2" w:rsidP="00F052D2">
      <w:pPr>
        <w:pStyle w:val="Textpoznpodarou"/>
      </w:pPr>
      <w:r w:rsidRPr="007163BD">
        <w:rPr>
          <w:rStyle w:val="Znakapoznpodarou"/>
          <w:sz w:val="16"/>
          <w:szCs w:val="16"/>
        </w:rPr>
        <w:footnoteRef/>
      </w:r>
      <w:r w:rsidRPr="007163BD">
        <w:rPr>
          <w:sz w:val="16"/>
          <w:szCs w:val="16"/>
        </w:rPr>
        <w:t xml:space="preserve"> Zahrnuje kulturní</w:t>
      </w:r>
      <w:r w:rsidRPr="003B5B59">
        <w:rPr>
          <w:sz w:val="16"/>
          <w:szCs w:val="16"/>
        </w:rPr>
        <w:t xml:space="preserve">, zábavní a rekreační činnosti a dále zejména poskytování osobních služeb (např. kadeřnictví, kosmetické služby, </w:t>
      </w:r>
      <w:r>
        <w:rPr>
          <w:rFonts w:cs="Arial"/>
          <w:color w:val="0D0D0D" w:themeColor="text1" w:themeTint="F2"/>
          <w:spacing w:val="-2"/>
          <w:sz w:val="16"/>
          <w:szCs w:val="16"/>
        </w:rPr>
        <w:t xml:space="preserve">čisticí služby či </w:t>
      </w:r>
      <w:r w:rsidRPr="003B5B59">
        <w:rPr>
          <w:sz w:val="16"/>
          <w:szCs w:val="16"/>
        </w:rPr>
        <w:t>opravy výrobků pro osobní potřebu a převážně pro domácnost).</w:t>
      </w:r>
    </w:p>
  </w:footnote>
  <w:footnote w:id="3">
    <w:p w14:paraId="70D3EEBF" w14:textId="77777777" w:rsidR="00F052D2" w:rsidRPr="008C6019" w:rsidRDefault="00F052D2" w:rsidP="00F052D2">
      <w:pPr>
        <w:pStyle w:val="Textpoznpodarou"/>
        <w:rPr>
          <w:sz w:val="16"/>
          <w:szCs w:val="16"/>
        </w:rPr>
      </w:pPr>
      <w:r w:rsidRPr="008C6019">
        <w:rPr>
          <w:rStyle w:val="Znakapoznpodarou"/>
          <w:sz w:val="16"/>
          <w:szCs w:val="16"/>
        </w:rPr>
        <w:footnoteRef/>
      </w:r>
      <w:r w:rsidRPr="008C6019">
        <w:rPr>
          <w:sz w:val="16"/>
          <w:szCs w:val="16"/>
        </w:rPr>
        <w:t xml:space="preserve"> Pro zjednodušení </w:t>
      </w:r>
      <w:r>
        <w:rPr>
          <w:sz w:val="16"/>
          <w:szCs w:val="16"/>
        </w:rPr>
        <w:t>jsou zde zahrnuta</w:t>
      </w:r>
      <w:r w:rsidRPr="008C6019">
        <w:rPr>
          <w:sz w:val="16"/>
          <w:szCs w:val="16"/>
        </w:rPr>
        <w:t xml:space="preserve"> odvětví veřejná správa a obrana, vzdělávání, zdravotní a sociální péče.</w:t>
      </w:r>
    </w:p>
  </w:footnote>
  <w:footnote w:id="4">
    <w:p w14:paraId="0D7AF6F2" w14:textId="77777777" w:rsidR="00F052D2" w:rsidRPr="002F02F1" w:rsidRDefault="00F052D2" w:rsidP="00F052D2">
      <w:pPr>
        <w:pStyle w:val="Textpoznpodarou"/>
        <w:rPr>
          <w:sz w:val="16"/>
          <w:szCs w:val="16"/>
        </w:rPr>
      </w:pPr>
      <w:r w:rsidRPr="002F02F1">
        <w:rPr>
          <w:rStyle w:val="Znakapoznpodarou"/>
          <w:sz w:val="16"/>
          <w:szCs w:val="16"/>
        </w:rPr>
        <w:footnoteRef/>
      </w:r>
      <w:r w:rsidRPr="002F02F1">
        <w:rPr>
          <w:sz w:val="16"/>
          <w:szCs w:val="16"/>
        </w:rPr>
        <w:t xml:space="preserve"> Podle posledního odhadu k 15. září 2022.</w:t>
      </w:r>
    </w:p>
  </w:footnote>
  <w:footnote w:id="5">
    <w:p w14:paraId="41606892" w14:textId="77777777" w:rsidR="00F052D2" w:rsidRPr="00F052D2" w:rsidRDefault="00F052D2" w:rsidP="00F052D2">
      <w:pPr>
        <w:pStyle w:val="Textpoznpodarou"/>
        <w:rPr>
          <w:spacing w:val="-5"/>
          <w:sz w:val="16"/>
          <w:szCs w:val="16"/>
        </w:rPr>
      </w:pPr>
      <w:r w:rsidRPr="00F052D2">
        <w:rPr>
          <w:rStyle w:val="Znakapoznpodarou"/>
          <w:spacing w:val="-5"/>
          <w:sz w:val="16"/>
          <w:szCs w:val="16"/>
        </w:rPr>
        <w:footnoteRef/>
      </w:r>
      <w:r w:rsidRPr="00F052D2">
        <w:rPr>
          <w:spacing w:val="-5"/>
          <w:sz w:val="16"/>
          <w:szCs w:val="16"/>
        </w:rPr>
        <w:t xml:space="preserve"> Ta v roce 2022 celkově (vč. kukuřice) dosáhla 8,17 mil. tun. Průměr sklizní z předchozích pěti let překonala o 6,4 %, desetiletý průměr o 4,8 %.</w:t>
      </w:r>
    </w:p>
  </w:footnote>
  <w:footnote w:id="6">
    <w:p w14:paraId="2A988DE5" w14:textId="77777777" w:rsidR="00F052D2" w:rsidRPr="002F02F1" w:rsidRDefault="00F052D2" w:rsidP="00F052D2">
      <w:pPr>
        <w:pStyle w:val="Textpoznpodarou"/>
        <w:rPr>
          <w:sz w:val="16"/>
          <w:szCs w:val="16"/>
        </w:rPr>
      </w:pPr>
      <w:r w:rsidRPr="002F02F1">
        <w:rPr>
          <w:rStyle w:val="Znakapoznpodarou"/>
          <w:sz w:val="16"/>
          <w:szCs w:val="16"/>
        </w:rPr>
        <w:footnoteRef/>
      </w:r>
      <w:r w:rsidRPr="002F02F1">
        <w:rPr>
          <w:sz w:val="16"/>
          <w:szCs w:val="16"/>
        </w:rPr>
        <w:t xml:space="preserve"> Jeho sklizeň </w:t>
      </w:r>
      <w:r>
        <w:rPr>
          <w:sz w:val="16"/>
          <w:szCs w:val="16"/>
        </w:rPr>
        <w:t>meziročně propadla o 48 %. Loňská úroda</w:t>
      </w:r>
      <w:r w:rsidRPr="002F02F1">
        <w:rPr>
          <w:sz w:val="16"/>
          <w:szCs w:val="16"/>
        </w:rPr>
        <w:t xml:space="preserve"> (</w:t>
      </w:r>
      <w:r>
        <w:rPr>
          <w:sz w:val="16"/>
          <w:szCs w:val="16"/>
        </w:rPr>
        <w:t>8,3 tis. tun) byla v Česku ovšem nejvyšší po roce 1996.</w:t>
      </w:r>
    </w:p>
  </w:footnote>
  <w:footnote w:id="7">
    <w:p w14:paraId="39885066" w14:textId="77777777" w:rsidR="00F052D2" w:rsidRPr="004744B4" w:rsidRDefault="00F052D2" w:rsidP="00F052D2">
      <w:pPr>
        <w:pStyle w:val="Textpoznpodarou"/>
        <w:rPr>
          <w:sz w:val="16"/>
          <w:szCs w:val="16"/>
        </w:rPr>
      </w:pPr>
      <w:r w:rsidRPr="004744B4">
        <w:rPr>
          <w:rStyle w:val="Znakapoznpodarou"/>
          <w:sz w:val="16"/>
          <w:szCs w:val="16"/>
        </w:rPr>
        <w:footnoteRef/>
      </w:r>
      <w:r>
        <w:rPr>
          <w:sz w:val="16"/>
          <w:szCs w:val="16"/>
        </w:rPr>
        <w:t xml:space="preserve"> Ten</w:t>
      </w:r>
      <w:r w:rsidRPr="004744B4">
        <w:rPr>
          <w:sz w:val="16"/>
          <w:szCs w:val="16"/>
        </w:rPr>
        <w:t xml:space="preserve"> se vlivem silného cenového růstu</w:t>
      </w:r>
      <w:r>
        <w:rPr>
          <w:sz w:val="16"/>
          <w:szCs w:val="16"/>
        </w:rPr>
        <w:t xml:space="preserve"> projevil</w:t>
      </w:r>
      <w:r w:rsidRPr="004744B4">
        <w:rPr>
          <w:sz w:val="16"/>
          <w:szCs w:val="16"/>
        </w:rPr>
        <w:t xml:space="preserve"> v zahraničním obchodu ČR až s odstupem. Hodnota vývozu produktů lesnictví a těžby dřeva ve 3. čtvrtletí 2022 meziročně propadla o 27 % a zaznamenala první pokles od konce roku 2017. </w:t>
      </w:r>
    </w:p>
  </w:footnote>
  <w:footnote w:id="8">
    <w:p w14:paraId="3D813A76" w14:textId="77777777" w:rsidR="00F052D2" w:rsidRPr="00E04667" w:rsidRDefault="00F052D2" w:rsidP="00F052D2">
      <w:pPr>
        <w:spacing w:after="0" w:line="240" w:lineRule="auto"/>
        <w:rPr>
          <w:rFonts w:cs="Arial"/>
          <w:color w:val="0D0D0D" w:themeColor="text1" w:themeTint="F2"/>
          <w:spacing w:val="-2"/>
          <w:sz w:val="16"/>
          <w:szCs w:val="16"/>
        </w:rPr>
      </w:pPr>
      <w:r w:rsidRPr="00E04667">
        <w:rPr>
          <w:rStyle w:val="Znakapoznpodarou"/>
          <w:spacing w:val="-2"/>
          <w:sz w:val="16"/>
          <w:szCs w:val="16"/>
        </w:rPr>
        <w:footnoteRef/>
      </w:r>
      <w:r w:rsidRPr="00E04667">
        <w:rPr>
          <w:spacing w:val="-2"/>
          <w:sz w:val="16"/>
          <w:szCs w:val="16"/>
        </w:rPr>
        <w:t xml:space="preserve"> </w:t>
      </w:r>
      <w:r w:rsidRPr="00E04667">
        <w:rPr>
          <w:rFonts w:cs="Arial"/>
          <w:color w:val="0D0D0D" w:themeColor="text1" w:themeTint="F2"/>
          <w:spacing w:val="-2"/>
          <w:sz w:val="16"/>
          <w:szCs w:val="16"/>
        </w:rPr>
        <w:t>Zahrnuje odvětví těžby a dobývání, zpracovatelského průmyslu a také energetiky (zde pojímané jako odvětví výroby a rozvodu elektřiny, plynu, tepla a klimatizovaného vzduchu). Všechna meziroční tempa produkce (na úrovni odvětvových sekcí i oddílů) jsou očištěna o kalendářní vlivy, mezičtvrtletní tempa pak také o vliv sezónnosti.</w:t>
      </w:r>
    </w:p>
  </w:footnote>
  <w:footnote w:id="9">
    <w:p w14:paraId="21AC9FCE" w14:textId="77777777" w:rsidR="00F052D2" w:rsidRPr="00E4073A" w:rsidRDefault="00F052D2" w:rsidP="00F052D2">
      <w:pPr>
        <w:spacing w:after="0" w:line="240" w:lineRule="auto"/>
        <w:jc w:val="left"/>
        <w:rPr>
          <w:spacing w:val="-4"/>
          <w:sz w:val="16"/>
          <w:szCs w:val="16"/>
        </w:rPr>
      </w:pPr>
      <w:r w:rsidRPr="00E4073A">
        <w:rPr>
          <w:rStyle w:val="Znakapoznpodarou"/>
          <w:spacing w:val="-4"/>
          <w:sz w:val="16"/>
          <w:szCs w:val="16"/>
        </w:rPr>
        <w:footnoteRef/>
      </w:r>
      <w:r w:rsidRPr="00E4073A">
        <w:rPr>
          <w:spacing w:val="-4"/>
          <w:sz w:val="16"/>
          <w:szCs w:val="16"/>
        </w:rPr>
        <w:t xml:space="preserve"> Ve 3. čtvrtletí 2022 se prů</w:t>
      </w:r>
      <w:r>
        <w:rPr>
          <w:spacing w:val="-4"/>
          <w:sz w:val="16"/>
          <w:szCs w:val="16"/>
        </w:rPr>
        <w:t>myslová produkce nacházela o 0,5</w:t>
      </w:r>
      <w:r w:rsidRPr="00E4073A">
        <w:rPr>
          <w:spacing w:val="-4"/>
          <w:sz w:val="16"/>
          <w:szCs w:val="16"/>
        </w:rPr>
        <w:t xml:space="preserve"> % nad úrovní dříve rekordního období z 2. čtvrtletí 2019. Za svým vrcholem z éry předpandemické konjunktury (</w:t>
      </w:r>
      <w:r>
        <w:rPr>
          <w:spacing w:val="-4"/>
          <w:sz w:val="16"/>
          <w:szCs w:val="16"/>
        </w:rPr>
        <w:t>v letech</w:t>
      </w:r>
      <w:r w:rsidRPr="00E4073A">
        <w:rPr>
          <w:spacing w:val="-4"/>
          <w:sz w:val="16"/>
          <w:szCs w:val="16"/>
        </w:rPr>
        <w:t xml:space="preserve"> 2014 až 2019) ovšem více než dvě třetiny (z téměř třiceti) hlavních průmyslových oborů zaostaly. Šlo především o těžbu a úpravu uhlí (o 33 %), kožedělný </w:t>
      </w:r>
      <w:r>
        <w:rPr>
          <w:spacing w:val="-4"/>
          <w:sz w:val="16"/>
          <w:szCs w:val="16"/>
        </w:rPr>
        <w:t>a obuvnický průmysl (31</w:t>
      </w:r>
      <w:r w:rsidRPr="00E4073A">
        <w:rPr>
          <w:spacing w:val="-4"/>
          <w:sz w:val="16"/>
          <w:szCs w:val="16"/>
        </w:rPr>
        <w:t xml:space="preserve"> %), hutnictví (18 %) dřevozpracující prům</w:t>
      </w:r>
      <w:r>
        <w:rPr>
          <w:spacing w:val="-4"/>
          <w:sz w:val="16"/>
          <w:szCs w:val="16"/>
        </w:rPr>
        <w:t>ysl (18 %), textilní průmysl (13</w:t>
      </w:r>
      <w:r w:rsidRPr="00E4073A">
        <w:rPr>
          <w:spacing w:val="-4"/>
          <w:sz w:val="16"/>
          <w:szCs w:val="16"/>
        </w:rPr>
        <w:t xml:space="preserve"> %) a z významnějších oborů dále např. o chemický průmysl či výrobu počítačů, elektronických a optických přístrojů (shodně 10 %), kovodělný průmysl (7 %) a ene</w:t>
      </w:r>
      <w:r>
        <w:rPr>
          <w:spacing w:val="-4"/>
          <w:sz w:val="16"/>
          <w:szCs w:val="16"/>
        </w:rPr>
        <w:t>rgetiku (6</w:t>
      </w:r>
      <w:r w:rsidRPr="00E4073A">
        <w:rPr>
          <w:spacing w:val="-4"/>
          <w:sz w:val="16"/>
          <w:szCs w:val="16"/>
        </w:rPr>
        <w:t xml:space="preserve"> %). Předkrizovou úroveň </w:t>
      </w:r>
      <w:r>
        <w:rPr>
          <w:spacing w:val="-4"/>
          <w:sz w:val="16"/>
          <w:szCs w:val="16"/>
        </w:rPr>
        <w:t xml:space="preserve">naopak </w:t>
      </w:r>
      <w:r w:rsidRPr="00E4073A">
        <w:rPr>
          <w:spacing w:val="-4"/>
          <w:sz w:val="16"/>
          <w:szCs w:val="16"/>
        </w:rPr>
        <w:t>překonali</w:t>
      </w:r>
      <w:r>
        <w:rPr>
          <w:spacing w:val="-4"/>
          <w:sz w:val="16"/>
          <w:szCs w:val="16"/>
        </w:rPr>
        <w:t xml:space="preserve"> zejména výrobci motorových vozidel (o 7 %), elektrických zařízení (o 10 %), z</w:t>
      </w:r>
      <w:r w:rsidRPr="00E4073A">
        <w:rPr>
          <w:spacing w:val="-4"/>
          <w:sz w:val="16"/>
          <w:szCs w:val="16"/>
        </w:rPr>
        <w:t> menších oborů náležely do této kategorie zejména farmacie</w:t>
      </w:r>
      <w:r>
        <w:rPr>
          <w:spacing w:val="-4"/>
          <w:sz w:val="16"/>
          <w:szCs w:val="16"/>
        </w:rPr>
        <w:t xml:space="preserve"> (16 %) a papírenský průmysl (14</w:t>
      </w:r>
      <w:r w:rsidRPr="00E4073A">
        <w:rPr>
          <w:spacing w:val="-4"/>
          <w:sz w:val="16"/>
          <w:szCs w:val="16"/>
        </w:rPr>
        <w:t xml:space="preserve"> %).</w:t>
      </w:r>
    </w:p>
  </w:footnote>
  <w:footnote w:id="10">
    <w:p w14:paraId="767B5AA1" w14:textId="77777777" w:rsidR="00F052D2" w:rsidRPr="00E04667" w:rsidRDefault="00F052D2" w:rsidP="00F052D2">
      <w:pPr>
        <w:pStyle w:val="Textpoznpodarou"/>
        <w:rPr>
          <w:spacing w:val="-3"/>
          <w:sz w:val="16"/>
          <w:szCs w:val="16"/>
        </w:rPr>
      </w:pPr>
      <w:r w:rsidRPr="00E04667">
        <w:rPr>
          <w:rStyle w:val="Znakapoznpodarou"/>
          <w:spacing w:val="-3"/>
          <w:sz w:val="16"/>
          <w:szCs w:val="16"/>
        </w:rPr>
        <w:footnoteRef/>
      </w:r>
      <w:r>
        <w:rPr>
          <w:spacing w:val="-3"/>
          <w:sz w:val="16"/>
          <w:szCs w:val="16"/>
        </w:rPr>
        <w:t xml:space="preserve"> Dle údajů</w:t>
      </w:r>
      <w:r w:rsidRPr="00E04667">
        <w:rPr>
          <w:spacing w:val="-3"/>
          <w:sz w:val="16"/>
          <w:szCs w:val="16"/>
        </w:rPr>
        <w:t xml:space="preserve"> Sdružení automobilového průmyslu</w:t>
      </w:r>
      <w:r w:rsidRPr="00605998">
        <w:rPr>
          <w:spacing w:val="-3"/>
          <w:sz w:val="16"/>
          <w:szCs w:val="16"/>
        </w:rPr>
        <w:t xml:space="preserve"> </w:t>
      </w:r>
      <w:r>
        <w:rPr>
          <w:spacing w:val="-3"/>
          <w:sz w:val="16"/>
          <w:szCs w:val="16"/>
        </w:rPr>
        <w:t xml:space="preserve">letos výroba od května do září zpravidla </w:t>
      </w:r>
      <w:r w:rsidRPr="00E04667">
        <w:rPr>
          <w:spacing w:val="-3"/>
          <w:sz w:val="16"/>
          <w:szCs w:val="16"/>
        </w:rPr>
        <w:t>přesahovala hran</w:t>
      </w:r>
      <w:r>
        <w:rPr>
          <w:spacing w:val="-3"/>
          <w:sz w:val="16"/>
          <w:szCs w:val="16"/>
        </w:rPr>
        <w:t>ici 100 tis. osobních vozů.</w:t>
      </w:r>
      <w:r w:rsidRPr="00E04667">
        <w:rPr>
          <w:spacing w:val="-3"/>
          <w:sz w:val="16"/>
          <w:szCs w:val="16"/>
        </w:rPr>
        <w:t xml:space="preserve"> </w:t>
      </w:r>
      <w:r>
        <w:rPr>
          <w:spacing w:val="-3"/>
          <w:sz w:val="16"/>
          <w:szCs w:val="16"/>
        </w:rPr>
        <w:t xml:space="preserve">Tím </w:t>
      </w:r>
      <w:r w:rsidRPr="00E04667">
        <w:rPr>
          <w:spacing w:val="-3"/>
          <w:sz w:val="16"/>
          <w:szCs w:val="16"/>
        </w:rPr>
        <w:t>se tyto měsíce přiblížily úrovni stejného období let 2017 až 2019, kdy byla výroba automobilů v tuzemsku na vrcholu. V úhrnu za 1.</w:t>
      </w:r>
      <w:r w:rsidRPr="00E04667">
        <w:rPr>
          <w:rFonts w:cs="Arial"/>
          <w:color w:val="0D0D0D" w:themeColor="text1" w:themeTint="F2"/>
          <w:spacing w:val="-3"/>
          <w:sz w:val="16"/>
          <w:szCs w:val="16"/>
        </w:rPr>
        <w:t> </w:t>
      </w:r>
      <w:r w:rsidRPr="00E04667">
        <w:rPr>
          <w:spacing w:val="-3"/>
          <w:sz w:val="16"/>
          <w:szCs w:val="16"/>
        </w:rPr>
        <w:t xml:space="preserve">až 3. čtvrtletí 2022 dosáhla výroba osobních vozů 913 tis. (meziročně o 10 % více, ale proti roku 2018 o 14 % méně). </w:t>
      </w:r>
      <w:r>
        <w:rPr>
          <w:spacing w:val="-3"/>
          <w:sz w:val="16"/>
          <w:szCs w:val="16"/>
        </w:rPr>
        <w:t>V</w:t>
      </w:r>
      <w:r w:rsidRPr="00E04667">
        <w:rPr>
          <w:spacing w:val="-3"/>
          <w:sz w:val="16"/>
          <w:szCs w:val="16"/>
        </w:rPr>
        <w:t>íce než d</w:t>
      </w:r>
      <w:r>
        <w:rPr>
          <w:spacing w:val="-3"/>
          <w:sz w:val="16"/>
          <w:szCs w:val="16"/>
        </w:rPr>
        <w:t>esetina vyrobených osobních automobilů</w:t>
      </w:r>
      <w:r w:rsidRPr="00E04667">
        <w:rPr>
          <w:spacing w:val="-3"/>
          <w:sz w:val="16"/>
          <w:szCs w:val="16"/>
        </w:rPr>
        <w:t xml:space="preserve"> </w:t>
      </w:r>
      <w:r>
        <w:rPr>
          <w:spacing w:val="-3"/>
          <w:sz w:val="16"/>
          <w:szCs w:val="16"/>
        </w:rPr>
        <w:t>připadala na elektrická vozidla. Ta spolu s vozy s</w:t>
      </w:r>
      <w:r w:rsidRPr="00E04667">
        <w:rPr>
          <w:spacing w:val="-3"/>
          <w:sz w:val="16"/>
          <w:szCs w:val="16"/>
        </w:rPr>
        <w:t xml:space="preserve"> hybridní</w:t>
      </w:r>
      <w:r>
        <w:rPr>
          <w:spacing w:val="-3"/>
          <w:sz w:val="16"/>
          <w:szCs w:val="16"/>
        </w:rPr>
        <w:t>m</w:t>
      </w:r>
      <w:r w:rsidRPr="00E04667">
        <w:rPr>
          <w:spacing w:val="-3"/>
          <w:sz w:val="16"/>
          <w:szCs w:val="16"/>
        </w:rPr>
        <w:t xml:space="preserve"> pohon</w:t>
      </w:r>
      <w:r>
        <w:rPr>
          <w:spacing w:val="-3"/>
          <w:sz w:val="16"/>
          <w:szCs w:val="16"/>
        </w:rPr>
        <w:t>em</w:t>
      </w:r>
      <w:r w:rsidRPr="00E04667">
        <w:rPr>
          <w:spacing w:val="-3"/>
          <w:sz w:val="16"/>
          <w:szCs w:val="16"/>
        </w:rPr>
        <w:t xml:space="preserve"> t</w:t>
      </w:r>
      <w:r>
        <w:rPr>
          <w:spacing w:val="-3"/>
          <w:sz w:val="16"/>
          <w:szCs w:val="16"/>
        </w:rPr>
        <w:t>vořila</w:t>
      </w:r>
      <w:r w:rsidRPr="00E04667">
        <w:rPr>
          <w:spacing w:val="-3"/>
          <w:sz w:val="16"/>
          <w:szCs w:val="16"/>
        </w:rPr>
        <w:t xml:space="preserve"> již více než pětinu nově produkovaného vozového parku. Dařilo se i výrobcům ostatních motorových vozidel, letošní produkce u nich převyšovala předkrizovou úroveň.</w:t>
      </w:r>
    </w:p>
  </w:footnote>
  <w:footnote w:id="11">
    <w:p w14:paraId="7550C68D" w14:textId="77777777" w:rsidR="00F052D2" w:rsidRPr="00E04667" w:rsidRDefault="00F052D2" w:rsidP="00F052D2">
      <w:pPr>
        <w:pStyle w:val="Textpoznpodarou"/>
        <w:jc w:val="both"/>
        <w:rPr>
          <w:spacing w:val="-2"/>
          <w:sz w:val="16"/>
          <w:szCs w:val="16"/>
        </w:rPr>
      </w:pPr>
      <w:r w:rsidRPr="00E04667">
        <w:rPr>
          <w:rStyle w:val="Znakapoznpodarou"/>
          <w:spacing w:val="-2"/>
          <w:sz w:val="16"/>
          <w:szCs w:val="16"/>
        </w:rPr>
        <w:footnoteRef/>
      </w:r>
      <w:r w:rsidRPr="00E04667">
        <w:rPr>
          <w:spacing w:val="-2"/>
          <w:sz w:val="16"/>
          <w:szCs w:val="16"/>
        </w:rPr>
        <w:t xml:space="preserve"> Na počátku 2., 3.</w:t>
      </w:r>
      <w:r>
        <w:rPr>
          <w:spacing w:val="-2"/>
          <w:sz w:val="16"/>
          <w:szCs w:val="16"/>
        </w:rPr>
        <w:t xml:space="preserve"> i 4. čtvrtletí 2022 setrváva</w:t>
      </w:r>
      <w:r w:rsidRPr="00E04667">
        <w:rPr>
          <w:spacing w:val="-2"/>
          <w:sz w:val="16"/>
          <w:szCs w:val="16"/>
        </w:rPr>
        <w:t>lo mírně pod 80 %. Za poslední konj</w:t>
      </w:r>
      <w:r>
        <w:rPr>
          <w:spacing w:val="-2"/>
          <w:sz w:val="16"/>
          <w:szCs w:val="16"/>
        </w:rPr>
        <w:t>unktury ovšem obvykle</w:t>
      </w:r>
      <w:r w:rsidRPr="00E04667">
        <w:rPr>
          <w:spacing w:val="-2"/>
          <w:sz w:val="16"/>
          <w:szCs w:val="16"/>
        </w:rPr>
        <w:t xml:space="preserve"> přesahovalo 90 %.</w:t>
      </w:r>
    </w:p>
  </w:footnote>
  <w:footnote w:id="12">
    <w:p w14:paraId="36DDF700" w14:textId="77777777" w:rsidR="00F052D2" w:rsidRPr="000B5DC8" w:rsidRDefault="00F052D2" w:rsidP="00F052D2">
      <w:pPr>
        <w:pStyle w:val="Textpoznpodarou"/>
        <w:jc w:val="both"/>
        <w:rPr>
          <w:sz w:val="16"/>
          <w:szCs w:val="16"/>
        </w:rPr>
      </w:pPr>
      <w:r w:rsidRPr="00E04667">
        <w:rPr>
          <w:rStyle w:val="Znakapoznpodarou"/>
          <w:spacing w:val="-2"/>
          <w:sz w:val="16"/>
          <w:szCs w:val="16"/>
        </w:rPr>
        <w:footnoteRef/>
      </w:r>
      <w:r w:rsidRPr="00E04667">
        <w:rPr>
          <w:spacing w:val="-2"/>
          <w:sz w:val="16"/>
          <w:szCs w:val="16"/>
        </w:rPr>
        <w:t xml:space="preserve"> </w:t>
      </w:r>
      <w:r w:rsidRPr="00E04667">
        <w:rPr>
          <w:rFonts w:cs="Arial"/>
          <w:spacing w:val="-2"/>
          <w:sz w:val="16"/>
          <w:szCs w:val="16"/>
        </w:rPr>
        <w:t>Podniky mohly uvést více hlavních růstových bariér současně.</w:t>
      </w:r>
    </w:p>
  </w:footnote>
  <w:footnote w:id="13">
    <w:p w14:paraId="7C598480" w14:textId="77777777" w:rsidR="00F052D2" w:rsidRPr="00D85AE5" w:rsidRDefault="00F052D2" w:rsidP="00F052D2">
      <w:pPr>
        <w:pStyle w:val="Textpoznpodarou"/>
        <w:rPr>
          <w:spacing w:val="-4"/>
          <w:sz w:val="16"/>
          <w:szCs w:val="16"/>
        </w:rPr>
      </w:pPr>
      <w:r w:rsidRPr="00D85AE5">
        <w:rPr>
          <w:rStyle w:val="Znakapoznpodarou"/>
          <w:spacing w:val="-4"/>
          <w:sz w:val="16"/>
          <w:szCs w:val="16"/>
        </w:rPr>
        <w:footnoteRef/>
      </w:r>
      <w:r w:rsidRPr="00D85AE5">
        <w:rPr>
          <w:spacing w:val="-4"/>
          <w:sz w:val="16"/>
          <w:szCs w:val="16"/>
        </w:rPr>
        <w:t xml:space="preserve"> Tento faktor stále dominuje nad vlivem rostoucí poptávky po dřevě jako energetickém materiálu. Ta je v posledních čtvrtletích v Česku i</w:t>
      </w:r>
      <w:r>
        <w:rPr>
          <w:spacing w:val="-4"/>
          <w:sz w:val="16"/>
          <w:szCs w:val="16"/>
        </w:rPr>
        <w:t> </w:t>
      </w:r>
      <w:r w:rsidRPr="00D85AE5">
        <w:rPr>
          <w:spacing w:val="-4"/>
          <w:sz w:val="16"/>
          <w:szCs w:val="16"/>
        </w:rPr>
        <w:t xml:space="preserve">Evropě patrná a odráží se i v ceně této suroviny. Produkce dřevozpracujícího průmyslu v ČR ve 2. i 3. čtvrtletí 2022 mezikvartálně </w:t>
      </w:r>
      <w:r>
        <w:rPr>
          <w:spacing w:val="-4"/>
          <w:sz w:val="16"/>
          <w:szCs w:val="16"/>
        </w:rPr>
        <w:t>klesala</w:t>
      </w:r>
      <w:r w:rsidRPr="00D85AE5">
        <w:rPr>
          <w:spacing w:val="-4"/>
          <w:sz w:val="16"/>
          <w:szCs w:val="16"/>
        </w:rPr>
        <w:t>.</w:t>
      </w:r>
    </w:p>
  </w:footnote>
  <w:footnote w:id="14">
    <w:p w14:paraId="113D29F9" w14:textId="77777777" w:rsidR="00F052D2" w:rsidRPr="007B3454" w:rsidRDefault="00F052D2" w:rsidP="00F052D2">
      <w:pPr>
        <w:pStyle w:val="Textpoznpodarou"/>
        <w:rPr>
          <w:spacing w:val="-2"/>
          <w:sz w:val="16"/>
          <w:szCs w:val="16"/>
        </w:rPr>
      </w:pPr>
      <w:r w:rsidRPr="007B3454">
        <w:rPr>
          <w:rStyle w:val="Znakapoznpodarou"/>
          <w:spacing w:val="-2"/>
          <w:sz w:val="16"/>
          <w:szCs w:val="16"/>
        </w:rPr>
        <w:footnoteRef/>
      </w:r>
      <w:r w:rsidRPr="007B3454">
        <w:rPr>
          <w:spacing w:val="-2"/>
          <w:sz w:val="16"/>
          <w:szCs w:val="16"/>
        </w:rPr>
        <w:t xml:space="preserve"> Spotřeba plynu v ČR se letos za tři čtvrtletí meziročně snížila o 19,1 % (po zohlednění teplejší zimy o 15,4 %</w:t>
      </w:r>
      <w:r>
        <w:rPr>
          <w:spacing w:val="-2"/>
          <w:sz w:val="16"/>
          <w:szCs w:val="16"/>
        </w:rPr>
        <w:t xml:space="preserve"> klesla</w:t>
      </w:r>
      <w:r w:rsidRPr="007B3454">
        <w:rPr>
          <w:spacing w:val="-2"/>
          <w:sz w:val="16"/>
          <w:szCs w:val="16"/>
        </w:rPr>
        <w:t xml:space="preserve"> spotřeba ve všech měsících roku – nejvíce od dubna do července). Podíleli se na tom nejvíce velkoodběratelé, významně ale dosud letos snížily svou spotřebu i domácnosti (o 19 %) či maloodběratelé (</w:t>
      </w:r>
      <w:r>
        <w:rPr>
          <w:spacing w:val="-2"/>
          <w:sz w:val="16"/>
          <w:szCs w:val="16"/>
        </w:rPr>
        <w:t>−</w:t>
      </w:r>
      <w:r w:rsidRPr="007B3454">
        <w:rPr>
          <w:spacing w:val="-2"/>
          <w:sz w:val="16"/>
          <w:szCs w:val="16"/>
        </w:rPr>
        <w:t xml:space="preserve">13 %). Dle aktuálních údajů klesla letos za 1. pololetí celková hrubá výroba tepla o 8,4 %, především zásluhou nižšího využití zemního plynu a černého uhlí. Svižněji ubylo množství spotřebovaného tepla – v domácnostech o 16 %, </w:t>
      </w:r>
      <w:r>
        <w:rPr>
          <w:spacing w:val="-2"/>
          <w:sz w:val="16"/>
          <w:szCs w:val="16"/>
        </w:rPr>
        <w:t xml:space="preserve">v </w:t>
      </w:r>
      <w:r w:rsidRPr="007B3454">
        <w:rPr>
          <w:spacing w:val="-2"/>
          <w:sz w:val="16"/>
          <w:szCs w:val="16"/>
        </w:rPr>
        <w:t>průmyslu</w:t>
      </w:r>
      <w:r>
        <w:rPr>
          <w:spacing w:val="-2"/>
          <w:sz w:val="16"/>
          <w:szCs w:val="16"/>
        </w:rPr>
        <w:t xml:space="preserve"> o</w:t>
      </w:r>
      <w:r>
        <w:rPr>
          <w:sz w:val="16"/>
          <w:szCs w:val="16"/>
        </w:rPr>
        <w:t> </w:t>
      </w:r>
      <w:r w:rsidRPr="007B3454">
        <w:rPr>
          <w:spacing w:val="-2"/>
          <w:sz w:val="16"/>
          <w:szCs w:val="16"/>
        </w:rPr>
        <w:t>7,5 %, v obchodu, službách, školství, zdravotnictví v úhrnu o 18 %.</w:t>
      </w:r>
    </w:p>
  </w:footnote>
  <w:footnote w:id="15">
    <w:p w14:paraId="727FF884" w14:textId="77777777" w:rsidR="00F052D2" w:rsidRDefault="00F052D2" w:rsidP="00F052D2">
      <w:pPr>
        <w:pStyle w:val="Textpoznpodarou"/>
      </w:pPr>
      <w:r w:rsidRPr="00CD024D">
        <w:rPr>
          <w:rStyle w:val="Znakapoznpodarou"/>
          <w:sz w:val="16"/>
          <w:szCs w:val="16"/>
        </w:rPr>
        <w:footnoteRef/>
      </w:r>
      <w:r w:rsidRPr="00CD024D">
        <w:rPr>
          <w:sz w:val="16"/>
          <w:szCs w:val="16"/>
        </w:rPr>
        <w:t xml:space="preserve"> </w:t>
      </w:r>
      <w:r>
        <w:rPr>
          <w:sz w:val="16"/>
          <w:szCs w:val="16"/>
        </w:rPr>
        <w:t xml:space="preserve">V 1. až 3. čtvrtletí 2022 činila hrubá tuzemská výroba elektřiny 62,2 </w:t>
      </w:r>
      <w:proofErr w:type="spellStart"/>
      <w:r>
        <w:rPr>
          <w:sz w:val="16"/>
          <w:szCs w:val="16"/>
        </w:rPr>
        <w:t>TWh</w:t>
      </w:r>
      <w:proofErr w:type="spellEnd"/>
      <w:r>
        <w:rPr>
          <w:sz w:val="16"/>
          <w:szCs w:val="16"/>
        </w:rPr>
        <w:t xml:space="preserve"> (meziročně o 3,2 % více, ale oproti roku 2019 o 1,6 % méně). K meziročnímu růstu výroby přispěly i přes pokles svého instalovaného výkonu nejvíce tepelné (parní) elektrárny, a to především díky vyššímu využití uhlí. Mírně posílila i výroba v jaderných elektrárnách (+2,5 %). Naopak o 55 % propadla produkce v paroplynových elektrárnách a o skoro pětinu ve vodních a přečerpávacích elektrárnách. Celková hrubá tuzemská spotřeba elektřiny meziročně mírně klesla (o 1,5 %), a to zejména díky domácnostem (ty snížily spotřebu o 9 %) a nejvýznamnějším velkoodběratelům (−5 %). Spotřeba podnikatelů z řad maloodběratelů naproti tomu lehce posílila (+1 %, oproti roku 2019 byla ovšem o 2 % nižší).</w:t>
      </w:r>
    </w:p>
  </w:footnote>
  <w:footnote w:id="16">
    <w:p w14:paraId="326DCF99" w14:textId="77777777" w:rsidR="00F052D2" w:rsidRPr="004670E0" w:rsidRDefault="00F052D2" w:rsidP="00F052D2">
      <w:pPr>
        <w:pStyle w:val="Textpoznpodarou"/>
        <w:jc w:val="both"/>
        <w:rPr>
          <w:sz w:val="16"/>
          <w:szCs w:val="16"/>
        </w:rPr>
      </w:pPr>
      <w:r w:rsidRPr="000345CC">
        <w:rPr>
          <w:rStyle w:val="Znakapoznpodarou"/>
          <w:sz w:val="16"/>
          <w:szCs w:val="16"/>
        </w:rPr>
        <w:footnoteRef/>
      </w:r>
      <w:r w:rsidRPr="000345CC">
        <w:rPr>
          <w:sz w:val="16"/>
          <w:szCs w:val="16"/>
        </w:rPr>
        <w:t xml:space="preserve"> </w:t>
      </w:r>
      <w:r w:rsidRPr="000345CC">
        <w:rPr>
          <w:rFonts w:cs="Arial"/>
          <w:color w:val="0D0D0D" w:themeColor="text1" w:themeTint="F2"/>
          <w:spacing w:val="-2"/>
          <w:sz w:val="16"/>
          <w:szCs w:val="16"/>
        </w:rPr>
        <w:t>Meziroční tempa tržeb js</w:t>
      </w:r>
      <w:r>
        <w:rPr>
          <w:rFonts w:cs="Arial"/>
          <w:color w:val="0D0D0D" w:themeColor="text1" w:themeTint="F2"/>
          <w:spacing w:val="-2"/>
          <w:sz w:val="16"/>
          <w:szCs w:val="16"/>
        </w:rPr>
        <w:t>ou očištěna o kalendářní vlivy.</w:t>
      </w:r>
    </w:p>
  </w:footnote>
  <w:footnote w:id="17">
    <w:p w14:paraId="39C1ECEF" w14:textId="77777777" w:rsidR="00F052D2" w:rsidRPr="00FB58F4" w:rsidRDefault="00F052D2" w:rsidP="00F052D2">
      <w:pPr>
        <w:pStyle w:val="Textpoznpodarou"/>
        <w:rPr>
          <w:rFonts w:cs="Arial"/>
          <w:color w:val="0D0D0D" w:themeColor="text1" w:themeTint="F2"/>
          <w:spacing w:val="-2"/>
          <w:sz w:val="16"/>
          <w:szCs w:val="16"/>
        </w:rPr>
      </w:pPr>
      <w:r w:rsidRPr="007A20EB">
        <w:rPr>
          <w:rStyle w:val="Znakapoznpodarou"/>
          <w:rFonts w:cs="Arial"/>
          <w:color w:val="0D0D0D" w:themeColor="text1" w:themeTint="F2"/>
          <w:spacing w:val="-2"/>
          <w:sz w:val="16"/>
          <w:szCs w:val="16"/>
        </w:rPr>
        <w:footnoteRef/>
      </w:r>
      <w:r w:rsidRPr="007A20EB">
        <w:rPr>
          <w:rFonts w:cs="Arial"/>
          <w:color w:val="0D0D0D" w:themeColor="text1" w:themeTint="F2"/>
          <w:spacing w:val="-2"/>
          <w:sz w:val="16"/>
          <w:szCs w:val="16"/>
        </w:rPr>
        <w:t xml:space="preserve"> </w:t>
      </w:r>
      <w:r w:rsidRPr="007A20EB">
        <w:rPr>
          <w:rFonts w:cs="Arial"/>
          <w:color w:val="0D0D0D" w:themeColor="text1" w:themeTint="F2"/>
          <w:sz w:val="16"/>
          <w:szCs w:val="16"/>
        </w:rPr>
        <w:t>Zjišťování zaká</w:t>
      </w:r>
      <w:r>
        <w:rPr>
          <w:rFonts w:cs="Arial"/>
          <w:color w:val="0D0D0D" w:themeColor="text1" w:themeTint="F2"/>
          <w:sz w:val="16"/>
          <w:szCs w:val="16"/>
        </w:rPr>
        <w:t xml:space="preserve">zek probíhá jen ve dvanácti zpracovatelských odvětvích </w:t>
      </w:r>
      <w:r w:rsidRPr="007A20EB">
        <w:rPr>
          <w:rFonts w:cs="Arial"/>
          <w:color w:val="0D0D0D" w:themeColor="text1" w:themeTint="F2"/>
          <w:sz w:val="16"/>
          <w:szCs w:val="16"/>
        </w:rPr>
        <w:t>vyrábějí</w:t>
      </w:r>
      <w:r>
        <w:rPr>
          <w:rFonts w:cs="Arial"/>
          <w:color w:val="0D0D0D" w:themeColor="text1" w:themeTint="F2"/>
          <w:sz w:val="16"/>
          <w:szCs w:val="16"/>
        </w:rPr>
        <w:t>cích</w:t>
      </w:r>
      <w:r w:rsidRPr="007A20EB">
        <w:rPr>
          <w:rFonts w:cs="Arial"/>
          <w:color w:val="0D0D0D" w:themeColor="text1" w:themeTint="F2"/>
          <w:sz w:val="16"/>
          <w:szCs w:val="16"/>
        </w:rPr>
        <w:t xml:space="preserve"> převážně na zakázku, s dlouhodobějším výrobním cyklem a s většími zásobami zakázek.</w:t>
      </w:r>
      <w:r>
        <w:rPr>
          <w:rFonts w:cs="Arial"/>
          <w:color w:val="0D0D0D" w:themeColor="text1" w:themeTint="F2"/>
          <w:sz w:val="16"/>
          <w:szCs w:val="16"/>
        </w:rPr>
        <w:t xml:space="preserve"> </w:t>
      </w:r>
      <w:r>
        <w:rPr>
          <w:rFonts w:cs="Arial"/>
          <w:color w:val="0D0D0D" w:themeColor="text1" w:themeTint="F2"/>
          <w:spacing w:val="-2"/>
          <w:sz w:val="16"/>
          <w:szCs w:val="16"/>
        </w:rPr>
        <w:t>M</w:t>
      </w:r>
      <w:r w:rsidRPr="00CE71E4">
        <w:rPr>
          <w:rFonts w:cs="Arial"/>
          <w:color w:val="0D0D0D" w:themeColor="text1" w:themeTint="F2"/>
          <w:spacing w:val="-2"/>
          <w:sz w:val="16"/>
          <w:szCs w:val="16"/>
        </w:rPr>
        <w:t>eziroční tempa</w:t>
      </w:r>
      <w:r>
        <w:rPr>
          <w:rFonts w:cs="Arial"/>
          <w:color w:val="0D0D0D" w:themeColor="text1" w:themeTint="F2"/>
          <w:spacing w:val="-2"/>
          <w:sz w:val="16"/>
          <w:szCs w:val="16"/>
        </w:rPr>
        <w:t xml:space="preserve"> zakázek</w:t>
      </w:r>
      <w:r w:rsidRPr="00CE71E4">
        <w:rPr>
          <w:rFonts w:cs="Arial"/>
          <w:color w:val="0D0D0D" w:themeColor="text1" w:themeTint="F2"/>
          <w:spacing w:val="-2"/>
          <w:sz w:val="16"/>
          <w:szCs w:val="16"/>
        </w:rPr>
        <w:t xml:space="preserve"> jsou očištěna o kalendářní vli</w:t>
      </w:r>
      <w:r>
        <w:rPr>
          <w:rFonts w:cs="Arial"/>
          <w:color w:val="0D0D0D" w:themeColor="text1" w:themeTint="F2"/>
          <w:spacing w:val="-2"/>
          <w:sz w:val="16"/>
          <w:szCs w:val="16"/>
        </w:rPr>
        <w:t>vy.</w:t>
      </w:r>
    </w:p>
  </w:footnote>
  <w:footnote w:id="18">
    <w:p w14:paraId="5FAB6A2F" w14:textId="77777777" w:rsidR="00F052D2" w:rsidRPr="00052275" w:rsidRDefault="00F052D2" w:rsidP="00F052D2">
      <w:pPr>
        <w:pStyle w:val="Textpoznpodarou"/>
        <w:jc w:val="both"/>
        <w:rPr>
          <w:sz w:val="16"/>
          <w:szCs w:val="16"/>
        </w:rPr>
      </w:pPr>
      <w:r w:rsidRPr="00052275">
        <w:rPr>
          <w:rStyle w:val="Znakapoznpodarou"/>
          <w:rFonts w:cs="Arial"/>
          <w:color w:val="0D0D0D" w:themeColor="text1" w:themeTint="F2"/>
          <w:sz w:val="16"/>
          <w:szCs w:val="16"/>
        </w:rPr>
        <w:footnoteRef/>
      </w:r>
      <w:r w:rsidRPr="00052275">
        <w:rPr>
          <w:rFonts w:cs="Arial"/>
          <w:color w:val="0D0D0D" w:themeColor="text1" w:themeTint="F2"/>
          <w:sz w:val="16"/>
          <w:szCs w:val="16"/>
        </w:rPr>
        <w:t xml:space="preserve"> Údaje o stavební produkci jsou ve stálých cenách, meziroční tempa jsou očištěna o kalendářní vlivy, mezičtvrtletní též o vliv sezónnosti.</w:t>
      </w:r>
    </w:p>
  </w:footnote>
  <w:footnote w:id="19">
    <w:p w14:paraId="4E15735A" w14:textId="77777777" w:rsidR="00F052D2" w:rsidRPr="00376491" w:rsidRDefault="00F052D2" w:rsidP="00F052D2">
      <w:pPr>
        <w:pStyle w:val="Textpoznpodarou"/>
        <w:rPr>
          <w:sz w:val="16"/>
          <w:szCs w:val="16"/>
        </w:rPr>
      </w:pPr>
      <w:r w:rsidRPr="00376491">
        <w:rPr>
          <w:rStyle w:val="Znakapoznpodarou"/>
          <w:sz w:val="16"/>
          <w:szCs w:val="16"/>
        </w:rPr>
        <w:footnoteRef/>
      </w:r>
      <w:r w:rsidRPr="00376491">
        <w:rPr>
          <w:sz w:val="16"/>
          <w:szCs w:val="16"/>
        </w:rPr>
        <w:t xml:space="preserve"> Ještě v 1. čtvrtletí 2021 se stavebnictví částečně nacházelo v útlumu, </w:t>
      </w:r>
      <w:r w:rsidRPr="00376491">
        <w:rPr>
          <w:color w:val="0D0D0D" w:themeColor="text1" w:themeTint="F2"/>
          <w:spacing w:val="-4"/>
          <w:sz w:val="16"/>
          <w:szCs w:val="16"/>
        </w:rPr>
        <w:t xml:space="preserve">neboť tehdy pandemie kulminovala. </w:t>
      </w:r>
      <w:r w:rsidRPr="00376491">
        <w:rPr>
          <w:sz w:val="16"/>
          <w:szCs w:val="16"/>
        </w:rPr>
        <w:t>Z</w:t>
      </w:r>
      <w:r w:rsidRPr="00376491">
        <w:rPr>
          <w:color w:val="0D0D0D" w:themeColor="text1" w:themeTint="F2"/>
          <w:spacing w:val="-4"/>
          <w:sz w:val="16"/>
          <w:szCs w:val="16"/>
        </w:rPr>
        <w:t>výšená nemocnost, ztížený přeshraniční pohyb pracovníků, restrikce u celkové mobility obyvatel v tuzemsku i omezení výkonu stavebních úřadů významně limitovaly produkční možnosti stavebnictví. Během jara se ekonomika rychle začala vracet k normálu, což se odrazilo i v citelnějším oživení stavebnictví.</w:t>
      </w:r>
    </w:p>
  </w:footnote>
  <w:footnote w:id="20">
    <w:p w14:paraId="27F71B37" w14:textId="77777777" w:rsidR="00F052D2" w:rsidRPr="00376491" w:rsidRDefault="00F052D2" w:rsidP="00F052D2">
      <w:pPr>
        <w:pStyle w:val="Textpoznpodarou"/>
        <w:rPr>
          <w:sz w:val="16"/>
          <w:szCs w:val="16"/>
        </w:rPr>
      </w:pPr>
      <w:r w:rsidRPr="00376491">
        <w:rPr>
          <w:rStyle w:val="Znakapoznpodarou"/>
          <w:sz w:val="16"/>
          <w:szCs w:val="16"/>
        </w:rPr>
        <w:footnoteRef/>
      </w:r>
      <w:r w:rsidRPr="00376491">
        <w:rPr>
          <w:sz w:val="16"/>
          <w:szCs w:val="16"/>
        </w:rPr>
        <w:t xml:space="preserve"> Ze státního rozpočtu ČR bylo od ledna do září 2022 na investicích do Státního fondu dopravní infrastruktury vyplaceno přes </w:t>
      </w:r>
      <w:r w:rsidRPr="00376491">
        <w:rPr>
          <w:sz w:val="16"/>
          <w:szCs w:val="16"/>
        </w:rPr>
        <w:br/>
        <w:t xml:space="preserve">50 mld. korun, meziročně o čtvrtinu více. </w:t>
      </w:r>
    </w:p>
  </w:footnote>
  <w:footnote w:id="21">
    <w:p w14:paraId="4DDBC673" w14:textId="77777777" w:rsidR="00F052D2" w:rsidRPr="00376491" w:rsidRDefault="00F052D2" w:rsidP="00F052D2">
      <w:pPr>
        <w:pStyle w:val="Textpoznpodarou"/>
        <w:rPr>
          <w:spacing w:val="-2"/>
          <w:sz w:val="16"/>
          <w:szCs w:val="16"/>
        </w:rPr>
      </w:pPr>
      <w:r w:rsidRPr="00376491">
        <w:rPr>
          <w:rStyle w:val="Znakapoznpodarou"/>
          <w:spacing w:val="-2"/>
          <w:sz w:val="16"/>
          <w:szCs w:val="16"/>
        </w:rPr>
        <w:footnoteRef/>
      </w:r>
      <w:r w:rsidRPr="00376491">
        <w:rPr>
          <w:spacing w:val="-2"/>
          <w:sz w:val="16"/>
          <w:szCs w:val="16"/>
        </w:rPr>
        <w:t xml:space="preserve"> Meziroční růst cen materiálových vstupů pro výstavbu bytových budov dosáhl v letošním 2. čtvrtletí rekordních 30,5 % (o rok dříve „jen“ 6,1 %). V následujícím kvartálu se sice tempo již nezvyšovalo (poprvé po dvou letech), růst však zůstával stále velmi vysoký (24,4 %).</w:t>
      </w:r>
    </w:p>
  </w:footnote>
  <w:footnote w:id="22">
    <w:p w14:paraId="03590FD5" w14:textId="77777777" w:rsidR="00F052D2" w:rsidRPr="00376491" w:rsidRDefault="00F052D2" w:rsidP="00F052D2">
      <w:pPr>
        <w:pStyle w:val="Textpoznpodarou"/>
        <w:rPr>
          <w:spacing w:val="-2"/>
          <w:sz w:val="16"/>
          <w:szCs w:val="16"/>
        </w:rPr>
      </w:pPr>
      <w:r w:rsidRPr="00376491">
        <w:rPr>
          <w:rStyle w:val="Znakapoznpodarou"/>
          <w:spacing w:val="-2"/>
          <w:sz w:val="16"/>
          <w:szCs w:val="16"/>
        </w:rPr>
        <w:footnoteRef/>
      </w:r>
      <w:r w:rsidRPr="00376491">
        <w:rPr>
          <w:spacing w:val="-2"/>
          <w:sz w:val="16"/>
          <w:szCs w:val="16"/>
        </w:rPr>
        <w:t xml:space="preserve"> Dle odhadu podniků z počátku 4. čtvrtletí 2022 poskytovaly všechny dosud nerealizované zakázky stavebním firmám v Česku práci na dalších 9,1 měsíce. To bylo jen nepatrně méně než na konci loňského roku (9,8) či než na vrcholu předpandemické konjunktury (10,3).</w:t>
      </w:r>
    </w:p>
  </w:footnote>
  <w:footnote w:id="23">
    <w:p w14:paraId="0AC120FE" w14:textId="77777777" w:rsidR="00F052D2" w:rsidRPr="00376491" w:rsidRDefault="00F052D2" w:rsidP="00F052D2">
      <w:pPr>
        <w:pStyle w:val="Textpoznpodarou"/>
        <w:rPr>
          <w:sz w:val="16"/>
          <w:szCs w:val="16"/>
        </w:rPr>
      </w:pPr>
      <w:r w:rsidRPr="00376491">
        <w:rPr>
          <w:rStyle w:val="Znakapoznpodarou"/>
          <w:sz w:val="16"/>
          <w:szCs w:val="16"/>
        </w:rPr>
        <w:footnoteRef/>
      </w:r>
      <w:r w:rsidRPr="00376491">
        <w:rPr>
          <w:sz w:val="16"/>
          <w:szCs w:val="16"/>
        </w:rPr>
        <w:t xml:space="preserve"> Ten ve 3. čtvrtletí 2022 dosáhl meziročně 12,8 %, v úhrnu od počátku roku 12,3 %. </w:t>
      </w:r>
      <w:r w:rsidRPr="00376491">
        <w:rPr>
          <w:rFonts w:cs="Arial"/>
          <w:color w:val="0D0D0D" w:themeColor="text1" w:themeTint="F2"/>
          <w:spacing w:val="-6"/>
          <w:sz w:val="16"/>
          <w:szCs w:val="16"/>
        </w:rPr>
        <w:t>Cenové vlivy se významně promítly i do průměrné hodnoty nově uzavřené stavební zakázky – ta činila v 1. až 3. čtvrtletí 4,5 mil. korun a</w:t>
      </w:r>
      <w:r w:rsidRPr="00376491">
        <w:rPr>
          <w:color w:val="0D0D0D" w:themeColor="text1" w:themeTint="F2"/>
          <w:spacing w:val="-5"/>
          <w:sz w:val="16"/>
          <w:szCs w:val="16"/>
        </w:rPr>
        <w:t> </w:t>
      </w:r>
      <w:r w:rsidRPr="00376491">
        <w:rPr>
          <w:rFonts w:cs="Arial"/>
          <w:color w:val="0D0D0D" w:themeColor="text1" w:themeTint="F2"/>
          <w:spacing w:val="-6"/>
          <w:sz w:val="16"/>
          <w:szCs w:val="16"/>
        </w:rPr>
        <w:t>meziročně vzrostla o 17,9 %.</w:t>
      </w:r>
    </w:p>
  </w:footnote>
  <w:footnote w:id="24">
    <w:p w14:paraId="2E1B761C" w14:textId="77777777" w:rsidR="00F052D2" w:rsidRPr="00DE38E6" w:rsidRDefault="00F052D2" w:rsidP="00F052D2">
      <w:pPr>
        <w:spacing w:after="0" w:line="240" w:lineRule="auto"/>
        <w:jc w:val="left"/>
      </w:pPr>
      <w:r w:rsidRPr="004A26AF">
        <w:rPr>
          <w:rStyle w:val="Znakapoznpodarou"/>
          <w:color w:val="0D0D0D" w:themeColor="text1" w:themeTint="F2"/>
          <w:sz w:val="16"/>
          <w:szCs w:val="16"/>
        </w:rPr>
        <w:footnoteRef/>
      </w:r>
      <w:r>
        <w:rPr>
          <w:color w:val="0D0D0D" w:themeColor="text1" w:themeTint="F2"/>
          <w:sz w:val="16"/>
          <w:szCs w:val="16"/>
        </w:rPr>
        <w:t xml:space="preserve"> </w:t>
      </w:r>
      <w:r w:rsidRPr="004A26AF">
        <w:rPr>
          <w:color w:val="0D0D0D" w:themeColor="text1" w:themeTint="F2"/>
          <w:sz w:val="16"/>
          <w:szCs w:val="16"/>
        </w:rPr>
        <w:t>Bez obchodu, peněžnictví, poji</w:t>
      </w:r>
      <w:r>
        <w:rPr>
          <w:color w:val="0D0D0D" w:themeColor="text1" w:themeTint="F2"/>
          <w:sz w:val="16"/>
          <w:szCs w:val="16"/>
        </w:rPr>
        <w:t>šťovnictví, vědy, výzkumu a veřejných</w:t>
      </w:r>
      <w:r w:rsidRPr="004A26AF">
        <w:rPr>
          <w:color w:val="0D0D0D" w:themeColor="text1" w:themeTint="F2"/>
          <w:sz w:val="16"/>
          <w:szCs w:val="16"/>
        </w:rPr>
        <w:t xml:space="preserve"> služeb. Všechny údaje za služby jsou </w:t>
      </w:r>
      <w:r>
        <w:rPr>
          <w:color w:val="0D0D0D" w:themeColor="text1" w:themeTint="F2"/>
          <w:sz w:val="16"/>
          <w:szCs w:val="16"/>
        </w:rPr>
        <w:t xml:space="preserve">ve stálých cenách, meziroční údaje jsou </w:t>
      </w:r>
      <w:r w:rsidRPr="004A26AF">
        <w:rPr>
          <w:color w:val="0D0D0D" w:themeColor="text1" w:themeTint="F2"/>
          <w:sz w:val="16"/>
          <w:szCs w:val="16"/>
        </w:rPr>
        <w:t>očištěny o</w:t>
      </w:r>
      <w:r>
        <w:rPr>
          <w:color w:val="0D0D0D" w:themeColor="text1" w:themeTint="F2"/>
          <w:sz w:val="16"/>
          <w:szCs w:val="16"/>
        </w:rPr>
        <w:t> </w:t>
      </w:r>
      <w:r w:rsidRPr="004A26AF">
        <w:rPr>
          <w:color w:val="0D0D0D" w:themeColor="text1" w:themeTint="F2"/>
          <w:sz w:val="16"/>
          <w:szCs w:val="16"/>
        </w:rPr>
        <w:t>kal</w:t>
      </w:r>
      <w:r>
        <w:rPr>
          <w:color w:val="0D0D0D" w:themeColor="text1" w:themeTint="F2"/>
          <w:sz w:val="16"/>
          <w:szCs w:val="16"/>
        </w:rPr>
        <w:t>endářní vlivy, mezičtvrtletní jsou očištěny o sezónní vlivy (včetně vlivu počtu pracovních dnů)</w:t>
      </w:r>
      <w:r w:rsidRPr="004A26AF">
        <w:rPr>
          <w:color w:val="0D0D0D" w:themeColor="text1" w:themeTint="F2"/>
          <w:sz w:val="16"/>
          <w:szCs w:val="16"/>
        </w:rPr>
        <w:t>.</w:t>
      </w:r>
    </w:p>
  </w:footnote>
  <w:footnote w:id="25">
    <w:p w14:paraId="6E8ECEBC" w14:textId="77777777" w:rsidR="00F052D2" w:rsidRPr="00906E0C" w:rsidRDefault="00F052D2" w:rsidP="00F052D2">
      <w:pPr>
        <w:pStyle w:val="Textpoznpodarou"/>
        <w:rPr>
          <w:sz w:val="16"/>
          <w:szCs w:val="16"/>
        </w:rPr>
      </w:pPr>
      <w:r w:rsidRPr="00906E0C">
        <w:rPr>
          <w:rStyle w:val="Znakapoznpodarou"/>
          <w:sz w:val="16"/>
          <w:szCs w:val="16"/>
        </w:rPr>
        <w:footnoteRef/>
      </w:r>
      <w:r w:rsidRPr="00906E0C">
        <w:rPr>
          <w:sz w:val="16"/>
          <w:szCs w:val="16"/>
        </w:rPr>
        <w:t xml:space="preserve"> Tržby v tomto odvětví se </w:t>
      </w:r>
      <w:r>
        <w:rPr>
          <w:sz w:val="16"/>
          <w:szCs w:val="16"/>
        </w:rPr>
        <w:t>ve 3. čtvrtletí mezikvartálně snížily o rovné 1</w:t>
      </w:r>
      <w:r w:rsidRPr="00906E0C">
        <w:rPr>
          <w:sz w:val="16"/>
          <w:szCs w:val="16"/>
        </w:rPr>
        <w:t xml:space="preserve"> %. Mírně klesaly jak v pozemní dopravě, tak ve skladování.</w:t>
      </w:r>
    </w:p>
  </w:footnote>
  <w:footnote w:id="26">
    <w:p w14:paraId="779DF5D5" w14:textId="7EF3F9F4" w:rsidR="00F052D2" w:rsidRPr="00025BDC" w:rsidRDefault="00F052D2" w:rsidP="00F052D2">
      <w:pPr>
        <w:pStyle w:val="Textpoznpodarou"/>
        <w:rPr>
          <w:spacing w:val="-4"/>
        </w:rPr>
      </w:pPr>
      <w:r w:rsidRPr="00025BDC">
        <w:rPr>
          <w:rStyle w:val="Znakapoznpodarou"/>
          <w:spacing w:val="-4"/>
          <w:sz w:val="16"/>
          <w:szCs w:val="16"/>
        </w:rPr>
        <w:footnoteRef/>
      </w:r>
      <w:r w:rsidRPr="00025BDC">
        <w:rPr>
          <w:spacing w:val="-4"/>
          <w:sz w:val="16"/>
          <w:szCs w:val="16"/>
        </w:rPr>
        <w:t xml:space="preserve"> Ve 3. čtvrtletí 2022 přijelo do hrom</w:t>
      </w:r>
      <w:r>
        <w:rPr>
          <w:spacing w:val="-4"/>
          <w:sz w:val="16"/>
          <w:szCs w:val="16"/>
        </w:rPr>
        <w:t>adných ubytovacích zařízení v Česku</w:t>
      </w:r>
      <w:r w:rsidRPr="00025BDC">
        <w:rPr>
          <w:spacing w:val="-4"/>
          <w:sz w:val="16"/>
          <w:szCs w:val="16"/>
        </w:rPr>
        <w:t xml:space="preserve"> 7,3 mil. hostů. Počet jejich přenocování za rekordní letní sezónou 2019 zaostal jen o 3</w:t>
      </w:r>
      <w:r>
        <w:rPr>
          <w:spacing w:val="-4"/>
          <w:sz w:val="16"/>
          <w:szCs w:val="16"/>
        </w:rPr>
        <w:t xml:space="preserve"> </w:t>
      </w:r>
      <w:r w:rsidRPr="00025BDC">
        <w:rPr>
          <w:spacing w:val="-4"/>
          <w:sz w:val="16"/>
          <w:szCs w:val="16"/>
        </w:rPr>
        <w:t>%. Poptávka hostů z Česka převyšuje předkrizovou úroveň již od půle loňského roku (letos v létě o</w:t>
      </w:r>
      <w:r w:rsidRPr="00025BDC">
        <w:rPr>
          <w:color w:val="0D0D0D" w:themeColor="text1" w:themeTint="F2"/>
          <w:spacing w:val="-4"/>
          <w:sz w:val="16"/>
          <w:szCs w:val="16"/>
        </w:rPr>
        <w:t> </w:t>
      </w:r>
      <w:r w:rsidRPr="00025BDC">
        <w:rPr>
          <w:spacing w:val="-4"/>
          <w:sz w:val="16"/>
          <w:szCs w:val="16"/>
        </w:rPr>
        <w:t>12</w:t>
      </w:r>
      <w:r w:rsidRPr="00025BDC">
        <w:rPr>
          <w:color w:val="0D0D0D" w:themeColor="text1" w:themeTint="F2"/>
          <w:spacing w:val="-4"/>
          <w:sz w:val="16"/>
          <w:szCs w:val="16"/>
        </w:rPr>
        <w:t> </w:t>
      </w:r>
      <w:r w:rsidRPr="00025BDC">
        <w:rPr>
          <w:spacing w:val="-4"/>
          <w:sz w:val="16"/>
          <w:szCs w:val="16"/>
        </w:rPr>
        <w:t>%). Meziročně sice zájem domácí klientely lehce opadl (napříč všemi kraji), ve 3. čtvrtletí 2021 byl ale díky přetrvávajícím bariérám cestování do ciziny rekordní (15,9 mil. přenocování). Poptávka zahraniční klientely se meziročně takřka zdvojnásobila, za letní sezónou z roku 2019 ale stále o čtvrtinu zaostávala. Citelně totiž chyběli hlavně hosté ze vzdálených asijských států – Číny a Tchaj-wanu (</w:t>
      </w:r>
      <w:r>
        <w:rPr>
          <w:spacing w:val="-4"/>
          <w:sz w:val="16"/>
          <w:szCs w:val="16"/>
        </w:rPr>
        <w:t>−</w:t>
      </w:r>
      <w:r w:rsidRPr="00025BDC">
        <w:rPr>
          <w:spacing w:val="-4"/>
          <w:sz w:val="16"/>
          <w:szCs w:val="16"/>
        </w:rPr>
        <w:t>94 %), Japonska (</w:t>
      </w:r>
      <w:r>
        <w:rPr>
          <w:spacing w:val="-4"/>
          <w:sz w:val="16"/>
          <w:szCs w:val="16"/>
        </w:rPr>
        <w:t>−</w:t>
      </w:r>
      <w:r w:rsidRPr="00025BDC">
        <w:rPr>
          <w:spacing w:val="-4"/>
          <w:sz w:val="16"/>
          <w:szCs w:val="16"/>
        </w:rPr>
        <w:t xml:space="preserve">84 %) a Jižní Korey </w:t>
      </w:r>
      <w:r>
        <w:rPr>
          <w:spacing w:val="-4"/>
          <w:sz w:val="16"/>
          <w:szCs w:val="16"/>
        </w:rPr>
        <w:br/>
      </w:r>
      <w:r w:rsidRPr="00025BDC">
        <w:rPr>
          <w:spacing w:val="-4"/>
          <w:sz w:val="16"/>
          <w:szCs w:val="16"/>
        </w:rPr>
        <w:t>(</w:t>
      </w:r>
      <w:r>
        <w:rPr>
          <w:spacing w:val="-4"/>
          <w:sz w:val="16"/>
          <w:szCs w:val="16"/>
        </w:rPr>
        <w:t>−</w:t>
      </w:r>
      <w:r w:rsidRPr="00025BDC">
        <w:rPr>
          <w:spacing w:val="-4"/>
          <w:sz w:val="16"/>
          <w:szCs w:val="16"/>
        </w:rPr>
        <w:t>77 %). Hluboký propad přetrvával vlivem geopolitického napětí též u ruské klientely (</w:t>
      </w:r>
      <w:r>
        <w:rPr>
          <w:spacing w:val="-4"/>
          <w:sz w:val="16"/>
          <w:szCs w:val="16"/>
        </w:rPr>
        <w:t>−</w:t>
      </w:r>
      <w:r w:rsidRPr="00025BDC">
        <w:rPr>
          <w:spacing w:val="-4"/>
          <w:sz w:val="16"/>
          <w:szCs w:val="16"/>
        </w:rPr>
        <w:t>89 %) – ta přitom v roce 2019 tvořila v Česku skoro desetinu celkové poptávky ze strany zahraničních hostů. Z dříve početné klientely letos v létě stále citelně scházeli také občané USA a Kanady (</w:t>
      </w:r>
      <w:r>
        <w:rPr>
          <w:spacing w:val="-4"/>
          <w:sz w:val="16"/>
          <w:szCs w:val="16"/>
        </w:rPr>
        <w:t>−</w:t>
      </w:r>
      <w:r w:rsidRPr="00025BDC">
        <w:rPr>
          <w:spacing w:val="-4"/>
          <w:sz w:val="16"/>
          <w:szCs w:val="16"/>
        </w:rPr>
        <w:t>37 %), Španělska (</w:t>
      </w:r>
      <w:r>
        <w:rPr>
          <w:spacing w:val="-4"/>
          <w:sz w:val="16"/>
          <w:szCs w:val="16"/>
        </w:rPr>
        <w:t>−</w:t>
      </w:r>
      <w:r w:rsidRPr="00025BDC">
        <w:rPr>
          <w:spacing w:val="-4"/>
          <w:sz w:val="16"/>
          <w:szCs w:val="16"/>
        </w:rPr>
        <w:t>40 %), Velké Británie (</w:t>
      </w:r>
      <w:r>
        <w:rPr>
          <w:spacing w:val="-4"/>
          <w:sz w:val="16"/>
          <w:szCs w:val="16"/>
        </w:rPr>
        <w:t>−</w:t>
      </w:r>
      <w:r w:rsidRPr="00025BDC">
        <w:rPr>
          <w:spacing w:val="-4"/>
          <w:sz w:val="16"/>
          <w:szCs w:val="16"/>
        </w:rPr>
        <w:t>32 %). Francie (</w:t>
      </w:r>
      <w:r>
        <w:rPr>
          <w:spacing w:val="-4"/>
          <w:sz w:val="16"/>
          <w:szCs w:val="16"/>
        </w:rPr>
        <w:t>−</w:t>
      </w:r>
      <w:r w:rsidRPr="00025BDC">
        <w:rPr>
          <w:spacing w:val="-4"/>
          <w:sz w:val="16"/>
          <w:szCs w:val="16"/>
        </w:rPr>
        <w:t>27 %) a Itálie (</w:t>
      </w:r>
      <w:r>
        <w:rPr>
          <w:spacing w:val="-4"/>
          <w:sz w:val="16"/>
          <w:szCs w:val="16"/>
        </w:rPr>
        <w:t>−</w:t>
      </w:r>
      <w:r w:rsidRPr="00025BDC">
        <w:rPr>
          <w:spacing w:val="-4"/>
          <w:sz w:val="16"/>
          <w:szCs w:val="16"/>
        </w:rPr>
        <w:t>26 %). Situaci tak za</w:t>
      </w:r>
      <w:r>
        <w:rPr>
          <w:spacing w:val="-4"/>
          <w:sz w:val="16"/>
          <w:szCs w:val="16"/>
        </w:rPr>
        <w:t>c</w:t>
      </w:r>
      <w:r w:rsidRPr="00025BDC">
        <w:rPr>
          <w:spacing w:val="-4"/>
          <w:sz w:val="16"/>
          <w:szCs w:val="16"/>
        </w:rPr>
        <w:t xml:space="preserve">hraňovali naši sousedé. Němců </w:t>
      </w:r>
      <w:r>
        <w:rPr>
          <w:spacing w:val="-4"/>
          <w:sz w:val="16"/>
          <w:szCs w:val="16"/>
        </w:rPr>
        <w:br/>
      </w:r>
      <w:r w:rsidRPr="00025BDC">
        <w:rPr>
          <w:spacing w:val="-4"/>
          <w:sz w:val="16"/>
          <w:szCs w:val="16"/>
        </w:rPr>
        <w:t>i Rakušanů přijelo srovnatelně jako ve 3. čtvrtletí 2019</w:t>
      </w:r>
      <w:r w:rsidR="001574FE">
        <w:rPr>
          <w:spacing w:val="-4"/>
          <w:sz w:val="16"/>
          <w:szCs w:val="16"/>
        </w:rPr>
        <w:t xml:space="preserve"> (582 tis., resp. 83</w:t>
      </w:r>
      <w:r w:rsidRPr="00025BDC">
        <w:rPr>
          <w:spacing w:val="-4"/>
          <w:sz w:val="16"/>
          <w:szCs w:val="16"/>
        </w:rPr>
        <w:t xml:space="preserve"> tis.), hostů z Polska či Slovenska dokonce lehce přibylo (+4 %, +15 %).</w:t>
      </w:r>
    </w:p>
  </w:footnote>
  <w:footnote w:id="27">
    <w:p w14:paraId="01ECF02F" w14:textId="77777777" w:rsidR="00F052D2" w:rsidRPr="00E04DF2" w:rsidRDefault="00F052D2" w:rsidP="00F052D2">
      <w:pPr>
        <w:pStyle w:val="Textpoznpodarou"/>
        <w:rPr>
          <w:spacing w:val="-5"/>
          <w:sz w:val="16"/>
          <w:szCs w:val="16"/>
        </w:rPr>
      </w:pPr>
      <w:r w:rsidRPr="00E04DF2">
        <w:rPr>
          <w:rStyle w:val="Znakapoznpodarou"/>
          <w:spacing w:val="-5"/>
          <w:sz w:val="16"/>
          <w:szCs w:val="16"/>
        </w:rPr>
        <w:footnoteRef/>
      </w:r>
      <w:r w:rsidRPr="00E04DF2">
        <w:rPr>
          <w:spacing w:val="-5"/>
          <w:sz w:val="16"/>
          <w:szCs w:val="16"/>
        </w:rPr>
        <w:t xml:space="preserve"> </w:t>
      </w:r>
      <w:r w:rsidRPr="00E04DF2">
        <w:rPr>
          <w:rFonts w:cs="Arial"/>
          <w:color w:val="0D0D0D" w:themeColor="text1" w:themeTint="F2"/>
          <w:spacing w:val="-5"/>
          <w:sz w:val="16"/>
          <w:szCs w:val="16"/>
        </w:rPr>
        <w:t xml:space="preserve">Lépe se vedlo segmentu filmové distribuce. Dle údajů </w:t>
      </w:r>
      <w:r w:rsidRPr="00E04DF2">
        <w:rPr>
          <w:spacing w:val="-5"/>
          <w:sz w:val="16"/>
          <w:szCs w:val="16"/>
        </w:rPr>
        <w:t>Unie filmových distributorů vzrostly v letošním 3. čtvrtletí tržby provozovatelů tuzemských kin meziročně o 6,8 %. V úhrnu od počátku roku byly vyšší o 165 % (loni od ledna do května kina prakticky nehrála), ve srovnání se stejným obdobím roku 2019 ale tržby o 16 % zaostávaly (návštěvnost dokonce o 22 %, avšak počet odehraných představení byl nižší jen o 3 %).</w:t>
      </w:r>
    </w:p>
  </w:footnote>
  <w:footnote w:id="28">
    <w:p w14:paraId="79C6DBAA" w14:textId="77777777" w:rsidR="00F052D2" w:rsidRPr="00EB7D87" w:rsidRDefault="00F052D2" w:rsidP="00F052D2">
      <w:pPr>
        <w:spacing w:after="0" w:line="240" w:lineRule="auto"/>
        <w:jc w:val="left"/>
        <w:rPr>
          <w:spacing w:val="-2"/>
        </w:rPr>
      </w:pPr>
      <w:r w:rsidRPr="00EB7D87">
        <w:rPr>
          <w:rStyle w:val="Znakapoznpodarou"/>
          <w:color w:val="0D0D0D" w:themeColor="text1" w:themeTint="F2"/>
          <w:spacing w:val="-2"/>
          <w:sz w:val="16"/>
          <w:szCs w:val="16"/>
        </w:rPr>
        <w:footnoteRef/>
      </w:r>
      <w:r w:rsidRPr="00EB7D87">
        <w:rPr>
          <w:color w:val="0D0D0D" w:themeColor="text1" w:themeTint="F2"/>
          <w:spacing w:val="-2"/>
          <w:sz w:val="16"/>
          <w:szCs w:val="16"/>
        </w:rPr>
        <w:t xml:space="preserve"> Všechna meziroční tempa tržeb za maloobchod jsou uvedena ve stálých cenách a očištěna o kalendářní vlivy, mezičtvrtletní </w:t>
      </w:r>
      <w:r>
        <w:rPr>
          <w:color w:val="0D0D0D" w:themeColor="text1" w:themeTint="F2"/>
          <w:spacing w:val="-2"/>
          <w:sz w:val="16"/>
          <w:szCs w:val="16"/>
        </w:rPr>
        <w:br/>
        <w:t>i meziměsíční</w:t>
      </w:r>
      <w:r w:rsidRPr="00EB7D87">
        <w:rPr>
          <w:color w:val="0D0D0D" w:themeColor="text1" w:themeTint="F2"/>
          <w:spacing w:val="-2"/>
          <w:sz w:val="16"/>
          <w:szCs w:val="16"/>
        </w:rPr>
        <w:t xml:space="preserve"> tempa jsou očištěna o sezónní vlivy (včetně vlivu počtu pracovních dnů). Maloobchod zahrnuje odvětví CZ-NACE 47.</w:t>
      </w:r>
    </w:p>
  </w:footnote>
  <w:footnote w:id="29">
    <w:p w14:paraId="5CE6097C" w14:textId="77777777" w:rsidR="00F052D2" w:rsidRPr="00AE771C" w:rsidRDefault="00F052D2" w:rsidP="00F052D2">
      <w:pPr>
        <w:pStyle w:val="Textpoznpodarou"/>
        <w:rPr>
          <w:sz w:val="16"/>
          <w:szCs w:val="16"/>
        </w:rPr>
      </w:pPr>
      <w:r w:rsidRPr="00AE771C">
        <w:rPr>
          <w:rStyle w:val="Znakapoznpodarou"/>
          <w:sz w:val="16"/>
          <w:szCs w:val="16"/>
        </w:rPr>
        <w:footnoteRef/>
      </w:r>
      <w:r w:rsidRPr="00AE771C">
        <w:rPr>
          <w:sz w:val="16"/>
          <w:szCs w:val="16"/>
        </w:rPr>
        <w:t xml:space="preserve"> To mohlo souviset s návratem občanů ze zahraničních dovolených i s výplatou </w:t>
      </w:r>
      <w:r w:rsidRPr="00AE771C">
        <w:rPr>
          <w:spacing w:val="-4"/>
          <w:sz w:val="16"/>
          <w:szCs w:val="16"/>
        </w:rPr>
        <w:t>jednorázového příspěvku</w:t>
      </w:r>
      <w:r>
        <w:rPr>
          <w:spacing w:val="-4"/>
          <w:sz w:val="16"/>
          <w:szCs w:val="16"/>
        </w:rPr>
        <w:t xml:space="preserve"> </w:t>
      </w:r>
      <w:r w:rsidRPr="00AE771C">
        <w:rPr>
          <w:sz w:val="16"/>
          <w:szCs w:val="16"/>
        </w:rPr>
        <w:t>(ve výši 5 tis. korun za každé dítě) rodinám</w:t>
      </w:r>
      <w:r>
        <w:rPr>
          <w:sz w:val="16"/>
          <w:szCs w:val="16"/>
        </w:rPr>
        <w:t xml:space="preserve"> se středními a nižšími příjmy </w:t>
      </w:r>
      <w:r w:rsidRPr="00AE771C">
        <w:rPr>
          <w:sz w:val="16"/>
          <w:szCs w:val="16"/>
        </w:rPr>
        <w:t>s cílem částečně kompenzovat rostoucí ceny energií, potravin a dalších potřeb. Od srpna do září bylo letos takto vyplaceno 5,7 mld. korun.</w:t>
      </w:r>
      <w:r>
        <w:rPr>
          <w:sz w:val="16"/>
          <w:szCs w:val="16"/>
        </w:rPr>
        <w:t xml:space="preserve"> V říjnu 2022 se maloobchodní tržby opět vrátily k meziměsíčnímu poklesu (−1,8 %).</w:t>
      </w:r>
    </w:p>
  </w:footnote>
  <w:footnote w:id="30">
    <w:p w14:paraId="0006CD37" w14:textId="77777777" w:rsidR="00F052D2" w:rsidRPr="001A735C" w:rsidRDefault="00F052D2" w:rsidP="00F052D2">
      <w:pPr>
        <w:pStyle w:val="Textpoznpodarou"/>
        <w:rPr>
          <w:sz w:val="16"/>
          <w:szCs w:val="16"/>
        </w:rPr>
      </w:pPr>
      <w:r w:rsidRPr="001A735C">
        <w:rPr>
          <w:rStyle w:val="Znakapoznpodarou"/>
          <w:sz w:val="16"/>
          <w:szCs w:val="16"/>
        </w:rPr>
        <w:footnoteRef/>
      </w:r>
      <w:r w:rsidRPr="001A735C">
        <w:rPr>
          <w:sz w:val="16"/>
          <w:szCs w:val="16"/>
        </w:rPr>
        <w:t xml:space="preserve"> Ten činil ve 2. čtvrtletí </w:t>
      </w:r>
      <w:r>
        <w:rPr>
          <w:sz w:val="16"/>
          <w:szCs w:val="16"/>
        </w:rPr>
        <w:t xml:space="preserve">2022 </w:t>
      </w:r>
      <w:r w:rsidRPr="001A735C">
        <w:rPr>
          <w:sz w:val="16"/>
          <w:szCs w:val="16"/>
        </w:rPr>
        <w:t>rekordních 6,4 %.</w:t>
      </w:r>
    </w:p>
  </w:footnote>
  <w:footnote w:id="31">
    <w:p w14:paraId="1FFB716D" w14:textId="77777777" w:rsidR="00F052D2" w:rsidRPr="00B00348" w:rsidRDefault="00F052D2" w:rsidP="00F052D2">
      <w:pPr>
        <w:pStyle w:val="Textpoznpodarou"/>
        <w:rPr>
          <w:sz w:val="16"/>
          <w:szCs w:val="16"/>
        </w:rPr>
      </w:pPr>
      <w:r w:rsidRPr="00B00348">
        <w:rPr>
          <w:rStyle w:val="Znakapoznpodarou"/>
          <w:sz w:val="16"/>
          <w:szCs w:val="16"/>
        </w:rPr>
        <w:footnoteRef/>
      </w:r>
      <w:r w:rsidRPr="00B00348">
        <w:rPr>
          <w:sz w:val="16"/>
          <w:szCs w:val="16"/>
        </w:rPr>
        <w:t xml:space="preserve"> Vedle toho </w:t>
      </w:r>
      <w:r w:rsidRPr="00B00348">
        <w:rPr>
          <w:rFonts w:cs="Arial"/>
          <w:color w:val="0D0D0D" w:themeColor="text1" w:themeTint="F2"/>
          <w:spacing w:val="-4"/>
          <w:sz w:val="16"/>
          <w:szCs w:val="16"/>
        </w:rPr>
        <w:t xml:space="preserve">obavy lidí z růstu cen, které byly na počátku jara rekordní, v létě a na podzim mírně opadly. Narůstaly ovšem obavy z růstu nezaměstnanosti. Větší část domácností tak patrně začala omezovat své zbytné výdaje, ale i běžné nákupy zboží zasaženého vysokým cenovým růstem. </w:t>
      </w:r>
      <w:r>
        <w:rPr>
          <w:rFonts w:cs="Arial"/>
          <w:color w:val="0D0D0D" w:themeColor="text1" w:themeTint="F2"/>
          <w:spacing w:val="-4"/>
          <w:sz w:val="16"/>
          <w:szCs w:val="16"/>
        </w:rPr>
        <w:t xml:space="preserve">V některých příhraničních regionech patrně docházelo k častějším výjezdům za nákupy do sousedních zemí, zejména do Polska. </w:t>
      </w:r>
      <w:r w:rsidRPr="00B00348">
        <w:rPr>
          <w:rFonts w:cs="Arial"/>
          <w:color w:val="0D0D0D" w:themeColor="text1" w:themeTint="F2"/>
          <w:spacing w:val="-4"/>
          <w:sz w:val="16"/>
          <w:szCs w:val="16"/>
        </w:rPr>
        <w:t xml:space="preserve">Domácnosti deklarovaly </w:t>
      </w:r>
      <w:r>
        <w:rPr>
          <w:rFonts w:cs="Arial"/>
          <w:color w:val="0D0D0D" w:themeColor="text1" w:themeTint="F2"/>
          <w:spacing w:val="-4"/>
          <w:sz w:val="16"/>
          <w:szCs w:val="16"/>
        </w:rPr>
        <w:t xml:space="preserve">výrazně </w:t>
      </w:r>
      <w:r w:rsidRPr="00B00348">
        <w:rPr>
          <w:rFonts w:cs="Arial"/>
          <w:color w:val="0D0D0D" w:themeColor="text1" w:themeTint="F2"/>
          <w:spacing w:val="-4"/>
          <w:sz w:val="16"/>
          <w:szCs w:val="16"/>
        </w:rPr>
        <w:t xml:space="preserve">menší ochotu k pořizování velkých nákupů (např. automobily, </w:t>
      </w:r>
      <w:r>
        <w:rPr>
          <w:rFonts w:cs="Arial"/>
          <w:color w:val="0D0D0D" w:themeColor="text1" w:themeTint="F2"/>
          <w:spacing w:val="-4"/>
          <w:sz w:val="16"/>
          <w:szCs w:val="16"/>
        </w:rPr>
        <w:t>pořízení</w:t>
      </w:r>
      <w:r w:rsidRPr="00B00348">
        <w:rPr>
          <w:rFonts w:cs="Arial"/>
          <w:color w:val="0D0D0D" w:themeColor="text1" w:themeTint="F2"/>
          <w:spacing w:val="-4"/>
          <w:sz w:val="16"/>
          <w:szCs w:val="16"/>
        </w:rPr>
        <w:t xml:space="preserve"> či modernizace bytu).</w:t>
      </w:r>
      <w:r>
        <w:rPr>
          <w:rFonts w:cs="Arial"/>
          <w:color w:val="0D0D0D" w:themeColor="text1" w:themeTint="F2"/>
          <w:spacing w:val="-4"/>
          <w:sz w:val="16"/>
          <w:szCs w:val="16"/>
        </w:rPr>
        <w:t xml:space="preserve"> </w:t>
      </w:r>
    </w:p>
  </w:footnote>
  <w:footnote w:id="32">
    <w:p w14:paraId="0C3B3027" w14:textId="77777777" w:rsidR="00F052D2" w:rsidRPr="00E95B69" w:rsidRDefault="00F052D2" w:rsidP="00F052D2">
      <w:pPr>
        <w:pStyle w:val="Textpoznpodarou"/>
        <w:rPr>
          <w:spacing w:val="-2"/>
          <w:sz w:val="16"/>
          <w:szCs w:val="16"/>
        </w:rPr>
      </w:pPr>
      <w:r w:rsidRPr="00E95B69">
        <w:rPr>
          <w:rStyle w:val="Znakapoznpodarou"/>
          <w:spacing w:val="-2"/>
          <w:sz w:val="16"/>
          <w:szCs w:val="16"/>
        </w:rPr>
        <w:footnoteRef/>
      </w:r>
      <w:r w:rsidRPr="00E95B69">
        <w:rPr>
          <w:spacing w:val="-2"/>
          <w:sz w:val="16"/>
          <w:szCs w:val="16"/>
        </w:rPr>
        <w:t xml:space="preserve"> Saldo důvěry v odvětví </w:t>
      </w:r>
      <w:r>
        <w:rPr>
          <w:spacing w:val="-2"/>
          <w:sz w:val="16"/>
          <w:szCs w:val="16"/>
        </w:rPr>
        <w:t>obchodu bylo letos v podzimních měsících</w:t>
      </w:r>
      <w:r w:rsidRPr="00E95B69">
        <w:rPr>
          <w:spacing w:val="-2"/>
          <w:sz w:val="16"/>
          <w:szCs w:val="16"/>
        </w:rPr>
        <w:t xml:space="preserve"> srovnatelné s úrovní z období těšně před </w:t>
      </w:r>
      <w:r>
        <w:rPr>
          <w:spacing w:val="-2"/>
          <w:sz w:val="16"/>
          <w:szCs w:val="16"/>
        </w:rPr>
        <w:t xml:space="preserve">nástupem pandemie. I přes </w:t>
      </w:r>
      <w:r w:rsidRPr="00E95B69">
        <w:rPr>
          <w:spacing w:val="-2"/>
          <w:sz w:val="16"/>
          <w:szCs w:val="16"/>
        </w:rPr>
        <w:t xml:space="preserve">zhoršení </w:t>
      </w:r>
      <w:r>
        <w:rPr>
          <w:spacing w:val="-2"/>
          <w:sz w:val="16"/>
          <w:szCs w:val="16"/>
        </w:rPr>
        <w:t>během léta</w:t>
      </w:r>
      <w:r w:rsidRPr="00E95B69">
        <w:rPr>
          <w:spacing w:val="-2"/>
          <w:sz w:val="16"/>
          <w:szCs w:val="16"/>
        </w:rPr>
        <w:t xml:space="preserve"> vnímaly podniky svou současnou ekonomickou situaci stále pozitivně a </w:t>
      </w:r>
      <w:r>
        <w:rPr>
          <w:spacing w:val="-2"/>
          <w:sz w:val="16"/>
          <w:szCs w:val="16"/>
        </w:rPr>
        <w:t xml:space="preserve">mírně </w:t>
      </w:r>
      <w:r w:rsidRPr="00E95B69">
        <w:rPr>
          <w:spacing w:val="-2"/>
          <w:sz w:val="16"/>
          <w:szCs w:val="16"/>
        </w:rPr>
        <w:t>příznivé byly i</w:t>
      </w:r>
      <w:r>
        <w:rPr>
          <w:spacing w:val="-2"/>
          <w:sz w:val="16"/>
          <w:szCs w:val="16"/>
        </w:rPr>
        <w:t xml:space="preserve"> výhledy na nejbližší pololetí. To stvrzuje i fakt, že o</w:t>
      </w:r>
      <w:r w:rsidRPr="00E95B69">
        <w:rPr>
          <w:spacing w:val="-2"/>
          <w:sz w:val="16"/>
          <w:szCs w:val="16"/>
        </w:rPr>
        <w:t xml:space="preserve">bchodníci </w:t>
      </w:r>
      <w:r>
        <w:rPr>
          <w:spacing w:val="-2"/>
          <w:sz w:val="16"/>
          <w:szCs w:val="16"/>
        </w:rPr>
        <w:t xml:space="preserve">stále </w:t>
      </w:r>
      <w:r w:rsidRPr="00E95B69">
        <w:rPr>
          <w:spacing w:val="-2"/>
          <w:sz w:val="16"/>
          <w:szCs w:val="16"/>
        </w:rPr>
        <w:t>pláno</w:t>
      </w:r>
      <w:r>
        <w:rPr>
          <w:spacing w:val="-2"/>
          <w:sz w:val="16"/>
          <w:szCs w:val="16"/>
        </w:rPr>
        <w:t>vali nábor nových zaměstnanců častěji než jejich propouštění.</w:t>
      </w:r>
    </w:p>
  </w:footnote>
  <w:footnote w:id="33">
    <w:p w14:paraId="55B30934" w14:textId="77777777" w:rsidR="00F052D2" w:rsidRPr="00E334E0" w:rsidRDefault="00F052D2" w:rsidP="00F052D2">
      <w:pPr>
        <w:pStyle w:val="Textpoznpodarou"/>
        <w:rPr>
          <w:sz w:val="16"/>
          <w:szCs w:val="16"/>
        </w:rPr>
      </w:pPr>
      <w:r w:rsidRPr="00E334E0">
        <w:rPr>
          <w:rStyle w:val="Znakapoznpodarou"/>
          <w:sz w:val="16"/>
          <w:szCs w:val="16"/>
        </w:rPr>
        <w:footnoteRef/>
      </w:r>
      <w:r w:rsidRPr="00E334E0">
        <w:rPr>
          <w:sz w:val="16"/>
          <w:szCs w:val="16"/>
        </w:rPr>
        <w:t xml:space="preserve"> Jejich </w:t>
      </w:r>
      <w:r>
        <w:rPr>
          <w:sz w:val="16"/>
          <w:szCs w:val="16"/>
        </w:rPr>
        <w:t xml:space="preserve">spotřební </w:t>
      </w:r>
      <w:r w:rsidRPr="00E334E0">
        <w:rPr>
          <w:sz w:val="16"/>
          <w:szCs w:val="16"/>
        </w:rPr>
        <w:t xml:space="preserve">výdaje vzrostly za tři letošní čtvrtletí meziročně skoro o polovinu (proti roku 2019 byly ovšem stále o více než 40 % nižší). Na celkových spotřebních výdajích domácností na území ČR se ve 3. čtvrtletí podílely 4 %. </w:t>
      </w:r>
    </w:p>
  </w:footnote>
  <w:footnote w:id="34">
    <w:p w14:paraId="50750334" w14:textId="77777777" w:rsidR="00F052D2" w:rsidRPr="002F594F" w:rsidRDefault="00F052D2" w:rsidP="00F052D2">
      <w:pPr>
        <w:pStyle w:val="Textpoznpodarou"/>
        <w:rPr>
          <w:sz w:val="16"/>
          <w:szCs w:val="16"/>
        </w:rPr>
      </w:pPr>
      <w:r w:rsidRPr="002F594F">
        <w:rPr>
          <w:rStyle w:val="Znakapoznpodarou"/>
          <w:sz w:val="16"/>
          <w:szCs w:val="16"/>
        </w:rPr>
        <w:footnoteRef/>
      </w:r>
      <w:r w:rsidRPr="002F594F">
        <w:rPr>
          <w:sz w:val="16"/>
          <w:szCs w:val="16"/>
        </w:rPr>
        <w:t xml:space="preserve"> Zahrnují zejména prodejny s textilem, koberci, nábytkem, elektrospotřebiči, elektronikou, železářským zbožím a potřeby pro kutily.</w:t>
      </w:r>
    </w:p>
  </w:footnote>
  <w:footnote w:id="35">
    <w:p w14:paraId="3408D0A3" w14:textId="77777777" w:rsidR="00F052D2" w:rsidRPr="00F970FB" w:rsidRDefault="00F052D2" w:rsidP="00F052D2">
      <w:pPr>
        <w:pStyle w:val="Textpoznpodarou"/>
        <w:rPr>
          <w:sz w:val="16"/>
          <w:szCs w:val="16"/>
        </w:rPr>
      </w:pPr>
      <w:r w:rsidRPr="00F970FB">
        <w:rPr>
          <w:rStyle w:val="Znakapoznpodarou"/>
          <w:sz w:val="16"/>
          <w:szCs w:val="16"/>
        </w:rPr>
        <w:footnoteRef/>
      </w:r>
      <w:r w:rsidRPr="00F970FB">
        <w:rPr>
          <w:sz w:val="16"/>
          <w:szCs w:val="16"/>
        </w:rPr>
        <w:t xml:space="preserve"> Poptávku </w:t>
      </w:r>
      <w:r>
        <w:rPr>
          <w:sz w:val="16"/>
          <w:szCs w:val="16"/>
        </w:rPr>
        <w:t xml:space="preserve">patrně </w:t>
      </w:r>
      <w:r w:rsidRPr="00F970FB">
        <w:rPr>
          <w:sz w:val="16"/>
          <w:szCs w:val="16"/>
        </w:rPr>
        <w:t xml:space="preserve">stimuloval (vedle stále ne zcela vyřešené pandemické situace) i relativně nízký cenový růst tohoto sortimentu. </w:t>
      </w:r>
    </w:p>
  </w:footnote>
  <w:footnote w:id="36">
    <w:p w14:paraId="5138C286" w14:textId="77777777" w:rsidR="00F052D2" w:rsidRPr="00EF7210" w:rsidRDefault="00F052D2" w:rsidP="00F052D2">
      <w:pPr>
        <w:pStyle w:val="Textpoznpodarou"/>
        <w:rPr>
          <w:sz w:val="16"/>
          <w:szCs w:val="16"/>
        </w:rPr>
      </w:pPr>
      <w:r w:rsidRPr="00EF7210">
        <w:rPr>
          <w:rStyle w:val="Znakapoznpodarou"/>
          <w:sz w:val="16"/>
          <w:szCs w:val="16"/>
        </w:rPr>
        <w:footnoteRef/>
      </w:r>
      <w:r w:rsidRPr="00EF7210">
        <w:rPr>
          <w:sz w:val="16"/>
          <w:szCs w:val="16"/>
        </w:rPr>
        <w:t xml:space="preserve"> V potravinářských řetězcích (s ročním obratem nad</w:t>
      </w:r>
      <w:r>
        <w:rPr>
          <w:sz w:val="16"/>
          <w:szCs w:val="16"/>
        </w:rPr>
        <w:t xml:space="preserve"> 15 mld. korun</w:t>
      </w:r>
      <w:r w:rsidRPr="00EF7210">
        <w:rPr>
          <w:sz w:val="16"/>
          <w:szCs w:val="16"/>
        </w:rPr>
        <w:t xml:space="preserve">) </w:t>
      </w:r>
      <w:r>
        <w:rPr>
          <w:sz w:val="16"/>
          <w:szCs w:val="16"/>
        </w:rPr>
        <w:t xml:space="preserve">v </w:t>
      </w:r>
      <w:r w:rsidRPr="00EF7210">
        <w:rPr>
          <w:sz w:val="16"/>
          <w:szCs w:val="16"/>
        </w:rPr>
        <w:t xml:space="preserve">1. až 3. čtvrtletí 2022 patrně reálně meziročně klesly tržby ve většině hlavních sortimentních skupin. </w:t>
      </w:r>
      <w:r>
        <w:rPr>
          <w:sz w:val="16"/>
          <w:szCs w:val="16"/>
        </w:rPr>
        <w:t>U alkoholických nápojů byl registrován drobný pokles dokonce i v běžných cenách (−0,3 %). Prodej pohonných hmot (PHM) v řetězcích ale vzrostl (nominálně o 47 %, růst spotřebitelských cen PHM v celé ekonomice činil 38 %). Tržby za prodej PHM ovšem tvořily pouze 2,3 % celkových tržeb za zboží v řetězcích.</w:t>
      </w:r>
    </w:p>
  </w:footnote>
  <w:footnote w:id="37">
    <w:p w14:paraId="098B6932" w14:textId="77777777" w:rsidR="00F052D2" w:rsidRPr="00E95B69" w:rsidRDefault="00F052D2" w:rsidP="00F052D2">
      <w:pPr>
        <w:pStyle w:val="Textpoznpodarou"/>
        <w:rPr>
          <w:spacing w:val="-5"/>
          <w:sz w:val="16"/>
          <w:szCs w:val="16"/>
        </w:rPr>
      </w:pPr>
      <w:r w:rsidRPr="00E95B69">
        <w:rPr>
          <w:rStyle w:val="Znakapoznpodarou"/>
          <w:spacing w:val="-5"/>
          <w:sz w:val="16"/>
          <w:szCs w:val="16"/>
        </w:rPr>
        <w:footnoteRef/>
      </w:r>
      <w:r w:rsidRPr="00E95B69">
        <w:rPr>
          <w:spacing w:val="-5"/>
          <w:sz w:val="16"/>
          <w:szCs w:val="16"/>
        </w:rPr>
        <w:t xml:space="preserve"> N</w:t>
      </w:r>
      <w:r>
        <w:rPr>
          <w:spacing w:val="-5"/>
          <w:sz w:val="16"/>
          <w:szCs w:val="16"/>
        </w:rPr>
        <w:t>ižší spotřeba PHM souvisela s ce</w:t>
      </w:r>
      <w:r w:rsidRPr="00E95B69">
        <w:rPr>
          <w:spacing w:val="-5"/>
          <w:sz w:val="16"/>
          <w:szCs w:val="16"/>
        </w:rPr>
        <w:t xml:space="preserve">novou eskalací </w:t>
      </w:r>
      <w:r>
        <w:rPr>
          <w:spacing w:val="-5"/>
          <w:sz w:val="16"/>
          <w:szCs w:val="16"/>
        </w:rPr>
        <w:t>podpořenou</w:t>
      </w:r>
      <w:r w:rsidRPr="00E95B69">
        <w:rPr>
          <w:spacing w:val="-5"/>
          <w:sz w:val="16"/>
          <w:szCs w:val="16"/>
        </w:rPr>
        <w:t xml:space="preserve"> válkou na Ukrajině. </w:t>
      </w:r>
      <w:r w:rsidRPr="00E95B69">
        <w:rPr>
          <w:spacing w:val="-6"/>
          <w:sz w:val="16"/>
          <w:szCs w:val="16"/>
        </w:rPr>
        <w:t>Tržby za PHM v běžnýc</w:t>
      </w:r>
      <w:r>
        <w:rPr>
          <w:spacing w:val="-6"/>
          <w:sz w:val="16"/>
          <w:szCs w:val="16"/>
        </w:rPr>
        <w:t>h cenách vzrostly meziročně ve 2.</w:t>
      </w:r>
      <w:r>
        <w:rPr>
          <w:sz w:val="16"/>
          <w:szCs w:val="16"/>
        </w:rPr>
        <w:t> </w:t>
      </w:r>
      <w:r>
        <w:rPr>
          <w:spacing w:val="-6"/>
          <w:sz w:val="16"/>
          <w:szCs w:val="16"/>
        </w:rPr>
        <w:t>čtvrtletí o 38 %, ve 3. čtvrtletí o 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4A67" w14:textId="77777777" w:rsidR="00275E43" w:rsidRDefault="00275E43" w:rsidP="00937AE2">
    <w:pPr>
      <w:pStyle w:val="Zhlav"/>
    </w:pPr>
    <w:r>
      <w:t>Vývoj ekonomiky České republiky</w:t>
    </w:r>
  </w:p>
  <w:p w14:paraId="3E881AB3" w14:textId="77777777" w:rsidR="00275E43" w:rsidRPr="006F5416" w:rsidRDefault="00275E43"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D3DB" w14:textId="77777777" w:rsidR="00275E43" w:rsidRDefault="00275E43" w:rsidP="00937AE2">
    <w:pPr>
      <w:pStyle w:val="Zhlav"/>
    </w:pPr>
    <w:r>
      <w:t>Vývoj ekonomiky České republiky</w:t>
    </w:r>
  </w:p>
  <w:p w14:paraId="57266714" w14:textId="77777777" w:rsidR="00275E43" w:rsidRPr="006F5416" w:rsidRDefault="00275E43"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224337598">
    <w:abstractNumId w:val="24"/>
  </w:num>
  <w:num w:numId="2" w16cid:durableId="352264853">
    <w:abstractNumId w:val="8"/>
  </w:num>
  <w:num w:numId="3" w16cid:durableId="1115095472">
    <w:abstractNumId w:val="3"/>
  </w:num>
  <w:num w:numId="4" w16cid:durableId="1962372938">
    <w:abstractNumId w:val="2"/>
  </w:num>
  <w:num w:numId="5" w16cid:durableId="1958753753">
    <w:abstractNumId w:val="1"/>
  </w:num>
  <w:num w:numId="6" w16cid:durableId="125127467">
    <w:abstractNumId w:val="0"/>
  </w:num>
  <w:num w:numId="7" w16cid:durableId="113912191">
    <w:abstractNumId w:val="9"/>
  </w:num>
  <w:num w:numId="8" w16cid:durableId="625045448">
    <w:abstractNumId w:val="7"/>
  </w:num>
  <w:num w:numId="9" w16cid:durableId="1352488717">
    <w:abstractNumId w:val="6"/>
  </w:num>
  <w:num w:numId="10" w16cid:durableId="987368208">
    <w:abstractNumId w:val="5"/>
  </w:num>
  <w:num w:numId="11" w16cid:durableId="1039932949">
    <w:abstractNumId w:val="4"/>
  </w:num>
  <w:num w:numId="12" w16cid:durableId="1043288693">
    <w:abstractNumId w:val="14"/>
  </w:num>
  <w:num w:numId="13" w16cid:durableId="72968187">
    <w:abstractNumId w:val="26"/>
  </w:num>
  <w:num w:numId="14" w16cid:durableId="1649672820">
    <w:abstractNumId w:val="13"/>
  </w:num>
  <w:num w:numId="15" w16cid:durableId="1176924891">
    <w:abstractNumId w:val="19"/>
  </w:num>
  <w:num w:numId="16" w16cid:durableId="752629986">
    <w:abstractNumId w:val="15"/>
  </w:num>
  <w:num w:numId="17" w16cid:durableId="22023024">
    <w:abstractNumId w:val="27"/>
  </w:num>
  <w:num w:numId="18" w16cid:durableId="1387415516">
    <w:abstractNumId w:val="20"/>
  </w:num>
  <w:num w:numId="19" w16cid:durableId="676268872">
    <w:abstractNumId w:val="28"/>
  </w:num>
  <w:num w:numId="20" w16cid:durableId="429356725">
    <w:abstractNumId w:val="29"/>
  </w:num>
  <w:num w:numId="21" w16cid:durableId="909655302">
    <w:abstractNumId w:val="25"/>
  </w:num>
  <w:num w:numId="22" w16cid:durableId="1461801755">
    <w:abstractNumId w:val="18"/>
  </w:num>
  <w:num w:numId="23" w16cid:durableId="103696176">
    <w:abstractNumId w:val="16"/>
  </w:num>
  <w:num w:numId="24" w16cid:durableId="1816952523">
    <w:abstractNumId w:val="17"/>
  </w:num>
  <w:num w:numId="25" w16cid:durableId="1339426053">
    <w:abstractNumId w:val="12"/>
  </w:num>
  <w:num w:numId="26" w16cid:durableId="230043571">
    <w:abstractNumId w:val="22"/>
  </w:num>
  <w:num w:numId="27" w16cid:durableId="1841390614">
    <w:abstractNumId w:val="21"/>
  </w:num>
  <w:num w:numId="28" w16cid:durableId="347297665">
    <w:abstractNumId w:val="10"/>
  </w:num>
  <w:num w:numId="29" w16cid:durableId="1643383695">
    <w:abstractNumId w:val="29"/>
  </w:num>
  <w:num w:numId="30" w16cid:durableId="1728843360">
    <w:abstractNumId w:val="23"/>
  </w:num>
  <w:num w:numId="31" w16cid:durableId="1247303207">
    <w:abstractNumId w:val="11"/>
  </w:num>
  <w:num w:numId="32" w16cid:durableId="1867449779">
    <w:abstractNumId w:val="30"/>
  </w:num>
  <w:num w:numId="33" w16cid:durableId="45883867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28"/>
    <w:rsid w:val="000005AF"/>
    <w:rsid w:val="00000B55"/>
    <w:rsid w:val="0000209D"/>
    <w:rsid w:val="00002566"/>
    <w:rsid w:val="0000370A"/>
    <w:rsid w:val="00003849"/>
    <w:rsid w:val="00003F5C"/>
    <w:rsid w:val="00004D5A"/>
    <w:rsid w:val="00005219"/>
    <w:rsid w:val="000056D5"/>
    <w:rsid w:val="00005D9E"/>
    <w:rsid w:val="000063D5"/>
    <w:rsid w:val="00006625"/>
    <w:rsid w:val="00006ABD"/>
    <w:rsid w:val="00006B67"/>
    <w:rsid w:val="00006C0B"/>
    <w:rsid w:val="000073A0"/>
    <w:rsid w:val="0000767A"/>
    <w:rsid w:val="00007ABE"/>
    <w:rsid w:val="00010256"/>
    <w:rsid w:val="00010702"/>
    <w:rsid w:val="00010A2C"/>
    <w:rsid w:val="0001128E"/>
    <w:rsid w:val="00011912"/>
    <w:rsid w:val="000129B7"/>
    <w:rsid w:val="0001387D"/>
    <w:rsid w:val="00014ED0"/>
    <w:rsid w:val="00016420"/>
    <w:rsid w:val="00016BDB"/>
    <w:rsid w:val="00017B01"/>
    <w:rsid w:val="000200BE"/>
    <w:rsid w:val="000205D1"/>
    <w:rsid w:val="00020F22"/>
    <w:rsid w:val="0002195D"/>
    <w:rsid w:val="00021F9B"/>
    <w:rsid w:val="000228AE"/>
    <w:rsid w:val="000233D1"/>
    <w:rsid w:val="000234D6"/>
    <w:rsid w:val="00023D29"/>
    <w:rsid w:val="00024348"/>
    <w:rsid w:val="00026109"/>
    <w:rsid w:val="0002622B"/>
    <w:rsid w:val="00026389"/>
    <w:rsid w:val="0002669F"/>
    <w:rsid w:val="000279E5"/>
    <w:rsid w:val="000305E0"/>
    <w:rsid w:val="00031AE0"/>
    <w:rsid w:val="00031BB2"/>
    <w:rsid w:val="000322EF"/>
    <w:rsid w:val="00033FCD"/>
    <w:rsid w:val="000348AF"/>
    <w:rsid w:val="00034B70"/>
    <w:rsid w:val="00034DF7"/>
    <w:rsid w:val="00034E68"/>
    <w:rsid w:val="000350C8"/>
    <w:rsid w:val="00036195"/>
    <w:rsid w:val="000374B2"/>
    <w:rsid w:val="000376C0"/>
    <w:rsid w:val="000403A7"/>
    <w:rsid w:val="00040632"/>
    <w:rsid w:val="00041AFC"/>
    <w:rsid w:val="00041CEC"/>
    <w:rsid w:val="00041D02"/>
    <w:rsid w:val="00042596"/>
    <w:rsid w:val="00042A4A"/>
    <w:rsid w:val="00044183"/>
    <w:rsid w:val="0004431D"/>
    <w:rsid w:val="00044AAC"/>
    <w:rsid w:val="0004694F"/>
    <w:rsid w:val="00046F2F"/>
    <w:rsid w:val="00047AD4"/>
    <w:rsid w:val="00047D54"/>
    <w:rsid w:val="00050541"/>
    <w:rsid w:val="0005054A"/>
    <w:rsid w:val="00050A87"/>
    <w:rsid w:val="00051506"/>
    <w:rsid w:val="000522E4"/>
    <w:rsid w:val="00053713"/>
    <w:rsid w:val="0005434E"/>
    <w:rsid w:val="00055CB6"/>
    <w:rsid w:val="000572DD"/>
    <w:rsid w:val="00057B1E"/>
    <w:rsid w:val="0006033F"/>
    <w:rsid w:val="000610E1"/>
    <w:rsid w:val="000616AD"/>
    <w:rsid w:val="000622A6"/>
    <w:rsid w:val="00062D70"/>
    <w:rsid w:val="00062EC5"/>
    <w:rsid w:val="00062F22"/>
    <w:rsid w:val="00063975"/>
    <w:rsid w:val="00063CEA"/>
    <w:rsid w:val="0006444D"/>
    <w:rsid w:val="000645FC"/>
    <w:rsid w:val="00065296"/>
    <w:rsid w:val="0006533F"/>
    <w:rsid w:val="00065348"/>
    <w:rsid w:val="0006551C"/>
    <w:rsid w:val="0006558D"/>
    <w:rsid w:val="00065A75"/>
    <w:rsid w:val="000663F0"/>
    <w:rsid w:val="00066558"/>
    <w:rsid w:val="000671DB"/>
    <w:rsid w:val="00067982"/>
    <w:rsid w:val="00070A87"/>
    <w:rsid w:val="000712B3"/>
    <w:rsid w:val="00071A7C"/>
    <w:rsid w:val="00071E38"/>
    <w:rsid w:val="00072FF5"/>
    <w:rsid w:val="00073A5A"/>
    <w:rsid w:val="0007474E"/>
    <w:rsid w:val="00074988"/>
    <w:rsid w:val="0007512B"/>
    <w:rsid w:val="00075551"/>
    <w:rsid w:val="000767F5"/>
    <w:rsid w:val="00076D90"/>
    <w:rsid w:val="00077FF0"/>
    <w:rsid w:val="00081A55"/>
    <w:rsid w:val="0008263E"/>
    <w:rsid w:val="00082C19"/>
    <w:rsid w:val="00082F89"/>
    <w:rsid w:val="00083457"/>
    <w:rsid w:val="000837CD"/>
    <w:rsid w:val="00083B7F"/>
    <w:rsid w:val="00084BFF"/>
    <w:rsid w:val="00085395"/>
    <w:rsid w:val="00086896"/>
    <w:rsid w:val="00086AC1"/>
    <w:rsid w:val="00086D19"/>
    <w:rsid w:val="00087634"/>
    <w:rsid w:val="00087F2B"/>
    <w:rsid w:val="00090694"/>
    <w:rsid w:val="00090EE2"/>
    <w:rsid w:val="00090FC6"/>
    <w:rsid w:val="0009122C"/>
    <w:rsid w:val="000913B1"/>
    <w:rsid w:val="0009290F"/>
    <w:rsid w:val="00093241"/>
    <w:rsid w:val="00093868"/>
    <w:rsid w:val="00094A84"/>
    <w:rsid w:val="00095025"/>
    <w:rsid w:val="00095135"/>
    <w:rsid w:val="0009626E"/>
    <w:rsid w:val="0009644D"/>
    <w:rsid w:val="00097191"/>
    <w:rsid w:val="000974D1"/>
    <w:rsid w:val="00097784"/>
    <w:rsid w:val="0009799E"/>
    <w:rsid w:val="000A07CB"/>
    <w:rsid w:val="000A0BC0"/>
    <w:rsid w:val="000A1183"/>
    <w:rsid w:val="000A12ED"/>
    <w:rsid w:val="000A1D49"/>
    <w:rsid w:val="000A212B"/>
    <w:rsid w:val="000A242D"/>
    <w:rsid w:val="000A256D"/>
    <w:rsid w:val="000A2643"/>
    <w:rsid w:val="000A2E5F"/>
    <w:rsid w:val="000A385C"/>
    <w:rsid w:val="000A3A2C"/>
    <w:rsid w:val="000A3D9E"/>
    <w:rsid w:val="000A4A54"/>
    <w:rsid w:val="000A4ED9"/>
    <w:rsid w:val="000A5DB7"/>
    <w:rsid w:val="000A6753"/>
    <w:rsid w:val="000A6D94"/>
    <w:rsid w:val="000A7377"/>
    <w:rsid w:val="000A74A4"/>
    <w:rsid w:val="000A775A"/>
    <w:rsid w:val="000A7D63"/>
    <w:rsid w:val="000A7FF4"/>
    <w:rsid w:val="000B03CC"/>
    <w:rsid w:val="000B4212"/>
    <w:rsid w:val="000B67B7"/>
    <w:rsid w:val="000B6A0A"/>
    <w:rsid w:val="000C0127"/>
    <w:rsid w:val="000C0CA6"/>
    <w:rsid w:val="000C0EA8"/>
    <w:rsid w:val="000C13A2"/>
    <w:rsid w:val="000C21E7"/>
    <w:rsid w:val="000C23EC"/>
    <w:rsid w:val="000C26A2"/>
    <w:rsid w:val="000C290E"/>
    <w:rsid w:val="000C30C3"/>
    <w:rsid w:val="000C3408"/>
    <w:rsid w:val="000C35AB"/>
    <w:rsid w:val="000C3F7B"/>
    <w:rsid w:val="000C4769"/>
    <w:rsid w:val="000C4D56"/>
    <w:rsid w:val="000C5DFA"/>
    <w:rsid w:val="000C6AFD"/>
    <w:rsid w:val="000C6C90"/>
    <w:rsid w:val="000C72B7"/>
    <w:rsid w:val="000C7A79"/>
    <w:rsid w:val="000D0A26"/>
    <w:rsid w:val="000D13CB"/>
    <w:rsid w:val="000D2196"/>
    <w:rsid w:val="000D2C2E"/>
    <w:rsid w:val="000D3058"/>
    <w:rsid w:val="000D310A"/>
    <w:rsid w:val="000D3EF4"/>
    <w:rsid w:val="000D4761"/>
    <w:rsid w:val="000D4DC0"/>
    <w:rsid w:val="000D55BA"/>
    <w:rsid w:val="000D5637"/>
    <w:rsid w:val="000D5A03"/>
    <w:rsid w:val="000D5ED3"/>
    <w:rsid w:val="000D6F4E"/>
    <w:rsid w:val="000D6FDA"/>
    <w:rsid w:val="000D73BB"/>
    <w:rsid w:val="000D7AC7"/>
    <w:rsid w:val="000E0E96"/>
    <w:rsid w:val="000E298B"/>
    <w:rsid w:val="000E2C7D"/>
    <w:rsid w:val="000E3E56"/>
    <w:rsid w:val="000E440D"/>
    <w:rsid w:val="000E4AC5"/>
    <w:rsid w:val="000E6253"/>
    <w:rsid w:val="000E6AC4"/>
    <w:rsid w:val="000E6E4D"/>
    <w:rsid w:val="000E6FBD"/>
    <w:rsid w:val="000E6FCB"/>
    <w:rsid w:val="000F090B"/>
    <w:rsid w:val="000F15F7"/>
    <w:rsid w:val="000F1AA2"/>
    <w:rsid w:val="000F378E"/>
    <w:rsid w:val="000F3F3B"/>
    <w:rsid w:val="000F4721"/>
    <w:rsid w:val="000F47E8"/>
    <w:rsid w:val="000F70E4"/>
    <w:rsid w:val="000F76EA"/>
    <w:rsid w:val="00100A8B"/>
    <w:rsid w:val="00100F5C"/>
    <w:rsid w:val="00101B15"/>
    <w:rsid w:val="00101CDA"/>
    <w:rsid w:val="00102037"/>
    <w:rsid w:val="00103DCB"/>
    <w:rsid w:val="00104C4C"/>
    <w:rsid w:val="00105015"/>
    <w:rsid w:val="001055D2"/>
    <w:rsid w:val="001057C2"/>
    <w:rsid w:val="00107124"/>
    <w:rsid w:val="0011038E"/>
    <w:rsid w:val="00111573"/>
    <w:rsid w:val="00112370"/>
    <w:rsid w:val="001125EF"/>
    <w:rsid w:val="00112CAB"/>
    <w:rsid w:val="0011440C"/>
    <w:rsid w:val="00114C33"/>
    <w:rsid w:val="00116D3F"/>
    <w:rsid w:val="00117474"/>
    <w:rsid w:val="00117623"/>
    <w:rsid w:val="00117FEA"/>
    <w:rsid w:val="001200CF"/>
    <w:rsid w:val="001208E3"/>
    <w:rsid w:val="00121609"/>
    <w:rsid w:val="0012192F"/>
    <w:rsid w:val="00122994"/>
    <w:rsid w:val="00123204"/>
    <w:rsid w:val="00124B46"/>
    <w:rsid w:val="001257BE"/>
    <w:rsid w:val="001257E0"/>
    <w:rsid w:val="00125D69"/>
    <w:rsid w:val="0012799C"/>
    <w:rsid w:val="00127BC2"/>
    <w:rsid w:val="00127E15"/>
    <w:rsid w:val="001308F1"/>
    <w:rsid w:val="00130ADC"/>
    <w:rsid w:val="00130D9F"/>
    <w:rsid w:val="00132C4D"/>
    <w:rsid w:val="00133FC1"/>
    <w:rsid w:val="00134659"/>
    <w:rsid w:val="00135111"/>
    <w:rsid w:val="00136A6F"/>
    <w:rsid w:val="00136C1A"/>
    <w:rsid w:val="00137812"/>
    <w:rsid w:val="001405FA"/>
    <w:rsid w:val="00140D1A"/>
    <w:rsid w:val="00141184"/>
    <w:rsid w:val="00141315"/>
    <w:rsid w:val="00141AA0"/>
    <w:rsid w:val="001425C3"/>
    <w:rsid w:val="0014262D"/>
    <w:rsid w:val="00142B29"/>
    <w:rsid w:val="00144108"/>
    <w:rsid w:val="00144588"/>
    <w:rsid w:val="001447DD"/>
    <w:rsid w:val="00145358"/>
    <w:rsid w:val="001459BC"/>
    <w:rsid w:val="00150ECA"/>
    <w:rsid w:val="0015108F"/>
    <w:rsid w:val="00151707"/>
    <w:rsid w:val="00152C86"/>
    <w:rsid w:val="00152F4F"/>
    <w:rsid w:val="00153264"/>
    <w:rsid w:val="0015329F"/>
    <w:rsid w:val="001544A1"/>
    <w:rsid w:val="001553B8"/>
    <w:rsid w:val="001554C2"/>
    <w:rsid w:val="00156D04"/>
    <w:rsid w:val="001571C0"/>
    <w:rsid w:val="001574FE"/>
    <w:rsid w:val="0015753D"/>
    <w:rsid w:val="00157984"/>
    <w:rsid w:val="00157CC9"/>
    <w:rsid w:val="00160C21"/>
    <w:rsid w:val="001612F4"/>
    <w:rsid w:val="00161553"/>
    <w:rsid w:val="0016216F"/>
    <w:rsid w:val="0016256B"/>
    <w:rsid w:val="00162F81"/>
    <w:rsid w:val="00163793"/>
    <w:rsid w:val="00164CA1"/>
    <w:rsid w:val="00165313"/>
    <w:rsid w:val="001659C3"/>
    <w:rsid w:val="001665AB"/>
    <w:rsid w:val="00167485"/>
    <w:rsid w:val="001679F5"/>
    <w:rsid w:val="00167B92"/>
    <w:rsid w:val="00167CB9"/>
    <w:rsid w:val="00167DD8"/>
    <w:rsid w:val="001705AD"/>
    <w:rsid w:val="001706D6"/>
    <w:rsid w:val="001714F2"/>
    <w:rsid w:val="00171FEA"/>
    <w:rsid w:val="00173622"/>
    <w:rsid w:val="00175B9F"/>
    <w:rsid w:val="001762F4"/>
    <w:rsid w:val="001777BA"/>
    <w:rsid w:val="00181029"/>
    <w:rsid w:val="00181BBC"/>
    <w:rsid w:val="0018385F"/>
    <w:rsid w:val="00183BCF"/>
    <w:rsid w:val="00184017"/>
    <w:rsid w:val="001847BB"/>
    <w:rsid w:val="00184B08"/>
    <w:rsid w:val="00185010"/>
    <w:rsid w:val="001854F2"/>
    <w:rsid w:val="00185C22"/>
    <w:rsid w:val="00186BA9"/>
    <w:rsid w:val="00187D50"/>
    <w:rsid w:val="00190B4D"/>
    <w:rsid w:val="0019196C"/>
    <w:rsid w:val="001926A9"/>
    <w:rsid w:val="00192F05"/>
    <w:rsid w:val="00194729"/>
    <w:rsid w:val="00194850"/>
    <w:rsid w:val="00195234"/>
    <w:rsid w:val="00195EA6"/>
    <w:rsid w:val="00196016"/>
    <w:rsid w:val="00196117"/>
    <w:rsid w:val="00197A70"/>
    <w:rsid w:val="00197C0F"/>
    <w:rsid w:val="00197D0E"/>
    <w:rsid w:val="001A0487"/>
    <w:rsid w:val="001A0675"/>
    <w:rsid w:val="001A0A37"/>
    <w:rsid w:val="001A1F68"/>
    <w:rsid w:val="001A21FA"/>
    <w:rsid w:val="001A4D7C"/>
    <w:rsid w:val="001A4EF0"/>
    <w:rsid w:val="001A552F"/>
    <w:rsid w:val="001A70B1"/>
    <w:rsid w:val="001A7672"/>
    <w:rsid w:val="001B0738"/>
    <w:rsid w:val="001B1235"/>
    <w:rsid w:val="001B158D"/>
    <w:rsid w:val="001B1BBB"/>
    <w:rsid w:val="001B2CA9"/>
    <w:rsid w:val="001B3110"/>
    <w:rsid w:val="001B3E38"/>
    <w:rsid w:val="001B40F5"/>
    <w:rsid w:val="001B4729"/>
    <w:rsid w:val="001B4F0E"/>
    <w:rsid w:val="001B5F40"/>
    <w:rsid w:val="001B6310"/>
    <w:rsid w:val="001B6C09"/>
    <w:rsid w:val="001B6E12"/>
    <w:rsid w:val="001C05CD"/>
    <w:rsid w:val="001C082B"/>
    <w:rsid w:val="001C0F17"/>
    <w:rsid w:val="001C11A6"/>
    <w:rsid w:val="001C1B24"/>
    <w:rsid w:val="001C1B66"/>
    <w:rsid w:val="001C1BB5"/>
    <w:rsid w:val="001C2732"/>
    <w:rsid w:val="001C31A2"/>
    <w:rsid w:val="001C351D"/>
    <w:rsid w:val="001C3794"/>
    <w:rsid w:val="001C4B8F"/>
    <w:rsid w:val="001C4BB8"/>
    <w:rsid w:val="001C4FD0"/>
    <w:rsid w:val="001C544D"/>
    <w:rsid w:val="001C5E46"/>
    <w:rsid w:val="001C6B3B"/>
    <w:rsid w:val="001C7A26"/>
    <w:rsid w:val="001C7E3F"/>
    <w:rsid w:val="001D0EF1"/>
    <w:rsid w:val="001D1A44"/>
    <w:rsid w:val="001D22C2"/>
    <w:rsid w:val="001D2C99"/>
    <w:rsid w:val="001D3B75"/>
    <w:rsid w:val="001D452E"/>
    <w:rsid w:val="001D54C1"/>
    <w:rsid w:val="001D556E"/>
    <w:rsid w:val="001D5DF2"/>
    <w:rsid w:val="001D6175"/>
    <w:rsid w:val="001D68B2"/>
    <w:rsid w:val="001D7EFD"/>
    <w:rsid w:val="001D7F60"/>
    <w:rsid w:val="001E085B"/>
    <w:rsid w:val="001E149B"/>
    <w:rsid w:val="001E15CB"/>
    <w:rsid w:val="001E3306"/>
    <w:rsid w:val="001E504C"/>
    <w:rsid w:val="001E56AC"/>
    <w:rsid w:val="001E5A17"/>
    <w:rsid w:val="001E74C5"/>
    <w:rsid w:val="001F1236"/>
    <w:rsid w:val="001F2F90"/>
    <w:rsid w:val="001F4597"/>
    <w:rsid w:val="001F4826"/>
    <w:rsid w:val="001F4933"/>
    <w:rsid w:val="001F59C8"/>
    <w:rsid w:val="001F6483"/>
    <w:rsid w:val="001F6CD3"/>
    <w:rsid w:val="001F75DA"/>
    <w:rsid w:val="001F7931"/>
    <w:rsid w:val="001F7CE0"/>
    <w:rsid w:val="00200085"/>
    <w:rsid w:val="00201633"/>
    <w:rsid w:val="00203332"/>
    <w:rsid w:val="002036E6"/>
    <w:rsid w:val="00203CD5"/>
    <w:rsid w:val="00203D8F"/>
    <w:rsid w:val="00203DA4"/>
    <w:rsid w:val="00204EA6"/>
    <w:rsid w:val="00205186"/>
    <w:rsid w:val="00206516"/>
    <w:rsid w:val="002070CF"/>
    <w:rsid w:val="002071D5"/>
    <w:rsid w:val="002073FD"/>
    <w:rsid w:val="002111E5"/>
    <w:rsid w:val="0021149E"/>
    <w:rsid w:val="002118B9"/>
    <w:rsid w:val="00213691"/>
    <w:rsid w:val="002142C0"/>
    <w:rsid w:val="00217BED"/>
    <w:rsid w:val="00217C5B"/>
    <w:rsid w:val="00220A43"/>
    <w:rsid w:val="0022139E"/>
    <w:rsid w:val="00222729"/>
    <w:rsid w:val="0022287B"/>
    <w:rsid w:val="002228DB"/>
    <w:rsid w:val="00223185"/>
    <w:rsid w:val="00223264"/>
    <w:rsid w:val="002233D6"/>
    <w:rsid w:val="0022441D"/>
    <w:rsid w:val="00224574"/>
    <w:rsid w:val="00224E3F"/>
    <w:rsid w:val="00225000"/>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A15"/>
    <w:rsid w:val="002452D9"/>
    <w:rsid w:val="00247319"/>
    <w:rsid w:val="0024799E"/>
    <w:rsid w:val="00247E60"/>
    <w:rsid w:val="002512B7"/>
    <w:rsid w:val="00251496"/>
    <w:rsid w:val="00251B08"/>
    <w:rsid w:val="00251C53"/>
    <w:rsid w:val="00252AB9"/>
    <w:rsid w:val="002532B1"/>
    <w:rsid w:val="00253C0F"/>
    <w:rsid w:val="002558C1"/>
    <w:rsid w:val="00256207"/>
    <w:rsid w:val="002575F3"/>
    <w:rsid w:val="002601B4"/>
    <w:rsid w:val="002603E1"/>
    <w:rsid w:val="002605FE"/>
    <w:rsid w:val="0026120E"/>
    <w:rsid w:val="002617EE"/>
    <w:rsid w:val="00262582"/>
    <w:rsid w:val="0026291D"/>
    <w:rsid w:val="00262CF3"/>
    <w:rsid w:val="00264309"/>
    <w:rsid w:val="00264992"/>
    <w:rsid w:val="00264B4F"/>
    <w:rsid w:val="00264B85"/>
    <w:rsid w:val="0026564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5E43"/>
    <w:rsid w:val="002763A2"/>
    <w:rsid w:val="00276B33"/>
    <w:rsid w:val="00277669"/>
    <w:rsid w:val="002803A5"/>
    <w:rsid w:val="00280ACB"/>
    <w:rsid w:val="002812E3"/>
    <w:rsid w:val="00281576"/>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461A"/>
    <w:rsid w:val="0029509B"/>
    <w:rsid w:val="0029588F"/>
    <w:rsid w:val="00295E96"/>
    <w:rsid w:val="00297256"/>
    <w:rsid w:val="00297A5C"/>
    <w:rsid w:val="00297D51"/>
    <w:rsid w:val="002A0122"/>
    <w:rsid w:val="002A016B"/>
    <w:rsid w:val="002A103E"/>
    <w:rsid w:val="002A16D4"/>
    <w:rsid w:val="002A1E4F"/>
    <w:rsid w:val="002A230C"/>
    <w:rsid w:val="002A2AF7"/>
    <w:rsid w:val="002A3209"/>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D6A4C"/>
    <w:rsid w:val="002E02A1"/>
    <w:rsid w:val="002E196A"/>
    <w:rsid w:val="002E1F8A"/>
    <w:rsid w:val="002E20C7"/>
    <w:rsid w:val="002E20CD"/>
    <w:rsid w:val="002E222E"/>
    <w:rsid w:val="002E28D8"/>
    <w:rsid w:val="002E3638"/>
    <w:rsid w:val="002E37D1"/>
    <w:rsid w:val="002E3BEE"/>
    <w:rsid w:val="002E4DCE"/>
    <w:rsid w:val="002E4E4C"/>
    <w:rsid w:val="002E4EA7"/>
    <w:rsid w:val="002E5846"/>
    <w:rsid w:val="002E792B"/>
    <w:rsid w:val="002E7AEB"/>
    <w:rsid w:val="002E7B79"/>
    <w:rsid w:val="002F1B09"/>
    <w:rsid w:val="002F1D56"/>
    <w:rsid w:val="002F1DCB"/>
    <w:rsid w:val="002F1DE4"/>
    <w:rsid w:val="002F333D"/>
    <w:rsid w:val="002F351A"/>
    <w:rsid w:val="002F357F"/>
    <w:rsid w:val="002F46D6"/>
    <w:rsid w:val="002F498A"/>
    <w:rsid w:val="002F4AD8"/>
    <w:rsid w:val="002F5285"/>
    <w:rsid w:val="002F5820"/>
    <w:rsid w:val="002F64BB"/>
    <w:rsid w:val="002F7D9B"/>
    <w:rsid w:val="00300C31"/>
    <w:rsid w:val="003017EC"/>
    <w:rsid w:val="00302165"/>
    <w:rsid w:val="00303BB4"/>
    <w:rsid w:val="00304771"/>
    <w:rsid w:val="00304F9C"/>
    <w:rsid w:val="003052D4"/>
    <w:rsid w:val="00305863"/>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B3D"/>
    <w:rsid w:val="0032058C"/>
    <w:rsid w:val="003208D0"/>
    <w:rsid w:val="003209D6"/>
    <w:rsid w:val="003217B9"/>
    <w:rsid w:val="00321924"/>
    <w:rsid w:val="00321AF1"/>
    <w:rsid w:val="00321EB6"/>
    <w:rsid w:val="003220A5"/>
    <w:rsid w:val="003238E0"/>
    <w:rsid w:val="00323A1C"/>
    <w:rsid w:val="00323A2F"/>
    <w:rsid w:val="00323A8E"/>
    <w:rsid w:val="003247E1"/>
    <w:rsid w:val="00324B59"/>
    <w:rsid w:val="00325E46"/>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40BF3"/>
    <w:rsid w:val="00341D26"/>
    <w:rsid w:val="00341F05"/>
    <w:rsid w:val="0034335E"/>
    <w:rsid w:val="00344668"/>
    <w:rsid w:val="00344940"/>
    <w:rsid w:val="00346234"/>
    <w:rsid w:val="003462D9"/>
    <w:rsid w:val="0034723F"/>
    <w:rsid w:val="00347247"/>
    <w:rsid w:val="003474B6"/>
    <w:rsid w:val="00347DD4"/>
    <w:rsid w:val="00352B43"/>
    <w:rsid w:val="00352C28"/>
    <w:rsid w:val="003541BB"/>
    <w:rsid w:val="00354502"/>
    <w:rsid w:val="00354F89"/>
    <w:rsid w:val="0035506D"/>
    <w:rsid w:val="0036077F"/>
    <w:rsid w:val="00360A35"/>
    <w:rsid w:val="00360C86"/>
    <w:rsid w:val="00360F7A"/>
    <w:rsid w:val="00360FBC"/>
    <w:rsid w:val="00361537"/>
    <w:rsid w:val="00361FB7"/>
    <w:rsid w:val="0036242A"/>
    <w:rsid w:val="00362C23"/>
    <w:rsid w:val="00362DCA"/>
    <w:rsid w:val="00362E90"/>
    <w:rsid w:val="00364FA0"/>
    <w:rsid w:val="003657F3"/>
    <w:rsid w:val="00365844"/>
    <w:rsid w:val="00365F61"/>
    <w:rsid w:val="0036624C"/>
    <w:rsid w:val="00367F84"/>
    <w:rsid w:val="003712BC"/>
    <w:rsid w:val="00372164"/>
    <w:rsid w:val="003738BD"/>
    <w:rsid w:val="00374263"/>
    <w:rsid w:val="003746F0"/>
    <w:rsid w:val="00374A20"/>
    <w:rsid w:val="00374B96"/>
    <w:rsid w:val="00374E21"/>
    <w:rsid w:val="0037537A"/>
    <w:rsid w:val="00377B2E"/>
    <w:rsid w:val="00380C9B"/>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398D"/>
    <w:rsid w:val="00393B3F"/>
    <w:rsid w:val="0039402D"/>
    <w:rsid w:val="00396739"/>
    <w:rsid w:val="003978B1"/>
    <w:rsid w:val="003A04F6"/>
    <w:rsid w:val="003A0837"/>
    <w:rsid w:val="003A2B4D"/>
    <w:rsid w:val="003A2D12"/>
    <w:rsid w:val="003A2EBA"/>
    <w:rsid w:val="003A45E3"/>
    <w:rsid w:val="003A46B8"/>
    <w:rsid w:val="003A478C"/>
    <w:rsid w:val="003A4A38"/>
    <w:rsid w:val="003A5525"/>
    <w:rsid w:val="003A5889"/>
    <w:rsid w:val="003A5C8C"/>
    <w:rsid w:val="003A6B38"/>
    <w:rsid w:val="003A6B83"/>
    <w:rsid w:val="003A6C97"/>
    <w:rsid w:val="003A722F"/>
    <w:rsid w:val="003A7373"/>
    <w:rsid w:val="003A7D09"/>
    <w:rsid w:val="003B039F"/>
    <w:rsid w:val="003B0DF4"/>
    <w:rsid w:val="003B1F9D"/>
    <w:rsid w:val="003B2A8D"/>
    <w:rsid w:val="003B2AD1"/>
    <w:rsid w:val="003B2D2E"/>
    <w:rsid w:val="003B376A"/>
    <w:rsid w:val="003B461F"/>
    <w:rsid w:val="003B483F"/>
    <w:rsid w:val="003B4998"/>
    <w:rsid w:val="003B5A32"/>
    <w:rsid w:val="003B5B59"/>
    <w:rsid w:val="003B709D"/>
    <w:rsid w:val="003B7B50"/>
    <w:rsid w:val="003C0B07"/>
    <w:rsid w:val="003C2CE7"/>
    <w:rsid w:val="003C2DB8"/>
    <w:rsid w:val="003C3490"/>
    <w:rsid w:val="003C3608"/>
    <w:rsid w:val="003C3A87"/>
    <w:rsid w:val="003C3AE8"/>
    <w:rsid w:val="003C3D2C"/>
    <w:rsid w:val="003C4058"/>
    <w:rsid w:val="003C4E13"/>
    <w:rsid w:val="003C58A5"/>
    <w:rsid w:val="003C6221"/>
    <w:rsid w:val="003C63D7"/>
    <w:rsid w:val="003C68CC"/>
    <w:rsid w:val="003C7E62"/>
    <w:rsid w:val="003D12B9"/>
    <w:rsid w:val="003D1E7A"/>
    <w:rsid w:val="003D242B"/>
    <w:rsid w:val="003D2492"/>
    <w:rsid w:val="003D29AA"/>
    <w:rsid w:val="003D2A99"/>
    <w:rsid w:val="003D6920"/>
    <w:rsid w:val="003E0249"/>
    <w:rsid w:val="003E08A4"/>
    <w:rsid w:val="003E105C"/>
    <w:rsid w:val="003E1EF8"/>
    <w:rsid w:val="003E2DFB"/>
    <w:rsid w:val="003E4466"/>
    <w:rsid w:val="003E4C91"/>
    <w:rsid w:val="003E52D8"/>
    <w:rsid w:val="003E62F1"/>
    <w:rsid w:val="003E6F84"/>
    <w:rsid w:val="003F0148"/>
    <w:rsid w:val="003F313C"/>
    <w:rsid w:val="003F33B1"/>
    <w:rsid w:val="003F33B9"/>
    <w:rsid w:val="003F37FC"/>
    <w:rsid w:val="003F3E76"/>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17106"/>
    <w:rsid w:val="00420880"/>
    <w:rsid w:val="00421179"/>
    <w:rsid w:val="004225D7"/>
    <w:rsid w:val="00423623"/>
    <w:rsid w:val="0042470E"/>
    <w:rsid w:val="00425352"/>
    <w:rsid w:val="00426C99"/>
    <w:rsid w:val="004272BE"/>
    <w:rsid w:val="00430C96"/>
    <w:rsid w:val="0043174F"/>
    <w:rsid w:val="00431BFF"/>
    <w:rsid w:val="00432199"/>
    <w:rsid w:val="00432A58"/>
    <w:rsid w:val="004331C3"/>
    <w:rsid w:val="00433C17"/>
    <w:rsid w:val="00434617"/>
    <w:rsid w:val="00434DE9"/>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25"/>
    <w:rsid w:val="00451EF1"/>
    <w:rsid w:val="00452E60"/>
    <w:rsid w:val="0045321B"/>
    <w:rsid w:val="00455833"/>
    <w:rsid w:val="00456FB5"/>
    <w:rsid w:val="00456FE5"/>
    <w:rsid w:val="00457490"/>
    <w:rsid w:val="0045778B"/>
    <w:rsid w:val="0045786C"/>
    <w:rsid w:val="00457953"/>
    <w:rsid w:val="004604D8"/>
    <w:rsid w:val="00460656"/>
    <w:rsid w:val="00460FB3"/>
    <w:rsid w:val="00463D3C"/>
    <w:rsid w:val="00464851"/>
    <w:rsid w:val="00464BF5"/>
    <w:rsid w:val="00466595"/>
    <w:rsid w:val="00466B3E"/>
    <w:rsid w:val="0046746A"/>
    <w:rsid w:val="00467B14"/>
    <w:rsid w:val="004707FE"/>
    <w:rsid w:val="00470EDC"/>
    <w:rsid w:val="00472418"/>
    <w:rsid w:val="0047276D"/>
    <w:rsid w:val="00472AF6"/>
    <w:rsid w:val="00473482"/>
    <w:rsid w:val="00474646"/>
    <w:rsid w:val="00474A04"/>
    <w:rsid w:val="00476240"/>
    <w:rsid w:val="00476439"/>
    <w:rsid w:val="00476450"/>
    <w:rsid w:val="004769BF"/>
    <w:rsid w:val="004769E1"/>
    <w:rsid w:val="0047735C"/>
    <w:rsid w:val="004776BC"/>
    <w:rsid w:val="00477820"/>
    <w:rsid w:val="00477B96"/>
    <w:rsid w:val="00480802"/>
    <w:rsid w:val="00480BAE"/>
    <w:rsid w:val="00480D7F"/>
    <w:rsid w:val="0048139F"/>
    <w:rsid w:val="00481E40"/>
    <w:rsid w:val="00482405"/>
    <w:rsid w:val="004826A7"/>
    <w:rsid w:val="0048368C"/>
    <w:rsid w:val="0048372F"/>
    <w:rsid w:val="00483A0C"/>
    <w:rsid w:val="004841CC"/>
    <w:rsid w:val="00484ECE"/>
    <w:rsid w:val="00485E82"/>
    <w:rsid w:val="00486132"/>
    <w:rsid w:val="0048686D"/>
    <w:rsid w:val="00486A4D"/>
    <w:rsid w:val="004915CB"/>
    <w:rsid w:val="00491A2B"/>
    <w:rsid w:val="004924DC"/>
    <w:rsid w:val="00492879"/>
    <w:rsid w:val="00493E85"/>
    <w:rsid w:val="00495145"/>
    <w:rsid w:val="0049531F"/>
    <w:rsid w:val="004979A5"/>
    <w:rsid w:val="004A0144"/>
    <w:rsid w:val="004A036E"/>
    <w:rsid w:val="004A0498"/>
    <w:rsid w:val="004A06B0"/>
    <w:rsid w:val="004A0D0E"/>
    <w:rsid w:val="004A14E4"/>
    <w:rsid w:val="004A204E"/>
    <w:rsid w:val="004A26A5"/>
    <w:rsid w:val="004A27F0"/>
    <w:rsid w:val="004A3212"/>
    <w:rsid w:val="004A37CD"/>
    <w:rsid w:val="004A40D9"/>
    <w:rsid w:val="004A49A5"/>
    <w:rsid w:val="004A4F8A"/>
    <w:rsid w:val="004A52AB"/>
    <w:rsid w:val="004A5494"/>
    <w:rsid w:val="004A5D4E"/>
    <w:rsid w:val="004A61C5"/>
    <w:rsid w:val="004A62A0"/>
    <w:rsid w:val="004A77DF"/>
    <w:rsid w:val="004A7DC0"/>
    <w:rsid w:val="004B1417"/>
    <w:rsid w:val="004B305C"/>
    <w:rsid w:val="004B31B8"/>
    <w:rsid w:val="004B339A"/>
    <w:rsid w:val="004B4C83"/>
    <w:rsid w:val="004B55B7"/>
    <w:rsid w:val="004B5BFA"/>
    <w:rsid w:val="004B619E"/>
    <w:rsid w:val="004B6468"/>
    <w:rsid w:val="004B6EF8"/>
    <w:rsid w:val="004B7125"/>
    <w:rsid w:val="004B756A"/>
    <w:rsid w:val="004B7FB1"/>
    <w:rsid w:val="004C0970"/>
    <w:rsid w:val="004C0B3F"/>
    <w:rsid w:val="004C0F87"/>
    <w:rsid w:val="004C25F9"/>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D31"/>
    <w:rsid w:val="004D2E03"/>
    <w:rsid w:val="004D3296"/>
    <w:rsid w:val="004D4056"/>
    <w:rsid w:val="004D4CB0"/>
    <w:rsid w:val="004D5B0F"/>
    <w:rsid w:val="004D7626"/>
    <w:rsid w:val="004E085C"/>
    <w:rsid w:val="004E12DF"/>
    <w:rsid w:val="004E186A"/>
    <w:rsid w:val="004E1A40"/>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570F"/>
    <w:rsid w:val="004F6484"/>
    <w:rsid w:val="004F6539"/>
    <w:rsid w:val="00503D54"/>
    <w:rsid w:val="005048E2"/>
    <w:rsid w:val="00505FC8"/>
    <w:rsid w:val="00506603"/>
    <w:rsid w:val="0050689D"/>
    <w:rsid w:val="005077F5"/>
    <w:rsid w:val="005108C0"/>
    <w:rsid w:val="0051094F"/>
    <w:rsid w:val="00511217"/>
    <w:rsid w:val="00511873"/>
    <w:rsid w:val="00511BAF"/>
    <w:rsid w:val="00512461"/>
    <w:rsid w:val="00512585"/>
    <w:rsid w:val="00512A2F"/>
    <w:rsid w:val="00513B7E"/>
    <w:rsid w:val="00513E9D"/>
    <w:rsid w:val="0051475D"/>
    <w:rsid w:val="00514B11"/>
    <w:rsid w:val="00514DED"/>
    <w:rsid w:val="00515485"/>
    <w:rsid w:val="00515BE9"/>
    <w:rsid w:val="00515C74"/>
    <w:rsid w:val="00515CEB"/>
    <w:rsid w:val="0051630F"/>
    <w:rsid w:val="00517113"/>
    <w:rsid w:val="0052007E"/>
    <w:rsid w:val="0052032E"/>
    <w:rsid w:val="00521CAD"/>
    <w:rsid w:val="0052200D"/>
    <w:rsid w:val="00522425"/>
    <w:rsid w:val="00522A1B"/>
    <w:rsid w:val="00522E01"/>
    <w:rsid w:val="0052337A"/>
    <w:rsid w:val="00524385"/>
    <w:rsid w:val="005246BE"/>
    <w:rsid w:val="00525137"/>
    <w:rsid w:val="005251DD"/>
    <w:rsid w:val="0052762C"/>
    <w:rsid w:val="0052792D"/>
    <w:rsid w:val="0053012B"/>
    <w:rsid w:val="005301A6"/>
    <w:rsid w:val="00530A68"/>
    <w:rsid w:val="00530AD4"/>
    <w:rsid w:val="0053129F"/>
    <w:rsid w:val="00531C5A"/>
    <w:rsid w:val="00532CE7"/>
    <w:rsid w:val="00532D8B"/>
    <w:rsid w:val="0053324C"/>
    <w:rsid w:val="00533A8D"/>
    <w:rsid w:val="00534A28"/>
    <w:rsid w:val="00535018"/>
    <w:rsid w:val="00535782"/>
    <w:rsid w:val="0053595E"/>
    <w:rsid w:val="00537571"/>
    <w:rsid w:val="00540056"/>
    <w:rsid w:val="005410E2"/>
    <w:rsid w:val="00541508"/>
    <w:rsid w:val="00541AE3"/>
    <w:rsid w:val="00543498"/>
    <w:rsid w:val="00544011"/>
    <w:rsid w:val="00544BE5"/>
    <w:rsid w:val="005453A3"/>
    <w:rsid w:val="005455F6"/>
    <w:rsid w:val="0054582F"/>
    <w:rsid w:val="00546FC7"/>
    <w:rsid w:val="005500F9"/>
    <w:rsid w:val="00550160"/>
    <w:rsid w:val="00550249"/>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60C41"/>
    <w:rsid w:val="00560CAC"/>
    <w:rsid w:val="00561F44"/>
    <w:rsid w:val="00562B4D"/>
    <w:rsid w:val="00562DB1"/>
    <w:rsid w:val="00563EB8"/>
    <w:rsid w:val="005647BF"/>
    <w:rsid w:val="00564AF1"/>
    <w:rsid w:val="005655DB"/>
    <w:rsid w:val="00565E88"/>
    <w:rsid w:val="00567339"/>
    <w:rsid w:val="005678EE"/>
    <w:rsid w:val="00567910"/>
    <w:rsid w:val="00570270"/>
    <w:rsid w:val="00570464"/>
    <w:rsid w:val="00570601"/>
    <w:rsid w:val="00570BC3"/>
    <w:rsid w:val="00571766"/>
    <w:rsid w:val="0057182A"/>
    <w:rsid w:val="00571E59"/>
    <w:rsid w:val="00572079"/>
    <w:rsid w:val="00572900"/>
    <w:rsid w:val="00573602"/>
    <w:rsid w:val="0057364B"/>
    <w:rsid w:val="00574773"/>
    <w:rsid w:val="005761EC"/>
    <w:rsid w:val="00576E34"/>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90608"/>
    <w:rsid w:val="00590B28"/>
    <w:rsid w:val="005911BE"/>
    <w:rsid w:val="00591273"/>
    <w:rsid w:val="00591E9E"/>
    <w:rsid w:val="005927A4"/>
    <w:rsid w:val="00593152"/>
    <w:rsid w:val="00593389"/>
    <w:rsid w:val="00593FE6"/>
    <w:rsid w:val="005956A3"/>
    <w:rsid w:val="00595958"/>
    <w:rsid w:val="00595CAB"/>
    <w:rsid w:val="0059622E"/>
    <w:rsid w:val="00597671"/>
    <w:rsid w:val="00597BBF"/>
    <w:rsid w:val="005A040C"/>
    <w:rsid w:val="005A0463"/>
    <w:rsid w:val="005A0948"/>
    <w:rsid w:val="005A0A03"/>
    <w:rsid w:val="005A10F2"/>
    <w:rsid w:val="005A16C0"/>
    <w:rsid w:val="005A2156"/>
    <w:rsid w:val="005A21E0"/>
    <w:rsid w:val="005A28FF"/>
    <w:rsid w:val="005A2C09"/>
    <w:rsid w:val="005A3778"/>
    <w:rsid w:val="005A37B0"/>
    <w:rsid w:val="005A3DF8"/>
    <w:rsid w:val="005A5549"/>
    <w:rsid w:val="005A566A"/>
    <w:rsid w:val="005A56E0"/>
    <w:rsid w:val="005A70CA"/>
    <w:rsid w:val="005A7ABD"/>
    <w:rsid w:val="005A7CF8"/>
    <w:rsid w:val="005B0EDA"/>
    <w:rsid w:val="005B121D"/>
    <w:rsid w:val="005B26B0"/>
    <w:rsid w:val="005B41C9"/>
    <w:rsid w:val="005B44E6"/>
    <w:rsid w:val="005B4853"/>
    <w:rsid w:val="005B6CA1"/>
    <w:rsid w:val="005B770C"/>
    <w:rsid w:val="005C06ED"/>
    <w:rsid w:val="005C0CE1"/>
    <w:rsid w:val="005C11B8"/>
    <w:rsid w:val="005C216C"/>
    <w:rsid w:val="005C2609"/>
    <w:rsid w:val="005C2B30"/>
    <w:rsid w:val="005C412B"/>
    <w:rsid w:val="005C43EC"/>
    <w:rsid w:val="005C45DD"/>
    <w:rsid w:val="005C4704"/>
    <w:rsid w:val="005C4CB1"/>
    <w:rsid w:val="005C70AB"/>
    <w:rsid w:val="005D015C"/>
    <w:rsid w:val="005D3F06"/>
    <w:rsid w:val="005D4608"/>
    <w:rsid w:val="005D4B73"/>
    <w:rsid w:val="005D533D"/>
    <w:rsid w:val="005D5645"/>
    <w:rsid w:val="005D5802"/>
    <w:rsid w:val="005D5AA9"/>
    <w:rsid w:val="005D66E6"/>
    <w:rsid w:val="005D7119"/>
    <w:rsid w:val="005D76C8"/>
    <w:rsid w:val="005D7890"/>
    <w:rsid w:val="005E19C1"/>
    <w:rsid w:val="005E2194"/>
    <w:rsid w:val="005E24F0"/>
    <w:rsid w:val="005E3113"/>
    <w:rsid w:val="005E36FE"/>
    <w:rsid w:val="005E3F66"/>
    <w:rsid w:val="005E490F"/>
    <w:rsid w:val="005E4BC9"/>
    <w:rsid w:val="005E531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D7F"/>
    <w:rsid w:val="005F6DFE"/>
    <w:rsid w:val="005F7174"/>
    <w:rsid w:val="0060120D"/>
    <w:rsid w:val="006017C1"/>
    <w:rsid w:val="00601ADE"/>
    <w:rsid w:val="00601EEF"/>
    <w:rsid w:val="0060255A"/>
    <w:rsid w:val="00602998"/>
    <w:rsid w:val="00602EB3"/>
    <w:rsid w:val="00604307"/>
    <w:rsid w:val="0060487F"/>
    <w:rsid w:val="00604EAD"/>
    <w:rsid w:val="0060513F"/>
    <w:rsid w:val="006065E2"/>
    <w:rsid w:val="0060694B"/>
    <w:rsid w:val="006104FB"/>
    <w:rsid w:val="0061176D"/>
    <w:rsid w:val="0061200F"/>
    <w:rsid w:val="00612756"/>
    <w:rsid w:val="00612A2F"/>
    <w:rsid w:val="00612AAE"/>
    <w:rsid w:val="00612B07"/>
    <w:rsid w:val="00612FD9"/>
    <w:rsid w:val="006139E0"/>
    <w:rsid w:val="00614D35"/>
    <w:rsid w:val="006156B4"/>
    <w:rsid w:val="00615DAF"/>
    <w:rsid w:val="00616254"/>
    <w:rsid w:val="0061672A"/>
    <w:rsid w:val="00616E05"/>
    <w:rsid w:val="00617985"/>
    <w:rsid w:val="00620641"/>
    <w:rsid w:val="00620B77"/>
    <w:rsid w:val="00621190"/>
    <w:rsid w:val="0062131B"/>
    <w:rsid w:val="00621E26"/>
    <w:rsid w:val="006224EA"/>
    <w:rsid w:val="0062263A"/>
    <w:rsid w:val="006227DF"/>
    <w:rsid w:val="006234A0"/>
    <w:rsid w:val="006236C8"/>
    <w:rsid w:val="00624093"/>
    <w:rsid w:val="00625A84"/>
    <w:rsid w:val="00626079"/>
    <w:rsid w:val="00631698"/>
    <w:rsid w:val="00631E44"/>
    <w:rsid w:val="00634C57"/>
    <w:rsid w:val="00634CE7"/>
    <w:rsid w:val="006350D5"/>
    <w:rsid w:val="0063642C"/>
    <w:rsid w:val="006376B3"/>
    <w:rsid w:val="00637858"/>
    <w:rsid w:val="006404A7"/>
    <w:rsid w:val="00640A38"/>
    <w:rsid w:val="00640E6B"/>
    <w:rsid w:val="00641787"/>
    <w:rsid w:val="0064179B"/>
    <w:rsid w:val="00642489"/>
    <w:rsid w:val="00644055"/>
    <w:rsid w:val="00644137"/>
    <w:rsid w:val="0064478C"/>
    <w:rsid w:val="00645160"/>
    <w:rsid w:val="006451E4"/>
    <w:rsid w:val="0064574B"/>
    <w:rsid w:val="00645B33"/>
    <w:rsid w:val="006516CB"/>
    <w:rsid w:val="00652E30"/>
    <w:rsid w:val="00653BD0"/>
    <w:rsid w:val="00654110"/>
    <w:rsid w:val="00656C5D"/>
    <w:rsid w:val="00656CFB"/>
    <w:rsid w:val="00656D25"/>
    <w:rsid w:val="00657E87"/>
    <w:rsid w:val="00660D2D"/>
    <w:rsid w:val="00661C41"/>
    <w:rsid w:val="00661EC9"/>
    <w:rsid w:val="00662469"/>
    <w:rsid w:val="0066411C"/>
    <w:rsid w:val="00664205"/>
    <w:rsid w:val="00664647"/>
    <w:rsid w:val="00664803"/>
    <w:rsid w:val="0066502F"/>
    <w:rsid w:val="006653CC"/>
    <w:rsid w:val="00665501"/>
    <w:rsid w:val="00665982"/>
    <w:rsid w:val="00665BA4"/>
    <w:rsid w:val="00666BF3"/>
    <w:rsid w:val="00667856"/>
    <w:rsid w:val="00667AF2"/>
    <w:rsid w:val="00670489"/>
    <w:rsid w:val="006710C9"/>
    <w:rsid w:val="00671D85"/>
    <w:rsid w:val="00672586"/>
    <w:rsid w:val="006727BC"/>
    <w:rsid w:val="006741CD"/>
    <w:rsid w:val="00674D89"/>
    <w:rsid w:val="0067514E"/>
    <w:rsid w:val="00675E37"/>
    <w:rsid w:val="0067635D"/>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B9B"/>
    <w:rsid w:val="00684D59"/>
    <w:rsid w:val="00684E25"/>
    <w:rsid w:val="006858A4"/>
    <w:rsid w:val="00685C08"/>
    <w:rsid w:val="00686718"/>
    <w:rsid w:val="00686BFA"/>
    <w:rsid w:val="00686DED"/>
    <w:rsid w:val="006875A0"/>
    <w:rsid w:val="006878C6"/>
    <w:rsid w:val="00687D27"/>
    <w:rsid w:val="00691943"/>
    <w:rsid w:val="00693550"/>
    <w:rsid w:val="00694622"/>
    <w:rsid w:val="00695065"/>
    <w:rsid w:val="00695BEF"/>
    <w:rsid w:val="00696251"/>
    <w:rsid w:val="006966C7"/>
    <w:rsid w:val="006968C1"/>
    <w:rsid w:val="006977F6"/>
    <w:rsid w:val="00697A13"/>
    <w:rsid w:val="006A0DD4"/>
    <w:rsid w:val="006A109C"/>
    <w:rsid w:val="006A4E91"/>
    <w:rsid w:val="006A5F4B"/>
    <w:rsid w:val="006A6114"/>
    <w:rsid w:val="006A6565"/>
    <w:rsid w:val="006A76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981"/>
    <w:rsid w:val="006C7AEC"/>
    <w:rsid w:val="006C7CA6"/>
    <w:rsid w:val="006D18B3"/>
    <w:rsid w:val="006D1E89"/>
    <w:rsid w:val="006D26CE"/>
    <w:rsid w:val="006D317E"/>
    <w:rsid w:val="006D3E8A"/>
    <w:rsid w:val="006D47D9"/>
    <w:rsid w:val="006D61F6"/>
    <w:rsid w:val="006E1081"/>
    <w:rsid w:val="006E1332"/>
    <w:rsid w:val="006E19CB"/>
    <w:rsid w:val="006E279A"/>
    <w:rsid w:val="006E313B"/>
    <w:rsid w:val="006E34B2"/>
    <w:rsid w:val="006E3A45"/>
    <w:rsid w:val="006E4078"/>
    <w:rsid w:val="006E51C4"/>
    <w:rsid w:val="006E53AD"/>
    <w:rsid w:val="006E58CB"/>
    <w:rsid w:val="006E6A93"/>
    <w:rsid w:val="006E7227"/>
    <w:rsid w:val="006E761A"/>
    <w:rsid w:val="006F0646"/>
    <w:rsid w:val="006F0741"/>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398A"/>
    <w:rsid w:val="00705242"/>
    <w:rsid w:val="007055E0"/>
    <w:rsid w:val="007056ED"/>
    <w:rsid w:val="00705F4E"/>
    <w:rsid w:val="0070658E"/>
    <w:rsid w:val="007065C5"/>
    <w:rsid w:val="007068E1"/>
    <w:rsid w:val="00706AA0"/>
    <w:rsid w:val="00706AD4"/>
    <w:rsid w:val="00707150"/>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310"/>
    <w:rsid w:val="00720D7A"/>
    <w:rsid w:val="007211F5"/>
    <w:rsid w:val="007213C3"/>
    <w:rsid w:val="00721601"/>
    <w:rsid w:val="00722777"/>
    <w:rsid w:val="00723435"/>
    <w:rsid w:val="00723436"/>
    <w:rsid w:val="007240E2"/>
    <w:rsid w:val="0072454C"/>
    <w:rsid w:val="0072583E"/>
    <w:rsid w:val="00725BB5"/>
    <w:rsid w:val="00727C02"/>
    <w:rsid w:val="0073008E"/>
    <w:rsid w:val="00730A8B"/>
    <w:rsid w:val="00730AE8"/>
    <w:rsid w:val="00730F1B"/>
    <w:rsid w:val="0073186D"/>
    <w:rsid w:val="0073261D"/>
    <w:rsid w:val="0073333D"/>
    <w:rsid w:val="007343D9"/>
    <w:rsid w:val="00734F71"/>
    <w:rsid w:val="00735448"/>
    <w:rsid w:val="00736F07"/>
    <w:rsid w:val="007377BD"/>
    <w:rsid w:val="00737DEC"/>
    <w:rsid w:val="0074004D"/>
    <w:rsid w:val="00741493"/>
    <w:rsid w:val="007434E5"/>
    <w:rsid w:val="0074499B"/>
    <w:rsid w:val="0074501E"/>
    <w:rsid w:val="007450BF"/>
    <w:rsid w:val="0074599A"/>
    <w:rsid w:val="00746F45"/>
    <w:rsid w:val="007471A1"/>
    <w:rsid w:val="007477BD"/>
    <w:rsid w:val="007477DA"/>
    <w:rsid w:val="00747EE9"/>
    <w:rsid w:val="007520B6"/>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B85"/>
    <w:rsid w:val="007644A2"/>
    <w:rsid w:val="00764974"/>
    <w:rsid w:val="00764D18"/>
    <w:rsid w:val="0076521E"/>
    <w:rsid w:val="00765BCC"/>
    <w:rsid w:val="0076600D"/>
    <w:rsid w:val="007661E9"/>
    <w:rsid w:val="00766460"/>
    <w:rsid w:val="00767062"/>
    <w:rsid w:val="00767601"/>
    <w:rsid w:val="00767777"/>
    <w:rsid w:val="00767933"/>
    <w:rsid w:val="00770AB9"/>
    <w:rsid w:val="00770CFC"/>
    <w:rsid w:val="0077130E"/>
    <w:rsid w:val="007715EE"/>
    <w:rsid w:val="00771972"/>
    <w:rsid w:val="00772279"/>
    <w:rsid w:val="00772DAB"/>
    <w:rsid w:val="00772FF9"/>
    <w:rsid w:val="0077348B"/>
    <w:rsid w:val="007743DB"/>
    <w:rsid w:val="00774D2C"/>
    <w:rsid w:val="00775E00"/>
    <w:rsid w:val="0077605B"/>
    <w:rsid w:val="00776169"/>
    <w:rsid w:val="00776527"/>
    <w:rsid w:val="00777040"/>
    <w:rsid w:val="00777CE6"/>
    <w:rsid w:val="00777D57"/>
    <w:rsid w:val="00780EF1"/>
    <w:rsid w:val="00781A91"/>
    <w:rsid w:val="00781AD3"/>
    <w:rsid w:val="00781F36"/>
    <w:rsid w:val="00783576"/>
    <w:rsid w:val="00785778"/>
    <w:rsid w:val="00786C87"/>
    <w:rsid w:val="0078755E"/>
    <w:rsid w:val="007877C9"/>
    <w:rsid w:val="00790764"/>
    <w:rsid w:val="0079085F"/>
    <w:rsid w:val="00790E96"/>
    <w:rsid w:val="00791005"/>
    <w:rsid w:val="00793D78"/>
    <w:rsid w:val="0079420B"/>
    <w:rsid w:val="0079453C"/>
    <w:rsid w:val="00794677"/>
    <w:rsid w:val="00795759"/>
    <w:rsid w:val="007A170B"/>
    <w:rsid w:val="007A20EB"/>
    <w:rsid w:val="007A282C"/>
    <w:rsid w:val="007A293C"/>
    <w:rsid w:val="007A2A3A"/>
    <w:rsid w:val="007A33E2"/>
    <w:rsid w:val="007A3CAF"/>
    <w:rsid w:val="007A4664"/>
    <w:rsid w:val="007A4782"/>
    <w:rsid w:val="007A516D"/>
    <w:rsid w:val="007A5E65"/>
    <w:rsid w:val="007A65E1"/>
    <w:rsid w:val="007A6AAA"/>
    <w:rsid w:val="007A7033"/>
    <w:rsid w:val="007A775D"/>
    <w:rsid w:val="007B04B0"/>
    <w:rsid w:val="007B0834"/>
    <w:rsid w:val="007B0E83"/>
    <w:rsid w:val="007B11FA"/>
    <w:rsid w:val="007B1396"/>
    <w:rsid w:val="007B16D6"/>
    <w:rsid w:val="007B1D1B"/>
    <w:rsid w:val="007B2011"/>
    <w:rsid w:val="007B2CFE"/>
    <w:rsid w:val="007B309B"/>
    <w:rsid w:val="007B3D5E"/>
    <w:rsid w:val="007B3DCB"/>
    <w:rsid w:val="007B54AE"/>
    <w:rsid w:val="007B5725"/>
    <w:rsid w:val="007B5C1F"/>
    <w:rsid w:val="007B6689"/>
    <w:rsid w:val="007B6747"/>
    <w:rsid w:val="007B6F72"/>
    <w:rsid w:val="007B74AA"/>
    <w:rsid w:val="007C10BD"/>
    <w:rsid w:val="007C162D"/>
    <w:rsid w:val="007C1F0C"/>
    <w:rsid w:val="007C1FFB"/>
    <w:rsid w:val="007C2D94"/>
    <w:rsid w:val="007C4A6B"/>
    <w:rsid w:val="007C5F92"/>
    <w:rsid w:val="007C6227"/>
    <w:rsid w:val="007C6BBD"/>
    <w:rsid w:val="007C6D89"/>
    <w:rsid w:val="007C6F5E"/>
    <w:rsid w:val="007D0382"/>
    <w:rsid w:val="007D0F6B"/>
    <w:rsid w:val="007D14FE"/>
    <w:rsid w:val="007D1A1F"/>
    <w:rsid w:val="007D213B"/>
    <w:rsid w:val="007D2783"/>
    <w:rsid w:val="007D2E18"/>
    <w:rsid w:val="007D3EF3"/>
    <w:rsid w:val="007D40DF"/>
    <w:rsid w:val="007D42E5"/>
    <w:rsid w:val="007D4458"/>
    <w:rsid w:val="007D6AF9"/>
    <w:rsid w:val="007D7763"/>
    <w:rsid w:val="007E0535"/>
    <w:rsid w:val="007E07F2"/>
    <w:rsid w:val="007E0D4A"/>
    <w:rsid w:val="007E1788"/>
    <w:rsid w:val="007E1EE3"/>
    <w:rsid w:val="007E29B4"/>
    <w:rsid w:val="007E2F12"/>
    <w:rsid w:val="007E435A"/>
    <w:rsid w:val="007E445C"/>
    <w:rsid w:val="007E49F7"/>
    <w:rsid w:val="007E4C70"/>
    <w:rsid w:val="007E5B5F"/>
    <w:rsid w:val="007E69C6"/>
    <w:rsid w:val="007E78B6"/>
    <w:rsid w:val="007E7E61"/>
    <w:rsid w:val="007F0845"/>
    <w:rsid w:val="007F0873"/>
    <w:rsid w:val="007F20F3"/>
    <w:rsid w:val="007F2353"/>
    <w:rsid w:val="007F2390"/>
    <w:rsid w:val="007F2CAC"/>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559E"/>
    <w:rsid w:val="00805AF3"/>
    <w:rsid w:val="00806C9C"/>
    <w:rsid w:val="0080734C"/>
    <w:rsid w:val="00807C82"/>
    <w:rsid w:val="008117CC"/>
    <w:rsid w:val="00811FF8"/>
    <w:rsid w:val="00813D58"/>
    <w:rsid w:val="00813DCA"/>
    <w:rsid w:val="008161A6"/>
    <w:rsid w:val="008165B8"/>
    <w:rsid w:val="00816905"/>
    <w:rsid w:val="00816D98"/>
    <w:rsid w:val="00816E42"/>
    <w:rsid w:val="00817040"/>
    <w:rsid w:val="00817A17"/>
    <w:rsid w:val="00817EC1"/>
    <w:rsid w:val="0082112D"/>
    <w:rsid w:val="00821624"/>
    <w:rsid w:val="00821FF6"/>
    <w:rsid w:val="00822574"/>
    <w:rsid w:val="00822980"/>
    <w:rsid w:val="00822F08"/>
    <w:rsid w:val="00824BA6"/>
    <w:rsid w:val="00825120"/>
    <w:rsid w:val="00825C4D"/>
    <w:rsid w:val="00826A08"/>
    <w:rsid w:val="00826AC0"/>
    <w:rsid w:val="00826D45"/>
    <w:rsid w:val="00827186"/>
    <w:rsid w:val="00827C8E"/>
    <w:rsid w:val="00830569"/>
    <w:rsid w:val="00830AEA"/>
    <w:rsid w:val="00830E86"/>
    <w:rsid w:val="0083143E"/>
    <w:rsid w:val="008315B8"/>
    <w:rsid w:val="008315D5"/>
    <w:rsid w:val="00831CDE"/>
    <w:rsid w:val="00831F2B"/>
    <w:rsid w:val="008320CF"/>
    <w:rsid w:val="008324A3"/>
    <w:rsid w:val="00832F77"/>
    <w:rsid w:val="00834304"/>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E83"/>
    <w:rsid w:val="0085114D"/>
    <w:rsid w:val="00851163"/>
    <w:rsid w:val="008520A8"/>
    <w:rsid w:val="00852217"/>
    <w:rsid w:val="00853282"/>
    <w:rsid w:val="0085334C"/>
    <w:rsid w:val="00854291"/>
    <w:rsid w:val="00855408"/>
    <w:rsid w:val="00855D03"/>
    <w:rsid w:val="00856D65"/>
    <w:rsid w:val="00856FA4"/>
    <w:rsid w:val="00860D79"/>
    <w:rsid w:val="00861B41"/>
    <w:rsid w:val="00861B9F"/>
    <w:rsid w:val="00861BE3"/>
    <w:rsid w:val="008625D3"/>
    <w:rsid w:val="00862C0A"/>
    <w:rsid w:val="00863434"/>
    <w:rsid w:val="0086344F"/>
    <w:rsid w:val="008641AC"/>
    <w:rsid w:val="00865E4C"/>
    <w:rsid w:val="00866074"/>
    <w:rsid w:val="00867546"/>
    <w:rsid w:val="0086796D"/>
    <w:rsid w:val="00867DAB"/>
    <w:rsid w:val="0087000B"/>
    <w:rsid w:val="008701E4"/>
    <w:rsid w:val="008704E9"/>
    <w:rsid w:val="008705FB"/>
    <w:rsid w:val="00870ECD"/>
    <w:rsid w:val="0087347C"/>
    <w:rsid w:val="008734E7"/>
    <w:rsid w:val="0087368D"/>
    <w:rsid w:val="008740CC"/>
    <w:rsid w:val="0087442A"/>
    <w:rsid w:val="00874578"/>
    <w:rsid w:val="00874FE8"/>
    <w:rsid w:val="00875A32"/>
    <w:rsid w:val="00875CC1"/>
    <w:rsid w:val="00876086"/>
    <w:rsid w:val="00876651"/>
    <w:rsid w:val="00876E83"/>
    <w:rsid w:val="008772BC"/>
    <w:rsid w:val="00880A0E"/>
    <w:rsid w:val="008817FE"/>
    <w:rsid w:val="00881CD7"/>
    <w:rsid w:val="00882911"/>
    <w:rsid w:val="00882F6E"/>
    <w:rsid w:val="00883202"/>
    <w:rsid w:val="00884E02"/>
    <w:rsid w:val="0088502B"/>
    <w:rsid w:val="00885D40"/>
    <w:rsid w:val="008873D4"/>
    <w:rsid w:val="00890CB1"/>
    <w:rsid w:val="00891EDF"/>
    <w:rsid w:val="00892872"/>
    <w:rsid w:val="0089296D"/>
    <w:rsid w:val="00893E85"/>
    <w:rsid w:val="00893EBE"/>
    <w:rsid w:val="00894031"/>
    <w:rsid w:val="00894C5D"/>
    <w:rsid w:val="00895508"/>
    <w:rsid w:val="008967E9"/>
    <w:rsid w:val="00896A5C"/>
    <w:rsid w:val="00897155"/>
    <w:rsid w:val="008972D2"/>
    <w:rsid w:val="0089754C"/>
    <w:rsid w:val="00897CFA"/>
    <w:rsid w:val="008A0659"/>
    <w:rsid w:val="008A0ADD"/>
    <w:rsid w:val="008A0D27"/>
    <w:rsid w:val="008A1C59"/>
    <w:rsid w:val="008A37E2"/>
    <w:rsid w:val="008A388E"/>
    <w:rsid w:val="008A394E"/>
    <w:rsid w:val="008A3CBA"/>
    <w:rsid w:val="008A4B59"/>
    <w:rsid w:val="008A63E1"/>
    <w:rsid w:val="008A66B7"/>
    <w:rsid w:val="008A68BB"/>
    <w:rsid w:val="008A6AA5"/>
    <w:rsid w:val="008A7127"/>
    <w:rsid w:val="008B0CBA"/>
    <w:rsid w:val="008B2639"/>
    <w:rsid w:val="008B3537"/>
    <w:rsid w:val="008B3690"/>
    <w:rsid w:val="008B3A80"/>
    <w:rsid w:val="008B3AEC"/>
    <w:rsid w:val="008B3C07"/>
    <w:rsid w:val="008B3F7B"/>
    <w:rsid w:val="008B43CA"/>
    <w:rsid w:val="008B5324"/>
    <w:rsid w:val="008B5C99"/>
    <w:rsid w:val="008B6106"/>
    <w:rsid w:val="008B7C02"/>
    <w:rsid w:val="008B7D2B"/>
    <w:rsid w:val="008B7EF9"/>
    <w:rsid w:val="008C0049"/>
    <w:rsid w:val="008C0314"/>
    <w:rsid w:val="008C0E88"/>
    <w:rsid w:val="008C0EBE"/>
    <w:rsid w:val="008C1717"/>
    <w:rsid w:val="008C17F0"/>
    <w:rsid w:val="008C3B05"/>
    <w:rsid w:val="008C4B50"/>
    <w:rsid w:val="008C5A37"/>
    <w:rsid w:val="008C7569"/>
    <w:rsid w:val="008C79C3"/>
    <w:rsid w:val="008D006F"/>
    <w:rsid w:val="008D033D"/>
    <w:rsid w:val="008D0DBD"/>
    <w:rsid w:val="008D117E"/>
    <w:rsid w:val="008D127E"/>
    <w:rsid w:val="008D1CA8"/>
    <w:rsid w:val="008D1E0A"/>
    <w:rsid w:val="008D1E6A"/>
    <w:rsid w:val="008D2407"/>
    <w:rsid w:val="008D2A16"/>
    <w:rsid w:val="008D2AEC"/>
    <w:rsid w:val="008D3295"/>
    <w:rsid w:val="008D33F5"/>
    <w:rsid w:val="008D35E4"/>
    <w:rsid w:val="008D3ACD"/>
    <w:rsid w:val="008D6C3A"/>
    <w:rsid w:val="008D70E2"/>
    <w:rsid w:val="008D7F47"/>
    <w:rsid w:val="008E0001"/>
    <w:rsid w:val="008E039E"/>
    <w:rsid w:val="008E292B"/>
    <w:rsid w:val="008E2C57"/>
    <w:rsid w:val="008E31FF"/>
    <w:rsid w:val="008E3287"/>
    <w:rsid w:val="008E38E4"/>
    <w:rsid w:val="008E3DFA"/>
    <w:rsid w:val="008E51EB"/>
    <w:rsid w:val="008E5746"/>
    <w:rsid w:val="008E64D7"/>
    <w:rsid w:val="008E6DCB"/>
    <w:rsid w:val="008E6F06"/>
    <w:rsid w:val="008E7000"/>
    <w:rsid w:val="008E723E"/>
    <w:rsid w:val="008E7B8E"/>
    <w:rsid w:val="008E7FC9"/>
    <w:rsid w:val="008F0107"/>
    <w:rsid w:val="008F029B"/>
    <w:rsid w:val="008F0589"/>
    <w:rsid w:val="008F2A5D"/>
    <w:rsid w:val="008F2BC7"/>
    <w:rsid w:val="008F2E83"/>
    <w:rsid w:val="008F3636"/>
    <w:rsid w:val="008F3FC9"/>
    <w:rsid w:val="008F509F"/>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2E3"/>
    <w:rsid w:val="0091155E"/>
    <w:rsid w:val="00912437"/>
    <w:rsid w:val="00912A92"/>
    <w:rsid w:val="00913237"/>
    <w:rsid w:val="00913B36"/>
    <w:rsid w:val="0091476D"/>
    <w:rsid w:val="00915D07"/>
    <w:rsid w:val="009162AE"/>
    <w:rsid w:val="00917154"/>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239"/>
    <w:rsid w:val="00932443"/>
    <w:rsid w:val="00932B32"/>
    <w:rsid w:val="0093305E"/>
    <w:rsid w:val="00933F4A"/>
    <w:rsid w:val="009341F1"/>
    <w:rsid w:val="00934FF2"/>
    <w:rsid w:val="009358D7"/>
    <w:rsid w:val="00935BD4"/>
    <w:rsid w:val="00935DFE"/>
    <w:rsid w:val="00935F70"/>
    <w:rsid w:val="0093648B"/>
    <w:rsid w:val="00937017"/>
    <w:rsid w:val="009373B2"/>
    <w:rsid w:val="00937AE2"/>
    <w:rsid w:val="0094061F"/>
    <w:rsid w:val="00940F0F"/>
    <w:rsid w:val="00941912"/>
    <w:rsid w:val="0094416B"/>
    <w:rsid w:val="0094427A"/>
    <w:rsid w:val="009449C6"/>
    <w:rsid w:val="00944C7C"/>
    <w:rsid w:val="00945245"/>
    <w:rsid w:val="00945523"/>
    <w:rsid w:val="00946C43"/>
    <w:rsid w:val="00950921"/>
    <w:rsid w:val="00951D68"/>
    <w:rsid w:val="00951E5B"/>
    <w:rsid w:val="00952050"/>
    <w:rsid w:val="00952315"/>
    <w:rsid w:val="009523D9"/>
    <w:rsid w:val="00952B7B"/>
    <w:rsid w:val="0095357B"/>
    <w:rsid w:val="009538B3"/>
    <w:rsid w:val="00954F39"/>
    <w:rsid w:val="009555FD"/>
    <w:rsid w:val="00955BAD"/>
    <w:rsid w:val="0095664B"/>
    <w:rsid w:val="009568DC"/>
    <w:rsid w:val="00957140"/>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3"/>
    <w:rsid w:val="00977C3D"/>
    <w:rsid w:val="00980D3D"/>
    <w:rsid w:val="0098103E"/>
    <w:rsid w:val="0098157D"/>
    <w:rsid w:val="00983101"/>
    <w:rsid w:val="00983E41"/>
    <w:rsid w:val="009845E1"/>
    <w:rsid w:val="00984D1B"/>
    <w:rsid w:val="00986246"/>
    <w:rsid w:val="00987A30"/>
    <w:rsid w:val="00990312"/>
    <w:rsid w:val="0099182E"/>
    <w:rsid w:val="00991D45"/>
    <w:rsid w:val="00992BB3"/>
    <w:rsid w:val="00992CF3"/>
    <w:rsid w:val="00993194"/>
    <w:rsid w:val="0099321E"/>
    <w:rsid w:val="00994171"/>
    <w:rsid w:val="00994868"/>
    <w:rsid w:val="00994976"/>
    <w:rsid w:val="00994D28"/>
    <w:rsid w:val="00994F2C"/>
    <w:rsid w:val="00995720"/>
    <w:rsid w:val="009957CC"/>
    <w:rsid w:val="009968D6"/>
    <w:rsid w:val="00997953"/>
    <w:rsid w:val="00997D55"/>
    <w:rsid w:val="009A0BFF"/>
    <w:rsid w:val="009A10A0"/>
    <w:rsid w:val="009A12B7"/>
    <w:rsid w:val="009A1CAB"/>
    <w:rsid w:val="009A2359"/>
    <w:rsid w:val="009A24F1"/>
    <w:rsid w:val="009A27E0"/>
    <w:rsid w:val="009A4D57"/>
    <w:rsid w:val="009A51A5"/>
    <w:rsid w:val="009A5309"/>
    <w:rsid w:val="009A5759"/>
    <w:rsid w:val="009A60D1"/>
    <w:rsid w:val="009A6225"/>
    <w:rsid w:val="009A64F5"/>
    <w:rsid w:val="009B00D2"/>
    <w:rsid w:val="009B05B3"/>
    <w:rsid w:val="009B0CAF"/>
    <w:rsid w:val="009B1324"/>
    <w:rsid w:val="009B2558"/>
    <w:rsid w:val="009B284F"/>
    <w:rsid w:val="009B3764"/>
    <w:rsid w:val="009B3840"/>
    <w:rsid w:val="009B52AC"/>
    <w:rsid w:val="009B553D"/>
    <w:rsid w:val="009B59EA"/>
    <w:rsid w:val="009B66CE"/>
    <w:rsid w:val="009B6FD3"/>
    <w:rsid w:val="009B72BE"/>
    <w:rsid w:val="009B78A4"/>
    <w:rsid w:val="009B7DB2"/>
    <w:rsid w:val="009C03DB"/>
    <w:rsid w:val="009C15AF"/>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6EA6"/>
    <w:rsid w:val="009D7731"/>
    <w:rsid w:val="009E1120"/>
    <w:rsid w:val="009E1393"/>
    <w:rsid w:val="009E1922"/>
    <w:rsid w:val="009E1A3D"/>
    <w:rsid w:val="009E4715"/>
    <w:rsid w:val="009E4A58"/>
    <w:rsid w:val="009E5273"/>
    <w:rsid w:val="009E57A8"/>
    <w:rsid w:val="009E5B85"/>
    <w:rsid w:val="009E5DDB"/>
    <w:rsid w:val="009F1CA6"/>
    <w:rsid w:val="009F2921"/>
    <w:rsid w:val="009F42CF"/>
    <w:rsid w:val="009F4982"/>
    <w:rsid w:val="009F4CA7"/>
    <w:rsid w:val="009F4F6A"/>
    <w:rsid w:val="009F55BA"/>
    <w:rsid w:val="009F7D36"/>
    <w:rsid w:val="009F7D61"/>
    <w:rsid w:val="00A00E71"/>
    <w:rsid w:val="00A0187B"/>
    <w:rsid w:val="00A02E8B"/>
    <w:rsid w:val="00A0306F"/>
    <w:rsid w:val="00A03511"/>
    <w:rsid w:val="00A03B10"/>
    <w:rsid w:val="00A03E2E"/>
    <w:rsid w:val="00A04616"/>
    <w:rsid w:val="00A04717"/>
    <w:rsid w:val="00A05D8F"/>
    <w:rsid w:val="00A05EB1"/>
    <w:rsid w:val="00A05EE4"/>
    <w:rsid w:val="00A06F99"/>
    <w:rsid w:val="00A1053B"/>
    <w:rsid w:val="00A10D66"/>
    <w:rsid w:val="00A113A4"/>
    <w:rsid w:val="00A12A8E"/>
    <w:rsid w:val="00A133F9"/>
    <w:rsid w:val="00A1411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FE1"/>
    <w:rsid w:val="00A21B4D"/>
    <w:rsid w:val="00A22073"/>
    <w:rsid w:val="00A223E0"/>
    <w:rsid w:val="00A22959"/>
    <w:rsid w:val="00A23158"/>
    <w:rsid w:val="00A232D7"/>
    <w:rsid w:val="00A23847"/>
    <w:rsid w:val="00A23E43"/>
    <w:rsid w:val="00A24726"/>
    <w:rsid w:val="00A24DEB"/>
    <w:rsid w:val="00A24ED9"/>
    <w:rsid w:val="00A251DB"/>
    <w:rsid w:val="00A25216"/>
    <w:rsid w:val="00A2597D"/>
    <w:rsid w:val="00A2628E"/>
    <w:rsid w:val="00A266BF"/>
    <w:rsid w:val="00A26777"/>
    <w:rsid w:val="00A269AB"/>
    <w:rsid w:val="00A2731E"/>
    <w:rsid w:val="00A309AC"/>
    <w:rsid w:val="00A30EA4"/>
    <w:rsid w:val="00A30F65"/>
    <w:rsid w:val="00A315D0"/>
    <w:rsid w:val="00A3279E"/>
    <w:rsid w:val="00A33DB1"/>
    <w:rsid w:val="00A33EEB"/>
    <w:rsid w:val="00A35900"/>
    <w:rsid w:val="00A35F33"/>
    <w:rsid w:val="00A401A3"/>
    <w:rsid w:val="00A40EAC"/>
    <w:rsid w:val="00A418BC"/>
    <w:rsid w:val="00A419FF"/>
    <w:rsid w:val="00A41FCF"/>
    <w:rsid w:val="00A42936"/>
    <w:rsid w:val="00A43CF8"/>
    <w:rsid w:val="00A43DF2"/>
    <w:rsid w:val="00A445A8"/>
    <w:rsid w:val="00A44B0D"/>
    <w:rsid w:val="00A44D21"/>
    <w:rsid w:val="00A45087"/>
    <w:rsid w:val="00A45489"/>
    <w:rsid w:val="00A45858"/>
    <w:rsid w:val="00A45CED"/>
    <w:rsid w:val="00A465E9"/>
    <w:rsid w:val="00A468E7"/>
    <w:rsid w:val="00A46DE0"/>
    <w:rsid w:val="00A47240"/>
    <w:rsid w:val="00A478BA"/>
    <w:rsid w:val="00A50D73"/>
    <w:rsid w:val="00A518BB"/>
    <w:rsid w:val="00A52A88"/>
    <w:rsid w:val="00A52CAD"/>
    <w:rsid w:val="00A53340"/>
    <w:rsid w:val="00A53FC7"/>
    <w:rsid w:val="00A55569"/>
    <w:rsid w:val="00A55C36"/>
    <w:rsid w:val="00A5661B"/>
    <w:rsid w:val="00A566A0"/>
    <w:rsid w:val="00A601E7"/>
    <w:rsid w:val="00A60AC1"/>
    <w:rsid w:val="00A62162"/>
    <w:rsid w:val="00A626FF"/>
    <w:rsid w:val="00A62CE1"/>
    <w:rsid w:val="00A65469"/>
    <w:rsid w:val="00A65528"/>
    <w:rsid w:val="00A655D3"/>
    <w:rsid w:val="00A662D9"/>
    <w:rsid w:val="00A6630C"/>
    <w:rsid w:val="00A6741E"/>
    <w:rsid w:val="00A67E29"/>
    <w:rsid w:val="00A7016A"/>
    <w:rsid w:val="00A7018D"/>
    <w:rsid w:val="00A7191D"/>
    <w:rsid w:val="00A722F9"/>
    <w:rsid w:val="00A72D42"/>
    <w:rsid w:val="00A746C9"/>
    <w:rsid w:val="00A74C2A"/>
    <w:rsid w:val="00A75E40"/>
    <w:rsid w:val="00A76818"/>
    <w:rsid w:val="00A77D1D"/>
    <w:rsid w:val="00A77E6B"/>
    <w:rsid w:val="00A81652"/>
    <w:rsid w:val="00A82BF0"/>
    <w:rsid w:val="00A82C91"/>
    <w:rsid w:val="00A83150"/>
    <w:rsid w:val="00A83398"/>
    <w:rsid w:val="00A83D6E"/>
    <w:rsid w:val="00A83FD5"/>
    <w:rsid w:val="00A8521A"/>
    <w:rsid w:val="00A857C0"/>
    <w:rsid w:val="00A85ACB"/>
    <w:rsid w:val="00A9036F"/>
    <w:rsid w:val="00A9092B"/>
    <w:rsid w:val="00A90F2C"/>
    <w:rsid w:val="00A90FED"/>
    <w:rsid w:val="00A91482"/>
    <w:rsid w:val="00A9189D"/>
    <w:rsid w:val="00A91E71"/>
    <w:rsid w:val="00A925B1"/>
    <w:rsid w:val="00A92A3E"/>
    <w:rsid w:val="00A934F9"/>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4282"/>
    <w:rsid w:val="00AA43F2"/>
    <w:rsid w:val="00AA4790"/>
    <w:rsid w:val="00AA52BF"/>
    <w:rsid w:val="00AA559A"/>
    <w:rsid w:val="00AA6C31"/>
    <w:rsid w:val="00AA7752"/>
    <w:rsid w:val="00AA7CE8"/>
    <w:rsid w:val="00AB1457"/>
    <w:rsid w:val="00AB2AF1"/>
    <w:rsid w:val="00AB32CB"/>
    <w:rsid w:val="00AB3AD7"/>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C5256"/>
    <w:rsid w:val="00AC78F1"/>
    <w:rsid w:val="00AC7B96"/>
    <w:rsid w:val="00AD0B22"/>
    <w:rsid w:val="00AD0EE7"/>
    <w:rsid w:val="00AD168E"/>
    <w:rsid w:val="00AD306C"/>
    <w:rsid w:val="00AD44CD"/>
    <w:rsid w:val="00AD47A7"/>
    <w:rsid w:val="00AD5AD2"/>
    <w:rsid w:val="00AD6462"/>
    <w:rsid w:val="00AD66C5"/>
    <w:rsid w:val="00AD68C4"/>
    <w:rsid w:val="00AD71F9"/>
    <w:rsid w:val="00AE09B3"/>
    <w:rsid w:val="00AE1A83"/>
    <w:rsid w:val="00AE2A78"/>
    <w:rsid w:val="00AE30BE"/>
    <w:rsid w:val="00AE3E6A"/>
    <w:rsid w:val="00AE417E"/>
    <w:rsid w:val="00AE56EE"/>
    <w:rsid w:val="00AE6414"/>
    <w:rsid w:val="00AE7269"/>
    <w:rsid w:val="00AE797C"/>
    <w:rsid w:val="00AE7CE7"/>
    <w:rsid w:val="00AE7FAB"/>
    <w:rsid w:val="00AF0DE4"/>
    <w:rsid w:val="00AF12A0"/>
    <w:rsid w:val="00AF1E87"/>
    <w:rsid w:val="00AF436B"/>
    <w:rsid w:val="00AF5179"/>
    <w:rsid w:val="00AF5CC2"/>
    <w:rsid w:val="00AF660D"/>
    <w:rsid w:val="00AF6776"/>
    <w:rsid w:val="00AF6F98"/>
    <w:rsid w:val="00AF7277"/>
    <w:rsid w:val="00B00550"/>
    <w:rsid w:val="00B00913"/>
    <w:rsid w:val="00B00D4D"/>
    <w:rsid w:val="00B01593"/>
    <w:rsid w:val="00B01D0F"/>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1B2"/>
    <w:rsid w:val="00B131B1"/>
    <w:rsid w:val="00B141B6"/>
    <w:rsid w:val="00B14BC1"/>
    <w:rsid w:val="00B154DE"/>
    <w:rsid w:val="00B162C3"/>
    <w:rsid w:val="00B16DD1"/>
    <w:rsid w:val="00B16EB8"/>
    <w:rsid w:val="00B1700A"/>
    <w:rsid w:val="00B17E71"/>
    <w:rsid w:val="00B17FDE"/>
    <w:rsid w:val="00B20632"/>
    <w:rsid w:val="00B2379C"/>
    <w:rsid w:val="00B23D5D"/>
    <w:rsid w:val="00B23E6E"/>
    <w:rsid w:val="00B2450C"/>
    <w:rsid w:val="00B2687D"/>
    <w:rsid w:val="00B3108D"/>
    <w:rsid w:val="00B32DDB"/>
    <w:rsid w:val="00B32F57"/>
    <w:rsid w:val="00B3345C"/>
    <w:rsid w:val="00B343C4"/>
    <w:rsid w:val="00B34528"/>
    <w:rsid w:val="00B34750"/>
    <w:rsid w:val="00B34CC9"/>
    <w:rsid w:val="00B34CDA"/>
    <w:rsid w:val="00B3563B"/>
    <w:rsid w:val="00B36BDC"/>
    <w:rsid w:val="00B37D3A"/>
    <w:rsid w:val="00B37D96"/>
    <w:rsid w:val="00B402FC"/>
    <w:rsid w:val="00B422E2"/>
    <w:rsid w:val="00B42517"/>
    <w:rsid w:val="00B42902"/>
    <w:rsid w:val="00B42D5F"/>
    <w:rsid w:val="00B43216"/>
    <w:rsid w:val="00B439DA"/>
    <w:rsid w:val="00B4411A"/>
    <w:rsid w:val="00B45FE8"/>
    <w:rsid w:val="00B46604"/>
    <w:rsid w:val="00B47089"/>
    <w:rsid w:val="00B47587"/>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60AC1"/>
    <w:rsid w:val="00B61FF6"/>
    <w:rsid w:val="00B62316"/>
    <w:rsid w:val="00B6274C"/>
    <w:rsid w:val="00B63A11"/>
    <w:rsid w:val="00B64425"/>
    <w:rsid w:val="00B64C24"/>
    <w:rsid w:val="00B64E72"/>
    <w:rsid w:val="00B65CEF"/>
    <w:rsid w:val="00B6608F"/>
    <w:rsid w:val="00B674C7"/>
    <w:rsid w:val="00B67749"/>
    <w:rsid w:val="00B679FB"/>
    <w:rsid w:val="00B71FBF"/>
    <w:rsid w:val="00B734A0"/>
    <w:rsid w:val="00B73A14"/>
    <w:rsid w:val="00B748BD"/>
    <w:rsid w:val="00B76100"/>
    <w:rsid w:val="00B7680F"/>
    <w:rsid w:val="00B76B48"/>
    <w:rsid w:val="00B76D1E"/>
    <w:rsid w:val="00B77543"/>
    <w:rsid w:val="00B77584"/>
    <w:rsid w:val="00B77E34"/>
    <w:rsid w:val="00B80D44"/>
    <w:rsid w:val="00B80D89"/>
    <w:rsid w:val="00B80EC6"/>
    <w:rsid w:val="00B81288"/>
    <w:rsid w:val="00B81D70"/>
    <w:rsid w:val="00B833B9"/>
    <w:rsid w:val="00B83AAF"/>
    <w:rsid w:val="00B83E07"/>
    <w:rsid w:val="00B84CF6"/>
    <w:rsid w:val="00B85016"/>
    <w:rsid w:val="00B8561A"/>
    <w:rsid w:val="00B86628"/>
    <w:rsid w:val="00B86643"/>
    <w:rsid w:val="00B868F7"/>
    <w:rsid w:val="00B86EB1"/>
    <w:rsid w:val="00B871A7"/>
    <w:rsid w:val="00B90131"/>
    <w:rsid w:val="00B91F4A"/>
    <w:rsid w:val="00B92951"/>
    <w:rsid w:val="00B92D1D"/>
    <w:rsid w:val="00B92D7E"/>
    <w:rsid w:val="00B930CE"/>
    <w:rsid w:val="00B938C5"/>
    <w:rsid w:val="00B940A8"/>
    <w:rsid w:val="00B9554A"/>
    <w:rsid w:val="00B95940"/>
    <w:rsid w:val="00B95ACA"/>
    <w:rsid w:val="00B95C12"/>
    <w:rsid w:val="00B96D74"/>
    <w:rsid w:val="00B9720E"/>
    <w:rsid w:val="00B97ACC"/>
    <w:rsid w:val="00B97FE2"/>
    <w:rsid w:val="00BA0E0B"/>
    <w:rsid w:val="00BA201A"/>
    <w:rsid w:val="00BA21DF"/>
    <w:rsid w:val="00BA361D"/>
    <w:rsid w:val="00BA3787"/>
    <w:rsid w:val="00BA403A"/>
    <w:rsid w:val="00BA46E8"/>
    <w:rsid w:val="00BA49DB"/>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0C0"/>
    <w:rsid w:val="00BB5AB2"/>
    <w:rsid w:val="00BB5ABF"/>
    <w:rsid w:val="00BB6EA2"/>
    <w:rsid w:val="00BB7142"/>
    <w:rsid w:val="00BB76F3"/>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C7EFA"/>
    <w:rsid w:val="00BD041B"/>
    <w:rsid w:val="00BD25BB"/>
    <w:rsid w:val="00BD2AF8"/>
    <w:rsid w:val="00BD366B"/>
    <w:rsid w:val="00BD3C09"/>
    <w:rsid w:val="00BD410B"/>
    <w:rsid w:val="00BD4A73"/>
    <w:rsid w:val="00BD4EDD"/>
    <w:rsid w:val="00BD4EF4"/>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7F5F"/>
    <w:rsid w:val="00BF02C8"/>
    <w:rsid w:val="00BF1578"/>
    <w:rsid w:val="00BF15CA"/>
    <w:rsid w:val="00BF1D12"/>
    <w:rsid w:val="00BF1D3A"/>
    <w:rsid w:val="00BF2B5B"/>
    <w:rsid w:val="00BF2D41"/>
    <w:rsid w:val="00BF3274"/>
    <w:rsid w:val="00BF32DC"/>
    <w:rsid w:val="00BF35C9"/>
    <w:rsid w:val="00BF4329"/>
    <w:rsid w:val="00BF4E43"/>
    <w:rsid w:val="00BF5C4C"/>
    <w:rsid w:val="00BF765C"/>
    <w:rsid w:val="00BF77FC"/>
    <w:rsid w:val="00C006D6"/>
    <w:rsid w:val="00C00BD7"/>
    <w:rsid w:val="00C01410"/>
    <w:rsid w:val="00C02D23"/>
    <w:rsid w:val="00C03D4D"/>
    <w:rsid w:val="00C044F4"/>
    <w:rsid w:val="00C04B78"/>
    <w:rsid w:val="00C052AA"/>
    <w:rsid w:val="00C06EE3"/>
    <w:rsid w:val="00C07279"/>
    <w:rsid w:val="00C07749"/>
    <w:rsid w:val="00C07C67"/>
    <w:rsid w:val="00C11244"/>
    <w:rsid w:val="00C118A9"/>
    <w:rsid w:val="00C11D48"/>
    <w:rsid w:val="00C12304"/>
    <w:rsid w:val="00C12316"/>
    <w:rsid w:val="00C1246C"/>
    <w:rsid w:val="00C1493E"/>
    <w:rsid w:val="00C15DBD"/>
    <w:rsid w:val="00C161C5"/>
    <w:rsid w:val="00C172F7"/>
    <w:rsid w:val="00C2010D"/>
    <w:rsid w:val="00C20CB5"/>
    <w:rsid w:val="00C21430"/>
    <w:rsid w:val="00C216DF"/>
    <w:rsid w:val="00C21E61"/>
    <w:rsid w:val="00C21F94"/>
    <w:rsid w:val="00C224BD"/>
    <w:rsid w:val="00C2272B"/>
    <w:rsid w:val="00C234DB"/>
    <w:rsid w:val="00C23C5C"/>
    <w:rsid w:val="00C2479A"/>
    <w:rsid w:val="00C24903"/>
    <w:rsid w:val="00C2590D"/>
    <w:rsid w:val="00C25D9C"/>
    <w:rsid w:val="00C27913"/>
    <w:rsid w:val="00C27FA7"/>
    <w:rsid w:val="00C300E2"/>
    <w:rsid w:val="00C31F21"/>
    <w:rsid w:val="00C32631"/>
    <w:rsid w:val="00C33301"/>
    <w:rsid w:val="00C33311"/>
    <w:rsid w:val="00C33B68"/>
    <w:rsid w:val="00C34AD4"/>
    <w:rsid w:val="00C35570"/>
    <w:rsid w:val="00C35A2A"/>
    <w:rsid w:val="00C36A79"/>
    <w:rsid w:val="00C401A9"/>
    <w:rsid w:val="00C401D2"/>
    <w:rsid w:val="00C4031A"/>
    <w:rsid w:val="00C405D4"/>
    <w:rsid w:val="00C419D5"/>
    <w:rsid w:val="00C41D54"/>
    <w:rsid w:val="00C42EBB"/>
    <w:rsid w:val="00C4513B"/>
    <w:rsid w:val="00C475E8"/>
    <w:rsid w:val="00C50E79"/>
    <w:rsid w:val="00C5197D"/>
    <w:rsid w:val="00C525FB"/>
    <w:rsid w:val="00C5390B"/>
    <w:rsid w:val="00C54257"/>
    <w:rsid w:val="00C54697"/>
    <w:rsid w:val="00C550CE"/>
    <w:rsid w:val="00C553A5"/>
    <w:rsid w:val="00C55402"/>
    <w:rsid w:val="00C5603B"/>
    <w:rsid w:val="00C60AE3"/>
    <w:rsid w:val="00C61F47"/>
    <w:rsid w:val="00C62828"/>
    <w:rsid w:val="00C655DA"/>
    <w:rsid w:val="00C672C1"/>
    <w:rsid w:val="00C706D2"/>
    <w:rsid w:val="00C715CC"/>
    <w:rsid w:val="00C719A3"/>
    <w:rsid w:val="00C71D2F"/>
    <w:rsid w:val="00C72984"/>
    <w:rsid w:val="00C73885"/>
    <w:rsid w:val="00C73C93"/>
    <w:rsid w:val="00C7435A"/>
    <w:rsid w:val="00C747B1"/>
    <w:rsid w:val="00C75510"/>
    <w:rsid w:val="00C755F9"/>
    <w:rsid w:val="00C75752"/>
    <w:rsid w:val="00C75B60"/>
    <w:rsid w:val="00C761EC"/>
    <w:rsid w:val="00C770C9"/>
    <w:rsid w:val="00C81070"/>
    <w:rsid w:val="00C8174E"/>
    <w:rsid w:val="00C82191"/>
    <w:rsid w:val="00C83134"/>
    <w:rsid w:val="00C831E7"/>
    <w:rsid w:val="00C832F3"/>
    <w:rsid w:val="00C84307"/>
    <w:rsid w:val="00C845A4"/>
    <w:rsid w:val="00C85545"/>
    <w:rsid w:val="00C855B5"/>
    <w:rsid w:val="00C85F0E"/>
    <w:rsid w:val="00C867F9"/>
    <w:rsid w:val="00C872AA"/>
    <w:rsid w:val="00C87C6B"/>
    <w:rsid w:val="00C90357"/>
    <w:rsid w:val="00C90CF4"/>
    <w:rsid w:val="00C91C20"/>
    <w:rsid w:val="00C922DE"/>
    <w:rsid w:val="00C92843"/>
    <w:rsid w:val="00C92EB6"/>
    <w:rsid w:val="00C93389"/>
    <w:rsid w:val="00C948E6"/>
    <w:rsid w:val="00C94CDD"/>
    <w:rsid w:val="00C95123"/>
    <w:rsid w:val="00C97588"/>
    <w:rsid w:val="00CA0346"/>
    <w:rsid w:val="00CA0BD5"/>
    <w:rsid w:val="00CA0DA1"/>
    <w:rsid w:val="00CA1BD6"/>
    <w:rsid w:val="00CA37FF"/>
    <w:rsid w:val="00CA423A"/>
    <w:rsid w:val="00CA47BC"/>
    <w:rsid w:val="00CA5EAD"/>
    <w:rsid w:val="00CA6AB4"/>
    <w:rsid w:val="00CA7255"/>
    <w:rsid w:val="00CA79E2"/>
    <w:rsid w:val="00CB111E"/>
    <w:rsid w:val="00CB1BEE"/>
    <w:rsid w:val="00CB2351"/>
    <w:rsid w:val="00CB4022"/>
    <w:rsid w:val="00CB4930"/>
    <w:rsid w:val="00CB4BA9"/>
    <w:rsid w:val="00CB4C48"/>
    <w:rsid w:val="00CB4C63"/>
    <w:rsid w:val="00CB5A48"/>
    <w:rsid w:val="00CB5E10"/>
    <w:rsid w:val="00CB613B"/>
    <w:rsid w:val="00CB6152"/>
    <w:rsid w:val="00CB64E1"/>
    <w:rsid w:val="00CB6C6F"/>
    <w:rsid w:val="00CB6E4D"/>
    <w:rsid w:val="00CC009B"/>
    <w:rsid w:val="00CC0834"/>
    <w:rsid w:val="00CC0AEA"/>
    <w:rsid w:val="00CC20FE"/>
    <w:rsid w:val="00CC225C"/>
    <w:rsid w:val="00CC2E7D"/>
    <w:rsid w:val="00CC469E"/>
    <w:rsid w:val="00CC5BE8"/>
    <w:rsid w:val="00CC612B"/>
    <w:rsid w:val="00CC655F"/>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6331"/>
    <w:rsid w:val="00CD7E9E"/>
    <w:rsid w:val="00CE14BE"/>
    <w:rsid w:val="00CE17A4"/>
    <w:rsid w:val="00CE1BA9"/>
    <w:rsid w:val="00CE2D8F"/>
    <w:rsid w:val="00CE3532"/>
    <w:rsid w:val="00CE3E48"/>
    <w:rsid w:val="00CE46C0"/>
    <w:rsid w:val="00CE47B8"/>
    <w:rsid w:val="00CE54FD"/>
    <w:rsid w:val="00CE5C92"/>
    <w:rsid w:val="00CE5E12"/>
    <w:rsid w:val="00CE62FA"/>
    <w:rsid w:val="00CE670B"/>
    <w:rsid w:val="00CE6833"/>
    <w:rsid w:val="00CE7562"/>
    <w:rsid w:val="00CF020B"/>
    <w:rsid w:val="00CF15BF"/>
    <w:rsid w:val="00CF2E4D"/>
    <w:rsid w:val="00CF35A7"/>
    <w:rsid w:val="00CF4205"/>
    <w:rsid w:val="00CF4908"/>
    <w:rsid w:val="00CF51EC"/>
    <w:rsid w:val="00CF545D"/>
    <w:rsid w:val="00CF5873"/>
    <w:rsid w:val="00CF6AB7"/>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10C15"/>
    <w:rsid w:val="00D11011"/>
    <w:rsid w:val="00D11476"/>
    <w:rsid w:val="00D12C25"/>
    <w:rsid w:val="00D133B4"/>
    <w:rsid w:val="00D13986"/>
    <w:rsid w:val="00D13F3E"/>
    <w:rsid w:val="00D14C5B"/>
    <w:rsid w:val="00D15FED"/>
    <w:rsid w:val="00D16712"/>
    <w:rsid w:val="00D174E0"/>
    <w:rsid w:val="00D214EF"/>
    <w:rsid w:val="00D215B0"/>
    <w:rsid w:val="00D21B36"/>
    <w:rsid w:val="00D21D6D"/>
    <w:rsid w:val="00D21D83"/>
    <w:rsid w:val="00D22A47"/>
    <w:rsid w:val="00D235B7"/>
    <w:rsid w:val="00D23A99"/>
    <w:rsid w:val="00D23FAE"/>
    <w:rsid w:val="00D25F28"/>
    <w:rsid w:val="00D26071"/>
    <w:rsid w:val="00D260C7"/>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50F46"/>
    <w:rsid w:val="00D5302A"/>
    <w:rsid w:val="00D533C4"/>
    <w:rsid w:val="00D5384E"/>
    <w:rsid w:val="00D544E7"/>
    <w:rsid w:val="00D5499F"/>
    <w:rsid w:val="00D5560A"/>
    <w:rsid w:val="00D56FBF"/>
    <w:rsid w:val="00D57677"/>
    <w:rsid w:val="00D5781F"/>
    <w:rsid w:val="00D60415"/>
    <w:rsid w:val="00D60E3C"/>
    <w:rsid w:val="00D60FA7"/>
    <w:rsid w:val="00D61FAB"/>
    <w:rsid w:val="00D63BE5"/>
    <w:rsid w:val="00D6475F"/>
    <w:rsid w:val="00D655D4"/>
    <w:rsid w:val="00D66223"/>
    <w:rsid w:val="00D667B8"/>
    <w:rsid w:val="00D67D55"/>
    <w:rsid w:val="00D70289"/>
    <w:rsid w:val="00D7041F"/>
    <w:rsid w:val="00D70822"/>
    <w:rsid w:val="00D72076"/>
    <w:rsid w:val="00D721B4"/>
    <w:rsid w:val="00D726A9"/>
    <w:rsid w:val="00D72DBA"/>
    <w:rsid w:val="00D743E0"/>
    <w:rsid w:val="00D7469D"/>
    <w:rsid w:val="00D7490C"/>
    <w:rsid w:val="00D75AC1"/>
    <w:rsid w:val="00D77252"/>
    <w:rsid w:val="00D8084C"/>
    <w:rsid w:val="00D81809"/>
    <w:rsid w:val="00D82EF1"/>
    <w:rsid w:val="00D84CC9"/>
    <w:rsid w:val="00D84F43"/>
    <w:rsid w:val="00D85114"/>
    <w:rsid w:val="00D85821"/>
    <w:rsid w:val="00D8598C"/>
    <w:rsid w:val="00D87C06"/>
    <w:rsid w:val="00D915EA"/>
    <w:rsid w:val="00D919ED"/>
    <w:rsid w:val="00D922A1"/>
    <w:rsid w:val="00D928BE"/>
    <w:rsid w:val="00D932B8"/>
    <w:rsid w:val="00D932F0"/>
    <w:rsid w:val="00D95302"/>
    <w:rsid w:val="00D95889"/>
    <w:rsid w:val="00D95C5D"/>
    <w:rsid w:val="00D97D00"/>
    <w:rsid w:val="00DA096C"/>
    <w:rsid w:val="00DA1AB6"/>
    <w:rsid w:val="00DA2E65"/>
    <w:rsid w:val="00DA37DE"/>
    <w:rsid w:val="00DA3ADF"/>
    <w:rsid w:val="00DA4174"/>
    <w:rsid w:val="00DA544C"/>
    <w:rsid w:val="00DA5F8E"/>
    <w:rsid w:val="00DA6364"/>
    <w:rsid w:val="00DA7114"/>
    <w:rsid w:val="00DA7C0C"/>
    <w:rsid w:val="00DA7E2F"/>
    <w:rsid w:val="00DB03DD"/>
    <w:rsid w:val="00DB08A9"/>
    <w:rsid w:val="00DB0B33"/>
    <w:rsid w:val="00DB0FD9"/>
    <w:rsid w:val="00DB13EF"/>
    <w:rsid w:val="00DB2DFA"/>
    <w:rsid w:val="00DB2EC8"/>
    <w:rsid w:val="00DB321D"/>
    <w:rsid w:val="00DB459B"/>
    <w:rsid w:val="00DB47FD"/>
    <w:rsid w:val="00DB5E3A"/>
    <w:rsid w:val="00DB5E9A"/>
    <w:rsid w:val="00DB613B"/>
    <w:rsid w:val="00DB657E"/>
    <w:rsid w:val="00DB7342"/>
    <w:rsid w:val="00DB7489"/>
    <w:rsid w:val="00DC0B4D"/>
    <w:rsid w:val="00DC0CBB"/>
    <w:rsid w:val="00DC17D0"/>
    <w:rsid w:val="00DC1E5D"/>
    <w:rsid w:val="00DC2B41"/>
    <w:rsid w:val="00DC2EA7"/>
    <w:rsid w:val="00DC3128"/>
    <w:rsid w:val="00DC435B"/>
    <w:rsid w:val="00DC4AC4"/>
    <w:rsid w:val="00DC53D8"/>
    <w:rsid w:val="00DC56FE"/>
    <w:rsid w:val="00DC5B3B"/>
    <w:rsid w:val="00DC5F11"/>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273F"/>
    <w:rsid w:val="00DE3E5D"/>
    <w:rsid w:val="00DE450F"/>
    <w:rsid w:val="00DE4865"/>
    <w:rsid w:val="00DE5CA6"/>
    <w:rsid w:val="00DE5E55"/>
    <w:rsid w:val="00DE7156"/>
    <w:rsid w:val="00DE7AC8"/>
    <w:rsid w:val="00DF0830"/>
    <w:rsid w:val="00DF2C5D"/>
    <w:rsid w:val="00DF2CD3"/>
    <w:rsid w:val="00DF3643"/>
    <w:rsid w:val="00DF42FF"/>
    <w:rsid w:val="00DF4369"/>
    <w:rsid w:val="00DF4423"/>
    <w:rsid w:val="00DF4ADF"/>
    <w:rsid w:val="00DF57D6"/>
    <w:rsid w:val="00DF5D1E"/>
    <w:rsid w:val="00DF77E4"/>
    <w:rsid w:val="00DF7F88"/>
    <w:rsid w:val="00E00B88"/>
    <w:rsid w:val="00E01C0E"/>
    <w:rsid w:val="00E0368F"/>
    <w:rsid w:val="00E03D73"/>
    <w:rsid w:val="00E03F9A"/>
    <w:rsid w:val="00E040DA"/>
    <w:rsid w:val="00E04694"/>
    <w:rsid w:val="00E05333"/>
    <w:rsid w:val="00E1168B"/>
    <w:rsid w:val="00E12191"/>
    <w:rsid w:val="00E129E7"/>
    <w:rsid w:val="00E12ABE"/>
    <w:rsid w:val="00E12B1E"/>
    <w:rsid w:val="00E135EB"/>
    <w:rsid w:val="00E13995"/>
    <w:rsid w:val="00E1444C"/>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274BB"/>
    <w:rsid w:val="00E30F15"/>
    <w:rsid w:val="00E31771"/>
    <w:rsid w:val="00E3186D"/>
    <w:rsid w:val="00E31A3E"/>
    <w:rsid w:val="00E32080"/>
    <w:rsid w:val="00E32778"/>
    <w:rsid w:val="00E3309D"/>
    <w:rsid w:val="00E34E3F"/>
    <w:rsid w:val="00E350B1"/>
    <w:rsid w:val="00E35A53"/>
    <w:rsid w:val="00E3634A"/>
    <w:rsid w:val="00E3656B"/>
    <w:rsid w:val="00E3712B"/>
    <w:rsid w:val="00E3724A"/>
    <w:rsid w:val="00E378B1"/>
    <w:rsid w:val="00E41131"/>
    <w:rsid w:val="00E41179"/>
    <w:rsid w:val="00E417BE"/>
    <w:rsid w:val="00E41CD5"/>
    <w:rsid w:val="00E42054"/>
    <w:rsid w:val="00E4372D"/>
    <w:rsid w:val="00E43A9E"/>
    <w:rsid w:val="00E44243"/>
    <w:rsid w:val="00E453F9"/>
    <w:rsid w:val="00E45D7D"/>
    <w:rsid w:val="00E4623F"/>
    <w:rsid w:val="00E4665D"/>
    <w:rsid w:val="00E47854"/>
    <w:rsid w:val="00E478E2"/>
    <w:rsid w:val="00E47EBA"/>
    <w:rsid w:val="00E50156"/>
    <w:rsid w:val="00E504EB"/>
    <w:rsid w:val="00E5076C"/>
    <w:rsid w:val="00E50D2E"/>
    <w:rsid w:val="00E50D7D"/>
    <w:rsid w:val="00E51EF0"/>
    <w:rsid w:val="00E53470"/>
    <w:rsid w:val="00E5368D"/>
    <w:rsid w:val="00E539F6"/>
    <w:rsid w:val="00E54698"/>
    <w:rsid w:val="00E54BE9"/>
    <w:rsid w:val="00E54FB4"/>
    <w:rsid w:val="00E5539A"/>
    <w:rsid w:val="00E55791"/>
    <w:rsid w:val="00E55E1A"/>
    <w:rsid w:val="00E578A2"/>
    <w:rsid w:val="00E579ED"/>
    <w:rsid w:val="00E60043"/>
    <w:rsid w:val="00E61740"/>
    <w:rsid w:val="00E61EB5"/>
    <w:rsid w:val="00E6324D"/>
    <w:rsid w:val="00E65084"/>
    <w:rsid w:val="00E6519D"/>
    <w:rsid w:val="00E66062"/>
    <w:rsid w:val="00E6660E"/>
    <w:rsid w:val="00E66768"/>
    <w:rsid w:val="00E67305"/>
    <w:rsid w:val="00E67696"/>
    <w:rsid w:val="00E709AF"/>
    <w:rsid w:val="00E70C5F"/>
    <w:rsid w:val="00E71A58"/>
    <w:rsid w:val="00E728D7"/>
    <w:rsid w:val="00E72A26"/>
    <w:rsid w:val="00E72A7A"/>
    <w:rsid w:val="00E7335A"/>
    <w:rsid w:val="00E73986"/>
    <w:rsid w:val="00E7467D"/>
    <w:rsid w:val="00E747DC"/>
    <w:rsid w:val="00E74A2D"/>
    <w:rsid w:val="00E75C94"/>
    <w:rsid w:val="00E76A08"/>
    <w:rsid w:val="00E76B9B"/>
    <w:rsid w:val="00E76E61"/>
    <w:rsid w:val="00E76EE4"/>
    <w:rsid w:val="00E77CC0"/>
    <w:rsid w:val="00E80B3D"/>
    <w:rsid w:val="00E80CA3"/>
    <w:rsid w:val="00E81AAA"/>
    <w:rsid w:val="00E82618"/>
    <w:rsid w:val="00E82A42"/>
    <w:rsid w:val="00E84E09"/>
    <w:rsid w:val="00E87CE2"/>
    <w:rsid w:val="00E90CA8"/>
    <w:rsid w:val="00E911C6"/>
    <w:rsid w:val="00E920DE"/>
    <w:rsid w:val="00E930A1"/>
    <w:rsid w:val="00E93820"/>
    <w:rsid w:val="00E94A86"/>
    <w:rsid w:val="00E951AB"/>
    <w:rsid w:val="00E953F6"/>
    <w:rsid w:val="00E96143"/>
    <w:rsid w:val="00E96833"/>
    <w:rsid w:val="00E97506"/>
    <w:rsid w:val="00E97BB5"/>
    <w:rsid w:val="00E97D5B"/>
    <w:rsid w:val="00E97F14"/>
    <w:rsid w:val="00EA0C68"/>
    <w:rsid w:val="00EA0E39"/>
    <w:rsid w:val="00EA1D0E"/>
    <w:rsid w:val="00EA2072"/>
    <w:rsid w:val="00EA2841"/>
    <w:rsid w:val="00EA32BC"/>
    <w:rsid w:val="00EA35A7"/>
    <w:rsid w:val="00EA3B32"/>
    <w:rsid w:val="00EA3CEB"/>
    <w:rsid w:val="00EA3D05"/>
    <w:rsid w:val="00EA4222"/>
    <w:rsid w:val="00EA4402"/>
    <w:rsid w:val="00EA4B8D"/>
    <w:rsid w:val="00EA513E"/>
    <w:rsid w:val="00EA7419"/>
    <w:rsid w:val="00EB0E32"/>
    <w:rsid w:val="00EB1CDC"/>
    <w:rsid w:val="00EB1D89"/>
    <w:rsid w:val="00EB3E60"/>
    <w:rsid w:val="00EB4511"/>
    <w:rsid w:val="00EB48D7"/>
    <w:rsid w:val="00EB49F1"/>
    <w:rsid w:val="00EB4A8E"/>
    <w:rsid w:val="00EB4BC5"/>
    <w:rsid w:val="00EB5BF7"/>
    <w:rsid w:val="00EB5E79"/>
    <w:rsid w:val="00EB6FAC"/>
    <w:rsid w:val="00EB7BAC"/>
    <w:rsid w:val="00EB7CC9"/>
    <w:rsid w:val="00EC03D7"/>
    <w:rsid w:val="00EC13A7"/>
    <w:rsid w:val="00EC2EB6"/>
    <w:rsid w:val="00EC4FFF"/>
    <w:rsid w:val="00EC5517"/>
    <w:rsid w:val="00EC6E8C"/>
    <w:rsid w:val="00ED0962"/>
    <w:rsid w:val="00ED0EF0"/>
    <w:rsid w:val="00ED12B9"/>
    <w:rsid w:val="00ED16B8"/>
    <w:rsid w:val="00ED1959"/>
    <w:rsid w:val="00ED1A00"/>
    <w:rsid w:val="00ED1DF0"/>
    <w:rsid w:val="00ED2386"/>
    <w:rsid w:val="00ED2EA1"/>
    <w:rsid w:val="00ED3851"/>
    <w:rsid w:val="00ED3E51"/>
    <w:rsid w:val="00ED3F10"/>
    <w:rsid w:val="00ED3F9B"/>
    <w:rsid w:val="00ED3FB3"/>
    <w:rsid w:val="00ED4D04"/>
    <w:rsid w:val="00ED566D"/>
    <w:rsid w:val="00ED5907"/>
    <w:rsid w:val="00ED5F5B"/>
    <w:rsid w:val="00ED62C6"/>
    <w:rsid w:val="00ED64C1"/>
    <w:rsid w:val="00ED781F"/>
    <w:rsid w:val="00EE0E7E"/>
    <w:rsid w:val="00EE249F"/>
    <w:rsid w:val="00EE2EB4"/>
    <w:rsid w:val="00EE3446"/>
    <w:rsid w:val="00EE3E78"/>
    <w:rsid w:val="00EE41FD"/>
    <w:rsid w:val="00EE460E"/>
    <w:rsid w:val="00EE4B1B"/>
    <w:rsid w:val="00EE5FBA"/>
    <w:rsid w:val="00EE601C"/>
    <w:rsid w:val="00EE6E06"/>
    <w:rsid w:val="00EE7179"/>
    <w:rsid w:val="00EF0D90"/>
    <w:rsid w:val="00EF150D"/>
    <w:rsid w:val="00EF1F5A"/>
    <w:rsid w:val="00EF23B5"/>
    <w:rsid w:val="00EF326A"/>
    <w:rsid w:val="00EF3898"/>
    <w:rsid w:val="00EF47BF"/>
    <w:rsid w:val="00EF52F7"/>
    <w:rsid w:val="00EF59B1"/>
    <w:rsid w:val="00EF5A13"/>
    <w:rsid w:val="00EF5FF9"/>
    <w:rsid w:val="00EF77D4"/>
    <w:rsid w:val="00EF7CC7"/>
    <w:rsid w:val="00F00535"/>
    <w:rsid w:val="00F00853"/>
    <w:rsid w:val="00F00866"/>
    <w:rsid w:val="00F00EC8"/>
    <w:rsid w:val="00F0160B"/>
    <w:rsid w:val="00F0193E"/>
    <w:rsid w:val="00F03E2F"/>
    <w:rsid w:val="00F03F8D"/>
    <w:rsid w:val="00F04811"/>
    <w:rsid w:val="00F0488C"/>
    <w:rsid w:val="00F04955"/>
    <w:rsid w:val="00F052D2"/>
    <w:rsid w:val="00F0730A"/>
    <w:rsid w:val="00F073ED"/>
    <w:rsid w:val="00F07C4C"/>
    <w:rsid w:val="00F07E45"/>
    <w:rsid w:val="00F10F11"/>
    <w:rsid w:val="00F11159"/>
    <w:rsid w:val="00F115E4"/>
    <w:rsid w:val="00F11AC4"/>
    <w:rsid w:val="00F120A5"/>
    <w:rsid w:val="00F12CFB"/>
    <w:rsid w:val="00F13E60"/>
    <w:rsid w:val="00F13FDB"/>
    <w:rsid w:val="00F15AAA"/>
    <w:rsid w:val="00F15BEF"/>
    <w:rsid w:val="00F17898"/>
    <w:rsid w:val="00F204BF"/>
    <w:rsid w:val="00F207C2"/>
    <w:rsid w:val="00F21337"/>
    <w:rsid w:val="00F219A1"/>
    <w:rsid w:val="00F23E20"/>
    <w:rsid w:val="00F24407"/>
    <w:rsid w:val="00F249CE"/>
    <w:rsid w:val="00F24FAA"/>
    <w:rsid w:val="00F25040"/>
    <w:rsid w:val="00F269D7"/>
    <w:rsid w:val="00F27071"/>
    <w:rsid w:val="00F27331"/>
    <w:rsid w:val="00F276D3"/>
    <w:rsid w:val="00F27EE5"/>
    <w:rsid w:val="00F27FB1"/>
    <w:rsid w:val="00F27FD6"/>
    <w:rsid w:val="00F307CB"/>
    <w:rsid w:val="00F30C0C"/>
    <w:rsid w:val="00F30C65"/>
    <w:rsid w:val="00F321D2"/>
    <w:rsid w:val="00F32649"/>
    <w:rsid w:val="00F33523"/>
    <w:rsid w:val="00F3364D"/>
    <w:rsid w:val="00F33914"/>
    <w:rsid w:val="00F349BF"/>
    <w:rsid w:val="00F34DDC"/>
    <w:rsid w:val="00F36191"/>
    <w:rsid w:val="00F3629F"/>
    <w:rsid w:val="00F36DF3"/>
    <w:rsid w:val="00F37362"/>
    <w:rsid w:val="00F37EDC"/>
    <w:rsid w:val="00F437CC"/>
    <w:rsid w:val="00F44537"/>
    <w:rsid w:val="00F46185"/>
    <w:rsid w:val="00F46423"/>
    <w:rsid w:val="00F4696A"/>
    <w:rsid w:val="00F47067"/>
    <w:rsid w:val="00F47234"/>
    <w:rsid w:val="00F51ADD"/>
    <w:rsid w:val="00F525AB"/>
    <w:rsid w:val="00F525EB"/>
    <w:rsid w:val="00F52CB5"/>
    <w:rsid w:val="00F53378"/>
    <w:rsid w:val="00F53A68"/>
    <w:rsid w:val="00F54934"/>
    <w:rsid w:val="00F55A92"/>
    <w:rsid w:val="00F5615B"/>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50B"/>
    <w:rsid w:val="00F717E4"/>
    <w:rsid w:val="00F71DE6"/>
    <w:rsid w:val="00F72D71"/>
    <w:rsid w:val="00F7381C"/>
    <w:rsid w:val="00F73A0C"/>
    <w:rsid w:val="00F752DC"/>
    <w:rsid w:val="00F7549F"/>
    <w:rsid w:val="00F756DB"/>
    <w:rsid w:val="00F766BE"/>
    <w:rsid w:val="00F767A8"/>
    <w:rsid w:val="00F77590"/>
    <w:rsid w:val="00F77A50"/>
    <w:rsid w:val="00F82D14"/>
    <w:rsid w:val="00F84E7D"/>
    <w:rsid w:val="00F85066"/>
    <w:rsid w:val="00F874F8"/>
    <w:rsid w:val="00F87A4D"/>
    <w:rsid w:val="00F90EEB"/>
    <w:rsid w:val="00F9135C"/>
    <w:rsid w:val="00F91B66"/>
    <w:rsid w:val="00F93688"/>
    <w:rsid w:val="00F939F3"/>
    <w:rsid w:val="00F93C6E"/>
    <w:rsid w:val="00F93F2C"/>
    <w:rsid w:val="00F947E9"/>
    <w:rsid w:val="00F962AD"/>
    <w:rsid w:val="00F9644E"/>
    <w:rsid w:val="00FA0105"/>
    <w:rsid w:val="00FA05A0"/>
    <w:rsid w:val="00FA0AEF"/>
    <w:rsid w:val="00FA17CC"/>
    <w:rsid w:val="00FA1CFE"/>
    <w:rsid w:val="00FA1EE7"/>
    <w:rsid w:val="00FA1F01"/>
    <w:rsid w:val="00FA26DF"/>
    <w:rsid w:val="00FA32BC"/>
    <w:rsid w:val="00FA3FA8"/>
    <w:rsid w:val="00FA4059"/>
    <w:rsid w:val="00FA4574"/>
    <w:rsid w:val="00FA48A4"/>
    <w:rsid w:val="00FA4CB7"/>
    <w:rsid w:val="00FA5112"/>
    <w:rsid w:val="00FA5526"/>
    <w:rsid w:val="00FA5D4D"/>
    <w:rsid w:val="00FA6CB6"/>
    <w:rsid w:val="00FA70D3"/>
    <w:rsid w:val="00FA7AEC"/>
    <w:rsid w:val="00FB0AEA"/>
    <w:rsid w:val="00FB0EE2"/>
    <w:rsid w:val="00FB1A79"/>
    <w:rsid w:val="00FB208B"/>
    <w:rsid w:val="00FB2B2D"/>
    <w:rsid w:val="00FB542E"/>
    <w:rsid w:val="00FB5580"/>
    <w:rsid w:val="00FB564F"/>
    <w:rsid w:val="00FB7DBB"/>
    <w:rsid w:val="00FC05F8"/>
    <w:rsid w:val="00FC077B"/>
    <w:rsid w:val="00FC0E5F"/>
    <w:rsid w:val="00FC1070"/>
    <w:rsid w:val="00FC1266"/>
    <w:rsid w:val="00FC1A95"/>
    <w:rsid w:val="00FC1ED4"/>
    <w:rsid w:val="00FC3BEC"/>
    <w:rsid w:val="00FC42C5"/>
    <w:rsid w:val="00FC440B"/>
    <w:rsid w:val="00FC56DE"/>
    <w:rsid w:val="00FC63D9"/>
    <w:rsid w:val="00FC64DE"/>
    <w:rsid w:val="00FC6785"/>
    <w:rsid w:val="00FC684B"/>
    <w:rsid w:val="00FC7D98"/>
    <w:rsid w:val="00FD1135"/>
    <w:rsid w:val="00FD3265"/>
    <w:rsid w:val="00FD3CF7"/>
    <w:rsid w:val="00FD4124"/>
    <w:rsid w:val="00FD4916"/>
    <w:rsid w:val="00FD4D12"/>
    <w:rsid w:val="00FD4F73"/>
    <w:rsid w:val="00FD595E"/>
    <w:rsid w:val="00FD7802"/>
    <w:rsid w:val="00FD7D3B"/>
    <w:rsid w:val="00FD7FBE"/>
    <w:rsid w:val="00FE27C7"/>
    <w:rsid w:val="00FE2C7E"/>
    <w:rsid w:val="00FE2F78"/>
    <w:rsid w:val="00FE3137"/>
    <w:rsid w:val="00FE346B"/>
    <w:rsid w:val="00FE346F"/>
    <w:rsid w:val="00FE431E"/>
    <w:rsid w:val="00FE460E"/>
    <w:rsid w:val="00FE48E4"/>
    <w:rsid w:val="00FE5466"/>
    <w:rsid w:val="00FE634C"/>
    <w:rsid w:val="00FE6E69"/>
    <w:rsid w:val="00FE6F59"/>
    <w:rsid w:val="00FF01B6"/>
    <w:rsid w:val="00FF0989"/>
    <w:rsid w:val="00FF0F79"/>
    <w:rsid w:val="00FF1136"/>
    <w:rsid w:val="00FF3D76"/>
    <w:rsid w:val="00FF5B8C"/>
    <w:rsid w:val="00FF63E6"/>
    <w:rsid w:val="00FF72DC"/>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Spolecne\JKAM%20CSU\PUBLIKACE\PUBLIKACE\2022\Q-Makro\3.%20&#269;tvrtlet&#237;%202022\Odv&#283;tv&#237;\Odv&#283;tv&#237;_grafy-3q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polecne\JKAM%20CSU\PUBLIKACE\PUBLIKACE\2022\Q-Makro\3.%20&#269;tvrtlet&#237;%202022\Odv&#283;tv&#237;\Odv&#283;tv&#237;_grafy-3q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polecne\JKAM%20CSU\PUBLIKACE\PUBLIKACE\2022\Q-Makro\3.%20&#269;tvrtlet&#237;%202022\Odv&#283;tv&#237;\Odv&#283;tv&#237;_grafy-3q202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polecne\JKAM%20CSU\PUBLIKACE\PUBLIKACE\2022\Q-Makro\3.%20&#269;tvrtlet&#237;%202022\Odv&#283;tv&#237;\Odv&#283;tv&#237;_grafy-3q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polecne\JKAM%20CSU\PUBLIKACE\PUBLIKACE\2022\Q-Makro\3.%20&#269;tvrtlet&#237;%202022\Odv&#283;tv&#237;\Odv&#283;tv&#237;_grafy-3q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089545606768723E-2"/>
          <c:y val="1.5804777005479873E-2"/>
          <c:w val="0.84971237457630788"/>
          <c:h val="0.70867754321612186"/>
        </c:manualLayout>
      </c:layout>
      <c:barChart>
        <c:barDir val="col"/>
        <c:grouping val="stacked"/>
        <c:varyColors val="0"/>
        <c:ser>
          <c:idx val="0"/>
          <c:order val="0"/>
          <c:tx>
            <c:strRef>
              <c:f>'GRAF příspěvky IPP'!$A$27</c:f>
              <c:strCache>
                <c:ptCount val="1"/>
                <c:pt idx="0">
                  <c:v>Výroba dopravních prostředků (29, 30)</c:v>
                </c:pt>
              </c:strCache>
            </c:strRef>
          </c:tx>
          <c:spPr>
            <a:solidFill>
              <a:srgbClr val="E8AFB2"/>
            </a:solidFill>
          </c:spPr>
          <c:invertIfNegative val="0"/>
          <c:cat>
            <c:multiLvlStrRef>
              <c:f>'GRAF příspěvky IPP'!$R$25:$AV$26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'GRAF příspěvky IPP'!$R$27:$AV$27</c:f>
              <c:numCache>
                <c:formatCode>0.0</c:formatCode>
                <c:ptCount val="31"/>
                <c:pt idx="0">
                  <c:v>1.5428898176392496</c:v>
                </c:pt>
                <c:pt idx="1">
                  <c:v>2.1743718256924107</c:v>
                </c:pt>
                <c:pt idx="2">
                  <c:v>2.3590492908960439</c:v>
                </c:pt>
                <c:pt idx="3">
                  <c:v>2.8772486090638396</c:v>
                </c:pt>
                <c:pt idx="4">
                  <c:v>3.3183568360577667</c:v>
                </c:pt>
                <c:pt idx="5">
                  <c:v>2.726135980015763</c:v>
                </c:pt>
                <c:pt idx="6">
                  <c:v>1.4737639394577176</c:v>
                </c:pt>
                <c:pt idx="7">
                  <c:v>1.0298153192049733</c:v>
                </c:pt>
                <c:pt idx="8">
                  <c:v>1.7609137024842152</c:v>
                </c:pt>
                <c:pt idx="9">
                  <c:v>2.1167862077962001</c:v>
                </c:pt>
                <c:pt idx="10">
                  <c:v>1.5869964664235507</c:v>
                </c:pt>
                <c:pt idx="11">
                  <c:v>1.681411454669806</c:v>
                </c:pt>
                <c:pt idx="12">
                  <c:v>0.74237714955218947</c:v>
                </c:pt>
                <c:pt idx="13">
                  <c:v>0.54613557309892891</c:v>
                </c:pt>
                <c:pt idx="14">
                  <c:v>0.23904640916369443</c:v>
                </c:pt>
                <c:pt idx="15">
                  <c:v>0.98490029941942658</c:v>
                </c:pt>
                <c:pt idx="16">
                  <c:v>-0.22712700654221288</c:v>
                </c:pt>
                <c:pt idx="17">
                  <c:v>0.47876328427856657</c:v>
                </c:pt>
                <c:pt idx="18">
                  <c:v>0.83775598681488828</c:v>
                </c:pt>
                <c:pt idx="19">
                  <c:v>-1.1010749377233835</c:v>
                </c:pt>
                <c:pt idx="20">
                  <c:v>-1.5402455662309271</c:v>
                </c:pt>
                <c:pt idx="21">
                  <c:v>-9.3904500983178529</c:v>
                </c:pt>
                <c:pt idx="22">
                  <c:v>-0.18484894361250637</c:v>
                </c:pt>
                <c:pt idx="23">
                  <c:v>2.0392469803827944</c:v>
                </c:pt>
                <c:pt idx="24">
                  <c:v>1.8759291678296397</c:v>
                </c:pt>
                <c:pt idx="25">
                  <c:v>11.009030464808232</c:v>
                </c:pt>
                <c:pt idx="26">
                  <c:v>-3.7884988742978507</c:v>
                </c:pt>
                <c:pt idx="27">
                  <c:v>-3.2670773167715765</c:v>
                </c:pt>
                <c:pt idx="28">
                  <c:v>-1.9589398342834685</c:v>
                </c:pt>
                <c:pt idx="29">
                  <c:v>-5.7414410491794465E-2</c:v>
                </c:pt>
                <c:pt idx="30">
                  <c:v>5.5651364590323311</c:v>
                </c:pt>
              </c:numCache>
            </c:numRef>
          </c:val>
          <c:extLst>
            <c:ext xmlns:c16="http://schemas.microsoft.com/office/drawing/2014/chart" uri="{C3380CC4-5D6E-409C-BE32-E72D297353CC}">
              <c16:uniqueId val="{00000000-2C5D-4D79-A13C-195A18493848}"/>
            </c:ext>
          </c:extLst>
        </c:ser>
        <c:ser>
          <c:idx val="1"/>
          <c:order val="1"/>
          <c:tx>
            <c:strRef>
              <c:f>'GRAF příspěvky IPP'!$A$28</c:f>
              <c:strCache>
                <c:ptCount val="1"/>
                <c:pt idx="0">
                  <c:v>Gumárenství, elektrotechnický pr. (22, 27)</c:v>
                </c:pt>
              </c:strCache>
            </c:strRef>
          </c:tx>
          <c:spPr>
            <a:solidFill>
              <a:srgbClr val="BD1B21"/>
            </a:solidFill>
          </c:spPr>
          <c:invertIfNegative val="0"/>
          <c:cat>
            <c:multiLvlStrRef>
              <c:f>'GRAF příspěvky IPP'!$R$25:$AV$26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'GRAF příspěvky IPP'!$R$28:$AV$28</c:f>
              <c:numCache>
                <c:formatCode>0.0</c:formatCode>
                <c:ptCount val="31"/>
                <c:pt idx="0">
                  <c:v>1.034672951175343</c:v>
                </c:pt>
                <c:pt idx="1">
                  <c:v>1.2402872249055439</c:v>
                </c:pt>
                <c:pt idx="2">
                  <c:v>1.3942884794721908</c:v>
                </c:pt>
                <c:pt idx="3">
                  <c:v>0.63756976588884984</c:v>
                </c:pt>
                <c:pt idx="4">
                  <c:v>0.7944903405734538</c:v>
                </c:pt>
                <c:pt idx="5">
                  <c:v>0.20047553290148593</c:v>
                </c:pt>
                <c:pt idx="6">
                  <c:v>0.26203247933087592</c:v>
                </c:pt>
                <c:pt idx="7">
                  <c:v>0.42925022381945577</c:v>
                </c:pt>
                <c:pt idx="8">
                  <c:v>0.85509469319178899</c:v>
                </c:pt>
                <c:pt idx="9">
                  <c:v>1.4003096522077234</c:v>
                </c:pt>
                <c:pt idx="10">
                  <c:v>0.85542183955477147</c:v>
                </c:pt>
                <c:pt idx="11">
                  <c:v>1.6527257176884005</c:v>
                </c:pt>
                <c:pt idx="12">
                  <c:v>0.96912614591005941</c:v>
                </c:pt>
                <c:pt idx="13">
                  <c:v>0.34015391143850388</c:v>
                </c:pt>
                <c:pt idx="14">
                  <c:v>0.42914077951440655</c:v>
                </c:pt>
                <c:pt idx="15">
                  <c:v>-4.0280326098931243E-2</c:v>
                </c:pt>
                <c:pt idx="16">
                  <c:v>0.52468036745672719</c:v>
                </c:pt>
                <c:pt idx="17">
                  <c:v>0.40727721709233999</c:v>
                </c:pt>
                <c:pt idx="18">
                  <c:v>0.23777798772963615</c:v>
                </c:pt>
                <c:pt idx="19">
                  <c:v>0.39315489791744185</c:v>
                </c:pt>
                <c:pt idx="20">
                  <c:v>-0.53386769400704515</c:v>
                </c:pt>
                <c:pt idx="21">
                  <c:v>-4.0551444930052307</c:v>
                </c:pt>
                <c:pt idx="22">
                  <c:v>-0.43167140643618573</c:v>
                </c:pt>
                <c:pt idx="23">
                  <c:v>0.57148883598763711</c:v>
                </c:pt>
                <c:pt idx="24">
                  <c:v>0.71708988859933953</c:v>
                </c:pt>
                <c:pt idx="25">
                  <c:v>5.5177633853210528</c:v>
                </c:pt>
                <c:pt idx="26">
                  <c:v>0.63013310737050976</c:v>
                </c:pt>
                <c:pt idx="27">
                  <c:v>-0.40485316732441945</c:v>
                </c:pt>
                <c:pt idx="28">
                  <c:v>5.3082372413727208E-2</c:v>
                </c:pt>
                <c:pt idx="29">
                  <c:v>3.4161228209457162E-2</c:v>
                </c:pt>
                <c:pt idx="30">
                  <c:v>0.43620333291979424</c:v>
                </c:pt>
              </c:numCache>
            </c:numRef>
          </c:val>
          <c:extLst>
            <c:ext xmlns:c16="http://schemas.microsoft.com/office/drawing/2014/chart" uri="{C3380CC4-5D6E-409C-BE32-E72D297353CC}">
              <c16:uniqueId val="{00000001-2C5D-4D79-A13C-195A18493848}"/>
            </c:ext>
          </c:extLst>
        </c:ser>
        <c:ser>
          <c:idx val="2"/>
          <c:order val="2"/>
          <c:tx>
            <c:strRef>
              <c:f>'GRAF příspěvky IPP'!$A$29</c:f>
              <c:strCache>
                <c:ptCount val="1"/>
                <c:pt idx="0">
                  <c:v>Strojírenství (28)</c:v>
                </c:pt>
              </c:strCache>
            </c:strRef>
          </c:tx>
          <c:spPr>
            <a:solidFill>
              <a:srgbClr val="BFE3F7"/>
            </a:solidFill>
          </c:spPr>
          <c:invertIfNegative val="0"/>
          <c:cat>
            <c:multiLvlStrRef>
              <c:f>'GRAF příspěvky IPP'!$R$25:$AV$26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'GRAF příspěvky IPP'!$R$29:$AV$29</c:f>
              <c:numCache>
                <c:formatCode>0.0</c:formatCode>
                <c:ptCount val="31"/>
                <c:pt idx="0">
                  <c:v>0.27254464463314693</c:v>
                </c:pt>
                <c:pt idx="1">
                  <c:v>0.29396963786095853</c:v>
                </c:pt>
                <c:pt idx="2">
                  <c:v>0.39152523509606818</c:v>
                </c:pt>
                <c:pt idx="3">
                  <c:v>1.6200417736821196E-2</c:v>
                </c:pt>
                <c:pt idx="4">
                  <c:v>0.36694942006841863</c:v>
                </c:pt>
                <c:pt idx="5">
                  <c:v>-7.7911792574484814E-2</c:v>
                </c:pt>
                <c:pt idx="6">
                  <c:v>0.1987099016441323</c:v>
                </c:pt>
                <c:pt idx="7">
                  <c:v>0.31990708238357735</c:v>
                </c:pt>
                <c:pt idx="8">
                  <c:v>0.34959411680822744</c:v>
                </c:pt>
                <c:pt idx="9">
                  <c:v>1.0827590636445108</c:v>
                </c:pt>
                <c:pt idx="10">
                  <c:v>0.85295353330611445</c:v>
                </c:pt>
                <c:pt idx="11">
                  <c:v>0.80087396958540291</c:v>
                </c:pt>
                <c:pt idx="12">
                  <c:v>0.479471307913379</c:v>
                </c:pt>
                <c:pt idx="13">
                  <c:v>0.1423157226032094</c:v>
                </c:pt>
                <c:pt idx="14">
                  <c:v>0.18574582107238052</c:v>
                </c:pt>
                <c:pt idx="15">
                  <c:v>-0.19599700087649827</c:v>
                </c:pt>
                <c:pt idx="16">
                  <c:v>0.14262071470057108</c:v>
                </c:pt>
                <c:pt idx="17">
                  <c:v>-1.7720632744717035E-2</c:v>
                </c:pt>
                <c:pt idx="18">
                  <c:v>-0.26820737830766378</c:v>
                </c:pt>
                <c:pt idx="19">
                  <c:v>-0.13470183553131065</c:v>
                </c:pt>
                <c:pt idx="20">
                  <c:v>-0.70070857290029465</c:v>
                </c:pt>
                <c:pt idx="21">
                  <c:v>-2.1439518127357715</c:v>
                </c:pt>
                <c:pt idx="22">
                  <c:v>-0.79742744226132456</c:v>
                </c:pt>
                <c:pt idx="23">
                  <c:v>-0.53363467705880407</c:v>
                </c:pt>
                <c:pt idx="24">
                  <c:v>7.5409558142297439E-2</c:v>
                </c:pt>
                <c:pt idx="25">
                  <c:v>2.0977969917253128</c:v>
                </c:pt>
                <c:pt idx="26">
                  <c:v>0.54501450372800453</c:v>
                </c:pt>
                <c:pt idx="27">
                  <c:v>0.28246794146081411</c:v>
                </c:pt>
                <c:pt idx="28">
                  <c:v>0.35952437283238337</c:v>
                </c:pt>
                <c:pt idx="29">
                  <c:v>7.7772574988680815E-2</c:v>
                </c:pt>
                <c:pt idx="30">
                  <c:v>0.44609725915001675</c:v>
                </c:pt>
              </c:numCache>
            </c:numRef>
          </c:val>
          <c:extLst>
            <c:ext xmlns:c16="http://schemas.microsoft.com/office/drawing/2014/chart" uri="{C3380CC4-5D6E-409C-BE32-E72D297353CC}">
              <c16:uniqueId val="{00000002-2C5D-4D79-A13C-195A18493848}"/>
            </c:ext>
          </c:extLst>
        </c:ser>
        <c:ser>
          <c:idx val="3"/>
          <c:order val="3"/>
          <c:tx>
            <c:strRef>
              <c:f>'GRAF příspěvky IPP'!$A$30</c:f>
              <c:strCache>
                <c:ptCount val="1"/>
                <c:pt idx="0">
                  <c:v>Kovodělný průmysl (25)</c:v>
                </c:pt>
              </c:strCache>
            </c:strRef>
          </c:tx>
          <c:spPr>
            <a:solidFill>
              <a:srgbClr val="48AEE7"/>
            </a:solidFill>
          </c:spPr>
          <c:invertIfNegative val="0"/>
          <c:cat>
            <c:multiLvlStrRef>
              <c:f>'GRAF příspěvky IPP'!$R$25:$AV$26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IPP'!$R$30:$AV$30</c:f>
              <c:numCache>
                <c:formatCode>0.0</c:formatCode>
                <c:ptCount val="31"/>
                <c:pt idx="0">
                  <c:v>0.69598466412593474</c:v>
                </c:pt>
                <c:pt idx="1">
                  <c:v>0.78523209830157625</c:v>
                </c:pt>
                <c:pt idx="2">
                  <c:v>0.97812808698582676</c:v>
                </c:pt>
                <c:pt idx="3">
                  <c:v>0.60585855548016065</c:v>
                </c:pt>
                <c:pt idx="4">
                  <c:v>0.7974142567928203</c:v>
                </c:pt>
                <c:pt idx="5">
                  <c:v>0.39435941300086852</c:v>
                </c:pt>
                <c:pt idx="6">
                  <c:v>0.22320292471013239</c:v>
                </c:pt>
                <c:pt idx="7">
                  <c:v>0.25093421694411544</c:v>
                </c:pt>
                <c:pt idx="8">
                  <c:v>0.420593323359785</c:v>
                </c:pt>
                <c:pt idx="9">
                  <c:v>0.91449350181259326</c:v>
                </c:pt>
                <c:pt idx="10">
                  <c:v>0.85069745323039048</c:v>
                </c:pt>
                <c:pt idx="11">
                  <c:v>0.96475784711286927</c:v>
                </c:pt>
                <c:pt idx="12">
                  <c:v>0.6496282287639249</c:v>
                </c:pt>
                <c:pt idx="13">
                  <c:v>0.47190400503104318</c:v>
                </c:pt>
                <c:pt idx="14">
                  <c:v>0.40332248383604502</c:v>
                </c:pt>
                <c:pt idx="15">
                  <c:v>0.15276873851363962</c:v>
                </c:pt>
                <c:pt idx="16">
                  <c:v>0.25794025853962294</c:v>
                </c:pt>
                <c:pt idx="17">
                  <c:v>8.1804977725853222E-3</c:v>
                </c:pt>
                <c:pt idx="18">
                  <c:v>-0.23678308583363922</c:v>
                </c:pt>
                <c:pt idx="19">
                  <c:v>-0.3569761365718796</c:v>
                </c:pt>
                <c:pt idx="20">
                  <c:v>-0.60281049456131075</c:v>
                </c:pt>
                <c:pt idx="21">
                  <c:v>-2.0861954788425607</c:v>
                </c:pt>
                <c:pt idx="22">
                  <c:v>-0.54448462883764237</c:v>
                </c:pt>
                <c:pt idx="23">
                  <c:v>0.14163094411535945</c:v>
                </c:pt>
                <c:pt idx="24">
                  <c:v>0.49049251376238834</c:v>
                </c:pt>
                <c:pt idx="25">
                  <c:v>3.0212528991296015</c:v>
                </c:pt>
                <c:pt idx="26">
                  <c:v>0.73399224112891204</c:v>
                </c:pt>
                <c:pt idx="27">
                  <c:v>-5.3473928905020625E-2</c:v>
                </c:pt>
                <c:pt idx="28">
                  <c:v>-6.0400508730000862E-3</c:v>
                </c:pt>
                <c:pt idx="29">
                  <c:v>-0.60416923368807007</c:v>
                </c:pt>
                <c:pt idx="30">
                  <c:v>-0.57713680054466765</c:v>
                </c:pt>
              </c:numCache>
            </c:numRef>
          </c:val>
          <c:extLst>
            <c:ext xmlns:c16="http://schemas.microsoft.com/office/drawing/2014/chart" uri="{C3380CC4-5D6E-409C-BE32-E72D297353CC}">
              <c16:uniqueId val="{00000003-2C5D-4D79-A13C-195A18493848}"/>
            </c:ext>
          </c:extLst>
        </c:ser>
        <c:ser>
          <c:idx val="4"/>
          <c:order val="4"/>
          <c:tx>
            <c:strRef>
              <c:f>'GRAF příspěvky IPP'!$A$31</c:f>
              <c:strCache>
                <c:ptCount val="1"/>
                <c:pt idx="0">
                  <c:v>Výroba PC, elektronic. a optic. přístr. (26)</c:v>
                </c:pt>
              </c:strCache>
            </c:strRef>
          </c:tx>
          <c:spPr>
            <a:solidFill>
              <a:srgbClr val="FDDEB3"/>
            </a:solidFill>
          </c:spPr>
          <c:invertIfNegative val="0"/>
          <c:cat>
            <c:multiLvlStrRef>
              <c:f>'GRAF příspěvky IPP'!$R$25:$AV$26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IPP'!$R$31:$AV$31</c:f>
              <c:numCache>
                <c:formatCode>0.0</c:formatCode>
                <c:ptCount val="31"/>
                <c:pt idx="0">
                  <c:v>0.10174478910853679</c:v>
                </c:pt>
                <c:pt idx="1">
                  <c:v>1.5828953523061507E-2</c:v>
                </c:pt>
                <c:pt idx="2">
                  <c:v>4.099582748163963E-2</c:v>
                </c:pt>
                <c:pt idx="3">
                  <c:v>-7.2764071813088554E-2</c:v>
                </c:pt>
                <c:pt idx="4">
                  <c:v>-5.3199772200864092E-3</c:v>
                </c:pt>
                <c:pt idx="5">
                  <c:v>6.0334021815885465E-2</c:v>
                </c:pt>
                <c:pt idx="6">
                  <c:v>5.0638983184188399E-2</c:v>
                </c:pt>
                <c:pt idx="7">
                  <c:v>0.16208161104378524</c:v>
                </c:pt>
                <c:pt idx="8">
                  <c:v>0.14164406764460333</c:v>
                </c:pt>
                <c:pt idx="9">
                  <c:v>0.36084600241723092</c:v>
                </c:pt>
                <c:pt idx="10">
                  <c:v>0.23025191154693395</c:v>
                </c:pt>
                <c:pt idx="11">
                  <c:v>0.23490510719047802</c:v>
                </c:pt>
                <c:pt idx="12">
                  <c:v>0.39487785017355559</c:v>
                </c:pt>
                <c:pt idx="13">
                  <c:v>0.15525543720367532</c:v>
                </c:pt>
                <c:pt idx="14">
                  <c:v>0.63668466142391178</c:v>
                </c:pt>
                <c:pt idx="15">
                  <c:v>0.31239835694712781</c:v>
                </c:pt>
                <c:pt idx="16">
                  <c:v>-0.11382932295885198</c:v>
                </c:pt>
                <c:pt idx="17">
                  <c:v>-4.341493446561568E-2</c:v>
                </c:pt>
                <c:pt idx="18">
                  <c:v>-0.61087240850785662</c:v>
                </c:pt>
                <c:pt idx="19">
                  <c:v>-0.34647971068415334</c:v>
                </c:pt>
                <c:pt idx="20">
                  <c:v>-9.3038606014309314E-2</c:v>
                </c:pt>
                <c:pt idx="21">
                  <c:v>-0.28123947830113627</c:v>
                </c:pt>
                <c:pt idx="22">
                  <c:v>4.928216360451528E-3</c:v>
                </c:pt>
                <c:pt idx="23">
                  <c:v>-6.4929215180494207E-3</c:v>
                </c:pt>
                <c:pt idx="24">
                  <c:v>0.12370548541407449</c:v>
                </c:pt>
                <c:pt idx="25">
                  <c:v>0.16424422913293343</c:v>
                </c:pt>
                <c:pt idx="26">
                  <c:v>0.21927080668644869</c:v>
                </c:pt>
                <c:pt idx="27">
                  <c:v>-0.2179928150760102</c:v>
                </c:pt>
                <c:pt idx="28">
                  <c:v>1.2961992438444881E-2</c:v>
                </c:pt>
                <c:pt idx="29">
                  <c:v>-1.5899811729245393E-2</c:v>
                </c:pt>
                <c:pt idx="30">
                  <c:v>7.0578468040549916E-2</c:v>
                </c:pt>
              </c:numCache>
            </c:numRef>
          </c:val>
          <c:extLst>
            <c:ext xmlns:c16="http://schemas.microsoft.com/office/drawing/2014/chart" uri="{C3380CC4-5D6E-409C-BE32-E72D297353CC}">
              <c16:uniqueId val="{00000004-2C5D-4D79-A13C-195A18493848}"/>
            </c:ext>
          </c:extLst>
        </c:ser>
        <c:ser>
          <c:idx val="5"/>
          <c:order val="5"/>
          <c:tx>
            <c:strRef>
              <c:f>'GRAF příspěvky IPP'!$A$32</c:f>
              <c:strCache>
                <c:ptCount val="1"/>
                <c:pt idx="0">
                  <c:v>Chemický a farmaceutický pr. (20, 21)</c:v>
                </c:pt>
              </c:strCache>
            </c:strRef>
          </c:tx>
          <c:spPr>
            <a:solidFill>
              <a:srgbClr val="F8A124"/>
            </a:solidFill>
            <a:ln>
              <a:noFill/>
            </a:ln>
          </c:spPr>
          <c:invertIfNegative val="0"/>
          <c:cat>
            <c:multiLvlStrRef>
              <c:f>'GRAF příspěvky IPP'!$R$25:$AV$26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IPP'!$R$32:$AV$32</c:f>
              <c:numCache>
                <c:formatCode>0.0</c:formatCode>
                <c:ptCount val="31"/>
                <c:pt idx="0">
                  <c:v>7.7143378794105238E-2</c:v>
                </c:pt>
                <c:pt idx="1">
                  <c:v>0.23593739633638305</c:v>
                </c:pt>
                <c:pt idx="2">
                  <c:v>-0.1618035309720528</c:v>
                </c:pt>
                <c:pt idx="3">
                  <c:v>-0.33496224531375707</c:v>
                </c:pt>
                <c:pt idx="4">
                  <c:v>-0.41674583594172754</c:v>
                </c:pt>
                <c:pt idx="5">
                  <c:v>-0.4282443957917389</c:v>
                </c:pt>
                <c:pt idx="6">
                  <c:v>-0.10705569687500868</c:v>
                </c:pt>
                <c:pt idx="7">
                  <c:v>0.23734613396913962</c:v>
                </c:pt>
                <c:pt idx="8">
                  <c:v>0.52004631375398047</c:v>
                </c:pt>
                <c:pt idx="9">
                  <c:v>0.82674096187567125</c:v>
                </c:pt>
                <c:pt idx="10">
                  <c:v>0.6516009273870198</c:v>
                </c:pt>
                <c:pt idx="11">
                  <c:v>0.50475413241681488</c:v>
                </c:pt>
                <c:pt idx="12">
                  <c:v>0.40512406777705501</c:v>
                </c:pt>
                <c:pt idx="13">
                  <c:v>7.9522592595157926E-2</c:v>
                </c:pt>
                <c:pt idx="14">
                  <c:v>-5.31759637412869E-2</c:v>
                </c:pt>
                <c:pt idx="15">
                  <c:v>-6.9085533222069381E-2</c:v>
                </c:pt>
                <c:pt idx="16">
                  <c:v>0.10389114606048008</c:v>
                </c:pt>
                <c:pt idx="17">
                  <c:v>4.8518655211085254E-2</c:v>
                </c:pt>
                <c:pt idx="18">
                  <c:v>0.22788597854650419</c:v>
                </c:pt>
                <c:pt idx="19">
                  <c:v>3.146341110732534E-2</c:v>
                </c:pt>
                <c:pt idx="20">
                  <c:v>-3.2282293071107387E-2</c:v>
                </c:pt>
                <c:pt idx="21">
                  <c:v>-0.54854126720456842</c:v>
                </c:pt>
                <c:pt idx="22">
                  <c:v>-0.213470084635413</c:v>
                </c:pt>
                <c:pt idx="23">
                  <c:v>0.43258721577895853</c:v>
                </c:pt>
                <c:pt idx="24">
                  <c:v>0.29002166534767471</c:v>
                </c:pt>
                <c:pt idx="25">
                  <c:v>0.79640555462778906</c:v>
                </c:pt>
                <c:pt idx="26">
                  <c:v>0.31295511636296708</c:v>
                </c:pt>
                <c:pt idx="27">
                  <c:v>7.1904732388590423E-2</c:v>
                </c:pt>
                <c:pt idx="28">
                  <c:v>0.26251502201013766</c:v>
                </c:pt>
                <c:pt idx="29">
                  <c:v>0.22023630158607899</c:v>
                </c:pt>
                <c:pt idx="30">
                  <c:v>-6.7988610518413539E-2</c:v>
                </c:pt>
              </c:numCache>
            </c:numRef>
          </c:val>
          <c:extLst>
            <c:ext xmlns:c16="http://schemas.microsoft.com/office/drawing/2014/chart" uri="{C3380CC4-5D6E-409C-BE32-E72D297353CC}">
              <c16:uniqueId val="{00000005-2C5D-4D79-A13C-195A18493848}"/>
            </c:ext>
          </c:extLst>
        </c:ser>
        <c:ser>
          <c:idx val="6"/>
          <c:order val="6"/>
          <c:tx>
            <c:strRef>
              <c:f>'GRAF příspěvky IPP'!$A$33</c:f>
              <c:strCache>
                <c:ptCount val="1"/>
                <c:pt idx="0">
                  <c:v>Zbývající zpracovatelský průmysl</c:v>
                </c:pt>
              </c:strCache>
            </c:strRef>
          </c:tx>
          <c:spPr>
            <a:solidFill>
              <a:schemeClr val="bg1">
                <a:lumMod val="85000"/>
              </a:schemeClr>
            </a:solidFill>
          </c:spPr>
          <c:invertIfNegative val="0"/>
          <c:cat>
            <c:multiLvlStrRef>
              <c:f>'GRAF příspěvky IPP'!$R$25:$AV$26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IPP'!$R$33:$AV$33</c:f>
              <c:numCache>
                <c:formatCode>0.0</c:formatCode>
                <c:ptCount val="31"/>
                <c:pt idx="0">
                  <c:v>0.99790191745106926</c:v>
                </c:pt>
                <c:pt idx="1">
                  <c:v>0.89869551924785085</c:v>
                </c:pt>
                <c:pt idx="2">
                  <c:v>1.0140985408551135</c:v>
                </c:pt>
                <c:pt idx="3">
                  <c:v>-0.23144536420896189</c:v>
                </c:pt>
                <c:pt idx="4">
                  <c:v>0.26284587339298521</c:v>
                </c:pt>
                <c:pt idx="5">
                  <c:v>-0.36379862472242158</c:v>
                </c:pt>
                <c:pt idx="6">
                  <c:v>6.0778320295188704E-2</c:v>
                </c:pt>
                <c:pt idx="7">
                  <c:v>0.57462664260793739</c:v>
                </c:pt>
                <c:pt idx="8">
                  <c:v>7.0021742223497829E-2</c:v>
                </c:pt>
                <c:pt idx="9">
                  <c:v>1.4968765381346332</c:v>
                </c:pt>
                <c:pt idx="10">
                  <c:v>0.75563441850938817</c:v>
                </c:pt>
                <c:pt idx="11">
                  <c:v>0.97414760712501969</c:v>
                </c:pt>
                <c:pt idx="12">
                  <c:v>1.1572391799219797</c:v>
                </c:pt>
                <c:pt idx="13">
                  <c:v>0.6725057701913375</c:v>
                </c:pt>
                <c:pt idx="14">
                  <c:v>1.1043020585420495</c:v>
                </c:pt>
                <c:pt idx="15">
                  <c:v>0.49003903449396968</c:v>
                </c:pt>
                <c:pt idx="16">
                  <c:v>-4.5073361183030347E-2</c:v>
                </c:pt>
                <c:pt idx="17">
                  <c:v>4.2642071767505327E-2</c:v>
                </c:pt>
                <c:pt idx="18">
                  <c:v>-0.66202289851528051</c:v>
                </c:pt>
                <c:pt idx="19">
                  <c:v>-0.22564017800563624</c:v>
                </c:pt>
                <c:pt idx="20">
                  <c:v>7.6609618916825523E-2</c:v>
                </c:pt>
                <c:pt idx="21">
                  <c:v>-2.8303696478855001</c:v>
                </c:pt>
                <c:pt idx="22">
                  <c:v>8.2080517943730724E-2</c:v>
                </c:pt>
                <c:pt idx="23">
                  <c:v>9.7914848543596444E-2</c:v>
                </c:pt>
                <c:pt idx="24">
                  <c:v>0.23952263058523876</c:v>
                </c:pt>
                <c:pt idx="25">
                  <c:v>5.2059308294074489</c:v>
                </c:pt>
                <c:pt idx="26">
                  <c:v>1.0243206410932242</c:v>
                </c:pt>
                <c:pt idx="27">
                  <c:v>0.88675207754026841</c:v>
                </c:pt>
                <c:pt idx="28">
                  <c:v>1.09447477577437</c:v>
                </c:pt>
                <c:pt idx="29">
                  <c:v>-1.5567506056762208E-2</c:v>
                </c:pt>
                <c:pt idx="30">
                  <c:v>-0.98888649727476152</c:v>
                </c:pt>
              </c:numCache>
            </c:numRef>
          </c:val>
          <c:extLst>
            <c:ext xmlns:c16="http://schemas.microsoft.com/office/drawing/2014/chart" uri="{C3380CC4-5D6E-409C-BE32-E72D297353CC}">
              <c16:uniqueId val="{00000006-2C5D-4D79-A13C-195A18493848}"/>
            </c:ext>
          </c:extLst>
        </c:ser>
        <c:ser>
          <c:idx val="7"/>
          <c:order val="7"/>
          <c:tx>
            <c:strRef>
              <c:f>'GRAF příspěvky IPP'!$A$34</c:f>
              <c:strCache>
                <c:ptCount val="1"/>
                <c:pt idx="0">
                  <c:v>Těžba a energetika (B, D)</c:v>
                </c:pt>
              </c:strCache>
            </c:strRef>
          </c:tx>
          <c:spPr>
            <a:solidFill>
              <a:srgbClr val="808080"/>
            </a:solidFill>
          </c:spPr>
          <c:invertIfNegative val="0"/>
          <c:cat>
            <c:multiLvlStrRef>
              <c:f>'GRAF příspěvky IPP'!$R$25:$AV$26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IPP'!$R$34:$AV$34</c:f>
              <c:numCache>
                <c:formatCode>0.0</c:formatCode>
                <c:ptCount val="31"/>
                <c:pt idx="0">
                  <c:v>0.14536369337262112</c:v>
                </c:pt>
                <c:pt idx="1">
                  <c:v>-0.33984851886778389</c:v>
                </c:pt>
                <c:pt idx="2">
                  <c:v>-0.39719330301482159</c:v>
                </c:pt>
                <c:pt idx="3">
                  <c:v>-1.1146161627338653</c:v>
                </c:pt>
                <c:pt idx="4">
                  <c:v>-0.64581780602362893</c:v>
                </c:pt>
                <c:pt idx="5">
                  <c:v>9.8757674154636987E-2</c:v>
                </c:pt>
                <c:pt idx="6">
                  <c:v>-0.47678822664722548</c:v>
                </c:pt>
                <c:pt idx="7">
                  <c:v>0.5038061309270212</c:v>
                </c:pt>
                <c:pt idx="8">
                  <c:v>0.66217224583389844</c:v>
                </c:pt>
                <c:pt idx="9">
                  <c:v>-0.18248944438855802</c:v>
                </c:pt>
                <c:pt idx="10">
                  <c:v>0.77178193644183435</c:v>
                </c:pt>
                <c:pt idx="11">
                  <c:v>0.73275070181120505</c:v>
                </c:pt>
                <c:pt idx="12">
                  <c:v>-0.53887865891214681</c:v>
                </c:pt>
                <c:pt idx="13">
                  <c:v>4.2205690381435096E-3</c:v>
                </c:pt>
                <c:pt idx="14">
                  <c:v>0.78780707738879552</c:v>
                </c:pt>
                <c:pt idx="15">
                  <c:v>0.33124326032333173</c:v>
                </c:pt>
                <c:pt idx="16">
                  <c:v>0.21326016962669453</c:v>
                </c:pt>
                <c:pt idx="17">
                  <c:v>4.593311018825097E-2</c:v>
                </c:pt>
                <c:pt idx="18">
                  <c:v>-0.66562135602659178</c:v>
                </c:pt>
                <c:pt idx="19">
                  <c:v>-0.33090067760840614</c:v>
                </c:pt>
                <c:pt idx="20">
                  <c:v>-0.97349792913183197</c:v>
                </c:pt>
                <c:pt idx="21">
                  <c:v>-1.5874257911073824</c:v>
                </c:pt>
                <c:pt idx="22">
                  <c:v>-0.71569130332110786</c:v>
                </c:pt>
                <c:pt idx="23">
                  <c:v>-0.69509435773149675</c:v>
                </c:pt>
                <c:pt idx="24">
                  <c:v>0.48046622491935642</c:v>
                </c:pt>
                <c:pt idx="25">
                  <c:v>0.46350950234762489</c:v>
                </c:pt>
                <c:pt idx="26">
                  <c:v>0.22192497842778175</c:v>
                </c:pt>
                <c:pt idx="27">
                  <c:v>0.8136174788873507</c:v>
                </c:pt>
                <c:pt idx="28">
                  <c:v>-0.2397470908125966</c:v>
                </c:pt>
                <c:pt idx="29">
                  <c:v>0.21111532498164806</c:v>
                </c:pt>
                <c:pt idx="30">
                  <c:v>0.35450375009515112</c:v>
                </c:pt>
              </c:numCache>
            </c:numRef>
          </c:val>
          <c:extLst>
            <c:ext xmlns:c16="http://schemas.microsoft.com/office/drawing/2014/chart" uri="{C3380CC4-5D6E-409C-BE32-E72D297353CC}">
              <c16:uniqueId val="{00000007-2C5D-4D79-A13C-195A18493848}"/>
            </c:ext>
          </c:extLst>
        </c:ser>
        <c:dLbls>
          <c:showLegendKey val="0"/>
          <c:showVal val="0"/>
          <c:showCatName val="0"/>
          <c:showSerName val="0"/>
          <c:showPercent val="0"/>
          <c:showBubbleSize val="0"/>
        </c:dLbls>
        <c:gapWidth val="15"/>
        <c:overlap val="100"/>
        <c:axId val="112768128"/>
        <c:axId val="112769664"/>
      </c:barChart>
      <c:lineChart>
        <c:grouping val="standard"/>
        <c:varyColors val="0"/>
        <c:ser>
          <c:idx val="8"/>
          <c:order val="8"/>
          <c:tx>
            <c:strRef>
              <c:f>'GRAF příspěvky IPP'!$A$35</c:f>
              <c:strCache>
                <c:ptCount val="1"/>
                <c:pt idx="0">
                  <c:v>Průmysl celkem (NACE B až D)</c:v>
                </c:pt>
              </c:strCache>
            </c:strRef>
          </c:tx>
          <c:spPr>
            <a:ln w="19050">
              <a:noFill/>
            </a:ln>
          </c:spPr>
          <c:marker>
            <c:symbol val="circle"/>
            <c:size val="4"/>
            <c:spPr>
              <a:solidFill>
                <a:schemeClr val="bg1"/>
              </a:solidFill>
              <a:ln>
                <a:solidFill>
                  <a:schemeClr val="tx1">
                    <a:lumMod val="95000"/>
                    <a:lumOff val="5000"/>
                  </a:schemeClr>
                </a:solidFill>
              </a:ln>
            </c:spPr>
          </c:marker>
          <c:cat>
            <c:multiLvlStrRef>
              <c:f>'GRAF příspěvky IPP'!$R$25:$AV$26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IPP'!$R$35:$AV$35</c:f>
              <c:numCache>
                <c:formatCode>0.0</c:formatCode>
                <c:ptCount val="31"/>
                <c:pt idx="0">
                  <c:v>4.8680422143000044</c:v>
                </c:pt>
                <c:pt idx="1">
                  <c:v>5.3061961757999967</c:v>
                </c:pt>
                <c:pt idx="2">
                  <c:v>5.6206823339000067</c:v>
                </c:pt>
                <c:pt idx="3">
                  <c:v>2.3853754886000047</c:v>
                </c:pt>
                <c:pt idx="4">
                  <c:v>4.4725174610999971</c:v>
                </c:pt>
                <c:pt idx="5">
                  <c:v>2.6060872329999967</c:v>
                </c:pt>
                <c:pt idx="6">
                  <c:v>1.6853621782999966</c:v>
                </c:pt>
                <c:pt idx="7">
                  <c:v>3.5082011612000059</c:v>
                </c:pt>
                <c:pt idx="8">
                  <c:v>4.7795069544999933</c:v>
                </c:pt>
                <c:pt idx="9">
                  <c:v>8.0197279076000001</c:v>
                </c:pt>
                <c:pt idx="10">
                  <c:v>6.5554667266000024</c:v>
                </c:pt>
                <c:pt idx="11">
                  <c:v>7.5425890917999965</c:v>
                </c:pt>
                <c:pt idx="12">
                  <c:v>4.2592401254999999</c:v>
                </c:pt>
                <c:pt idx="13">
                  <c:v>2.4107410409999943</c:v>
                </c:pt>
                <c:pt idx="14">
                  <c:v>3.7310032274999969</c:v>
                </c:pt>
                <c:pt idx="15">
                  <c:v>1.964924632000006</c:v>
                </c:pt>
                <c:pt idx="16">
                  <c:v>0.8561743111999931</c:v>
                </c:pt>
                <c:pt idx="17">
                  <c:v>0.96967285750000087</c:v>
                </c:pt>
                <c:pt idx="18">
                  <c:v>-1.1387464505999958</c:v>
                </c:pt>
                <c:pt idx="19">
                  <c:v>-2.0704594092999997</c:v>
                </c:pt>
                <c:pt idx="20">
                  <c:v>-4.3895227027000061</c:v>
                </c:pt>
                <c:pt idx="21">
                  <c:v>-22.944354622899994</c:v>
                </c:pt>
                <c:pt idx="22">
                  <c:v>-2.8132525742999945</c:v>
                </c:pt>
                <c:pt idx="23">
                  <c:v>2.0498311354999998</c:v>
                </c:pt>
                <c:pt idx="24">
                  <c:v>4.2926371346000085</c:v>
                </c:pt>
                <c:pt idx="25">
                  <c:v>28.275933856499996</c:v>
                </c:pt>
                <c:pt idx="26">
                  <c:v>-0.10088747950000275</c:v>
                </c:pt>
                <c:pt idx="27">
                  <c:v>-1.8886549978000025</c:v>
                </c:pt>
                <c:pt idx="28">
                  <c:v>-0.42216844050000191</c:v>
                </c:pt>
                <c:pt idx="29">
                  <c:v>-0.1497655322000071</c:v>
                </c:pt>
                <c:pt idx="30">
                  <c:v>5.2385073609000017</c:v>
                </c:pt>
              </c:numCache>
            </c:numRef>
          </c:val>
          <c:smooth val="0"/>
          <c:extLst>
            <c:ext xmlns:c16="http://schemas.microsoft.com/office/drawing/2014/chart" uri="{C3380CC4-5D6E-409C-BE32-E72D297353CC}">
              <c16:uniqueId val="{00000008-2C5D-4D79-A13C-195A18493848}"/>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9"/>
          <c:order val="9"/>
          <c:tx>
            <c:strRef>
              <c:f>'GRAF příspěvky IPP'!$A$36</c:f>
              <c:strCache>
                <c:ptCount val="1"/>
              </c:strCache>
            </c:strRef>
          </c:tx>
          <c:spPr>
            <a:ln w="15875">
              <a:noFill/>
              <a:prstDash val="sysDot"/>
            </a:ln>
          </c:spPr>
          <c:marker>
            <c:symbol val="none"/>
          </c:marker>
          <c:cat>
            <c:multiLvlStrRef>
              <c:f>'GRAF příspěvky IPP'!$R$25:$AV$26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IPP'!$R$36:$AV$36</c:f>
              <c:numCache>
                <c:formatCode>General</c:formatCode>
                <c:ptCount val="31"/>
              </c:numCache>
            </c:numRef>
          </c:val>
          <c:smooth val="0"/>
          <c:extLst>
            <c:ext xmlns:c16="http://schemas.microsoft.com/office/drawing/2014/chart" uri="{C3380CC4-5D6E-409C-BE32-E72D297353CC}">
              <c16:uniqueId val="{00000009-2C5D-4D79-A13C-195A18493848}"/>
            </c:ext>
          </c:extLst>
        </c:ser>
        <c:ser>
          <c:idx val="10"/>
          <c:order val="10"/>
          <c:tx>
            <c:strRef>
              <c:f>'GRAF příspěvky IPP'!$A$37</c:f>
              <c:strCache>
                <c:ptCount val="1"/>
                <c:pt idx="0">
                  <c:v>Produkce, prům. celkem (báze 2015=100)</c:v>
                </c:pt>
              </c:strCache>
            </c:strRef>
          </c:tx>
          <c:spPr>
            <a:ln w="15875">
              <a:solidFill>
                <a:schemeClr val="tx1">
                  <a:lumMod val="95000"/>
                  <a:lumOff val="5000"/>
                </a:schemeClr>
              </a:solidFill>
            </a:ln>
          </c:spPr>
          <c:marker>
            <c:symbol val="none"/>
          </c:marker>
          <c:cat>
            <c:multiLvlStrRef>
              <c:f>'GRAF příspěvky IPP'!$R$25:$AV$26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IPP'!$R$37:$AV$37</c:f>
              <c:numCache>
                <c:formatCode>##0.0</c:formatCode>
                <c:ptCount val="31"/>
                <c:pt idx="0">
                  <c:v>98.574612999999999</c:v>
                </c:pt>
                <c:pt idx="1">
                  <c:v>100.2847516667</c:v>
                </c:pt>
                <c:pt idx="2">
                  <c:v>101.35576500000001</c:v>
                </c:pt>
                <c:pt idx="3">
                  <c:v>100.49027700000001</c:v>
                </c:pt>
                <c:pt idx="4">
                  <c:v>102.93201833329999</c:v>
                </c:pt>
                <c:pt idx="5">
                  <c:v>102.6976626667</c:v>
                </c:pt>
                <c:pt idx="6">
                  <c:v>102.9735696667</c:v>
                </c:pt>
                <c:pt idx="7">
                  <c:v>104.036576</c:v>
                </c:pt>
                <c:pt idx="8">
                  <c:v>107.47989200000001</c:v>
                </c:pt>
                <c:pt idx="9">
                  <c:v>110.71636599999999</c:v>
                </c:pt>
                <c:pt idx="10">
                  <c:v>110.16904433329999</c:v>
                </c:pt>
                <c:pt idx="11">
                  <c:v>112.0549596667</c:v>
                </c:pt>
                <c:pt idx="12">
                  <c:v>112.30386300000001</c:v>
                </c:pt>
                <c:pt idx="13">
                  <c:v>113.5290806667</c:v>
                </c:pt>
                <c:pt idx="14">
                  <c:v>114.5448653333</c:v>
                </c:pt>
                <c:pt idx="15">
                  <c:v>113.75430799999999</c:v>
                </c:pt>
                <c:pt idx="16">
                  <c:v>113.2837286667</c:v>
                </c:pt>
                <c:pt idx="17">
                  <c:v>115.0417716667</c:v>
                </c:pt>
                <c:pt idx="18">
                  <c:v>112.92627733330001</c:v>
                </c:pt>
                <c:pt idx="19">
                  <c:v>111.2318066667</c:v>
                </c:pt>
                <c:pt idx="20">
                  <c:v>108.62233999999999</c:v>
                </c:pt>
                <c:pt idx="21">
                  <c:v>89.012085333300007</c:v>
                </c:pt>
                <c:pt idx="22">
                  <c:v>109.83611233329999</c:v>
                </c:pt>
                <c:pt idx="23">
                  <c:v>113.58640990329999</c:v>
                </c:pt>
                <c:pt idx="24">
                  <c:v>112.38678738669999</c:v>
                </c:pt>
                <c:pt idx="25">
                  <c:v>113.2495135967</c:v>
                </c:pt>
                <c:pt idx="26">
                  <c:v>110.3644090067</c:v>
                </c:pt>
                <c:pt idx="27">
                  <c:v>111.04524074</c:v>
                </c:pt>
                <c:pt idx="28">
                  <c:v>112.46713381329999</c:v>
                </c:pt>
                <c:pt idx="29">
                  <c:v>113.44647088000001</c:v>
                </c:pt>
                <c:pt idx="30">
                  <c:v>115.6123771</c:v>
                </c:pt>
              </c:numCache>
            </c:numRef>
          </c:val>
          <c:smooth val="0"/>
          <c:extLst>
            <c:ext xmlns:c16="http://schemas.microsoft.com/office/drawing/2014/chart" uri="{C3380CC4-5D6E-409C-BE32-E72D297353CC}">
              <c16:uniqueId val="{0000000A-2C5D-4D79-A13C-195A18493848}"/>
            </c:ext>
          </c:extLst>
        </c:ser>
        <c:ser>
          <c:idx val="11"/>
          <c:order val="11"/>
          <c:tx>
            <c:strRef>
              <c:f>'GRAF příspěvky IPP'!$A$38</c:f>
              <c:strCache>
                <c:ptCount val="1"/>
                <c:pt idx="0">
                  <c:v>Tržby, prům. celkem (báze 2015=100)</c:v>
                </c:pt>
              </c:strCache>
            </c:strRef>
          </c:tx>
          <c:spPr>
            <a:ln w="15875">
              <a:solidFill>
                <a:schemeClr val="tx1">
                  <a:lumMod val="50000"/>
                  <a:lumOff val="50000"/>
                </a:schemeClr>
              </a:solidFill>
              <a:prstDash val="sysDash"/>
            </a:ln>
          </c:spPr>
          <c:marker>
            <c:symbol val="none"/>
          </c:marker>
          <c:cat>
            <c:multiLvlStrRef>
              <c:f>'GRAF příspěvky IPP'!$R$25:$AV$26</c:f>
              <c:multiLvlStrCache>
                <c:ptCount val="3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lvl>
                <c:lvl>
                  <c:pt idx="0">
                    <c:v>2015</c:v>
                  </c:pt>
                  <c:pt idx="4">
                    <c:v>2016</c:v>
                  </c:pt>
                  <c:pt idx="8">
                    <c:v>2017</c:v>
                  </c:pt>
                  <c:pt idx="12">
                    <c:v>2018</c:v>
                  </c:pt>
                  <c:pt idx="16">
                    <c:v>2019</c:v>
                  </c:pt>
                  <c:pt idx="20">
                    <c:v>2020</c:v>
                  </c:pt>
                  <c:pt idx="24">
                    <c:v>2021</c:v>
                  </c:pt>
                  <c:pt idx="28">
                    <c:v>2022</c:v>
                  </c:pt>
                </c:lvl>
              </c:multiLvlStrCache>
            </c:multiLvlStrRef>
          </c:cat>
          <c:val>
            <c:numRef>
              <c:f>'GRAF příspěvky IPP'!$R$38:$AV$38</c:f>
              <c:numCache>
                <c:formatCode>##0.0</c:formatCode>
                <c:ptCount val="31"/>
                <c:pt idx="0">
                  <c:v>98.907043999999999</c:v>
                </c:pt>
                <c:pt idx="1">
                  <c:v>100.54670466669999</c:v>
                </c:pt>
                <c:pt idx="2">
                  <c:v>100.773518</c:v>
                </c:pt>
                <c:pt idx="3">
                  <c:v>99.772733333299996</c:v>
                </c:pt>
                <c:pt idx="4">
                  <c:v>100.10357233329999</c:v>
                </c:pt>
                <c:pt idx="5">
                  <c:v>99.118572666700004</c:v>
                </c:pt>
                <c:pt idx="6">
                  <c:v>100.72800933329999</c:v>
                </c:pt>
                <c:pt idx="7">
                  <c:v>103.334605</c:v>
                </c:pt>
                <c:pt idx="8">
                  <c:v>106.6903113333</c:v>
                </c:pt>
                <c:pt idx="9">
                  <c:v>109.487612</c:v>
                </c:pt>
                <c:pt idx="10">
                  <c:v>107.757486</c:v>
                </c:pt>
                <c:pt idx="11">
                  <c:v>109.0894736667</c:v>
                </c:pt>
                <c:pt idx="12">
                  <c:v>109.80780633329999</c:v>
                </c:pt>
                <c:pt idx="13">
                  <c:v>110.94641900000001</c:v>
                </c:pt>
                <c:pt idx="14">
                  <c:v>113.397482</c:v>
                </c:pt>
                <c:pt idx="15">
                  <c:v>114.4444003333</c:v>
                </c:pt>
                <c:pt idx="16">
                  <c:v>113.07990866670001</c:v>
                </c:pt>
                <c:pt idx="17">
                  <c:v>115.1605773333</c:v>
                </c:pt>
                <c:pt idx="18">
                  <c:v>112.71459033329999</c:v>
                </c:pt>
                <c:pt idx="19">
                  <c:v>111.6593636667</c:v>
                </c:pt>
                <c:pt idx="20">
                  <c:v>108.8700823333</c:v>
                </c:pt>
                <c:pt idx="21">
                  <c:v>88.635897666700004</c:v>
                </c:pt>
                <c:pt idx="22">
                  <c:v>111.65176</c:v>
                </c:pt>
                <c:pt idx="23">
                  <c:v>116.71428941000001</c:v>
                </c:pt>
                <c:pt idx="24">
                  <c:v>115.62027859</c:v>
                </c:pt>
                <c:pt idx="25">
                  <c:v>117.8506913267</c:v>
                </c:pt>
                <c:pt idx="26">
                  <c:v>115.4832010267</c:v>
                </c:pt>
                <c:pt idx="27">
                  <c:v>120.5923307667</c:v>
                </c:pt>
                <c:pt idx="28">
                  <c:v>127.0243110967</c:v>
                </c:pt>
                <c:pt idx="29">
                  <c:v>133.25488970999999</c:v>
                </c:pt>
                <c:pt idx="30">
                  <c:v>141.0416487633</c:v>
                </c:pt>
              </c:numCache>
            </c:numRef>
          </c:val>
          <c:smooth val="0"/>
          <c:extLst>
            <c:ext xmlns:c16="http://schemas.microsoft.com/office/drawing/2014/chart" uri="{C3380CC4-5D6E-409C-BE32-E72D297353CC}">
              <c16:uniqueId val="{0000000B-2C5D-4D79-A13C-195A18493848}"/>
            </c:ext>
          </c:extLst>
        </c:ser>
        <c:dLbls>
          <c:showLegendKey val="0"/>
          <c:showVal val="0"/>
          <c:showCatName val="0"/>
          <c:showSerName val="0"/>
          <c:showPercent val="0"/>
          <c:showBubbleSize val="0"/>
        </c:dLbls>
        <c:marker val="1"/>
        <c:smooth val="0"/>
        <c:axId val="1513731104"/>
        <c:axId val="1513729024"/>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31"/>
          <c:min val="-25"/>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Prům.</a:t>
                </a:r>
                <a:r>
                  <a:rPr lang="cs-CZ" sz="700" b="0" i="1" baseline="0">
                    <a:latin typeface="Arial" panose="020B0604020202020204" pitchFamily="34" charset="0"/>
                    <a:cs typeface="Arial" panose="020B0604020202020204" pitchFamily="34" charset="0"/>
                  </a:rPr>
                  <a:t> produkce v dílčích odvětvích (příspěvek k růstu)</a:t>
                </a:r>
                <a:endParaRPr lang="cs-CZ" sz="700" b="0" i="1">
                  <a:latin typeface="Arial" panose="020B0604020202020204" pitchFamily="34" charset="0"/>
                  <a:cs typeface="Arial" panose="020B0604020202020204" pitchFamily="34" charset="0"/>
                </a:endParaRPr>
              </a:p>
            </c:rich>
          </c:tx>
          <c:layout>
            <c:manualLayout>
              <c:xMode val="edge"/>
              <c:yMode val="edge"/>
              <c:x val="0"/>
              <c:y val="7.0405396341755536E-2"/>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5"/>
      </c:valAx>
      <c:valAx>
        <c:axId val="1513729024"/>
        <c:scaling>
          <c:orientation val="minMax"/>
          <c:max val="142"/>
          <c:min val="30"/>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Produkce,</a:t>
                </a:r>
                <a:r>
                  <a:rPr lang="cs-CZ" sz="700" b="0" i="1" baseline="0">
                    <a:latin typeface="Arial" panose="020B0604020202020204" pitchFamily="34" charset="0"/>
                    <a:cs typeface="Arial" panose="020B0604020202020204" pitchFamily="34" charset="0"/>
                  </a:rPr>
                  <a:t> tržby v celém průmyslu (báze 2015=100)</a:t>
                </a:r>
                <a:endParaRPr lang="cs-CZ" sz="700" b="0" i="1">
                  <a:latin typeface="Arial" panose="020B0604020202020204" pitchFamily="34" charset="0"/>
                  <a:cs typeface="Arial" panose="020B0604020202020204" pitchFamily="34" charset="0"/>
                </a:endParaRPr>
              </a:p>
            </c:rich>
          </c:tx>
          <c:layout>
            <c:manualLayout>
              <c:xMode val="edge"/>
              <c:yMode val="edge"/>
              <c:x val="0.97073906692287293"/>
              <c:y val="0.10785719131595946"/>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513731104"/>
        <c:crosses val="max"/>
        <c:crossBetween val="between"/>
        <c:majorUnit val="10"/>
      </c:valAx>
      <c:catAx>
        <c:axId val="1513731104"/>
        <c:scaling>
          <c:orientation val="minMax"/>
        </c:scaling>
        <c:delete val="1"/>
        <c:axPos val="b"/>
        <c:numFmt formatCode="General" sourceLinked="1"/>
        <c:majorTickMark val="out"/>
        <c:minorTickMark val="none"/>
        <c:tickLblPos val="nextTo"/>
        <c:crossAx val="1513729024"/>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279966237038124E-3"/>
          <c:y val="0.82543385995838137"/>
          <c:w val="0.98919860566585194"/>
          <c:h val="0.16756133452824207"/>
        </c:manualLayout>
      </c:layout>
      <c:overlay val="0"/>
      <c:spPr>
        <a:ln w="6350">
          <a:solidFill>
            <a:prstClr val="black">
              <a:lumMod val="95000"/>
              <a:lumOff val="5000"/>
            </a:prstClr>
          </a:solidFill>
        </a:ln>
      </c:spPr>
      <c:txPr>
        <a:bodyPr/>
        <a:lstStyle/>
        <a:p>
          <a:pPr>
            <a:defRPr sz="75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88042665536843E-2"/>
          <c:y val="1.5647041011259352E-2"/>
          <c:w val="0.84974974879787502"/>
          <c:h val="0.750636022143085"/>
        </c:manualLayout>
      </c:layout>
      <c:barChart>
        <c:barDir val="col"/>
        <c:grouping val="clustered"/>
        <c:varyColors val="0"/>
        <c:ser>
          <c:idx val="0"/>
          <c:order val="0"/>
          <c:tx>
            <c:strRef>
              <c:f>'výkonnost odvětví 2'!$A$36</c:f>
              <c:strCache>
                <c:ptCount val="1"/>
                <c:pt idx="0">
                  <c:v>Průmyslové zakázky celkem</c:v>
                </c:pt>
              </c:strCache>
            </c:strRef>
          </c:tx>
          <c:spPr>
            <a:solidFill>
              <a:schemeClr val="bg1">
                <a:lumMod val="75000"/>
              </a:schemeClr>
            </a:solidFill>
            <a:ln>
              <a:noFill/>
            </a:ln>
          </c:spPr>
          <c:invertIfNegative val="0"/>
          <c:cat>
            <c:multiLvlStrRef>
              <c:f>'výkonnost odvětví 2'!$R$34:$AW$35</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2'!$R$36:$AW$36</c:f>
              <c:numCache>
                <c:formatCode>##0.0</c:formatCode>
                <c:ptCount val="32"/>
                <c:pt idx="0">
                  <c:v>8.5341066790000042</c:v>
                </c:pt>
                <c:pt idx="1">
                  <c:v>6.3751337507000017</c:v>
                </c:pt>
                <c:pt idx="2">
                  <c:v>6.0389152520999971</c:v>
                </c:pt>
                <c:pt idx="3">
                  <c:v>5.2688806407000044</c:v>
                </c:pt>
                <c:pt idx="4">
                  <c:v>2.6303368083000009</c:v>
                </c:pt>
                <c:pt idx="5">
                  <c:v>7.5468571480000008</c:v>
                </c:pt>
                <c:pt idx="6">
                  <c:v>2.3582562295000002</c:v>
                </c:pt>
                <c:pt idx="7">
                  <c:v>6.6387502374000036</c:v>
                </c:pt>
                <c:pt idx="8">
                  <c:v>7.2930461770999955</c:v>
                </c:pt>
                <c:pt idx="9">
                  <c:v>8.1858416139999974</c:v>
                </c:pt>
                <c:pt idx="10">
                  <c:v>7.9475457356000021</c:v>
                </c:pt>
                <c:pt idx="11">
                  <c:v>7.3525292791999988</c:v>
                </c:pt>
                <c:pt idx="12">
                  <c:v>3.4332835439000036</c:v>
                </c:pt>
                <c:pt idx="13">
                  <c:v>3.7186041536999994</c:v>
                </c:pt>
                <c:pt idx="14">
                  <c:v>3.8026421203999945</c:v>
                </c:pt>
                <c:pt idx="15">
                  <c:v>3.106459229500004</c:v>
                </c:pt>
                <c:pt idx="16">
                  <c:v>3.2183595436000019</c:v>
                </c:pt>
                <c:pt idx="17">
                  <c:v>1.4149495925999958</c:v>
                </c:pt>
                <c:pt idx="18">
                  <c:v>-0.22815532609999423</c:v>
                </c:pt>
                <c:pt idx="19">
                  <c:v>-3.810834207100001</c:v>
                </c:pt>
                <c:pt idx="20">
                  <c:v>-2.0840873764000065</c:v>
                </c:pt>
                <c:pt idx="21">
                  <c:v>-27.668452791999997</c:v>
                </c:pt>
                <c:pt idx="22">
                  <c:v>-1.3192166399000058</c:v>
                </c:pt>
                <c:pt idx="23">
                  <c:v>7.153462935099995</c:v>
                </c:pt>
                <c:pt idx="24">
                  <c:v>8.3618521875999932</c:v>
                </c:pt>
                <c:pt idx="25">
                  <c:v>47.900516242999998</c:v>
                </c:pt>
                <c:pt idx="26">
                  <c:v>7.3165497560000006</c:v>
                </c:pt>
                <c:pt idx="27">
                  <c:v>3.5770040907000009</c:v>
                </c:pt>
                <c:pt idx="28">
                  <c:v>5.5831255238999944</c:v>
                </c:pt>
                <c:pt idx="29">
                  <c:v>9.2535418332000035</c:v>
                </c:pt>
                <c:pt idx="30">
                  <c:v>14.473776296200001</c:v>
                </c:pt>
              </c:numCache>
            </c:numRef>
          </c:val>
          <c:extLst>
            <c:ext xmlns:c16="http://schemas.microsoft.com/office/drawing/2014/chart" uri="{C3380CC4-5D6E-409C-BE32-E72D297353CC}">
              <c16:uniqueId val="{00000000-F791-4EF0-8D06-04E4A92072C4}"/>
            </c:ext>
          </c:extLst>
        </c:ser>
        <c:dLbls>
          <c:showLegendKey val="0"/>
          <c:showVal val="0"/>
          <c:showCatName val="0"/>
          <c:showSerName val="0"/>
          <c:showPercent val="0"/>
          <c:showBubbleSize val="0"/>
        </c:dLbls>
        <c:gapWidth val="30"/>
        <c:axId val="112768128"/>
        <c:axId val="112769664"/>
      </c:barChart>
      <c:lineChart>
        <c:grouping val="standard"/>
        <c:varyColors val="0"/>
        <c:ser>
          <c:idx val="1"/>
          <c:order val="1"/>
          <c:tx>
            <c:strRef>
              <c:f>'výkonnost odvětví 2'!$A$37</c:f>
              <c:strCache>
                <c:ptCount val="1"/>
                <c:pt idx="0">
                  <c:v>z toho: zakázky z tuzemska</c:v>
                </c:pt>
              </c:strCache>
            </c:strRef>
          </c:tx>
          <c:spPr>
            <a:ln w="15875">
              <a:noFill/>
              <a:prstDash val="sysDot"/>
            </a:ln>
          </c:spPr>
          <c:marker>
            <c:symbol val="diamond"/>
            <c:size val="5"/>
            <c:spPr>
              <a:solidFill>
                <a:srgbClr val="984807"/>
              </a:solidFill>
              <a:ln>
                <a:noFill/>
              </a:ln>
            </c:spPr>
          </c:marker>
          <c:cat>
            <c:multiLvlStrRef>
              <c:f>'výkonnost odvětví 2'!$R$34:$AW$35</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2'!$R$37:$AW$37</c:f>
              <c:numCache>
                <c:formatCode>##0.0</c:formatCode>
                <c:ptCount val="32"/>
                <c:pt idx="0">
                  <c:v>4.3678555678000066</c:v>
                </c:pt>
                <c:pt idx="1">
                  <c:v>9.9380074582000049</c:v>
                </c:pt>
                <c:pt idx="2">
                  <c:v>-2.8625917786000059</c:v>
                </c:pt>
                <c:pt idx="3">
                  <c:v>-0.24449638430000675</c:v>
                </c:pt>
                <c:pt idx="4">
                  <c:v>1.5608556055999969</c:v>
                </c:pt>
                <c:pt idx="5">
                  <c:v>1.4530189575000065</c:v>
                </c:pt>
                <c:pt idx="6">
                  <c:v>0.19507191760000353</c:v>
                </c:pt>
                <c:pt idx="7">
                  <c:v>2.810568046100002</c:v>
                </c:pt>
                <c:pt idx="8">
                  <c:v>12.6195755233</c:v>
                </c:pt>
                <c:pt idx="9">
                  <c:v>15.740843176200002</c:v>
                </c:pt>
                <c:pt idx="10">
                  <c:v>15.881411785300003</c:v>
                </c:pt>
                <c:pt idx="11">
                  <c:v>15.4396235432</c:v>
                </c:pt>
                <c:pt idx="12">
                  <c:v>1.4059943362999974</c:v>
                </c:pt>
                <c:pt idx="13">
                  <c:v>2.5119296337000065</c:v>
                </c:pt>
                <c:pt idx="14">
                  <c:v>4.7248831052000071</c:v>
                </c:pt>
                <c:pt idx="15">
                  <c:v>3.5273288478999945</c:v>
                </c:pt>
                <c:pt idx="16">
                  <c:v>8.0476176921000047</c:v>
                </c:pt>
                <c:pt idx="17">
                  <c:v>5.293639082599995</c:v>
                </c:pt>
                <c:pt idx="18">
                  <c:v>0.41940306940000482</c:v>
                </c:pt>
                <c:pt idx="19">
                  <c:v>-1.3456257084999947</c:v>
                </c:pt>
                <c:pt idx="20">
                  <c:v>5.5521264895999991</c:v>
                </c:pt>
                <c:pt idx="21">
                  <c:v>-25.896794335699994</c:v>
                </c:pt>
                <c:pt idx="22">
                  <c:v>-3.0500801793999983</c:v>
                </c:pt>
                <c:pt idx="23">
                  <c:v>6.9104797819999959</c:v>
                </c:pt>
                <c:pt idx="24">
                  <c:v>-2.8581604621000025</c:v>
                </c:pt>
                <c:pt idx="25">
                  <c:v>43.475840820900004</c:v>
                </c:pt>
                <c:pt idx="26">
                  <c:v>9.2877708039000026</c:v>
                </c:pt>
                <c:pt idx="27">
                  <c:v>5.4031698789000018</c:v>
                </c:pt>
                <c:pt idx="28">
                  <c:v>7.1583554226999979</c:v>
                </c:pt>
                <c:pt idx="29">
                  <c:v>14.109943314099993</c:v>
                </c:pt>
                <c:pt idx="30">
                  <c:v>25.329859091900005</c:v>
                </c:pt>
              </c:numCache>
            </c:numRef>
          </c:val>
          <c:smooth val="0"/>
          <c:extLst>
            <c:ext xmlns:c16="http://schemas.microsoft.com/office/drawing/2014/chart" uri="{C3380CC4-5D6E-409C-BE32-E72D297353CC}">
              <c16:uniqueId val="{00000001-F791-4EF0-8D06-04E4A92072C4}"/>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2"/>
          <c:order val="2"/>
          <c:tx>
            <c:strRef>
              <c:f>'výkonnost odvětví 2'!$A$38</c:f>
              <c:strCache>
                <c:ptCount val="1"/>
                <c:pt idx="0">
                  <c:v>Využití výrob. kapacit v průmyslu celkem</c:v>
                </c:pt>
              </c:strCache>
            </c:strRef>
          </c:tx>
          <c:spPr>
            <a:ln w="15875">
              <a:solidFill>
                <a:schemeClr val="accent6">
                  <a:lumMod val="75000"/>
                </a:schemeClr>
              </a:solidFill>
            </a:ln>
          </c:spPr>
          <c:marker>
            <c:symbol val="none"/>
          </c:marker>
          <c:cat>
            <c:multiLvlStrRef>
              <c:f>'výkonnost odvětví 2'!$R$34:$AW$35</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2'!$R$38:$AW$38</c:f>
              <c:numCache>
                <c:formatCode>##0.0</c:formatCode>
                <c:ptCount val="32"/>
                <c:pt idx="0">
                  <c:v>85.4</c:v>
                </c:pt>
                <c:pt idx="1">
                  <c:v>85.1</c:v>
                </c:pt>
                <c:pt idx="2">
                  <c:v>85</c:v>
                </c:pt>
                <c:pt idx="3">
                  <c:v>84.1</c:v>
                </c:pt>
                <c:pt idx="4">
                  <c:v>83.7</c:v>
                </c:pt>
                <c:pt idx="5">
                  <c:v>85.2</c:v>
                </c:pt>
                <c:pt idx="6">
                  <c:v>84.4</c:v>
                </c:pt>
                <c:pt idx="7">
                  <c:v>84.7</c:v>
                </c:pt>
                <c:pt idx="8">
                  <c:v>84.4</c:v>
                </c:pt>
                <c:pt idx="9">
                  <c:v>83.4</c:v>
                </c:pt>
                <c:pt idx="10">
                  <c:v>84.2</c:v>
                </c:pt>
                <c:pt idx="11">
                  <c:v>84.7</c:v>
                </c:pt>
                <c:pt idx="12">
                  <c:v>85.8</c:v>
                </c:pt>
                <c:pt idx="13">
                  <c:v>85.4</c:v>
                </c:pt>
                <c:pt idx="14">
                  <c:v>86.2</c:v>
                </c:pt>
                <c:pt idx="15">
                  <c:v>85.7</c:v>
                </c:pt>
                <c:pt idx="16">
                  <c:v>85.7</c:v>
                </c:pt>
                <c:pt idx="17">
                  <c:v>85.7</c:v>
                </c:pt>
                <c:pt idx="18">
                  <c:v>84.8</c:v>
                </c:pt>
                <c:pt idx="19">
                  <c:v>84</c:v>
                </c:pt>
                <c:pt idx="20">
                  <c:v>84.3</c:v>
                </c:pt>
                <c:pt idx="21">
                  <c:v>69.400000000000006</c:v>
                </c:pt>
                <c:pt idx="22">
                  <c:v>76.2</c:v>
                </c:pt>
                <c:pt idx="23">
                  <c:v>83</c:v>
                </c:pt>
                <c:pt idx="24">
                  <c:v>85.7</c:v>
                </c:pt>
                <c:pt idx="25">
                  <c:v>85</c:v>
                </c:pt>
                <c:pt idx="26">
                  <c:v>88.1</c:v>
                </c:pt>
                <c:pt idx="27">
                  <c:v>76.5</c:v>
                </c:pt>
                <c:pt idx="28">
                  <c:v>83.3</c:v>
                </c:pt>
                <c:pt idx="29">
                  <c:v>81.599999999999994</c:v>
                </c:pt>
                <c:pt idx="30">
                  <c:v>83.2</c:v>
                </c:pt>
                <c:pt idx="31">
                  <c:v>80.5</c:v>
                </c:pt>
              </c:numCache>
            </c:numRef>
          </c:val>
          <c:smooth val="0"/>
          <c:extLst>
            <c:ext xmlns:c16="http://schemas.microsoft.com/office/drawing/2014/chart" uri="{C3380CC4-5D6E-409C-BE32-E72D297353CC}">
              <c16:uniqueId val="{00000002-F791-4EF0-8D06-04E4A92072C4}"/>
            </c:ext>
          </c:extLst>
        </c:ser>
        <c:ser>
          <c:idx val="3"/>
          <c:order val="3"/>
          <c:tx>
            <c:strRef>
              <c:f>'výkonnost odvětví 2'!$A$39</c:f>
              <c:strCache>
                <c:ptCount val="1"/>
                <c:pt idx="0">
                  <c:v>Využití výrob. kapacit v automobil. prům.</c:v>
                </c:pt>
              </c:strCache>
            </c:strRef>
          </c:tx>
          <c:spPr>
            <a:ln w="15875">
              <a:solidFill>
                <a:schemeClr val="accent6">
                  <a:lumMod val="75000"/>
                </a:schemeClr>
              </a:solidFill>
              <a:prstDash val="sysDash"/>
            </a:ln>
          </c:spPr>
          <c:marker>
            <c:symbol val="none"/>
          </c:marker>
          <c:cat>
            <c:multiLvlStrRef>
              <c:f>'výkonnost odvětví 2'!$R$34:$AW$35</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2'!$R$39:$AW$39</c:f>
              <c:numCache>
                <c:formatCode>##0.0</c:formatCode>
                <c:ptCount val="32"/>
                <c:pt idx="0">
                  <c:v>91.4</c:v>
                </c:pt>
                <c:pt idx="1">
                  <c:v>91.4</c:v>
                </c:pt>
                <c:pt idx="2">
                  <c:v>91.5</c:v>
                </c:pt>
                <c:pt idx="3">
                  <c:v>88.8</c:v>
                </c:pt>
                <c:pt idx="4">
                  <c:v>90.2</c:v>
                </c:pt>
                <c:pt idx="5">
                  <c:v>91.8</c:v>
                </c:pt>
                <c:pt idx="6">
                  <c:v>92.2</c:v>
                </c:pt>
                <c:pt idx="7">
                  <c:v>91.5</c:v>
                </c:pt>
                <c:pt idx="8">
                  <c:v>92.4</c:v>
                </c:pt>
                <c:pt idx="9">
                  <c:v>87.9</c:v>
                </c:pt>
                <c:pt idx="10">
                  <c:v>90.8</c:v>
                </c:pt>
                <c:pt idx="11">
                  <c:v>90.5</c:v>
                </c:pt>
                <c:pt idx="12">
                  <c:v>91.4</c:v>
                </c:pt>
                <c:pt idx="13">
                  <c:v>91.3</c:v>
                </c:pt>
                <c:pt idx="14">
                  <c:v>92.9</c:v>
                </c:pt>
                <c:pt idx="15">
                  <c:v>92.5</c:v>
                </c:pt>
                <c:pt idx="16">
                  <c:v>92.9</c:v>
                </c:pt>
                <c:pt idx="17">
                  <c:v>92.7</c:v>
                </c:pt>
                <c:pt idx="18">
                  <c:v>92.8</c:v>
                </c:pt>
                <c:pt idx="19">
                  <c:v>93</c:v>
                </c:pt>
                <c:pt idx="20">
                  <c:v>90.6</c:v>
                </c:pt>
                <c:pt idx="21">
                  <c:v>45</c:v>
                </c:pt>
                <c:pt idx="22">
                  <c:v>79.099999999999994</c:v>
                </c:pt>
                <c:pt idx="23">
                  <c:v>96.9</c:v>
                </c:pt>
                <c:pt idx="24">
                  <c:v>94.9</c:v>
                </c:pt>
                <c:pt idx="25">
                  <c:v>89.6</c:v>
                </c:pt>
                <c:pt idx="26">
                  <c:v>95.3</c:v>
                </c:pt>
                <c:pt idx="27">
                  <c:v>55.8</c:v>
                </c:pt>
                <c:pt idx="28">
                  <c:v>84.5</c:v>
                </c:pt>
                <c:pt idx="29">
                  <c:v>76.7</c:v>
                </c:pt>
                <c:pt idx="30">
                  <c:v>79</c:v>
                </c:pt>
                <c:pt idx="31">
                  <c:v>74.099999999999994</c:v>
                </c:pt>
              </c:numCache>
            </c:numRef>
          </c:val>
          <c:smooth val="0"/>
          <c:extLst>
            <c:ext xmlns:c16="http://schemas.microsoft.com/office/drawing/2014/chart" uri="{C3380CC4-5D6E-409C-BE32-E72D297353CC}">
              <c16:uniqueId val="{00000003-F791-4EF0-8D06-04E4A92072C4}"/>
            </c:ext>
          </c:extLst>
        </c:ser>
        <c:ser>
          <c:idx val="4"/>
          <c:order val="4"/>
          <c:tx>
            <c:strRef>
              <c:f>'výkonnost odvětví 2'!$A$40</c:f>
              <c:strCache>
                <c:ptCount val="1"/>
                <c:pt idx="0">
                  <c:v>Bariéra růstu: nedostatečná poptávka</c:v>
                </c:pt>
              </c:strCache>
            </c:strRef>
          </c:tx>
          <c:spPr>
            <a:ln w="15875">
              <a:solidFill>
                <a:srgbClr val="00B050"/>
              </a:solidFill>
              <a:prstDash val="dash"/>
            </a:ln>
          </c:spPr>
          <c:marker>
            <c:symbol val="none"/>
          </c:marker>
          <c:cat>
            <c:multiLvlStrRef>
              <c:f>'výkonnost odvětví 2'!$R$34:$AW$35</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2'!$R$40:$AW$40</c:f>
              <c:numCache>
                <c:formatCode>#\ ##0.0</c:formatCode>
                <c:ptCount val="32"/>
                <c:pt idx="0">
                  <c:v>45.3</c:v>
                </c:pt>
                <c:pt idx="1">
                  <c:v>49.6</c:v>
                </c:pt>
                <c:pt idx="2">
                  <c:v>49.7</c:v>
                </c:pt>
                <c:pt idx="3">
                  <c:v>46.4</c:v>
                </c:pt>
                <c:pt idx="4">
                  <c:v>45.9</c:v>
                </c:pt>
                <c:pt idx="5">
                  <c:v>44.6</c:v>
                </c:pt>
                <c:pt idx="6">
                  <c:v>43.8</c:v>
                </c:pt>
                <c:pt idx="7">
                  <c:v>42.9</c:v>
                </c:pt>
                <c:pt idx="8">
                  <c:v>42.7</c:v>
                </c:pt>
                <c:pt idx="9">
                  <c:v>41</c:v>
                </c:pt>
                <c:pt idx="10">
                  <c:v>41.2</c:v>
                </c:pt>
                <c:pt idx="11">
                  <c:v>35.799999999999997</c:v>
                </c:pt>
                <c:pt idx="12">
                  <c:v>35.4</c:v>
                </c:pt>
                <c:pt idx="13">
                  <c:v>36.299999999999997</c:v>
                </c:pt>
                <c:pt idx="14">
                  <c:v>32.4</c:v>
                </c:pt>
                <c:pt idx="15">
                  <c:v>32.9</c:v>
                </c:pt>
                <c:pt idx="16">
                  <c:v>33.799999999999997</c:v>
                </c:pt>
                <c:pt idx="17">
                  <c:v>36.200000000000003</c:v>
                </c:pt>
                <c:pt idx="18">
                  <c:v>41</c:v>
                </c:pt>
                <c:pt idx="19">
                  <c:v>47.1</c:v>
                </c:pt>
                <c:pt idx="20">
                  <c:v>49.8</c:v>
                </c:pt>
                <c:pt idx="21">
                  <c:v>58.8</c:v>
                </c:pt>
                <c:pt idx="22">
                  <c:v>63</c:v>
                </c:pt>
                <c:pt idx="23">
                  <c:v>44.4</c:v>
                </c:pt>
                <c:pt idx="24">
                  <c:v>46.9</c:v>
                </c:pt>
                <c:pt idx="25">
                  <c:v>38.700000000000003</c:v>
                </c:pt>
                <c:pt idx="26">
                  <c:v>25.4</c:v>
                </c:pt>
                <c:pt idx="27">
                  <c:v>27.9</c:v>
                </c:pt>
                <c:pt idx="28">
                  <c:v>29.9</c:v>
                </c:pt>
                <c:pt idx="29">
                  <c:v>21.3</c:v>
                </c:pt>
                <c:pt idx="30">
                  <c:v>18.7</c:v>
                </c:pt>
                <c:pt idx="31">
                  <c:v>29.4</c:v>
                </c:pt>
              </c:numCache>
            </c:numRef>
          </c:val>
          <c:smooth val="0"/>
          <c:extLst>
            <c:ext xmlns:c16="http://schemas.microsoft.com/office/drawing/2014/chart" uri="{C3380CC4-5D6E-409C-BE32-E72D297353CC}">
              <c16:uniqueId val="{00000004-F791-4EF0-8D06-04E4A92072C4}"/>
            </c:ext>
          </c:extLst>
        </c:ser>
        <c:ser>
          <c:idx val="5"/>
          <c:order val="5"/>
          <c:tx>
            <c:strRef>
              <c:f>'výkonnost odvětví 2'!$A$41</c:f>
              <c:strCache>
                <c:ptCount val="1"/>
                <c:pt idx="0">
                  <c:v>Bariéra růstu: nedostatek pracovníků</c:v>
                </c:pt>
              </c:strCache>
            </c:strRef>
          </c:tx>
          <c:spPr>
            <a:ln w="15875">
              <a:solidFill>
                <a:srgbClr val="92D050"/>
              </a:solidFill>
              <a:prstDash val="sysDash"/>
            </a:ln>
          </c:spPr>
          <c:marker>
            <c:symbol val="none"/>
          </c:marker>
          <c:cat>
            <c:multiLvlStrRef>
              <c:f>'výkonnost odvětví 2'!$R$34:$AW$35</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2'!$R$41:$AW$41</c:f>
              <c:numCache>
                <c:formatCode>#\ ##0.0</c:formatCode>
                <c:ptCount val="32"/>
                <c:pt idx="0">
                  <c:v>6.1</c:v>
                </c:pt>
                <c:pt idx="1">
                  <c:v>6.9</c:v>
                </c:pt>
                <c:pt idx="2">
                  <c:v>8.6999999999999993</c:v>
                </c:pt>
                <c:pt idx="3">
                  <c:v>14</c:v>
                </c:pt>
                <c:pt idx="4">
                  <c:v>14.8</c:v>
                </c:pt>
                <c:pt idx="5">
                  <c:v>16.5</c:v>
                </c:pt>
                <c:pt idx="6">
                  <c:v>18.899999999999999</c:v>
                </c:pt>
                <c:pt idx="7">
                  <c:v>30.1</c:v>
                </c:pt>
                <c:pt idx="8">
                  <c:v>32.700000000000003</c:v>
                </c:pt>
                <c:pt idx="9">
                  <c:v>33.5</c:v>
                </c:pt>
                <c:pt idx="10">
                  <c:v>40.5</c:v>
                </c:pt>
                <c:pt idx="11">
                  <c:v>38.700000000000003</c:v>
                </c:pt>
                <c:pt idx="12">
                  <c:v>43.5</c:v>
                </c:pt>
                <c:pt idx="13">
                  <c:v>42.3</c:v>
                </c:pt>
                <c:pt idx="14">
                  <c:v>43.2</c:v>
                </c:pt>
                <c:pt idx="15">
                  <c:v>46.3</c:v>
                </c:pt>
                <c:pt idx="16">
                  <c:v>39</c:v>
                </c:pt>
                <c:pt idx="17">
                  <c:v>35.1</c:v>
                </c:pt>
                <c:pt idx="18">
                  <c:v>40.200000000000003</c:v>
                </c:pt>
                <c:pt idx="19">
                  <c:v>39.200000000000003</c:v>
                </c:pt>
                <c:pt idx="20">
                  <c:v>27.7</c:v>
                </c:pt>
                <c:pt idx="21">
                  <c:v>13.5</c:v>
                </c:pt>
                <c:pt idx="22">
                  <c:v>16.7</c:v>
                </c:pt>
                <c:pt idx="23">
                  <c:v>17.600000000000001</c:v>
                </c:pt>
                <c:pt idx="24">
                  <c:v>22</c:v>
                </c:pt>
                <c:pt idx="25">
                  <c:v>18.399999999999999</c:v>
                </c:pt>
                <c:pt idx="26">
                  <c:v>27.6</c:v>
                </c:pt>
                <c:pt idx="27">
                  <c:v>22.6</c:v>
                </c:pt>
                <c:pt idx="28">
                  <c:v>24.9</c:v>
                </c:pt>
                <c:pt idx="29">
                  <c:v>18.600000000000001</c:v>
                </c:pt>
                <c:pt idx="30">
                  <c:v>26.1</c:v>
                </c:pt>
                <c:pt idx="31">
                  <c:v>24.9</c:v>
                </c:pt>
              </c:numCache>
            </c:numRef>
          </c:val>
          <c:smooth val="0"/>
          <c:extLst>
            <c:ext xmlns:c16="http://schemas.microsoft.com/office/drawing/2014/chart" uri="{C3380CC4-5D6E-409C-BE32-E72D297353CC}">
              <c16:uniqueId val="{00000005-F791-4EF0-8D06-04E4A92072C4}"/>
            </c:ext>
          </c:extLst>
        </c:ser>
        <c:ser>
          <c:idx val="6"/>
          <c:order val="6"/>
          <c:tx>
            <c:strRef>
              <c:f>'výkonnost odvětví 2'!$A$42</c:f>
              <c:strCache>
                <c:ptCount val="1"/>
                <c:pt idx="0">
                  <c:v>Bariéra růstu: nedost. materiálu a zařízení</c:v>
                </c:pt>
              </c:strCache>
            </c:strRef>
          </c:tx>
          <c:spPr>
            <a:ln w="15875">
              <a:solidFill>
                <a:srgbClr val="00B050"/>
              </a:solidFill>
              <a:prstDash val="solid"/>
            </a:ln>
          </c:spPr>
          <c:marker>
            <c:symbol val="none"/>
          </c:marker>
          <c:cat>
            <c:multiLvlStrRef>
              <c:f>'výkonnost odvětví 2'!$R$34:$AW$35</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2'!$R$42:$AW$42</c:f>
              <c:numCache>
                <c:formatCode>#\ ##0.0</c:formatCode>
                <c:ptCount val="32"/>
                <c:pt idx="0">
                  <c:v>5.9</c:v>
                </c:pt>
                <c:pt idx="1">
                  <c:v>11.3</c:v>
                </c:pt>
                <c:pt idx="2">
                  <c:v>10</c:v>
                </c:pt>
                <c:pt idx="3">
                  <c:v>9.9</c:v>
                </c:pt>
                <c:pt idx="4">
                  <c:v>8.9</c:v>
                </c:pt>
                <c:pt idx="5">
                  <c:v>7.7</c:v>
                </c:pt>
                <c:pt idx="6">
                  <c:v>8.9</c:v>
                </c:pt>
                <c:pt idx="7">
                  <c:v>8.5</c:v>
                </c:pt>
                <c:pt idx="8">
                  <c:v>8.8000000000000007</c:v>
                </c:pt>
                <c:pt idx="9">
                  <c:v>8.3000000000000007</c:v>
                </c:pt>
                <c:pt idx="10">
                  <c:v>10.9</c:v>
                </c:pt>
                <c:pt idx="11">
                  <c:v>22.7</c:v>
                </c:pt>
                <c:pt idx="12">
                  <c:v>11.9</c:v>
                </c:pt>
                <c:pt idx="13">
                  <c:v>11.7</c:v>
                </c:pt>
                <c:pt idx="14">
                  <c:v>13.9</c:v>
                </c:pt>
                <c:pt idx="15">
                  <c:v>23.5</c:v>
                </c:pt>
                <c:pt idx="16">
                  <c:v>26.4</c:v>
                </c:pt>
                <c:pt idx="17">
                  <c:v>24.7</c:v>
                </c:pt>
                <c:pt idx="18">
                  <c:v>22</c:v>
                </c:pt>
                <c:pt idx="19">
                  <c:v>10.5</c:v>
                </c:pt>
                <c:pt idx="20">
                  <c:v>17.899999999999999</c:v>
                </c:pt>
                <c:pt idx="21">
                  <c:v>10.199999999999999</c:v>
                </c:pt>
                <c:pt idx="22">
                  <c:v>6.7</c:v>
                </c:pt>
                <c:pt idx="23">
                  <c:v>10.9</c:v>
                </c:pt>
                <c:pt idx="24">
                  <c:v>23.1</c:v>
                </c:pt>
                <c:pt idx="25">
                  <c:v>32.1</c:v>
                </c:pt>
                <c:pt idx="26">
                  <c:v>45.9</c:v>
                </c:pt>
                <c:pt idx="27">
                  <c:v>41.2</c:v>
                </c:pt>
                <c:pt idx="28">
                  <c:v>39.299999999999997</c:v>
                </c:pt>
                <c:pt idx="29">
                  <c:v>47.8</c:v>
                </c:pt>
                <c:pt idx="30">
                  <c:v>53.4</c:v>
                </c:pt>
                <c:pt idx="31">
                  <c:v>46.4</c:v>
                </c:pt>
              </c:numCache>
            </c:numRef>
          </c:val>
          <c:smooth val="0"/>
          <c:extLst>
            <c:ext xmlns:c16="http://schemas.microsoft.com/office/drawing/2014/chart" uri="{C3380CC4-5D6E-409C-BE32-E72D297353CC}">
              <c16:uniqueId val="{00000006-F791-4EF0-8D06-04E4A92072C4}"/>
            </c:ext>
          </c:extLst>
        </c:ser>
        <c:ser>
          <c:idx val="7"/>
          <c:order val="7"/>
          <c:tx>
            <c:strRef>
              <c:f>'výkonnost odvětví 2'!$A$43</c:f>
              <c:strCache>
                <c:ptCount val="1"/>
                <c:pt idx="0">
                  <c:v>Saldo souhrn. indik. důvěry v průmyslu</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2'!$R$34:$AW$35</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2'!$R$43:$AW$43</c:f>
              <c:numCache>
                <c:formatCode>#\ ##0.0</c:formatCode>
                <c:ptCount val="32"/>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c:v>
                </c:pt>
                <c:pt idx="17">
                  <c:v>-2</c:v>
                </c:pt>
                <c:pt idx="18">
                  <c:v>-3</c:v>
                </c:pt>
                <c:pt idx="19">
                  <c:v>-6.7</c:v>
                </c:pt>
                <c:pt idx="20">
                  <c:v>-5</c:v>
                </c:pt>
                <c:pt idx="21">
                  <c:v>-25</c:v>
                </c:pt>
                <c:pt idx="22">
                  <c:v>-6.3</c:v>
                </c:pt>
                <c:pt idx="23">
                  <c:v>-10</c:v>
                </c:pt>
                <c:pt idx="24">
                  <c:v>-1.3</c:v>
                </c:pt>
                <c:pt idx="25">
                  <c:v>5.3</c:v>
                </c:pt>
                <c:pt idx="26">
                  <c:v>-1.3</c:v>
                </c:pt>
                <c:pt idx="27">
                  <c:v>-5.3</c:v>
                </c:pt>
                <c:pt idx="28">
                  <c:v>-0.3</c:v>
                </c:pt>
                <c:pt idx="29">
                  <c:v>8.3000000000000007</c:v>
                </c:pt>
                <c:pt idx="30">
                  <c:v>-1.7</c:v>
                </c:pt>
                <c:pt idx="31" formatCode="0.0">
                  <c:v>-8.3000000000000007</c:v>
                </c:pt>
              </c:numCache>
            </c:numRef>
          </c:val>
          <c:smooth val="0"/>
          <c:extLst>
            <c:ext xmlns:c16="http://schemas.microsoft.com/office/drawing/2014/chart" uri="{C3380CC4-5D6E-409C-BE32-E72D297353CC}">
              <c16:uniqueId val="{00000007-F791-4EF0-8D06-04E4A92072C4}"/>
            </c:ext>
          </c:extLst>
        </c:ser>
        <c:dLbls>
          <c:showLegendKey val="0"/>
          <c:showVal val="0"/>
          <c:showCatName val="0"/>
          <c:showSerName val="0"/>
          <c:showPercent val="0"/>
          <c:showBubbleSize val="0"/>
        </c:dLbls>
        <c:marker val="1"/>
        <c:smooth val="0"/>
        <c:axId val="1239819375"/>
        <c:axId val="1239826863"/>
      </c:lineChart>
      <c:catAx>
        <c:axId val="112768128"/>
        <c:scaling>
          <c:orientation val="minMax"/>
        </c:scaling>
        <c:delete val="0"/>
        <c:axPos val="b"/>
        <c:numFmt formatCode="General" sourceLinked="1"/>
        <c:majorTickMark val="out"/>
        <c:minorTickMark val="none"/>
        <c:tickLblPos val="low"/>
        <c:crossAx val="112769664"/>
        <c:crosses val="autoZero"/>
        <c:auto val="1"/>
        <c:lblAlgn val="ctr"/>
        <c:lblOffset val="0"/>
        <c:noMultiLvlLbl val="0"/>
      </c:catAx>
      <c:valAx>
        <c:axId val="112769664"/>
        <c:scaling>
          <c:orientation val="minMax"/>
          <c:max val="60"/>
          <c:min val="-40"/>
        </c:scaling>
        <c:delete val="0"/>
        <c:axPos val="l"/>
        <c:majorGridlines>
          <c:spPr>
            <a:ln>
              <a:solidFill>
                <a:srgbClr val="BEBEBE"/>
              </a:solidFill>
            </a:ln>
          </c:spPr>
        </c:majorGridlines>
        <c:title>
          <c:tx>
            <c:rich>
              <a:bodyPr/>
              <a:lstStyle/>
              <a:p>
                <a:pPr>
                  <a:defRPr sz="700" b="0" i="1"/>
                </a:pPr>
                <a:r>
                  <a:rPr lang="cs-CZ" sz="700" b="0" i="1"/>
                  <a:t>Zakázky</a:t>
                </a:r>
              </a:p>
            </c:rich>
          </c:tx>
          <c:overlay val="0"/>
        </c:title>
        <c:numFmt formatCode="0" sourceLinked="0"/>
        <c:majorTickMark val="out"/>
        <c:minorTickMark val="none"/>
        <c:tickLblPos val="nextTo"/>
        <c:crossAx val="112768128"/>
        <c:crosses val="autoZero"/>
        <c:crossBetween val="between"/>
        <c:majorUnit val="10"/>
      </c:valAx>
      <c:valAx>
        <c:axId val="1239826863"/>
        <c:scaling>
          <c:orientation val="minMax"/>
          <c:max val="100"/>
          <c:min val="-3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b="0" i="1"/>
                  <a:t>Využití výrob.</a:t>
                </a:r>
                <a:r>
                  <a:rPr lang="cs-CZ" sz="700" b="0" i="1" baseline="0"/>
                  <a:t> </a:t>
                </a:r>
                <a:r>
                  <a:rPr lang="cs-CZ" sz="700" b="0" i="1"/>
                  <a:t>kapacit, bariéry růstu, </a:t>
                </a:r>
                <a:r>
                  <a:rPr lang="cs-CZ" sz="700" b="0" i="1" baseline="0">
                    <a:effectLst/>
                  </a:rPr>
                  <a:t>saldo důvěry</a:t>
                </a:r>
                <a:endParaRPr lang="cs-CZ" sz="700" i="1">
                  <a:effectLst/>
                </a:endParaRPr>
              </a:p>
            </c:rich>
          </c:tx>
          <c:overlay val="0"/>
        </c:title>
        <c:numFmt formatCode="#,##0" sourceLinked="0"/>
        <c:majorTickMark val="out"/>
        <c:minorTickMark val="none"/>
        <c:tickLblPos val="nextTo"/>
        <c:crossAx val="1239819375"/>
        <c:crosses val="max"/>
        <c:crossBetween val="between"/>
        <c:majorUnit val="10"/>
      </c:valAx>
      <c:catAx>
        <c:axId val="1239819375"/>
        <c:scaling>
          <c:orientation val="minMax"/>
        </c:scaling>
        <c:delete val="1"/>
        <c:axPos val="b"/>
        <c:numFmt formatCode="General" sourceLinked="1"/>
        <c:majorTickMark val="out"/>
        <c:minorTickMark val="none"/>
        <c:tickLblPos val="nextTo"/>
        <c:crossAx val="1239826863"/>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1.0623952307722555E-2"/>
          <c:y val="0.85586448957034"/>
          <c:w val="0.98342327494608206"/>
          <c:h val="0.14063307954958187"/>
        </c:manualLayout>
      </c:layout>
      <c:overlay val="0"/>
      <c:spPr>
        <a:ln w="6350">
          <a:solidFill>
            <a:prstClr val="black">
              <a:lumMod val="95000"/>
              <a:lumOff val="5000"/>
            </a:prstClr>
          </a:solidFill>
        </a:ln>
      </c:spPr>
      <c:txPr>
        <a:bodyPr/>
        <a:lstStyle/>
        <a:p>
          <a:pPr>
            <a:defRPr sz="78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95346289980312E-2"/>
          <c:y val="1.5663550999370279E-2"/>
          <c:w val="0.85237839893753009"/>
          <c:h val="0.75413191483370345"/>
        </c:manualLayout>
      </c:layout>
      <c:barChart>
        <c:barDir val="col"/>
        <c:grouping val="stacked"/>
        <c:varyColors val="0"/>
        <c:ser>
          <c:idx val="1"/>
          <c:order val="1"/>
          <c:tx>
            <c:strRef>
              <c:f>'výkonnost odvětví 3'!$Y$10</c:f>
              <c:strCache>
                <c:ptCount val="1"/>
                <c:pt idx="0">
                  <c:v>Pozemní stavitelství (příspěvek v p. b.)</c:v>
                </c:pt>
              </c:strCache>
            </c:strRef>
          </c:tx>
          <c:spPr>
            <a:solidFill>
              <a:srgbClr val="A6CDE9"/>
            </a:solidFill>
            <a:ln>
              <a:noFill/>
            </a:ln>
          </c:spPr>
          <c:invertIfNegative val="0"/>
          <c:cat>
            <c:multiLvlStrRef>
              <c:f>'výkonnost odvětví 3'!$V$31:$W$62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3'!$Y$31:$Y$62</c:f>
              <c:numCache>
                <c:formatCode>0.0</c:formatCode>
                <c:ptCount val="32"/>
                <c:pt idx="0">
                  <c:v>6.1308568518511448</c:v>
                </c:pt>
                <c:pt idx="1">
                  <c:v>5.1607018747060769</c:v>
                </c:pt>
                <c:pt idx="2">
                  <c:v>0.83732221166829823</c:v>
                </c:pt>
                <c:pt idx="3">
                  <c:v>-1.7965809449797592</c:v>
                </c:pt>
                <c:pt idx="4">
                  <c:v>-5.0554353718564</c:v>
                </c:pt>
                <c:pt idx="5">
                  <c:v>-5.0997154609815611</c:v>
                </c:pt>
                <c:pt idx="6">
                  <c:v>0.80416326897207957</c:v>
                </c:pt>
                <c:pt idx="7">
                  <c:v>4.0227938260413483</c:v>
                </c:pt>
                <c:pt idx="8">
                  <c:v>2.3492102404454331</c:v>
                </c:pt>
                <c:pt idx="9">
                  <c:v>10.148433192468758</c:v>
                </c:pt>
                <c:pt idx="10">
                  <c:v>3.5041123802431988</c:v>
                </c:pt>
                <c:pt idx="11">
                  <c:v>2.7003043634714752</c:v>
                </c:pt>
                <c:pt idx="12">
                  <c:v>13.605896032750319</c:v>
                </c:pt>
                <c:pt idx="13">
                  <c:v>6.2914622667002371</c:v>
                </c:pt>
                <c:pt idx="14">
                  <c:v>7.7044737794970466</c:v>
                </c:pt>
                <c:pt idx="15">
                  <c:v>2.5958937852329327</c:v>
                </c:pt>
                <c:pt idx="16">
                  <c:v>2.9033079599696401</c:v>
                </c:pt>
                <c:pt idx="17">
                  <c:v>2.4302292749395131</c:v>
                </c:pt>
                <c:pt idx="18">
                  <c:v>-0.70910271480086584</c:v>
                </c:pt>
                <c:pt idx="19">
                  <c:v>2.432342690784179</c:v>
                </c:pt>
                <c:pt idx="20">
                  <c:v>-0.35783188994578496</c:v>
                </c:pt>
                <c:pt idx="21">
                  <c:v>-7.4200129464916591</c:v>
                </c:pt>
                <c:pt idx="22">
                  <c:v>-7.1642694858098803</c:v>
                </c:pt>
                <c:pt idx="23">
                  <c:v>-8.6176422401549555</c:v>
                </c:pt>
                <c:pt idx="24">
                  <c:v>-5.13904453453247</c:v>
                </c:pt>
                <c:pt idx="25">
                  <c:v>3.2583720731397245</c:v>
                </c:pt>
                <c:pt idx="26">
                  <c:v>2.9865124354853494</c:v>
                </c:pt>
                <c:pt idx="27">
                  <c:v>6.0577763522274122</c:v>
                </c:pt>
                <c:pt idx="28">
                  <c:v>6.6221453252314708</c:v>
                </c:pt>
                <c:pt idx="29">
                  <c:v>3.1159467927198503</c:v>
                </c:pt>
                <c:pt idx="30">
                  <c:v>-1.3142425548264225</c:v>
                </c:pt>
              </c:numCache>
            </c:numRef>
          </c:val>
          <c:extLst>
            <c:ext xmlns:c16="http://schemas.microsoft.com/office/drawing/2014/chart" uri="{C3380CC4-5D6E-409C-BE32-E72D297353CC}">
              <c16:uniqueId val="{00000000-2C17-46D6-91F4-DB986DB191EA}"/>
            </c:ext>
          </c:extLst>
        </c:ser>
        <c:ser>
          <c:idx val="2"/>
          <c:order val="2"/>
          <c:tx>
            <c:strRef>
              <c:f>'výkonnost odvětví 3'!$Z$10</c:f>
              <c:strCache>
                <c:ptCount val="1"/>
                <c:pt idx="0">
                  <c:v>Inženýrské stavitelství (příspěvek v p. b.)</c:v>
                </c:pt>
              </c:strCache>
            </c:strRef>
          </c:tx>
          <c:spPr>
            <a:solidFill>
              <a:srgbClr val="E8AFB2"/>
            </a:solidFill>
            <a:ln>
              <a:noFill/>
            </a:ln>
          </c:spPr>
          <c:invertIfNegative val="0"/>
          <c:cat>
            <c:multiLvlStrRef>
              <c:f>'výkonnost odvětví 3'!$V$31:$W$62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3'!$Z$31:$Z$62</c:f>
              <c:numCache>
                <c:formatCode>0.0</c:formatCode>
                <c:ptCount val="32"/>
                <c:pt idx="0">
                  <c:v>3.0630580809132377</c:v>
                </c:pt>
                <c:pt idx="1">
                  <c:v>6.8176109939388247</c:v>
                </c:pt>
                <c:pt idx="2">
                  <c:v>7.0251452781808128</c:v>
                </c:pt>
                <c:pt idx="3">
                  <c:v>2.7276419848972755</c:v>
                </c:pt>
                <c:pt idx="4">
                  <c:v>-1.205227141283097</c:v>
                </c:pt>
                <c:pt idx="5">
                  <c:v>-5.1481596916982086</c:v>
                </c:pt>
                <c:pt idx="6">
                  <c:v>-6.7102047822986526</c:v>
                </c:pt>
                <c:pt idx="7">
                  <c:v>-5.6729778140324045</c:v>
                </c:pt>
                <c:pt idx="8">
                  <c:v>-3.2133606526027174</c:v>
                </c:pt>
                <c:pt idx="9">
                  <c:v>-1.1291534248956654</c:v>
                </c:pt>
                <c:pt idx="10">
                  <c:v>-1.4416251874947317</c:v>
                </c:pt>
                <c:pt idx="11">
                  <c:v>0.23547548081532094</c:v>
                </c:pt>
                <c:pt idx="12">
                  <c:v>1.7597078207679104</c:v>
                </c:pt>
                <c:pt idx="13">
                  <c:v>1.2027115222385714</c:v>
                </c:pt>
                <c:pt idx="14">
                  <c:v>4.7042342586933934</c:v>
                </c:pt>
                <c:pt idx="15">
                  <c:v>1.7013650015145463</c:v>
                </c:pt>
                <c:pt idx="16">
                  <c:v>0.73361885474343291</c:v>
                </c:pt>
                <c:pt idx="17">
                  <c:v>1.8774662818610086</c:v>
                </c:pt>
                <c:pt idx="18">
                  <c:v>0.74664987633445457</c:v>
                </c:pt>
                <c:pt idx="19">
                  <c:v>0.84906917828074113</c:v>
                </c:pt>
                <c:pt idx="20">
                  <c:v>3.2013845804657359</c:v>
                </c:pt>
                <c:pt idx="21">
                  <c:v>1.2155224180687338</c:v>
                </c:pt>
                <c:pt idx="22">
                  <c:v>-1.8677834831470379</c:v>
                </c:pt>
                <c:pt idx="23">
                  <c:v>0.34630377590534417</c:v>
                </c:pt>
                <c:pt idx="24">
                  <c:v>-4.1111349954051912E-2</c:v>
                </c:pt>
                <c:pt idx="25">
                  <c:v>1.0235478015601918</c:v>
                </c:pt>
                <c:pt idx="26">
                  <c:v>-0.24162716964276268</c:v>
                </c:pt>
                <c:pt idx="27">
                  <c:v>-0.88482045587157132</c:v>
                </c:pt>
                <c:pt idx="28">
                  <c:v>3.2300746856570721</c:v>
                </c:pt>
                <c:pt idx="29">
                  <c:v>-0.12174043394342274</c:v>
                </c:pt>
                <c:pt idx="30">
                  <c:v>-0.4291425139822761</c:v>
                </c:pt>
              </c:numCache>
            </c:numRef>
          </c:val>
          <c:extLst>
            <c:ext xmlns:c16="http://schemas.microsoft.com/office/drawing/2014/chart" uri="{C3380CC4-5D6E-409C-BE32-E72D297353CC}">
              <c16:uniqueId val="{00000001-2C17-46D6-91F4-DB986DB191EA}"/>
            </c:ext>
          </c:extLst>
        </c:ser>
        <c:dLbls>
          <c:showLegendKey val="0"/>
          <c:showVal val="0"/>
          <c:showCatName val="0"/>
          <c:showSerName val="0"/>
          <c:showPercent val="0"/>
          <c:showBubbleSize val="0"/>
        </c:dLbls>
        <c:gapWidth val="30"/>
        <c:overlap val="100"/>
        <c:axId val="112768128"/>
        <c:axId val="112769664"/>
      </c:barChart>
      <c:lineChart>
        <c:grouping val="standard"/>
        <c:varyColors val="0"/>
        <c:ser>
          <c:idx val="0"/>
          <c:order val="0"/>
          <c:tx>
            <c:strRef>
              <c:f>'výkonnost odvětví 3'!$X$10</c:f>
              <c:strCache>
                <c:ptCount val="1"/>
                <c:pt idx="0">
                  <c:v>Celková stavební produkce</c:v>
                </c:pt>
              </c:strCache>
            </c:strRef>
          </c:tx>
          <c:spPr>
            <a:ln>
              <a:noFill/>
            </a:ln>
          </c:spPr>
          <c:marker>
            <c:symbol val="diamond"/>
            <c:size val="5"/>
            <c:spPr>
              <a:solidFill>
                <a:schemeClr val="bg1"/>
              </a:solidFill>
              <a:ln>
                <a:solidFill>
                  <a:schemeClr val="tx1">
                    <a:lumMod val="95000"/>
                    <a:lumOff val="5000"/>
                  </a:schemeClr>
                </a:solidFill>
              </a:ln>
            </c:spPr>
          </c:marker>
          <c:cat>
            <c:multiLvlStrRef>
              <c:f>'výkonnost odvětví 3'!$V$31:$W$62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3'!$X$31:$X$62</c:f>
              <c:numCache>
                <c:formatCode>0.0</c:formatCode>
                <c:ptCount val="32"/>
                <c:pt idx="0">
                  <c:v>9.1939149327643861</c:v>
                </c:pt>
                <c:pt idx="1">
                  <c:v>11.978312868644906</c:v>
                </c:pt>
                <c:pt idx="2">
                  <c:v>7.8624674898491094</c:v>
                </c:pt>
                <c:pt idx="3">
                  <c:v>0.93106103991749478</c:v>
                </c:pt>
                <c:pt idx="4">
                  <c:v>-6.2606625131395077</c:v>
                </c:pt>
                <c:pt idx="5">
                  <c:v>-10.247875152679768</c:v>
                </c:pt>
                <c:pt idx="6">
                  <c:v>-5.9060415133265707</c:v>
                </c:pt>
                <c:pt idx="7">
                  <c:v>-1.6501839879910563</c:v>
                </c:pt>
                <c:pt idx="8">
                  <c:v>-0.86415041215724386</c:v>
                </c:pt>
                <c:pt idx="9">
                  <c:v>9.0192797675730816</c:v>
                </c:pt>
                <c:pt idx="10">
                  <c:v>2.0624871927484918</c:v>
                </c:pt>
                <c:pt idx="11">
                  <c:v>2.9357798442867846</c:v>
                </c:pt>
                <c:pt idx="12">
                  <c:v>15.365603853518238</c:v>
                </c:pt>
                <c:pt idx="13">
                  <c:v>7.4941737889388236</c:v>
                </c:pt>
                <c:pt idx="14">
                  <c:v>12.408708038190426</c:v>
                </c:pt>
                <c:pt idx="15">
                  <c:v>4.2972587867474914</c:v>
                </c:pt>
                <c:pt idx="16">
                  <c:v>3.6369268147130356</c:v>
                </c:pt>
                <c:pt idx="17">
                  <c:v>4.3076955568005104</c:v>
                </c:pt>
                <c:pt idx="18">
                  <c:v>3.7547161533595386E-2</c:v>
                </c:pt>
                <c:pt idx="19">
                  <c:v>3.2814118690648968</c:v>
                </c:pt>
                <c:pt idx="20">
                  <c:v>2.8431217393574855</c:v>
                </c:pt>
                <c:pt idx="21">
                  <c:v>-6.20452740534067</c:v>
                </c:pt>
                <c:pt idx="22">
                  <c:v>-9.031736306143344</c:v>
                </c:pt>
                <c:pt idx="23">
                  <c:v>-8.2712134963929316</c:v>
                </c:pt>
                <c:pt idx="24">
                  <c:v>-5.1800424365855235</c:v>
                </c:pt>
                <c:pt idx="25">
                  <c:v>4.2811919149449125</c:v>
                </c:pt>
                <c:pt idx="26">
                  <c:v>2.7452051825273713</c:v>
                </c:pt>
                <c:pt idx="27">
                  <c:v>5.1725823393403658</c:v>
                </c:pt>
                <c:pt idx="28">
                  <c:v>9.8522200108885443</c:v>
                </c:pt>
                <c:pt idx="29">
                  <c:v>2.9942063587764096</c:v>
                </c:pt>
                <c:pt idx="30">
                  <c:v>-1.7433850688087063</c:v>
                </c:pt>
              </c:numCache>
            </c:numRef>
          </c:val>
          <c:smooth val="0"/>
          <c:extLst>
            <c:ext xmlns:c16="http://schemas.microsoft.com/office/drawing/2014/chart" uri="{C3380CC4-5D6E-409C-BE32-E72D297353CC}">
              <c16:uniqueId val="{00000002-2C17-46D6-91F4-DB986DB191EA}"/>
            </c:ext>
          </c:extLst>
        </c:ser>
        <c:ser>
          <c:idx val="3"/>
          <c:order val="3"/>
          <c:tx>
            <c:strRef>
              <c:f>'výkonnost odvětví 3'!$AA$10</c:f>
              <c:strCache>
                <c:ptCount val="1"/>
                <c:pt idx="0">
                  <c:v>Nové stavební zakázky v tuzemsku</c:v>
                </c:pt>
              </c:strCache>
            </c:strRef>
          </c:tx>
          <c:spPr>
            <a:ln w="15875">
              <a:solidFill>
                <a:srgbClr val="984807"/>
              </a:solidFill>
            </a:ln>
          </c:spPr>
          <c:marker>
            <c:symbol val="none"/>
          </c:marker>
          <c:cat>
            <c:multiLvlStrRef>
              <c:f>'výkonnost odvětví 3'!$V$31:$W$62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3'!$AA$31:$AA$62</c:f>
              <c:numCache>
                <c:formatCode>0.0</c:formatCode>
                <c:ptCount val="32"/>
                <c:pt idx="0">
                  <c:v>-3.1547956675580053</c:v>
                </c:pt>
                <c:pt idx="1">
                  <c:v>9.7504961091663205</c:v>
                </c:pt>
                <c:pt idx="2">
                  <c:v>-1.097606022761255</c:v>
                </c:pt>
                <c:pt idx="3">
                  <c:v>-2.3987783410040464</c:v>
                </c:pt>
                <c:pt idx="4">
                  <c:v>-6.6406358945753823</c:v>
                </c:pt>
                <c:pt idx="5">
                  <c:v>-0.49977652269311079</c:v>
                </c:pt>
                <c:pt idx="6">
                  <c:v>-7.0322087253454839</c:v>
                </c:pt>
                <c:pt idx="7">
                  <c:v>10.122126124559955</c:v>
                </c:pt>
                <c:pt idx="8">
                  <c:v>16.177217458847437</c:v>
                </c:pt>
                <c:pt idx="9">
                  <c:v>9.5350878984013008</c:v>
                </c:pt>
                <c:pt idx="10">
                  <c:v>-1.2817324431350698</c:v>
                </c:pt>
                <c:pt idx="11">
                  <c:v>15.620806693503823</c:v>
                </c:pt>
                <c:pt idx="12">
                  <c:v>30.10697387368856</c:v>
                </c:pt>
                <c:pt idx="13">
                  <c:v>32.836878110611963</c:v>
                </c:pt>
                <c:pt idx="14">
                  <c:v>5.2768249907951201</c:v>
                </c:pt>
                <c:pt idx="15">
                  <c:v>1.8944565811032277</c:v>
                </c:pt>
                <c:pt idx="16">
                  <c:v>14.157245632065781</c:v>
                </c:pt>
                <c:pt idx="17">
                  <c:v>-9.3849543241233135</c:v>
                </c:pt>
                <c:pt idx="18">
                  <c:v>17.407871000993993</c:v>
                </c:pt>
                <c:pt idx="19">
                  <c:v>5.8323004254463768</c:v>
                </c:pt>
                <c:pt idx="20">
                  <c:v>-12.441635069859245</c:v>
                </c:pt>
                <c:pt idx="21">
                  <c:v>7.497345722028669</c:v>
                </c:pt>
                <c:pt idx="22">
                  <c:v>2.0599736606932879</c:v>
                </c:pt>
                <c:pt idx="23">
                  <c:v>7.5507850088630164</c:v>
                </c:pt>
                <c:pt idx="24">
                  <c:v>28.856340981154403</c:v>
                </c:pt>
                <c:pt idx="25">
                  <c:v>22.047871359987184</c:v>
                </c:pt>
                <c:pt idx="26">
                  <c:v>10.015015612184257</c:v>
                </c:pt>
                <c:pt idx="27">
                  <c:v>1.0053213537781147</c:v>
                </c:pt>
                <c:pt idx="28">
                  <c:v>13.060554636931542</c:v>
                </c:pt>
                <c:pt idx="29">
                  <c:v>16.270833674648699</c:v>
                </c:pt>
                <c:pt idx="30">
                  <c:v>12.568154276551738</c:v>
                </c:pt>
              </c:numCache>
            </c:numRef>
          </c:val>
          <c:smooth val="0"/>
          <c:extLst>
            <c:ext xmlns:c16="http://schemas.microsoft.com/office/drawing/2014/chart" uri="{C3380CC4-5D6E-409C-BE32-E72D297353CC}">
              <c16:uniqueId val="{00000003-2C17-46D6-91F4-DB986DB191EA}"/>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4"/>
          <c:order val="4"/>
          <c:tx>
            <c:strRef>
              <c:f>'výkonnost odvětví 3'!$AB$10</c:f>
              <c:strCache>
                <c:ptCount val="1"/>
                <c:pt idx="0">
                  <c:v>Bariéra růstu: nedostatečná poptávka</c:v>
                </c:pt>
              </c:strCache>
            </c:strRef>
          </c:tx>
          <c:spPr>
            <a:ln w="15875">
              <a:solidFill>
                <a:srgbClr val="92D050"/>
              </a:solidFill>
              <a:prstDash val="dash"/>
            </a:ln>
          </c:spPr>
          <c:marker>
            <c:symbol val="none"/>
          </c:marker>
          <c:cat>
            <c:multiLvlStrRef>
              <c:f>'výkonnost odvětví 3'!$V$31:$W$62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3'!$AB$31:$AB$62</c:f>
              <c:numCache>
                <c:formatCode>#\ ##0.0</c:formatCode>
                <c:ptCount val="32"/>
                <c:pt idx="0">
                  <c:v>67.3</c:v>
                </c:pt>
                <c:pt idx="1">
                  <c:v>60.7</c:v>
                </c:pt>
                <c:pt idx="2">
                  <c:v>58.6</c:v>
                </c:pt>
                <c:pt idx="3">
                  <c:v>58.2</c:v>
                </c:pt>
                <c:pt idx="4">
                  <c:v>58.5</c:v>
                </c:pt>
                <c:pt idx="5">
                  <c:v>62.6</c:v>
                </c:pt>
                <c:pt idx="6">
                  <c:v>60.3</c:v>
                </c:pt>
                <c:pt idx="7">
                  <c:v>55.7</c:v>
                </c:pt>
                <c:pt idx="8">
                  <c:v>55.7</c:v>
                </c:pt>
                <c:pt idx="9">
                  <c:v>54.8</c:v>
                </c:pt>
                <c:pt idx="10">
                  <c:v>49.1</c:v>
                </c:pt>
                <c:pt idx="11">
                  <c:v>47.1</c:v>
                </c:pt>
                <c:pt idx="12">
                  <c:v>40.1</c:v>
                </c:pt>
                <c:pt idx="13">
                  <c:v>39.4</c:v>
                </c:pt>
                <c:pt idx="14">
                  <c:v>33</c:v>
                </c:pt>
                <c:pt idx="15">
                  <c:v>23.3</c:v>
                </c:pt>
                <c:pt idx="16">
                  <c:v>26.5</c:v>
                </c:pt>
                <c:pt idx="17">
                  <c:v>26.7</c:v>
                </c:pt>
                <c:pt idx="18">
                  <c:v>18.899999999999999</c:v>
                </c:pt>
                <c:pt idx="19">
                  <c:v>19.600000000000001</c:v>
                </c:pt>
                <c:pt idx="20">
                  <c:v>31.6</c:v>
                </c:pt>
                <c:pt idx="21">
                  <c:v>31.3</c:v>
                </c:pt>
                <c:pt idx="22">
                  <c:v>38.6</c:v>
                </c:pt>
                <c:pt idx="23" formatCode="General">
                  <c:v>39.200000000000003</c:v>
                </c:pt>
                <c:pt idx="24">
                  <c:v>30.8</c:v>
                </c:pt>
                <c:pt idx="25">
                  <c:v>35.9</c:v>
                </c:pt>
                <c:pt idx="26">
                  <c:v>23.2</c:v>
                </c:pt>
                <c:pt idx="27">
                  <c:v>19.5</c:v>
                </c:pt>
                <c:pt idx="28">
                  <c:v>21.3</c:v>
                </c:pt>
                <c:pt idx="29">
                  <c:v>21.1</c:v>
                </c:pt>
                <c:pt idx="30">
                  <c:v>19.3</c:v>
                </c:pt>
                <c:pt idx="31">
                  <c:v>20.6</c:v>
                </c:pt>
              </c:numCache>
            </c:numRef>
          </c:val>
          <c:smooth val="0"/>
          <c:extLst>
            <c:ext xmlns:c16="http://schemas.microsoft.com/office/drawing/2014/chart" uri="{C3380CC4-5D6E-409C-BE32-E72D297353CC}">
              <c16:uniqueId val="{00000004-2C17-46D6-91F4-DB986DB191EA}"/>
            </c:ext>
          </c:extLst>
        </c:ser>
        <c:ser>
          <c:idx val="5"/>
          <c:order val="5"/>
          <c:tx>
            <c:strRef>
              <c:f>'výkonnost odvětví 3'!$AC$10</c:f>
              <c:strCache>
                <c:ptCount val="1"/>
                <c:pt idx="0">
                  <c:v>Bariéra růstu: nedostatek pracovníků</c:v>
                </c:pt>
              </c:strCache>
            </c:strRef>
          </c:tx>
          <c:spPr>
            <a:ln w="15875">
              <a:solidFill>
                <a:srgbClr val="00B050"/>
              </a:solidFill>
              <a:prstDash val="solid"/>
            </a:ln>
          </c:spPr>
          <c:marker>
            <c:symbol val="none"/>
          </c:marker>
          <c:cat>
            <c:multiLvlStrRef>
              <c:f>'výkonnost odvětví 3'!$V$31:$W$62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3'!$AC$31:$AC$62</c:f>
              <c:numCache>
                <c:formatCode>#\ ##0.0</c:formatCode>
                <c:ptCount val="32"/>
                <c:pt idx="0">
                  <c:v>8.3000000000000007</c:v>
                </c:pt>
                <c:pt idx="1">
                  <c:v>8.1</c:v>
                </c:pt>
                <c:pt idx="2">
                  <c:v>6.1</c:v>
                </c:pt>
                <c:pt idx="3">
                  <c:v>6</c:v>
                </c:pt>
                <c:pt idx="4">
                  <c:v>6.5</c:v>
                </c:pt>
                <c:pt idx="5">
                  <c:v>7.2</c:v>
                </c:pt>
                <c:pt idx="6">
                  <c:v>7</c:v>
                </c:pt>
                <c:pt idx="7">
                  <c:v>10.4</c:v>
                </c:pt>
                <c:pt idx="8">
                  <c:v>14</c:v>
                </c:pt>
                <c:pt idx="9">
                  <c:v>14.8</c:v>
                </c:pt>
                <c:pt idx="10">
                  <c:v>21.4</c:v>
                </c:pt>
                <c:pt idx="11">
                  <c:v>21.1</c:v>
                </c:pt>
                <c:pt idx="12">
                  <c:v>27.3</c:v>
                </c:pt>
                <c:pt idx="13">
                  <c:v>30.1</c:v>
                </c:pt>
                <c:pt idx="14">
                  <c:v>28.1</c:v>
                </c:pt>
                <c:pt idx="15">
                  <c:v>38.200000000000003</c:v>
                </c:pt>
                <c:pt idx="16">
                  <c:v>36.9</c:v>
                </c:pt>
                <c:pt idx="17">
                  <c:v>43.4</c:v>
                </c:pt>
                <c:pt idx="18">
                  <c:v>49.6</c:v>
                </c:pt>
                <c:pt idx="19">
                  <c:v>46.2</c:v>
                </c:pt>
                <c:pt idx="20">
                  <c:v>52.5</c:v>
                </c:pt>
                <c:pt idx="21">
                  <c:v>46</c:v>
                </c:pt>
                <c:pt idx="22">
                  <c:v>35.299999999999997</c:v>
                </c:pt>
                <c:pt idx="23" formatCode="0.0">
                  <c:v>31.9</c:v>
                </c:pt>
                <c:pt idx="24">
                  <c:v>48.6</c:v>
                </c:pt>
                <c:pt idx="25">
                  <c:v>31.6</c:v>
                </c:pt>
                <c:pt idx="26">
                  <c:v>40.700000000000003</c:v>
                </c:pt>
                <c:pt idx="27">
                  <c:v>42</c:v>
                </c:pt>
                <c:pt idx="28">
                  <c:v>57.7</c:v>
                </c:pt>
                <c:pt idx="29">
                  <c:v>44.3</c:v>
                </c:pt>
                <c:pt idx="30">
                  <c:v>39</c:v>
                </c:pt>
                <c:pt idx="31">
                  <c:v>46.8</c:v>
                </c:pt>
              </c:numCache>
            </c:numRef>
          </c:val>
          <c:smooth val="0"/>
          <c:extLst>
            <c:ext xmlns:c16="http://schemas.microsoft.com/office/drawing/2014/chart" uri="{C3380CC4-5D6E-409C-BE32-E72D297353CC}">
              <c16:uniqueId val="{00000005-2C17-46D6-91F4-DB986DB191EA}"/>
            </c:ext>
          </c:extLst>
        </c:ser>
        <c:ser>
          <c:idx val="6"/>
          <c:order val="6"/>
          <c:tx>
            <c:strRef>
              <c:f>'výkonnost odvětví 3'!$AD$10</c:f>
              <c:strCache>
                <c:ptCount val="1"/>
                <c:pt idx="0">
                  <c:v>Bariéra růstu: nedost. materiálu a vybavení</c:v>
                </c:pt>
              </c:strCache>
            </c:strRef>
          </c:tx>
          <c:spPr>
            <a:ln w="15875">
              <a:solidFill>
                <a:srgbClr val="00B050"/>
              </a:solidFill>
              <a:prstDash val="sysDash"/>
            </a:ln>
          </c:spPr>
          <c:marker>
            <c:symbol val="none"/>
          </c:marker>
          <c:cat>
            <c:multiLvlStrRef>
              <c:f>'výkonnost odvětví 3'!$V$31:$W$62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3'!$AD$31:$AD$62</c:f>
              <c:numCache>
                <c:formatCode>#\ ##0.0</c:formatCode>
                <c:ptCount val="32"/>
                <c:pt idx="0">
                  <c:v>0.1</c:v>
                </c:pt>
                <c:pt idx="1">
                  <c:v>0.4</c:v>
                </c:pt>
                <c:pt idx="2">
                  <c:v>4</c:v>
                </c:pt>
                <c:pt idx="3">
                  <c:v>0.5</c:v>
                </c:pt>
                <c:pt idx="4">
                  <c:v>0.4</c:v>
                </c:pt>
                <c:pt idx="5">
                  <c:v>0.5</c:v>
                </c:pt>
                <c:pt idx="6">
                  <c:v>0.5</c:v>
                </c:pt>
                <c:pt idx="7">
                  <c:v>1.5</c:v>
                </c:pt>
                <c:pt idx="8">
                  <c:v>0.3</c:v>
                </c:pt>
                <c:pt idx="9">
                  <c:v>0.3</c:v>
                </c:pt>
                <c:pt idx="10">
                  <c:v>3.3</c:v>
                </c:pt>
                <c:pt idx="11">
                  <c:v>4.2</c:v>
                </c:pt>
                <c:pt idx="12">
                  <c:v>5.5</c:v>
                </c:pt>
                <c:pt idx="13">
                  <c:v>1.2</c:v>
                </c:pt>
                <c:pt idx="14">
                  <c:v>6.8</c:v>
                </c:pt>
                <c:pt idx="15">
                  <c:v>3.5</c:v>
                </c:pt>
                <c:pt idx="16">
                  <c:v>4.3</c:v>
                </c:pt>
                <c:pt idx="17">
                  <c:v>5.7</c:v>
                </c:pt>
                <c:pt idx="18">
                  <c:v>5.3</c:v>
                </c:pt>
                <c:pt idx="19">
                  <c:v>4</c:v>
                </c:pt>
                <c:pt idx="20">
                  <c:v>1.9</c:v>
                </c:pt>
                <c:pt idx="21">
                  <c:v>3.4</c:v>
                </c:pt>
                <c:pt idx="22">
                  <c:v>1.3</c:v>
                </c:pt>
                <c:pt idx="23">
                  <c:v>0.8</c:v>
                </c:pt>
                <c:pt idx="24">
                  <c:v>1.3</c:v>
                </c:pt>
                <c:pt idx="25">
                  <c:v>4.3</c:v>
                </c:pt>
                <c:pt idx="26">
                  <c:v>16.3</c:v>
                </c:pt>
                <c:pt idx="27">
                  <c:v>22.8</c:v>
                </c:pt>
                <c:pt idx="28">
                  <c:v>24.7</c:v>
                </c:pt>
                <c:pt idx="29">
                  <c:v>41.3</c:v>
                </c:pt>
                <c:pt idx="30">
                  <c:v>38.6</c:v>
                </c:pt>
                <c:pt idx="31">
                  <c:v>23.4</c:v>
                </c:pt>
              </c:numCache>
            </c:numRef>
          </c:val>
          <c:smooth val="0"/>
          <c:extLst>
            <c:ext xmlns:c16="http://schemas.microsoft.com/office/drawing/2014/chart" uri="{C3380CC4-5D6E-409C-BE32-E72D297353CC}">
              <c16:uniqueId val="{00000006-2C17-46D6-91F4-DB986DB191EA}"/>
            </c:ext>
          </c:extLst>
        </c:ser>
        <c:ser>
          <c:idx val="7"/>
          <c:order val="7"/>
          <c:tx>
            <c:strRef>
              <c:f>'výkonnost odvětví 3'!$AE$10</c:f>
              <c:strCache>
                <c:ptCount val="1"/>
                <c:pt idx="0">
                  <c:v>Saldo indikátoru důvěry ve stavebnictví</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3'!$V$31:$W$62</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3'!$AE$31:$AE$62</c:f>
              <c:numCache>
                <c:formatCode>0.0</c:formatCode>
                <c:ptCount val="32"/>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pt idx="24">
                  <c:v>-6</c:v>
                </c:pt>
                <c:pt idx="25">
                  <c:v>-5.5</c:v>
                </c:pt>
                <c:pt idx="26">
                  <c:v>-4.5</c:v>
                </c:pt>
                <c:pt idx="27">
                  <c:v>-6.5</c:v>
                </c:pt>
                <c:pt idx="28">
                  <c:v>6.5</c:v>
                </c:pt>
                <c:pt idx="29">
                  <c:v>-2</c:v>
                </c:pt>
                <c:pt idx="30">
                  <c:v>-9</c:v>
                </c:pt>
                <c:pt idx="31">
                  <c:v>-4.5</c:v>
                </c:pt>
              </c:numCache>
            </c:numRef>
          </c:val>
          <c:smooth val="0"/>
          <c:extLst>
            <c:ext xmlns:c16="http://schemas.microsoft.com/office/drawing/2014/chart" uri="{C3380CC4-5D6E-409C-BE32-E72D297353CC}">
              <c16:uniqueId val="{00000007-2C17-46D6-91F4-DB986DB191EA}"/>
            </c:ext>
          </c:extLst>
        </c:ser>
        <c:dLbls>
          <c:showLegendKey val="0"/>
          <c:showVal val="0"/>
          <c:showCatName val="0"/>
          <c:showSerName val="0"/>
          <c:showPercent val="0"/>
          <c:showBubbleSize val="0"/>
        </c:dLbls>
        <c:marker val="1"/>
        <c:smooth val="0"/>
        <c:axId val="1118074639"/>
        <c:axId val="1118080463"/>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70"/>
          <c:min val="-30"/>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Zakázky, příspěvky k změně stavební produkce</a:t>
                </a:r>
              </a:p>
            </c:rich>
          </c:tx>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10"/>
      </c:valAx>
      <c:valAx>
        <c:axId val="1118080463"/>
        <c:scaling>
          <c:orientation val="minMax"/>
          <c:max val="100"/>
          <c:min val="-100"/>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Saldo důvěry, bariéry růstu</a:t>
                </a:r>
              </a:p>
            </c:rich>
          </c:tx>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118074639"/>
        <c:crosses val="max"/>
        <c:crossBetween val="between"/>
        <c:majorUnit val="20"/>
      </c:valAx>
      <c:catAx>
        <c:axId val="1118074639"/>
        <c:scaling>
          <c:orientation val="minMax"/>
        </c:scaling>
        <c:delete val="1"/>
        <c:axPos val="b"/>
        <c:numFmt formatCode="General" sourceLinked="1"/>
        <c:majorTickMark val="out"/>
        <c:minorTickMark val="none"/>
        <c:tickLblPos val="nextTo"/>
        <c:crossAx val="1118080463"/>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1.8499319708759499E-2"/>
          <c:y val="0.85936703322638608"/>
          <c:w val="0.96925714241885397"/>
          <c:h val="0.13362821778942557"/>
        </c:manualLayout>
      </c:layout>
      <c:overlay val="0"/>
      <c:spPr>
        <a:ln w="6350">
          <a:solidFill>
            <a:prstClr val="black">
              <a:lumMod val="95000"/>
              <a:lumOff val="5000"/>
            </a:prstClr>
          </a:solidFill>
        </a:ln>
      </c:spPr>
      <c:txPr>
        <a:bodyPr/>
        <a:lstStyle/>
        <a:p>
          <a:pPr>
            <a:defRPr sz="75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21841398004213E-2"/>
          <c:y val="1.5803328678987455E-2"/>
          <c:w val="0.86647319020345381"/>
          <c:h val="0.7103501120970378"/>
        </c:manualLayout>
      </c:layout>
      <c:barChart>
        <c:barDir val="col"/>
        <c:grouping val="stacked"/>
        <c:varyColors val="0"/>
        <c:ser>
          <c:idx val="0"/>
          <c:order val="1"/>
          <c:tx>
            <c:strRef>
              <c:f>'Služby-příspěvkyk růstu-4'!$D$33</c:f>
              <c:strCache>
                <c:ptCount val="1"/>
                <c:pt idx="0">
                  <c:v>Doprava a skladování</c:v>
                </c:pt>
              </c:strCache>
            </c:strRef>
          </c:tx>
          <c:spPr>
            <a:solidFill>
              <a:srgbClr val="92D050"/>
            </a:solidFill>
            <a:ln>
              <a:noFill/>
            </a:ln>
          </c:spPr>
          <c:invertIfNegative val="0"/>
          <c:cat>
            <c:multiLvlStrRef>
              <c:f>'Služby-příspěvkyk růstu-4'!$A$46:$B$77</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růstu-4'!$D$46:$D$77</c:f>
              <c:numCache>
                <c:formatCode>0.0</c:formatCode>
                <c:ptCount val="32"/>
                <c:pt idx="0">
                  <c:v>0.17627373165999941</c:v>
                </c:pt>
                <c:pt idx="1">
                  <c:v>-4.1398260783598456E-2</c:v>
                </c:pt>
                <c:pt idx="2">
                  <c:v>0.20127676583260182</c:v>
                </c:pt>
                <c:pt idx="3">
                  <c:v>4.2331882175001848E-2</c:v>
                </c:pt>
                <c:pt idx="4">
                  <c:v>0.2604828945619988</c:v>
                </c:pt>
                <c:pt idx="5">
                  <c:v>0.2004471947790982</c:v>
                </c:pt>
                <c:pt idx="6">
                  <c:v>0.14004615678000035</c:v>
                </c:pt>
                <c:pt idx="7">
                  <c:v>0.860592831148001</c:v>
                </c:pt>
                <c:pt idx="8">
                  <c:v>1.6559965627289983</c:v>
                </c:pt>
                <c:pt idx="9">
                  <c:v>1.093454887462999</c:v>
                </c:pt>
                <c:pt idx="10">
                  <c:v>1.1374484601479997</c:v>
                </c:pt>
                <c:pt idx="11">
                  <c:v>0.60470809717899932</c:v>
                </c:pt>
                <c:pt idx="12">
                  <c:v>1.7518533558900011</c:v>
                </c:pt>
                <c:pt idx="13">
                  <c:v>1.9191714775479998</c:v>
                </c:pt>
                <c:pt idx="14">
                  <c:v>1.4689069805629986</c:v>
                </c:pt>
                <c:pt idx="15">
                  <c:v>0.49822211685500045</c:v>
                </c:pt>
                <c:pt idx="16">
                  <c:v>0.75210969494300106</c:v>
                </c:pt>
                <c:pt idx="17">
                  <c:v>-7.8943058121998602E-2</c:v>
                </c:pt>
                <c:pt idx="18">
                  <c:v>-0.67615596099700137</c:v>
                </c:pt>
                <c:pt idx="19">
                  <c:v>-0.53883087511919869</c:v>
                </c:pt>
                <c:pt idx="20">
                  <c:v>-1.7873099078691994</c:v>
                </c:pt>
                <c:pt idx="21">
                  <c:v>-6.8790162520431002</c:v>
                </c:pt>
                <c:pt idx="22">
                  <c:v>-4.2156758486250006</c:v>
                </c:pt>
                <c:pt idx="23">
                  <c:v>-1.7596921701599992</c:v>
                </c:pt>
                <c:pt idx="24">
                  <c:v>-0.15347897642490088</c:v>
                </c:pt>
                <c:pt idx="25">
                  <c:v>6.9484387481567991</c:v>
                </c:pt>
                <c:pt idx="26">
                  <c:v>4.1004414878492002</c:v>
                </c:pt>
                <c:pt idx="27">
                  <c:v>4.5430976046433731</c:v>
                </c:pt>
                <c:pt idx="28">
                  <c:v>4.7748073605734254</c:v>
                </c:pt>
                <c:pt idx="29">
                  <c:v>4.8749495136867065</c:v>
                </c:pt>
                <c:pt idx="30">
                  <c:v>3.8212777797796873</c:v>
                </c:pt>
              </c:numCache>
            </c:numRef>
          </c:val>
          <c:extLst>
            <c:ext xmlns:c16="http://schemas.microsoft.com/office/drawing/2014/chart" uri="{C3380CC4-5D6E-409C-BE32-E72D297353CC}">
              <c16:uniqueId val="{00000000-A4DA-4633-A4B7-E89D422C4C55}"/>
            </c:ext>
          </c:extLst>
        </c:ser>
        <c:ser>
          <c:idx val="1"/>
          <c:order val="2"/>
          <c:tx>
            <c:strRef>
              <c:f>'Služby-příspěvkyk růstu-4'!$E$33</c:f>
              <c:strCache>
                <c:ptCount val="1"/>
                <c:pt idx="0">
                  <c:v>Ubytování, stravování a pohostinství</c:v>
                </c:pt>
              </c:strCache>
            </c:strRef>
          </c:tx>
          <c:spPr>
            <a:solidFill>
              <a:srgbClr val="00B0F0"/>
            </a:solidFill>
            <a:ln>
              <a:noFill/>
            </a:ln>
          </c:spPr>
          <c:invertIfNegative val="0"/>
          <c:cat>
            <c:multiLvlStrRef>
              <c:f>'Služby-příspěvkyk růstu-4'!$A$46:$B$77</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růstu-4'!$E$46:$E$77</c:f>
              <c:numCache>
                <c:formatCode>0.0</c:formatCode>
                <c:ptCount val="32"/>
                <c:pt idx="0">
                  <c:v>0.23064326026020021</c:v>
                </c:pt>
                <c:pt idx="1">
                  <c:v>0.65490030172000013</c:v>
                </c:pt>
                <c:pt idx="2">
                  <c:v>0.65615704203699965</c:v>
                </c:pt>
                <c:pt idx="3">
                  <c:v>0.40198126828160025</c:v>
                </c:pt>
                <c:pt idx="4">
                  <c:v>0.47264498177679992</c:v>
                </c:pt>
                <c:pt idx="5">
                  <c:v>0.16809598308499973</c:v>
                </c:pt>
                <c:pt idx="6">
                  <c:v>0.56785028038259988</c:v>
                </c:pt>
                <c:pt idx="7">
                  <c:v>0.60026021753880032</c:v>
                </c:pt>
                <c:pt idx="8">
                  <c:v>0.9071617575674995</c:v>
                </c:pt>
                <c:pt idx="9">
                  <c:v>1.2351843183736004</c:v>
                </c:pt>
                <c:pt idx="10">
                  <c:v>0.55372633890920031</c:v>
                </c:pt>
                <c:pt idx="11">
                  <c:v>0.45414701226059961</c:v>
                </c:pt>
                <c:pt idx="12">
                  <c:v>0.20562277238639989</c:v>
                </c:pt>
                <c:pt idx="13">
                  <c:v>4.6481198053399883E-2</c:v>
                </c:pt>
                <c:pt idx="14">
                  <c:v>5.8790755202600166E-2</c:v>
                </c:pt>
                <c:pt idx="15">
                  <c:v>-3.8611122396599744E-2</c:v>
                </c:pt>
                <c:pt idx="16">
                  <c:v>0.19877668230760023</c:v>
                </c:pt>
                <c:pt idx="17">
                  <c:v>0.19106550885020049</c:v>
                </c:pt>
                <c:pt idx="18">
                  <c:v>-2.1031638824599897E-2</c:v>
                </c:pt>
                <c:pt idx="19">
                  <c:v>-1.8881872245599823E-2</c:v>
                </c:pt>
                <c:pt idx="20">
                  <c:v>-1.157864857912162</c:v>
                </c:pt>
                <c:pt idx="21">
                  <c:v>-4.9674966649835008</c:v>
                </c:pt>
                <c:pt idx="22">
                  <c:v>-1.9520417393251031</c:v>
                </c:pt>
                <c:pt idx="23">
                  <c:v>-4.5017067627894241</c:v>
                </c:pt>
                <c:pt idx="24">
                  <c:v>-3.6941640008937502</c:v>
                </c:pt>
                <c:pt idx="25">
                  <c:v>1.373173366912539</c:v>
                </c:pt>
                <c:pt idx="26">
                  <c:v>0.63565591352220041</c:v>
                </c:pt>
                <c:pt idx="27">
                  <c:v>2.8398555259503393</c:v>
                </c:pt>
                <c:pt idx="28">
                  <c:v>2.8890805368554999</c:v>
                </c:pt>
                <c:pt idx="29">
                  <c:v>2.6738330890326609</c:v>
                </c:pt>
                <c:pt idx="30">
                  <c:v>-0.38569569322033903</c:v>
                </c:pt>
              </c:numCache>
            </c:numRef>
          </c:val>
          <c:extLst>
            <c:ext xmlns:c16="http://schemas.microsoft.com/office/drawing/2014/chart" uri="{C3380CC4-5D6E-409C-BE32-E72D297353CC}">
              <c16:uniqueId val="{00000001-A4DA-4633-A4B7-E89D422C4C55}"/>
            </c:ext>
          </c:extLst>
        </c:ser>
        <c:ser>
          <c:idx val="2"/>
          <c:order val="3"/>
          <c:tx>
            <c:strRef>
              <c:f>'Služby-příspěvkyk růstu-4'!$F$33</c:f>
              <c:strCache>
                <c:ptCount val="1"/>
                <c:pt idx="0">
                  <c:v>Informační a komunikační činnosti</c:v>
                </c:pt>
              </c:strCache>
            </c:strRef>
          </c:tx>
          <c:spPr>
            <a:solidFill>
              <a:srgbClr val="E6E100"/>
            </a:solidFill>
            <a:ln>
              <a:noFill/>
            </a:ln>
          </c:spPr>
          <c:invertIfNegative val="0"/>
          <c:cat>
            <c:multiLvlStrRef>
              <c:f>'Služby-příspěvkyk růstu-4'!$A$46:$B$77</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růstu-4'!$F$46:$F$77</c:f>
              <c:numCache>
                <c:formatCode>0.0</c:formatCode>
                <c:ptCount val="32"/>
                <c:pt idx="0">
                  <c:v>1.4083798915137009</c:v>
                </c:pt>
                <c:pt idx="1">
                  <c:v>0.82540650715499964</c:v>
                </c:pt>
                <c:pt idx="2">
                  <c:v>0.80424272675400077</c:v>
                </c:pt>
                <c:pt idx="3">
                  <c:v>1.3174140502479994</c:v>
                </c:pt>
                <c:pt idx="4">
                  <c:v>0.35985664064800121</c:v>
                </c:pt>
                <c:pt idx="5">
                  <c:v>0.1575138368199987</c:v>
                </c:pt>
                <c:pt idx="6">
                  <c:v>0.32598498922399954</c:v>
                </c:pt>
                <c:pt idx="7">
                  <c:v>0.17761340848900062</c:v>
                </c:pt>
                <c:pt idx="8">
                  <c:v>0.76438636704000096</c:v>
                </c:pt>
                <c:pt idx="9">
                  <c:v>0.98207704425299935</c:v>
                </c:pt>
                <c:pt idx="10">
                  <c:v>0.7709388166100013</c:v>
                </c:pt>
                <c:pt idx="11">
                  <c:v>0.58294315828299903</c:v>
                </c:pt>
                <c:pt idx="12">
                  <c:v>1.4398200028309998</c:v>
                </c:pt>
                <c:pt idx="13">
                  <c:v>0.76531943813199921</c:v>
                </c:pt>
                <c:pt idx="14">
                  <c:v>1.415831001736001</c:v>
                </c:pt>
                <c:pt idx="15">
                  <c:v>0.98684323348800107</c:v>
                </c:pt>
                <c:pt idx="16">
                  <c:v>1.2348474246799988</c:v>
                </c:pt>
                <c:pt idx="17">
                  <c:v>1.1603884990619995</c:v>
                </c:pt>
                <c:pt idx="18">
                  <c:v>0.91591834325400012</c:v>
                </c:pt>
                <c:pt idx="19">
                  <c:v>1.1621880049516005</c:v>
                </c:pt>
                <c:pt idx="20">
                  <c:v>0.8191341781949999</c:v>
                </c:pt>
                <c:pt idx="21">
                  <c:v>1.3223529237600361E-2</c:v>
                </c:pt>
                <c:pt idx="22">
                  <c:v>-0.20840783961799986</c:v>
                </c:pt>
                <c:pt idx="23">
                  <c:v>-0.54142483054800161</c:v>
                </c:pt>
                <c:pt idx="24">
                  <c:v>0.71325645285200023</c:v>
                </c:pt>
                <c:pt idx="25">
                  <c:v>1.5474731889590174</c:v>
                </c:pt>
                <c:pt idx="26">
                  <c:v>1.4413384891517995</c:v>
                </c:pt>
                <c:pt idx="27">
                  <c:v>1.9062822530739725</c:v>
                </c:pt>
                <c:pt idx="28">
                  <c:v>1.0270453089532987</c:v>
                </c:pt>
                <c:pt idx="29">
                  <c:v>0.60584727885599932</c:v>
                </c:pt>
                <c:pt idx="30">
                  <c:v>0.66491454178709586</c:v>
                </c:pt>
              </c:numCache>
            </c:numRef>
          </c:val>
          <c:extLst>
            <c:ext xmlns:c16="http://schemas.microsoft.com/office/drawing/2014/chart" uri="{C3380CC4-5D6E-409C-BE32-E72D297353CC}">
              <c16:uniqueId val="{00000002-A4DA-4633-A4B7-E89D422C4C55}"/>
            </c:ext>
          </c:extLst>
        </c:ser>
        <c:ser>
          <c:idx val="4"/>
          <c:order val="4"/>
          <c:tx>
            <c:strRef>
              <c:f>'Služby-příspěvkyk růstu-4'!$G$33</c:f>
              <c:strCache>
                <c:ptCount val="1"/>
                <c:pt idx="0">
                  <c:v>Činnosti v oblasti nemovitostí</c:v>
                </c:pt>
              </c:strCache>
            </c:strRef>
          </c:tx>
          <c:spPr>
            <a:solidFill>
              <a:schemeClr val="accent5">
                <a:lumMod val="60000"/>
                <a:lumOff val="40000"/>
              </a:schemeClr>
            </a:solidFill>
            <a:ln>
              <a:noFill/>
              <a:prstDash val="sysDash"/>
            </a:ln>
          </c:spPr>
          <c:invertIfNegative val="0"/>
          <c:cat>
            <c:multiLvlStrRef>
              <c:f>'Služby-příspěvkyk růstu-4'!$A$46:$B$77</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růstu-4'!$G$46:$G$77</c:f>
              <c:numCache>
                <c:formatCode>0.0</c:formatCode>
                <c:ptCount val="32"/>
                <c:pt idx="0">
                  <c:v>4.7588818498199993E-2</c:v>
                </c:pt>
                <c:pt idx="1">
                  <c:v>-7.3007550905993803E-3</c:v>
                </c:pt>
                <c:pt idx="2">
                  <c:v>0.12810762983039936</c:v>
                </c:pt>
                <c:pt idx="3">
                  <c:v>2.4617916117599462E-2</c:v>
                </c:pt>
                <c:pt idx="4">
                  <c:v>0.25752090895739993</c:v>
                </c:pt>
                <c:pt idx="5">
                  <c:v>-4.2228184845005496E-3</c:v>
                </c:pt>
                <c:pt idx="6">
                  <c:v>0.1499318310138007</c:v>
                </c:pt>
                <c:pt idx="7">
                  <c:v>-6.6530028186599532E-2</c:v>
                </c:pt>
                <c:pt idx="8">
                  <c:v>0.20977398058900024</c:v>
                </c:pt>
                <c:pt idx="9">
                  <c:v>0.44953617213779962</c:v>
                </c:pt>
                <c:pt idx="10">
                  <c:v>-2.2338348474500478E-2</c:v>
                </c:pt>
                <c:pt idx="11">
                  <c:v>0.13984723093739981</c:v>
                </c:pt>
                <c:pt idx="12">
                  <c:v>2.6966101253399585E-2</c:v>
                </c:pt>
                <c:pt idx="13">
                  <c:v>-0.24884766500039976</c:v>
                </c:pt>
                <c:pt idx="14">
                  <c:v>-0.12645184379759991</c:v>
                </c:pt>
                <c:pt idx="15">
                  <c:v>-0.22378801642200052</c:v>
                </c:pt>
                <c:pt idx="16">
                  <c:v>0.14753986907940025</c:v>
                </c:pt>
                <c:pt idx="17">
                  <c:v>-7.379708629200365E-3</c:v>
                </c:pt>
                <c:pt idx="18">
                  <c:v>-0.23287434101939938</c:v>
                </c:pt>
                <c:pt idx="19">
                  <c:v>-0.10147037326200034</c:v>
                </c:pt>
                <c:pt idx="20">
                  <c:v>0.42431890762080055</c:v>
                </c:pt>
                <c:pt idx="21">
                  <c:v>-0.29919163957060046</c:v>
                </c:pt>
                <c:pt idx="22">
                  <c:v>-0.26426338474666694</c:v>
                </c:pt>
                <c:pt idx="23">
                  <c:v>-0.23118426949069976</c:v>
                </c:pt>
                <c:pt idx="24">
                  <c:v>-0.20165418253469941</c:v>
                </c:pt>
                <c:pt idx="25">
                  <c:v>0.43420759111079932</c:v>
                </c:pt>
                <c:pt idx="26">
                  <c:v>3.1409050384998238E-3</c:v>
                </c:pt>
                <c:pt idx="27">
                  <c:v>0.23844068912159988</c:v>
                </c:pt>
                <c:pt idx="28">
                  <c:v>0.32776895446879983</c:v>
                </c:pt>
                <c:pt idx="29">
                  <c:v>0.22296015353599954</c:v>
                </c:pt>
                <c:pt idx="30">
                  <c:v>0.31296289323947418</c:v>
                </c:pt>
              </c:numCache>
            </c:numRef>
          </c:val>
          <c:extLst>
            <c:ext xmlns:c16="http://schemas.microsoft.com/office/drawing/2014/chart" uri="{C3380CC4-5D6E-409C-BE32-E72D297353CC}">
              <c16:uniqueId val="{00000003-A4DA-4633-A4B7-E89D422C4C55}"/>
            </c:ext>
          </c:extLst>
        </c:ser>
        <c:ser>
          <c:idx val="5"/>
          <c:order val="5"/>
          <c:tx>
            <c:strRef>
              <c:f>'Služby-příspěvkyk růstu-4'!$H$33</c:f>
              <c:strCache>
                <c:ptCount val="1"/>
                <c:pt idx="0">
                  <c:v>Profesní, vědecké a technické činnosti</c:v>
                </c:pt>
              </c:strCache>
            </c:strRef>
          </c:tx>
          <c:spPr>
            <a:solidFill>
              <a:schemeClr val="accent6">
                <a:lumMod val="60000"/>
                <a:lumOff val="40000"/>
              </a:schemeClr>
            </a:solidFill>
            <a:ln>
              <a:noFill/>
            </a:ln>
          </c:spPr>
          <c:invertIfNegative val="0"/>
          <c:cat>
            <c:multiLvlStrRef>
              <c:f>'Služby-příspěvkyk růstu-4'!$A$46:$B$77</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růstu-4'!$H$46:$H$77</c:f>
              <c:numCache>
                <c:formatCode>0.0</c:formatCode>
                <c:ptCount val="32"/>
                <c:pt idx="0">
                  <c:v>1.0468505532869989</c:v>
                </c:pt>
                <c:pt idx="1">
                  <c:v>0.72007462619999962</c:v>
                </c:pt>
                <c:pt idx="2">
                  <c:v>1.0906393004400001</c:v>
                </c:pt>
                <c:pt idx="3">
                  <c:v>-4.2990021238901367E-2</c:v>
                </c:pt>
                <c:pt idx="4">
                  <c:v>-0.43098075353700094</c:v>
                </c:pt>
                <c:pt idx="5">
                  <c:v>-1.3389465804999987</c:v>
                </c:pt>
                <c:pt idx="6">
                  <c:v>3.0728374200130306E-4</c:v>
                </c:pt>
                <c:pt idx="7">
                  <c:v>-0.3121071665494991</c:v>
                </c:pt>
                <c:pt idx="8">
                  <c:v>0.95807798756000018</c:v>
                </c:pt>
                <c:pt idx="9">
                  <c:v>0.59447839488779997</c:v>
                </c:pt>
                <c:pt idx="10">
                  <c:v>0.30863690562089996</c:v>
                </c:pt>
                <c:pt idx="11">
                  <c:v>0.42814590144940085</c:v>
                </c:pt>
                <c:pt idx="12">
                  <c:v>1.0521629274264988</c:v>
                </c:pt>
                <c:pt idx="13">
                  <c:v>0.5501113250554992</c:v>
                </c:pt>
                <c:pt idx="14">
                  <c:v>0.3596254694963989</c:v>
                </c:pt>
                <c:pt idx="15">
                  <c:v>-0.26680052765060136</c:v>
                </c:pt>
                <c:pt idx="16">
                  <c:v>0.70988848618690059</c:v>
                </c:pt>
                <c:pt idx="17">
                  <c:v>0.59156625867140045</c:v>
                </c:pt>
                <c:pt idx="18">
                  <c:v>-0.77754044718210014</c:v>
                </c:pt>
                <c:pt idx="19">
                  <c:v>-0.56889162351999967</c:v>
                </c:pt>
                <c:pt idx="20">
                  <c:v>-0.8629875625277994</c:v>
                </c:pt>
                <c:pt idx="21">
                  <c:v>-3.1826786933129991</c:v>
                </c:pt>
                <c:pt idx="22">
                  <c:v>-1.495126859429508</c:v>
                </c:pt>
                <c:pt idx="23">
                  <c:v>-1.5495215129057995</c:v>
                </c:pt>
                <c:pt idx="24">
                  <c:v>-1.588935390641379</c:v>
                </c:pt>
                <c:pt idx="25">
                  <c:v>2.7158121706898006</c:v>
                </c:pt>
                <c:pt idx="26">
                  <c:v>1.7629796367065986</c:v>
                </c:pt>
                <c:pt idx="27">
                  <c:v>2.0928711739649493</c:v>
                </c:pt>
                <c:pt idx="28">
                  <c:v>2.4382628790191987</c:v>
                </c:pt>
                <c:pt idx="29">
                  <c:v>1.5538202271999986</c:v>
                </c:pt>
                <c:pt idx="30">
                  <c:v>0.54328554626086834</c:v>
                </c:pt>
              </c:numCache>
            </c:numRef>
          </c:val>
          <c:extLst>
            <c:ext xmlns:c16="http://schemas.microsoft.com/office/drawing/2014/chart" uri="{C3380CC4-5D6E-409C-BE32-E72D297353CC}">
              <c16:uniqueId val="{00000004-A4DA-4633-A4B7-E89D422C4C55}"/>
            </c:ext>
          </c:extLst>
        </c:ser>
        <c:ser>
          <c:idx val="6"/>
          <c:order val="6"/>
          <c:tx>
            <c:strRef>
              <c:f>'Služby-příspěvkyk růstu-4'!$I$33</c:f>
              <c:strCache>
                <c:ptCount val="1"/>
                <c:pt idx="0">
                  <c:v>Administrativní a podpůrné činnosti</c:v>
                </c:pt>
              </c:strCache>
            </c:strRef>
          </c:tx>
          <c:spPr>
            <a:solidFill>
              <a:schemeClr val="accent1">
                <a:lumMod val="20000"/>
                <a:lumOff val="80000"/>
              </a:schemeClr>
            </a:solidFill>
            <a:ln>
              <a:noFill/>
            </a:ln>
          </c:spPr>
          <c:invertIfNegative val="0"/>
          <c:cat>
            <c:multiLvlStrRef>
              <c:f>'Služby-příspěvkyk růstu-4'!$A$46:$B$77</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růstu-4'!$I$46:$I$77</c:f>
              <c:numCache>
                <c:formatCode>0.0</c:formatCode>
                <c:ptCount val="32"/>
                <c:pt idx="0">
                  <c:v>0.51550370389650024</c:v>
                </c:pt>
                <c:pt idx="1">
                  <c:v>0.62101310773750029</c:v>
                </c:pt>
                <c:pt idx="2">
                  <c:v>0.43506961802500044</c:v>
                </c:pt>
                <c:pt idx="3">
                  <c:v>0.50168865387909933</c:v>
                </c:pt>
                <c:pt idx="4">
                  <c:v>0.4550707532813994</c:v>
                </c:pt>
                <c:pt idx="5">
                  <c:v>0.16398578688570073</c:v>
                </c:pt>
                <c:pt idx="6">
                  <c:v>0.26977885261849965</c:v>
                </c:pt>
                <c:pt idx="7">
                  <c:v>0.51378188366290034</c:v>
                </c:pt>
                <c:pt idx="8">
                  <c:v>1.3201331730339996</c:v>
                </c:pt>
                <c:pt idx="9">
                  <c:v>1.0879288678141008</c:v>
                </c:pt>
                <c:pt idx="10">
                  <c:v>0.6413410787324999</c:v>
                </c:pt>
                <c:pt idx="11">
                  <c:v>0.30531118010650066</c:v>
                </c:pt>
                <c:pt idx="12">
                  <c:v>0.53332072309840028</c:v>
                </c:pt>
                <c:pt idx="13">
                  <c:v>0.3784029238782004</c:v>
                </c:pt>
                <c:pt idx="14">
                  <c:v>0.43569101400389965</c:v>
                </c:pt>
                <c:pt idx="15">
                  <c:v>-1.3079338160200678E-2</c:v>
                </c:pt>
                <c:pt idx="16">
                  <c:v>0.47288540072630031</c:v>
                </c:pt>
                <c:pt idx="17">
                  <c:v>0.12968213694649977</c:v>
                </c:pt>
                <c:pt idx="18">
                  <c:v>-0.12322397481159968</c:v>
                </c:pt>
                <c:pt idx="19">
                  <c:v>-0.21537552647130032</c:v>
                </c:pt>
                <c:pt idx="20">
                  <c:v>-1.1051686942920007</c:v>
                </c:pt>
                <c:pt idx="21">
                  <c:v>-4.3129281059486004</c:v>
                </c:pt>
                <c:pt idx="22">
                  <c:v>-4.446067523157895</c:v>
                </c:pt>
                <c:pt idx="23">
                  <c:v>-2.3716048373778</c:v>
                </c:pt>
                <c:pt idx="24">
                  <c:v>-1.4734237324863002</c:v>
                </c:pt>
                <c:pt idx="25">
                  <c:v>1.7705052781510096</c:v>
                </c:pt>
                <c:pt idx="26">
                  <c:v>1.8501366320900006</c:v>
                </c:pt>
                <c:pt idx="27">
                  <c:v>1.0500963362564886</c:v>
                </c:pt>
                <c:pt idx="28">
                  <c:v>1.6937716289754843</c:v>
                </c:pt>
                <c:pt idx="29">
                  <c:v>2.102868846504673</c:v>
                </c:pt>
                <c:pt idx="30">
                  <c:v>1.8641173209481992</c:v>
                </c:pt>
              </c:numCache>
            </c:numRef>
          </c:val>
          <c:extLst>
            <c:ext xmlns:c16="http://schemas.microsoft.com/office/drawing/2014/chart" uri="{C3380CC4-5D6E-409C-BE32-E72D297353CC}">
              <c16:uniqueId val="{00000005-A4DA-4633-A4B7-E89D422C4C55}"/>
            </c:ext>
          </c:extLst>
        </c:ser>
        <c:dLbls>
          <c:showLegendKey val="0"/>
          <c:showVal val="0"/>
          <c:showCatName val="0"/>
          <c:showSerName val="0"/>
          <c:showPercent val="0"/>
          <c:showBubbleSize val="0"/>
        </c:dLbls>
        <c:gapWidth val="20"/>
        <c:overlap val="100"/>
        <c:axId val="156100864"/>
        <c:axId val="156573696"/>
      </c:barChart>
      <c:lineChart>
        <c:grouping val="standard"/>
        <c:varyColors val="0"/>
        <c:ser>
          <c:idx val="3"/>
          <c:order val="0"/>
          <c:tx>
            <c:strRef>
              <c:f>'Služby-příspěvkyk růstu-4'!$C$33</c:f>
              <c:strCache>
                <c:ptCount val="1"/>
                <c:pt idx="0">
                  <c:v>Služby celkem</c:v>
                </c:pt>
              </c:strCache>
            </c:strRef>
          </c:tx>
          <c:spPr>
            <a:ln>
              <a:noFill/>
            </a:ln>
          </c:spPr>
          <c:marker>
            <c:symbol val="dash"/>
            <c:size val="9"/>
            <c:spPr>
              <a:solidFill>
                <a:schemeClr val="tx1">
                  <a:lumMod val="95000"/>
                  <a:lumOff val="5000"/>
                </a:schemeClr>
              </a:solidFill>
              <a:ln>
                <a:noFill/>
              </a:ln>
            </c:spPr>
          </c:marker>
          <c:cat>
            <c:multiLvlStrRef>
              <c:f>'Služby-příspěvkyk růstu-4'!$A$46:$B$77</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růstu-4'!$C$46:$C$77</c:f>
              <c:numCache>
                <c:formatCode>0.0</c:formatCode>
                <c:ptCount val="32"/>
                <c:pt idx="0">
                  <c:v>3.3387856580999937</c:v>
                </c:pt>
                <c:pt idx="1">
                  <c:v>2.7067375338999966</c:v>
                </c:pt>
                <c:pt idx="2">
                  <c:v>3.2734904207</c:v>
                </c:pt>
                <c:pt idx="3">
                  <c:v>2.2083913160000037</c:v>
                </c:pt>
                <c:pt idx="4">
                  <c:v>1.3295921479000015</c:v>
                </c:pt>
                <c:pt idx="5">
                  <c:v>-0.87633228709999855</c:v>
                </c:pt>
                <c:pt idx="6">
                  <c:v>1.4335470749000052</c:v>
                </c:pt>
                <c:pt idx="7">
                  <c:v>1.6242102724999938</c:v>
                </c:pt>
                <c:pt idx="8">
                  <c:v>5.6462151451000011</c:v>
                </c:pt>
                <c:pt idx="9">
                  <c:v>5.4476828922000067</c:v>
                </c:pt>
                <c:pt idx="10">
                  <c:v>3.4016118395999939</c:v>
                </c:pt>
                <c:pt idx="11">
                  <c:v>2.5063195031000021</c:v>
                </c:pt>
                <c:pt idx="12">
                  <c:v>5.071288603499994</c:v>
                </c:pt>
                <c:pt idx="13">
                  <c:v>3.4823349595999957</c:v>
                </c:pt>
                <c:pt idx="14">
                  <c:v>3.6926675579999966</c:v>
                </c:pt>
                <c:pt idx="15">
                  <c:v>1.0671514554999959</c:v>
                </c:pt>
                <c:pt idx="16">
                  <c:v>3.5777212416000026</c:v>
                </c:pt>
                <c:pt idx="17">
                  <c:v>1.9765133558999963</c:v>
                </c:pt>
                <c:pt idx="18">
                  <c:v>-0.81695782319999921</c:v>
                </c:pt>
                <c:pt idx="19">
                  <c:v>-0.15568719549999344</c:v>
                </c:pt>
                <c:pt idx="20">
                  <c:v>-3.6980250129000041</c:v>
                </c:pt>
                <c:pt idx="21">
                  <c:v>-19.645345248799998</c:v>
                </c:pt>
                <c:pt idx="22">
                  <c:v>-12.600965308100001</c:v>
                </c:pt>
                <c:pt idx="23">
                  <c:v>-10.912584080000002</c:v>
                </c:pt>
                <c:pt idx="24">
                  <c:v>-6.4053667019999949</c:v>
                </c:pt>
                <c:pt idx="25">
                  <c:v>14.781963729699996</c:v>
                </c:pt>
                <c:pt idx="26">
                  <c:v>9.8370396180999933</c:v>
                </c:pt>
                <c:pt idx="27">
                  <c:v>12.664069853599997</c:v>
                </c:pt>
                <c:pt idx="28">
                  <c:v>13.138640175700004</c:v>
                </c:pt>
                <c:pt idx="29">
                  <c:v>12.063833192100006</c:v>
                </c:pt>
                <c:pt idx="30">
                  <c:v>6.8513517702999991</c:v>
                </c:pt>
              </c:numCache>
            </c:numRef>
          </c:val>
          <c:smooth val="0"/>
          <c:extLst>
            <c:ext xmlns:c16="http://schemas.microsoft.com/office/drawing/2014/chart" uri="{C3380CC4-5D6E-409C-BE32-E72D297353CC}">
              <c16:uniqueId val="{00000006-A4DA-4633-A4B7-E89D422C4C55}"/>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růstu-4'!$J$33</c:f>
              <c:strCache>
                <c:ptCount val="1"/>
                <c:pt idx="0">
                  <c:v>Saldo indikátoru důvěry ve službách</c:v>
                </c:pt>
              </c:strCache>
            </c:strRef>
          </c:tx>
          <c:spPr>
            <a:ln w="3175">
              <a:solidFill>
                <a:schemeClr val="bg1">
                  <a:lumMod val="50000"/>
                </a:schemeClr>
              </a:solidFill>
              <a:prstDash val="sysDash"/>
            </a:ln>
          </c:spPr>
          <c:marker>
            <c:symbol val="diamond"/>
            <c:size val="5"/>
            <c:spPr>
              <a:solidFill>
                <a:srgbClr val="FFFF00"/>
              </a:solidFill>
              <a:ln w="6350">
                <a:solidFill>
                  <a:schemeClr val="tx1">
                    <a:lumMod val="95000"/>
                    <a:lumOff val="5000"/>
                  </a:schemeClr>
                </a:solidFill>
              </a:ln>
            </c:spPr>
          </c:marker>
          <c:cat>
            <c:multiLvlStrRef>
              <c:f>'Služby-příspěvkyk růstu-4'!$A$46:$B$77</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růstu-4'!$J$46:$J$77</c:f>
              <c:numCache>
                <c:formatCode>0.0</c:formatCode>
                <c:ptCount val="32"/>
                <c:pt idx="0">
                  <c:v>29.7</c:v>
                </c:pt>
                <c:pt idx="1">
                  <c:v>28.7</c:v>
                </c:pt>
                <c:pt idx="2">
                  <c:v>31.3</c:v>
                </c:pt>
                <c:pt idx="3">
                  <c:v>32.700000000000003</c:v>
                </c:pt>
                <c:pt idx="4">
                  <c:v>32.299999999999997</c:v>
                </c:pt>
                <c:pt idx="5">
                  <c:v>33</c:v>
                </c:pt>
                <c:pt idx="6">
                  <c:v>33</c:v>
                </c:pt>
                <c:pt idx="7">
                  <c:v>37.700000000000003</c:v>
                </c:pt>
                <c:pt idx="8">
                  <c:v>35.299999999999997</c:v>
                </c:pt>
                <c:pt idx="9">
                  <c:v>37.700000000000003</c:v>
                </c:pt>
                <c:pt idx="10">
                  <c:v>37.299999999999997</c:v>
                </c:pt>
                <c:pt idx="11">
                  <c:v>35.700000000000003</c:v>
                </c:pt>
                <c:pt idx="12">
                  <c:v>38.299999999999997</c:v>
                </c:pt>
                <c:pt idx="13">
                  <c:v>37</c:v>
                </c:pt>
                <c:pt idx="14">
                  <c:v>38.299999999999997</c:v>
                </c:pt>
                <c:pt idx="15">
                  <c:v>40.700000000000003</c:v>
                </c:pt>
                <c:pt idx="16">
                  <c:v>39.299999999999997</c:v>
                </c:pt>
                <c:pt idx="17">
                  <c:v>33.700000000000003</c:v>
                </c:pt>
                <c:pt idx="18">
                  <c:v>35</c:v>
                </c:pt>
                <c:pt idx="19">
                  <c:v>32.700000000000003</c:v>
                </c:pt>
                <c:pt idx="20">
                  <c:v>29</c:v>
                </c:pt>
                <c:pt idx="21">
                  <c:v>-13.3</c:v>
                </c:pt>
                <c:pt idx="22">
                  <c:v>1</c:v>
                </c:pt>
                <c:pt idx="23">
                  <c:v>-5</c:v>
                </c:pt>
                <c:pt idx="24">
                  <c:v>8</c:v>
                </c:pt>
                <c:pt idx="25">
                  <c:v>22.3</c:v>
                </c:pt>
                <c:pt idx="26">
                  <c:v>24.3</c:v>
                </c:pt>
                <c:pt idx="27">
                  <c:v>27</c:v>
                </c:pt>
                <c:pt idx="28">
                  <c:v>31</c:v>
                </c:pt>
                <c:pt idx="29">
                  <c:v>40</c:v>
                </c:pt>
                <c:pt idx="30">
                  <c:v>27.7</c:v>
                </c:pt>
                <c:pt idx="31">
                  <c:v>21.3</c:v>
                </c:pt>
              </c:numCache>
            </c:numRef>
          </c:val>
          <c:smooth val="0"/>
          <c:extLst>
            <c:ext xmlns:c16="http://schemas.microsoft.com/office/drawing/2014/chart" uri="{C3380CC4-5D6E-409C-BE32-E72D297353CC}">
              <c16:uniqueId val="{00000007-A4DA-4633-A4B7-E89D422C4C55}"/>
            </c:ext>
          </c:extLst>
        </c:ser>
        <c:ser>
          <c:idx val="8"/>
          <c:order val="8"/>
          <c:tx>
            <c:strRef>
              <c:f>'Služby-příspěvkyk růstu-4'!$K$33</c:f>
              <c:strCache>
                <c:ptCount val="1"/>
                <c:pt idx="0">
                  <c:v>Bariéra růstu: nedostatečná poptávka</c:v>
                </c:pt>
              </c:strCache>
            </c:strRef>
          </c:tx>
          <c:spPr>
            <a:ln w="15875">
              <a:solidFill>
                <a:srgbClr val="984807"/>
              </a:solidFill>
            </a:ln>
          </c:spPr>
          <c:marker>
            <c:symbol val="none"/>
          </c:marker>
          <c:cat>
            <c:multiLvlStrRef>
              <c:f>'Služby-příspěvkyk růstu-4'!$A$46:$B$77</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růstu-4'!$K$46:$K$77</c:f>
              <c:numCache>
                <c:formatCode>#\ ##0.0</c:formatCode>
                <c:ptCount val="32"/>
                <c:pt idx="0">
                  <c:v>26</c:v>
                </c:pt>
                <c:pt idx="1">
                  <c:v>29.3</c:v>
                </c:pt>
                <c:pt idx="2">
                  <c:v>26.1</c:v>
                </c:pt>
                <c:pt idx="3">
                  <c:v>24.7</c:v>
                </c:pt>
                <c:pt idx="4">
                  <c:v>23.3</c:v>
                </c:pt>
                <c:pt idx="5">
                  <c:v>25.1</c:v>
                </c:pt>
                <c:pt idx="6">
                  <c:v>20.2</c:v>
                </c:pt>
                <c:pt idx="7">
                  <c:v>24.4</c:v>
                </c:pt>
                <c:pt idx="8">
                  <c:v>25.8</c:v>
                </c:pt>
                <c:pt idx="9">
                  <c:v>20.5</c:v>
                </c:pt>
                <c:pt idx="10">
                  <c:v>18.399999999999999</c:v>
                </c:pt>
                <c:pt idx="11">
                  <c:v>21.6</c:v>
                </c:pt>
                <c:pt idx="12">
                  <c:v>16.899999999999999</c:v>
                </c:pt>
                <c:pt idx="13">
                  <c:v>19.399999999999999</c:v>
                </c:pt>
                <c:pt idx="14">
                  <c:v>17.899999999999999</c:v>
                </c:pt>
                <c:pt idx="15">
                  <c:v>20.7</c:v>
                </c:pt>
                <c:pt idx="16">
                  <c:v>20.6</c:v>
                </c:pt>
                <c:pt idx="17">
                  <c:v>16.899999999999999</c:v>
                </c:pt>
                <c:pt idx="18">
                  <c:v>20.5</c:v>
                </c:pt>
                <c:pt idx="19">
                  <c:v>14.4</c:v>
                </c:pt>
                <c:pt idx="20">
                  <c:v>21.3</c:v>
                </c:pt>
                <c:pt idx="21">
                  <c:v>30.2</c:v>
                </c:pt>
                <c:pt idx="22">
                  <c:v>30.4</c:v>
                </c:pt>
                <c:pt idx="23">
                  <c:v>39.200000000000003</c:v>
                </c:pt>
                <c:pt idx="24">
                  <c:v>34.799999999999997</c:v>
                </c:pt>
                <c:pt idx="25">
                  <c:v>36.799999999999997</c:v>
                </c:pt>
                <c:pt idx="26">
                  <c:v>28.9</c:v>
                </c:pt>
                <c:pt idx="27">
                  <c:v>26.3</c:v>
                </c:pt>
                <c:pt idx="28">
                  <c:v>31.6</c:v>
                </c:pt>
                <c:pt idx="29">
                  <c:v>15</c:v>
                </c:pt>
                <c:pt idx="30">
                  <c:v>30.2</c:v>
                </c:pt>
                <c:pt idx="31">
                  <c:v>17.600000000000001</c:v>
                </c:pt>
              </c:numCache>
            </c:numRef>
          </c:val>
          <c:smooth val="0"/>
          <c:extLst>
            <c:ext xmlns:c16="http://schemas.microsoft.com/office/drawing/2014/chart" uri="{C3380CC4-5D6E-409C-BE32-E72D297353CC}">
              <c16:uniqueId val="{00000008-A4DA-4633-A4B7-E89D422C4C55}"/>
            </c:ext>
          </c:extLst>
        </c:ser>
        <c:ser>
          <c:idx val="9"/>
          <c:order val="9"/>
          <c:tx>
            <c:strRef>
              <c:f>'Služby-příspěvkyk růstu-4'!$L$33</c:f>
              <c:strCache>
                <c:ptCount val="1"/>
                <c:pt idx="0">
                  <c:v>Bariéra růstu: nedostatek pracovníků</c:v>
                </c:pt>
              </c:strCache>
            </c:strRef>
          </c:tx>
          <c:spPr>
            <a:ln w="15875">
              <a:solidFill>
                <a:srgbClr val="984807"/>
              </a:solidFill>
              <a:prstDash val="sysDash"/>
            </a:ln>
          </c:spPr>
          <c:marker>
            <c:symbol val="none"/>
          </c:marker>
          <c:cat>
            <c:multiLvlStrRef>
              <c:f>'Služby-příspěvkyk růstu-4'!$A$46:$B$77</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'Služby-příspěvkyk růstu-4'!$L$46:$L$77</c:f>
              <c:numCache>
                <c:formatCode>#\ ##0.0</c:formatCode>
                <c:ptCount val="32"/>
                <c:pt idx="0">
                  <c:v>1.3</c:v>
                </c:pt>
                <c:pt idx="1">
                  <c:v>6</c:v>
                </c:pt>
                <c:pt idx="2">
                  <c:v>7.2</c:v>
                </c:pt>
                <c:pt idx="3">
                  <c:v>5.6</c:v>
                </c:pt>
                <c:pt idx="4">
                  <c:v>7.5</c:v>
                </c:pt>
                <c:pt idx="5">
                  <c:v>4.5</c:v>
                </c:pt>
                <c:pt idx="6">
                  <c:v>7.9</c:v>
                </c:pt>
                <c:pt idx="7">
                  <c:v>9.5</c:v>
                </c:pt>
                <c:pt idx="8">
                  <c:v>9.4</c:v>
                </c:pt>
                <c:pt idx="9">
                  <c:v>9.6999999999999993</c:v>
                </c:pt>
                <c:pt idx="10">
                  <c:v>9.8000000000000007</c:v>
                </c:pt>
                <c:pt idx="11">
                  <c:v>12.8</c:v>
                </c:pt>
                <c:pt idx="12">
                  <c:v>13.9</c:v>
                </c:pt>
                <c:pt idx="13">
                  <c:v>16.3</c:v>
                </c:pt>
                <c:pt idx="14">
                  <c:v>17.5</c:v>
                </c:pt>
                <c:pt idx="15">
                  <c:v>18.899999999999999</c:v>
                </c:pt>
                <c:pt idx="16">
                  <c:v>19.3</c:v>
                </c:pt>
                <c:pt idx="17">
                  <c:v>15</c:v>
                </c:pt>
                <c:pt idx="18">
                  <c:v>21.5</c:v>
                </c:pt>
                <c:pt idx="19">
                  <c:v>19.8</c:v>
                </c:pt>
                <c:pt idx="20">
                  <c:v>19.5</c:v>
                </c:pt>
                <c:pt idx="21">
                  <c:v>10</c:v>
                </c:pt>
                <c:pt idx="22">
                  <c:v>10</c:v>
                </c:pt>
                <c:pt idx="23">
                  <c:v>12.6</c:v>
                </c:pt>
                <c:pt idx="24">
                  <c:v>12.7</c:v>
                </c:pt>
                <c:pt idx="25">
                  <c:v>8.5</c:v>
                </c:pt>
                <c:pt idx="26">
                  <c:v>17.399999999999999</c:v>
                </c:pt>
                <c:pt idx="27">
                  <c:v>20.6</c:v>
                </c:pt>
                <c:pt idx="28">
                  <c:v>20.2</c:v>
                </c:pt>
                <c:pt idx="29">
                  <c:v>10.9</c:v>
                </c:pt>
                <c:pt idx="30">
                  <c:v>17.899999999999999</c:v>
                </c:pt>
                <c:pt idx="31">
                  <c:v>6.6</c:v>
                </c:pt>
              </c:numCache>
            </c:numRef>
          </c:val>
          <c:smooth val="0"/>
          <c:extLst>
            <c:ext xmlns:c16="http://schemas.microsoft.com/office/drawing/2014/chart" uri="{C3380CC4-5D6E-409C-BE32-E72D297353CC}">
              <c16:uniqueId val="{00000009-A4DA-4633-A4B7-E89D422C4C55}"/>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5"/>
          <c:min val="-21"/>
        </c:scaling>
        <c:delete val="0"/>
        <c:axPos val="l"/>
        <c:majorGridlines>
          <c:spPr>
            <a:ln w="6350">
              <a:solidFill>
                <a:schemeClr val="bg1">
                  <a:lumMod val="75000"/>
                </a:schemeClr>
              </a:solidFill>
            </a:ln>
          </c:spPr>
        </c:majorGridlines>
        <c:title>
          <c:tx>
            <c:rich>
              <a:bodyPr/>
              <a:lstStyle/>
              <a:p>
                <a:pPr>
                  <a:defRPr sz="700" b="0" i="1"/>
                </a:pPr>
                <a:r>
                  <a:rPr lang="cs-CZ" sz="700" b="0" i="1"/>
                  <a:t>Příspěvky ke změně tržeb ve službách</a:t>
                </a:r>
              </a:p>
            </c:rich>
          </c:tx>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3"/>
      </c:valAx>
      <c:valAx>
        <c:axId val="156575232"/>
        <c:scaling>
          <c:orientation val="minMax"/>
          <c:max val="100"/>
          <c:min val="-20"/>
        </c:scaling>
        <c:delete val="0"/>
        <c:axPos val="r"/>
        <c:title>
          <c:tx>
            <c:rich>
              <a:bodyPr/>
              <a:lstStyle/>
              <a:p>
                <a:pPr>
                  <a:defRPr sz="700" b="0" i="1"/>
                </a:pPr>
                <a:r>
                  <a:rPr lang="cs-CZ" sz="700" b="0" i="1"/>
                  <a:t>Saldo důvěry, bariéry růstu</a:t>
                </a:r>
              </a:p>
            </c:rich>
          </c:tx>
          <c:layout>
            <c:manualLayout>
              <c:xMode val="edge"/>
              <c:yMode val="edge"/>
              <c:x val="0.97060568193100361"/>
              <c:y val="0.20830133644625787"/>
            </c:manualLayout>
          </c:layout>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1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solidFill>
        </a:ln>
      </c:spPr>
    </c:plotArea>
    <c:legend>
      <c:legendPos val="r"/>
      <c:layout>
        <c:manualLayout>
          <c:xMode val="edge"/>
          <c:yMode val="edge"/>
          <c:x val="6.4054887921738678E-5"/>
          <c:y val="0.81821506531821531"/>
          <c:w val="0.98649823440865303"/>
          <c:h val="0.17117269183021638"/>
        </c:manualLayout>
      </c:layout>
      <c:overlay val="0"/>
      <c:spPr>
        <a:ln w="6350">
          <a:solidFill>
            <a:schemeClr val="tx1"/>
          </a:solidFill>
        </a:ln>
      </c:spPr>
      <c:txPr>
        <a:bodyPr/>
        <a:lstStyle/>
        <a:p>
          <a:pPr>
            <a:defRPr sz="80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21841398004213E-2"/>
          <c:y val="1.5803328678987455E-2"/>
          <c:w val="0.85082101335719373"/>
          <c:h val="0.74167997750452275"/>
        </c:manualLayout>
      </c:layout>
      <c:barChart>
        <c:barDir val="col"/>
        <c:grouping val="stacked"/>
        <c:varyColors val="0"/>
        <c:ser>
          <c:idx val="0"/>
          <c:order val="1"/>
          <c:tx>
            <c:strRef>
              <c:f>'výkonnost odvětví 5a'!$E$66</c:f>
              <c:strCache>
                <c:ptCount val="1"/>
                <c:pt idx="0">
                  <c:v>Maloobchod s potravinami (příspěvek)</c:v>
                </c:pt>
              </c:strCache>
            </c:strRef>
          </c:tx>
          <c:spPr>
            <a:solidFill>
              <a:srgbClr val="92D050"/>
            </a:solidFill>
            <a:ln w="15875">
              <a:noFill/>
            </a:ln>
          </c:spPr>
          <c:invertIfNegative val="0"/>
          <c:cat>
            <c:multiLvlStrRef>
              <c:f>'výkonnost odvětví 5a'!$B$67:$C$98</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5a'!$E$67:$E$98</c:f>
              <c:numCache>
                <c:formatCode>#\ ##0.0</c:formatCode>
                <c:ptCount val="32"/>
                <c:pt idx="0">
                  <c:v>1.7954327905527792</c:v>
                </c:pt>
                <c:pt idx="1">
                  <c:v>1.1808546019719848</c:v>
                </c:pt>
                <c:pt idx="2">
                  <c:v>1.8980626361950699</c:v>
                </c:pt>
                <c:pt idx="3">
                  <c:v>1.4512639246986698</c:v>
                </c:pt>
                <c:pt idx="4">
                  <c:v>1.7579883859404466</c:v>
                </c:pt>
                <c:pt idx="5">
                  <c:v>1.4597731408051364</c:v>
                </c:pt>
                <c:pt idx="6">
                  <c:v>0.98265625342777962</c:v>
                </c:pt>
                <c:pt idx="7">
                  <c:v>-8.3656474326988126E-2</c:v>
                </c:pt>
                <c:pt idx="8">
                  <c:v>0.72062441913635855</c:v>
                </c:pt>
                <c:pt idx="9">
                  <c:v>1.3316246689651579</c:v>
                </c:pt>
                <c:pt idx="10">
                  <c:v>1.1433353439469673</c:v>
                </c:pt>
                <c:pt idx="11">
                  <c:v>0.89977373461403121</c:v>
                </c:pt>
                <c:pt idx="12">
                  <c:v>1.5115509798562692</c:v>
                </c:pt>
                <c:pt idx="13">
                  <c:v>0.54228532610479807</c:v>
                </c:pt>
                <c:pt idx="14">
                  <c:v>0.9848486498674448</c:v>
                </c:pt>
                <c:pt idx="15">
                  <c:v>0.4620082520491276</c:v>
                </c:pt>
                <c:pt idx="16">
                  <c:v>0.67301078642127354</c:v>
                </c:pt>
                <c:pt idx="17">
                  <c:v>1.197574945306275</c:v>
                </c:pt>
                <c:pt idx="18">
                  <c:v>0.63652202044636175</c:v>
                </c:pt>
                <c:pt idx="19">
                  <c:v>0.62331153305833609</c:v>
                </c:pt>
                <c:pt idx="20">
                  <c:v>0.96372431228354527</c:v>
                </c:pt>
                <c:pt idx="21">
                  <c:v>-1.1892501751301237</c:v>
                </c:pt>
                <c:pt idx="22">
                  <c:v>-0.41434297088657085</c:v>
                </c:pt>
                <c:pt idx="23">
                  <c:v>0.2523159215096436</c:v>
                </c:pt>
                <c:pt idx="24">
                  <c:v>-0.45560759819109747</c:v>
                </c:pt>
                <c:pt idx="25">
                  <c:v>0.43675419622644712</c:v>
                </c:pt>
                <c:pt idx="26">
                  <c:v>-0.30064320672318345</c:v>
                </c:pt>
                <c:pt idx="27">
                  <c:v>-0.18775849051188609</c:v>
                </c:pt>
                <c:pt idx="28">
                  <c:v>-0.51549456327988796</c:v>
                </c:pt>
                <c:pt idx="29">
                  <c:v>-1.4600466044669602</c:v>
                </c:pt>
                <c:pt idx="30">
                  <c:v>-2.0323816050311585</c:v>
                </c:pt>
              </c:numCache>
            </c:numRef>
          </c:val>
          <c:extLst>
            <c:ext xmlns:c16="http://schemas.microsoft.com/office/drawing/2014/chart" uri="{C3380CC4-5D6E-409C-BE32-E72D297353CC}">
              <c16:uniqueId val="{00000000-4C8D-4573-9B1A-4E6420973128}"/>
            </c:ext>
          </c:extLst>
        </c:ser>
        <c:ser>
          <c:idx val="1"/>
          <c:order val="2"/>
          <c:tx>
            <c:strRef>
              <c:f>'výkonnost odvětví 5a'!$F$66</c:f>
              <c:strCache>
                <c:ptCount val="1"/>
                <c:pt idx="0">
                  <c:v>Mal. s nepotravinářským zbož. (příspěvek)</c:v>
                </c:pt>
              </c:strCache>
            </c:strRef>
          </c:tx>
          <c:spPr>
            <a:solidFill>
              <a:schemeClr val="accent1">
                <a:lumMod val="40000"/>
                <a:lumOff val="60000"/>
              </a:schemeClr>
            </a:solidFill>
            <a:ln w="15875">
              <a:noFill/>
            </a:ln>
          </c:spPr>
          <c:invertIfNegative val="0"/>
          <c:cat>
            <c:multiLvlStrRef>
              <c:f>'výkonnost odvětví 5a'!$B$67:$C$98</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5a'!$F$67:$F$98</c:f>
              <c:numCache>
                <c:formatCode>#\ ##0.0</c:formatCode>
                <c:ptCount val="32"/>
                <c:pt idx="0">
                  <c:v>3.5348176440085202</c:v>
                </c:pt>
                <c:pt idx="1">
                  <c:v>4.0403927957890904</c:v>
                </c:pt>
                <c:pt idx="2">
                  <c:v>2.8491583908636735</c:v>
                </c:pt>
                <c:pt idx="3">
                  <c:v>3.7649034189564579</c:v>
                </c:pt>
                <c:pt idx="4">
                  <c:v>2.9159862756005075</c:v>
                </c:pt>
                <c:pt idx="5">
                  <c:v>2.6692840179601967</c:v>
                </c:pt>
                <c:pt idx="6">
                  <c:v>3.351758458558816</c:v>
                </c:pt>
                <c:pt idx="7">
                  <c:v>3.6403131961317063</c:v>
                </c:pt>
                <c:pt idx="8">
                  <c:v>4.2755993300345949</c:v>
                </c:pt>
                <c:pt idx="9">
                  <c:v>4.6181656067499972</c:v>
                </c:pt>
                <c:pt idx="10">
                  <c:v>4.1974804776960797</c:v>
                </c:pt>
                <c:pt idx="11">
                  <c:v>4.8260964478037458</c:v>
                </c:pt>
                <c:pt idx="12">
                  <c:v>4.1871547212750038</c:v>
                </c:pt>
                <c:pt idx="13">
                  <c:v>3.5059801620938762</c:v>
                </c:pt>
                <c:pt idx="14">
                  <c:v>2.8195561267975422</c:v>
                </c:pt>
                <c:pt idx="15">
                  <c:v>3.9521324238297022</c:v>
                </c:pt>
                <c:pt idx="16">
                  <c:v>4.4423302425101463</c:v>
                </c:pt>
                <c:pt idx="17">
                  <c:v>3.3722130230140674</c:v>
                </c:pt>
                <c:pt idx="18">
                  <c:v>3.7144530757170515</c:v>
                </c:pt>
                <c:pt idx="19">
                  <c:v>3.4471029244431421</c:v>
                </c:pt>
                <c:pt idx="20">
                  <c:v>4.0056202134999976E-2</c:v>
                </c:pt>
                <c:pt idx="21">
                  <c:v>0.37119655070725915</c:v>
                </c:pt>
                <c:pt idx="22">
                  <c:v>1.7563841743771158</c:v>
                </c:pt>
                <c:pt idx="23">
                  <c:v>-1.0635995175948736</c:v>
                </c:pt>
                <c:pt idx="24">
                  <c:v>1.0565069627889698</c:v>
                </c:pt>
                <c:pt idx="25">
                  <c:v>5.7180806581158485</c:v>
                </c:pt>
                <c:pt idx="26">
                  <c:v>3.8086850458419526</c:v>
                </c:pt>
                <c:pt idx="27">
                  <c:v>5.2451695472478281</c:v>
                </c:pt>
                <c:pt idx="28">
                  <c:v>5.4605957230962723</c:v>
                </c:pt>
                <c:pt idx="29">
                  <c:v>-1.0836129740522915</c:v>
                </c:pt>
                <c:pt idx="30">
                  <c:v>-3.8351231134396362</c:v>
                </c:pt>
              </c:numCache>
            </c:numRef>
          </c:val>
          <c:extLst>
            <c:ext xmlns:c16="http://schemas.microsoft.com/office/drawing/2014/chart" uri="{C3380CC4-5D6E-409C-BE32-E72D297353CC}">
              <c16:uniqueId val="{00000001-4C8D-4573-9B1A-4E6420973128}"/>
            </c:ext>
          </c:extLst>
        </c:ser>
        <c:ser>
          <c:idx val="4"/>
          <c:order val="3"/>
          <c:tx>
            <c:strRef>
              <c:f>'výkonnost odvětví 5a'!$G$66</c:f>
              <c:strCache>
                <c:ptCount val="1"/>
                <c:pt idx="0">
                  <c:v>Maloobchodní prodej PHM (příspěvek)</c:v>
                </c:pt>
              </c:strCache>
            </c:strRef>
          </c:tx>
          <c:spPr>
            <a:solidFill>
              <a:srgbClr val="FFFF00"/>
            </a:solidFill>
            <a:ln w="15875">
              <a:noFill/>
            </a:ln>
          </c:spPr>
          <c:invertIfNegative val="0"/>
          <c:cat>
            <c:multiLvlStrRef>
              <c:f>'výkonnost odvětví 5a'!$B$67:$C$98</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5a'!$G$67:$G$98</c:f>
              <c:numCache>
                <c:formatCode>#\ ##0.0</c:formatCode>
                <c:ptCount val="32"/>
                <c:pt idx="0">
                  <c:v>0.75373799686577747</c:v>
                </c:pt>
                <c:pt idx="1">
                  <c:v>0.58821059894444772</c:v>
                </c:pt>
                <c:pt idx="2">
                  <c:v>0.79387895299348521</c:v>
                </c:pt>
                <c:pt idx="3">
                  <c:v>0.93965372963044991</c:v>
                </c:pt>
                <c:pt idx="4">
                  <c:v>0.67343888771248017</c:v>
                </c:pt>
                <c:pt idx="5">
                  <c:v>0.7046260190280581</c:v>
                </c:pt>
                <c:pt idx="6">
                  <c:v>0.62808372581017557</c:v>
                </c:pt>
                <c:pt idx="7">
                  <c:v>0.62560948668929184</c:v>
                </c:pt>
                <c:pt idx="8">
                  <c:v>0.53739987511050791</c:v>
                </c:pt>
                <c:pt idx="9">
                  <c:v>0.77313131276884206</c:v>
                </c:pt>
                <c:pt idx="10">
                  <c:v>0.84835732550660725</c:v>
                </c:pt>
                <c:pt idx="11">
                  <c:v>0.68455496519870973</c:v>
                </c:pt>
                <c:pt idx="12">
                  <c:v>0.67556451520783956</c:v>
                </c:pt>
                <c:pt idx="13">
                  <c:v>0.59080209268699757</c:v>
                </c:pt>
                <c:pt idx="14">
                  <c:v>0.37399638976140798</c:v>
                </c:pt>
                <c:pt idx="15">
                  <c:v>0.42680859486818856</c:v>
                </c:pt>
                <c:pt idx="16">
                  <c:v>0.55628133832534898</c:v>
                </c:pt>
                <c:pt idx="17">
                  <c:v>0.2629025576100007</c:v>
                </c:pt>
                <c:pt idx="18">
                  <c:v>0.19439517076933396</c:v>
                </c:pt>
                <c:pt idx="19">
                  <c:v>5.585559339908714E-2</c:v>
                </c:pt>
                <c:pt idx="20">
                  <c:v>-0.76759105911378023</c:v>
                </c:pt>
                <c:pt idx="21">
                  <c:v>-2.0525636652551786</c:v>
                </c:pt>
                <c:pt idx="22">
                  <c:v>-4.8190565938666122E-2</c:v>
                </c:pt>
                <c:pt idx="23">
                  <c:v>-1.2030433782358603</c:v>
                </c:pt>
                <c:pt idx="24">
                  <c:v>-0.80249013033675154</c:v>
                </c:pt>
                <c:pt idx="25">
                  <c:v>1.0345884225732003</c:v>
                </c:pt>
                <c:pt idx="26">
                  <c:v>0.39020781556166589</c:v>
                </c:pt>
                <c:pt idx="27">
                  <c:v>0.99376502890666796</c:v>
                </c:pt>
                <c:pt idx="28">
                  <c:v>1.4238597783800477</c:v>
                </c:pt>
                <c:pt idx="29">
                  <c:v>-0.42444319481434362</c:v>
                </c:pt>
                <c:pt idx="30">
                  <c:v>-1.2179104810302597</c:v>
                </c:pt>
              </c:numCache>
            </c:numRef>
          </c:val>
          <c:extLst>
            <c:ext xmlns:c16="http://schemas.microsoft.com/office/drawing/2014/chart" uri="{C3380CC4-5D6E-409C-BE32-E72D297353CC}">
              <c16:uniqueId val="{00000002-4C8D-4573-9B1A-4E6420973128}"/>
            </c:ext>
          </c:extLst>
        </c:ser>
        <c:dLbls>
          <c:showLegendKey val="0"/>
          <c:showVal val="0"/>
          <c:showCatName val="0"/>
          <c:showSerName val="0"/>
          <c:showPercent val="0"/>
          <c:showBubbleSize val="0"/>
        </c:dLbls>
        <c:gapWidth val="31"/>
        <c:overlap val="100"/>
        <c:axId val="156100864"/>
        <c:axId val="156573696"/>
      </c:barChart>
      <c:lineChart>
        <c:grouping val="standard"/>
        <c:varyColors val="0"/>
        <c:ser>
          <c:idx val="3"/>
          <c:order val="0"/>
          <c:tx>
            <c:strRef>
              <c:f>'výkonnost odvětví 5a'!$D$66</c:f>
              <c:strCache>
                <c:ptCount val="1"/>
                <c:pt idx="0">
                  <c:v>Maloobchod celkem (meziroční růst)</c:v>
                </c:pt>
              </c:strCache>
            </c:strRef>
          </c:tx>
          <c:spPr>
            <a:ln>
              <a:noFill/>
            </a:ln>
          </c:spPr>
          <c:marker>
            <c:symbol val="dash"/>
            <c:size val="7"/>
            <c:spPr>
              <a:solidFill>
                <a:schemeClr val="tx1">
                  <a:lumMod val="85000"/>
                  <a:lumOff val="15000"/>
                </a:schemeClr>
              </a:solidFill>
              <a:ln w="6350">
                <a:noFill/>
              </a:ln>
            </c:spPr>
          </c:marker>
          <c:cat>
            <c:multiLvlStrRef>
              <c:f>'výkonnost odvětví 5a'!$B$67:$C$98</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5a'!$D$67:$D$98</c:f>
              <c:numCache>
                <c:formatCode>#\ ##0.0</c:formatCode>
                <c:ptCount val="32"/>
                <c:pt idx="0">
                  <c:v>5.9629437730999939</c:v>
                </c:pt>
                <c:pt idx="1">
                  <c:v>5.5942049784000005</c:v>
                </c:pt>
                <c:pt idx="2">
                  <c:v>5.5012484798999992</c:v>
                </c:pt>
                <c:pt idx="3">
                  <c:v>6.0276233044999969</c:v>
                </c:pt>
                <c:pt idx="4">
                  <c:v>5.2867215003000041</c:v>
                </c:pt>
                <c:pt idx="5">
                  <c:v>4.7635779651999997</c:v>
                </c:pt>
                <c:pt idx="6">
                  <c:v>4.7795776032999981</c:v>
                </c:pt>
                <c:pt idx="7">
                  <c:v>3.8964899322999997</c:v>
                </c:pt>
                <c:pt idx="8">
                  <c:v>5.2310555753000045</c:v>
                </c:pt>
                <c:pt idx="9">
                  <c:v>6.4725508764000068</c:v>
                </c:pt>
                <c:pt idx="10">
                  <c:v>5.9734111239999947</c:v>
                </c:pt>
                <c:pt idx="11">
                  <c:v>6.1682850682000065</c:v>
                </c:pt>
                <c:pt idx="12">
                  <c:v>6.3413097881000056</c:v>
                </c:pt>
                <c:pt idx="13">
                  <c:v>4.6706928929999947</c:v>
                </c:pt>
                <c:pt idx="14">
                  <c:v>4.2011641704000056</c:v>
                </c:pt>
                <c:pt idx="15">
                  <c:v>4.8161828603000032</c:v>
                </c:pt>
                <c:pt idx="16">
                  <c:v>5.6584053785000066</c:v>
                </c:pt>
                <c:pt idx="17">
                  <c:v>4.8300705571000009</c:v>
                </c:pt>
                <c:pt idx="18">
                  <c:v>4.5406581594999977</c:v>
                </c:pt>
                <c:pt idx="19">
                  <c:v>4.196988668399996</c:v>
                </c:pt>
                <c:pt idx="20">
                  <c:v>0.12908216239999604</c:v>
                </c:pt>
                <c:pt idx="21">
                  <c:v>-2.8976566770000005</c:v>
                </c:pt>
                <c:pt idx="22">
                  <c:v>1.3167079177000005</c:v>
                </c:pt>
                <c:pt idx="23">
                  <c:v>-2.0203436890000006</c:v>
                </c:pt>
                <c:pt idx="24">
                  <c:v>-0.22508043409999345</c:v>
                </c:pt>
                <c:pt idx="25">
                  <c:v>7.2735882146999984</c:v>
                </c:pt>
                <c:pt idx="26">
                  <c:v>3.9152922324999935</c:v>
                </c:pt>
                <c:pt idx="27">
                  <c:v>6.1643203046999986</c:v>
                </c:pt>
                <c:pt idx="28">
                  <c:v>6.3656713426999971</c:v>
                </c:pt>
                <c:pt idx="29">
                  <c:v>-2.9668378195000003</c:v>
                </c:pt>
                <c:pt idx="30">
                  <c:v>-7.0854213390999945</c:v>
                </c:pt>
              </c:numCache>
            </c:numRef>
          </c:val>
          <c:smooth val="0"/>
          <c:extLst>
            <c:ext xmlns:c16="http://schemas.microsoft.com/office/drawing/2014/chart" uri="{C3380CC4-5D6E-409C-BE32-E72D297353CC}">
              <c16:uniqueId val="{00000003-4C8D-4573-9B1A-4E6420973128}"/>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5"/>
          <c:order val="4"/>
          <c:tx>
            <c:strRef>
              <c:f>'výkonnost odvětví 5a'!$H$66</c:f>
              <c:strCache>
                <c:ptCount val="1"/>
                <c:pt idx="0">
                  <c:v>Maloobchod, bez motor. segm. (2015=100)</c:v>
                </c:pt>
              </c:strCache>
            </c:strRef>
          </c:tx>
          <c:spPr>
            <a:ln w="15875">
              <a:solidFill>
                <a:schemeClr val="tx1">
                  <a:lumMod val="95000"/>
                  <a:lumOff val="5000"/>
                </a:schemeClr>
              </a:solidFill>
              <a:prstDash val="solid"/>
            </a:ln>
          </c:spPr>
          <c:marker>
            <c:symbol val="none"/>
          </c:marker>
          <c:cat>
            <c:multiLvlStrRef>
              <c:f>'výkonnost odvětví 5a'!$B$67:$C$98</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5a'!$H$67:$H$98</c:f>
              <c:numCache>
                <c:formatCode>#\ ##0.0</c:formatCode>
                <c:ptCount val="32"/>
                <c:pt idx="0">
                  <c:v>98.182102983299998</c:v>
                </c:pt>
                <c:pt idx="1">
                  <c:v>99.137603143299998</c:v>
                </c:pt>
                <c:pt idx="2">
                  <c:v>100.17900292</c:v>
                </c:pt>
                <c:pt idx="3">
                  <c:v>102.5012909667</c:v>
                </c:pt>
                <c:pt idx="4">
                  <c:v>103.1357140333</c:v>
                </c:pt>
                <c:pt idx="5">
                  <c:v>103.9351803667</c:v>
                </c:pt>
                <c:pt idx="6">
                  <c:v>105.1890714</c:v>
                </c:pt>
                <c:pt idx="7">
                  <c:v>106.6400906667</c:v>
                </c:pt>
                <c:pt idx="8">
                  <c:v>108.2930209</c:v>
                </c:pt>
                <c:pt idx="9">
                  <c:v>110.5603038667</c:v>
                </c:pt>
                <c:pt idx="10">
                  <c:v>111.7185620333</c:v>
                </c:pt>
                <c:pt idx="11">
                  <c:v>113.10479650000001</c:v>
                </c:pt>
                <c:pt idx="12">
                  <c:v>114.79604070000001</c:v>
                </c:pt>
                <c:pt idx="13">
                  <c:v>115.93791803329999</c:v>
                </c:pt>
                <c:pt idx="14">
                  <c:v>116.7740435</c:v>
                </c:pt>
                <c:pt idx="15">
                  <c:v>118.4401407667</c:v>
                </c:pt>
                <c:pt idx="16">
                  <c:v>120.8630658333</c:v>
                </c:pt>
                <c:pt idx="17">
                  <c:v>121.79026133000001</c:v>
                </c:pt>
                <c:pt idx="18">
                  <c:v>122.36688694670001</c:v>
                </c:pt>
                <c:pt idx="19">
                  <c:v>123.29103059329999</c:v>
                </c:pt>
                <c:pt idx="20">
                  <c:v>120.69862361</c:v>
                </c:pt>
                <c:pt idx="21">
                  <c:v>118.79257757000001</c:v>
                </c:pt>
                <c:pt idx="22">
                  <c:v>124.45742695</c:v>
                </c:pt>
                <c:pt idx="23">
                  <c:v>120.35418919999999</c:v>
                </c:pt>
                <c:pt idx="24">
                  <c:v>118.8138527567</c:v>
                </c:pt>
                <c:pt idx="25">
                  <c:v>127.69453672669999</c:v>
                </c:pt>
                <c:pt idx="26">
                  <c:v>130.1842819933</c:v>
                </c:pt>
                <c:pt idx="27">
                  <c:v>128.10368428999999</c:v>
                </c:pt>
                <c:pt idx="28">
                  <c:v>126.8445376633</c:v>
                </c:pt>
                <c:pt idx="29">
                  <c:v>123.52209386</c:v>
                </c:pt>
                <c:pt idx="30">
                  <c:v>121.02139153</c:v>
                </c:pt>
              </c:numCache>
            </c:numRef>
          </c:val>
          <c:smooth val="0"/>
          <c:extLst>
            <c:ext xmlns:c16="http://schemas.microsoft.com/office/drawing/2014/chart" uri="{C3380CC4-5D6E-409C-BE32-E72D297353CC}">
              <c16:uniqueId val="{00000004-4C8D-4573-9B1A-4E6420973128}"/>
            </c:ext>
          </c:extLst>
        </c:ser>
        <c:ser>
          <c:idx val="2"/>
          <c:order val="5"/>
          <c:tx>
            <c:strRef>
              <c:f>'výkonnost odvětví 5a'!$I$66</c:f>
              <c:strCache>
                <c:ptCount val="1"/>
                <c:pt idx="0">
                  <c:v>Maloobchodní prodej PHM (2015=100)</c:v>
                </c:pt>
              </c:strCache>
            </c:strRef>
          </c:tx>
          <c:spPr>
            <a:ln w="15875">
              <a:solidFill>
                <a:schemeClr val="bg2">
                  <a:lumMod val="50000"/>
                </a:schemeClr>
              </a:solidFill>
              <a:prstDash val="sysDash"/>
            </a:ln>
          </c:spPr>
          <c:marker>
            <c:symbol val="none"/>
          </c:marker>
          <c:cat>
            <c:multiLvlStrRef>
              <c:f>'výkonnost odvětví 5a'!$B$67:$C$98</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5a'!$I$67:$I$98</c:f>
              <c:numCache>
                <c:formatCode>#\ ##0.0</c:formatCode>
                <c:ptCount val="32"/>
                <c:pt idx="0">
                  <c:v>99.513139306699998</c:v>
                </c:pt>
                <c:pt idx="1">
                  <c:v>98.324028400000003</c:v>
                </c:pt>
                <c:pt idx="2">
                  <c:v>99.345746030000001</c:v>
                </c:pt>
                <c:pt idx="3">
                  <c:v>102.8170862667</c:v>
                </c:pt>
                <c:pt idx="4">
                  <c:v>104.4080196</c:v>
                </c:pt>
                <c:pt idx="5">
                  <c:v>103.7612565667</c:v>
                </c:pt>
                <c:pt idx="6">
                  <c:v>103.8894186</c:v>
                </c:pt>
                <c:pt idx="7">
                  <c:v>108.06889986669999</c:v>
                </c:pt>
                <c:pt idx="8">
                  <c:v>108.9125654667</c:v>
                </c:pt>
                <c:pt idx="9">
                  <c:v>110.0281492667</c:v>
                </c:pt>
                <c:pt idx="10">
                  <c:v>110.2481697333</c:v>
                </c:pt>
                <c:pt idx="11">
                  <c:v>114.9077460667</c:v>
                </c:pt>
                <c:pt idx="12">
                  <c:v>115.15612109999999</c:v>
                </c:pt>
                <c:pt idx="13">
                  <c:v>115.32029416669999</c:v>
                </c:pt>
                <c:pt idx="14">
                  <c:v>113.3013183333</c:v>
                </c:pt>
                <c:pt idx="15">
                  <c:v>118.5502795</c:v>
                </c:pt>
                <c:pt idx="16">
                  <c:v>120.6878189267</c:v>
                </c:pt>
                <c:pt idx="17">
                  <c:v>117.99417203</c:v>
                </c:pt>
                <c:pt idx="18">
                  <c:v>114.4818178733</c:v>
                </c:pt>
                <c:pt idx="19">
                  <c:v>119.4088204933</c:v>
                </c:pt>
                <c:pt idx="20">
                  <c:v>113.0155670067</c:v>
                </c:pt>
                <c:pt idx="21">
                  <c:v>97.645228860000003</c:v>
                </c:pt>
                <c:pt idx="22">
                  <c:v>113.35676879330001</c:v>
                </c:pt>
                <c:pt idx="23">
                  <c:v>105.9359390533</c:v>
                </c:pt>
                <c:pt idx="24">
                  <c:v>104.1611650867</c:v>
                </c:pt>
                <c:pt idx="25">
                  <c:v>110.80961229</c:v>
                </c:pt>
                <c:pt idx="26">
                  <c:v>117.4384127467</c:v>
                </c:pt>
                <c:pt idx="27">
                  <c:v>114.4217492933</c:v>
                </c:pt>
                <c:pt idx="28">
                  <c:v>116.0300498167</c:v>
                </c:pt>
                <c:pt idx="29">
                  <c:v>107.0406866233</c:v>
                </c:pt>
                <c:pt idx="30">
                  <c:v>106.07107391</c:v>
                </c:pt>
              </c:numCache>
            </c:numRef>
          </c:val>
          <c:smooth val="0"/>
          <c:extLst>
            <c:ext xmlns:c16="http://schemas.microsoft.com/office/drawing/2014/chart" uri="{C3380CC4-5D6E-409C-BE32-E72D297353CC}">
              <c16:uniqueId val="{00000005-4C8D-4573-9B1A-4E6420973128}"/>
            </c:ext>
          </c:extLst>
        </c:ser>
        <c:ser>
          <c:idx val="6"/>
          <c:order val="6"/>
          <c:tx>
            <c:strRef>
              <c:f>'výkonnost odvětví 5a'!$J$66</c:f>
              <c:strCache>
                <c:ptCount val="1"/>
                <c:pt idx="0">
                  <c:v>Obchod a opravy motor. vozidel (2015=100)</c:v>
                </c:pt>
              </c:strCache>
            </c:strRef>
          </c:tx>
          <c:spPr>
            <a:ln w="15875">
              <a:solidFill>
                <a:srgbClr val="984807"/>
              </a:solidFill>
              <a:prstDash val="solid"/>
            </a:ln>
          </c:spPr>
          <c:marker>
            <c:symbol val="none"/>
          </c:marker>
          <c:cat>
            <c:multiLvlStrRef>
              <c:f>'výkonnost odvětví 5a'!$B$67:$C$98</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5a'!$J$67:$J$98</c:f>
              <c:numCache>
                <c:formatCode>#\ ##0.0</c:formatCode>
                <c:ptCount val="32"/>
                <c:pt idx="0">
                  <c:v>95.697367796699993</c:v>
                </c:pt>
                <c:pt idx="1">
                  <c:v>98.531720309999997</c:v>
                </c:pt>
                <c:pt idx="2">
                  <c:v>101.3260702667</c:v>
                </c:pt>
                <c:pt idx="3">
                  <c:v>104.4448416333</c:v>
                </c:pt>
                <c:pt idx="4">
                  <c:v>105.1626406667</c:v>
                </c:pt>
                <c:pt idx="5">
                  <c:v>106.8068112</c:v>
                </c:pt>
                <c:pt idx="6">
                  <c:v>108.91789203330001</c:v>
                </c:pt>
                <c:pt idx="7">
                  <c:v>109.8263580333</c:v>
                </c:pt>
                <c:pt idx="8">
                  <c:v>111.08373136669999</c:v>
                </c:pt>
                <c:pt idx="9">
                  <c:v>111.3580627667</c:v>
                </c:pt>
                <c:pt idx="10">
                  <c:v>109.57350293330001</c:v>
                </c:pt>
                <c:pt idx="11">
                  <c:v>112.0391699333</c:v>
                </c:pt>
                <c:pt idx="12">
                  <c:v>110.5959055333</c:v>
                </c:pt>
                <c:pt idx="13">
                  <c:v>109.9283487667</c:v>
                </c:pt>
                <c:pt idx="14">
                  <c:v>108.9107659</c:v>
                </c:pt>
                <c:pt idx="15">
                  <c:v>106.41696349999999</c:v>
                </c:pt>
                <c:pt idx="16">
                  <c:v>109.54775435329999</c:v>
                </c:pt>
                <c:pt idx="17">
                  <c:v>110.8073262667</c:v>
                </c:pt>
                <c:pt idx="18">
                  <c:v>109.5778583733</c:v>
                </c:pt>
                <c:pt idx="19">
                  <c:v>110.06150255670001</c:v>
                </c:pt>
                <c:pt idx="20">
                  <c:v>96.457729993300006</c:v>
                </c:pt>
                <c:pt idx="21">
                  <c:v>77.460500006700002</c:v>
                </c:pt>
                <c:pt idx="22">
                  <c:v>100.4926849</c:v>
                </c:pt>
                <c:pt idx="23">
                  <c:v>102.1841167867</c:v>
                </c:pt>
                <c:pt idx="24">
                  <c:v>102.6393273067</c:v>
                </c:pt>
                <c:pt idx="25">
                  <c:v>105.1354329</c:v>
                </c:pt>
                <c:pt idx="26">
                  <c:v>99.389720890000007</c:v>
                </c:pt>
                <c:pt idx="27">
                  <c:v>97.988759779999995</c:v>
                </c:pt>
                <c:pt idx="28">
                  <c:v>98.355937710000006</c:v>
                </c:pt>
                <c:pt idx="29">
                  <c:v>96.723569316699994</c:v>
                </c:pt>
                <c:pt idx="30">
                  <c:v>95.835509500000001</c:v>
                </c:pt>
              </c:numCache>
            </c:numRef>
          </c:val>
          <c:smooth val="0"/>
          <c:extLst>
            <c:ext xmlns:c16="http://schemas.microsoft.com/office/drawing/2014/chart" uri="{C3380CC4-5D6E-409C-BE32-E72D297353CC}">
              <c16:uniqueId val="{00000006-4C8D-4573-9B1A-4E6420973128}"/>
            </c:ext>
          </c:extLst>
        </c:ser>
        <c:ser>
          <c:idx val="7"/>
          <c:order val="7"/>
          <c:tx>
            <c:strRef>
              <c:f>'výkonnost odvětví 5a'!$K$66</c:f>
              <c:strCache>
                <c:ptCount val="1"/>
                <c:pt idx="0">
                  <c:v>Saldo indikátoru důvěry spotřebitelů</c:v>
                </c:pt>
              </c:strCache>
            </c:strRef>
          </c:tx>
          <c:spPr>
            <a:ln w="3175">
              <a:solidFill>
                <a:schemeClr val="bg1">
                  <a:lumMod val="50000"/>
                </a:schemeClr>
              </a:solidFill>
              <a:prstDash val="sysDash"/>
            </a:ln>
          </c:spPr>
          <c:marker>
            <c:symbol val="diamond"/>
            <c:size val="5"/>
            <c:spPr>
              <a:solidFill>
                <a:srgbClr val="FFFF00"/>
              </a:solidFill>
              <a:ln w="3175">
                <a:solidFill>
                  <a:schemeClr val="bg1">
                    <a:lumMod val="50000"/>
                  </a:schemeClr>
                </a:solidFill>
              </a:ln>
            </c:spPr>
          </c:marker>
          <c:cat>
            <c:multiLvlStrRef>
              <c:f>'výkonnost odvětví 5a'!$B$67:$C$98</c:f>
              <c:multiLvlStrCache>
                <c:ptCount val="32"/>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lvl>
                <c:lvl>
                  <c:pt idx="0">
                    <c:v>2015</c:v>
                  </c:pt>
                  <c:pt idx="4">
                    <c:v>2016</c:v>
                  </c:pt>
                  <c:pt idx="8">
                    <c:v>2017</c:v>
                  </c:pt>
                  <c:pt idx="12">
                    <c:v>2018</c:v>
                  </c:pt>
                  <c:pt idx="16">
                    <c:v>2019</c:v>
                  </c:pt>
                  <c:pt idx="20">
                    <c:v>2020</c:v>
                  </c:pt>
                  <c:pt idx="24">
                    <c:v>2021</c:v>
                  </c:pt>
                  <c:pt idx="28">
                    <c:v>2022</c:v>
                  </c:pt>
                </c:lvl>
              </c:multiLvlStrCache>
            </c:multiLvlStrRef>
          </c:cat>
          <c:val>
            <c:numRef>
              <c:f>'výkonnost odvětví 5a'!$K$67:$K$98</c:f>
              <c:numCache>
                <c:formatCode>0.0</c:formatCode>
                <c:ptCount val="32"/>
                <c:pt idx="0">
                  <c:v>-1.75</c:v>
                </c:pt>
                <c:pt idx="1">
                  <c:v>0.25</c:v>
                </c:pt>
                <c:pt idx="2">
                  <c:v>-3.75</c:v>
                </c:pt>
                <c:pt idx="3">
                  <c:v>-0.25</c:v>
                </c:pt>
                <c:pt idx="4">
                  <c:v>-1.5</c:v>
                </c:pt>
                <c:pt idx="5">
                  <c:v>0</c:v>
                </c:pt>
                <c:pt idx="6">
                  <c:v>-2.25</c:v>
                </c:pt>
                <c:pt idx="7">
                  <c:v>0.75</c:v>
                </c:pt>
                <c:pt idx="8">
                  <c:v>1.25</c:v>
                </c:pt>
                <c:pt idx="9">
                  <c:v>-0.5</c:v>
                </c:pt>
                <c:pt idx="10">
                  <c:v>0.5</c:v>
                </c:pt>
                <c:pt idx="11">
                  <c:v>5</c:v>
                </c:pt>
                <c:pt idx="12">
                  <c:v>3.75</c:v>
                </c:pt>
                <c:pt idx="13">
                  <c:v>6</c:v>
                </c:pt>
                <c:pt idx="14">
                  <c:v>4</c:v>
                </c:pt>
                <c:pt idx="15">
                  <c:v>1</c:v>
                </c:pt>
                <c:pt idx="16">
                  <c:v>3.25</c:v>
                </c:pt>
                <c:pt idx="17">
                  <c:v>0</c:v>
                </c:pt>
                <c:pt idx="18">
                  <c:v>2.25</c:v>
                </c:pt>
                <c:pt idx="19">
                  <c:v>-0.5</c:v>
                </c:pt>
                <c:pt idx="20">
                  <c:v>-1.75</c:v>
                </c:pt>
                <c:pt idx="21">
                  <c:v>-9.25</c:v>
                </c:pt>
                <c:pt idx="22">
                  <c:v>-8.75</c:v>
                </c:pt>
                <c:pt idx="23">
                  <c:v>-18.5</c:v>
                </c:pt>
                <c:pt idx="24">
                  <c:v>-16.25</c:v>
                </c:pt>
                <c:pt idx="25">
                  <c:v>-6.75</c:v>
                </c:pt>
                <c:pt idx="26">
                  <c:v>-4.5</c:v>
                </c:pt>
                <c:pt idx="27">
                  <c:v>-17</c:v>
                </c:pt>
                <c:pt idx="28">
                  <c:v>-16.5</c:v>
                </c:pt>
                <c:pt idx="29">
                  <c:v>-31</c:v>
                </c:pt>
                <c:pt idx="30">
                  <c:v>-29.8</c:v>
                </c:pt>
                <c:pt idx="31">
                  <c:v>-30.8</c:v>
                </c:pt>
              </c:numCache>
            </c:numRef>
          </c:val>
          <c:smooth val="0"/>
          <c:extLst>
            <c:ext xmlns:c16="http://schemas.microsoft.com/office/drawing/2014/chart" uri="{C3380CC4-5D6E-409C-BE32-E72D297353CC}">
              <c16:uniqueId val="{00000007-4C8D-4573-9B1A-4E6420973128}"/>
            </c:ext>
          </c:extLst>
        </c:ser>
        <c:dLbls>
          <c:showLegendKey val="0"/>
          <c:showVal val="0"/>
          <c:showCatName val="0"/>
          <c:showSerName val="0"/>
          <c:showPercent val="0"/>
          <c:showBubbleSize val="0"/>
        </c:dLbls>
        <c:marker val="1"/>
        <c:smooth val="0"/>
        <c:axId val="1875570767"/>
        <c:axId val="1875563695"/>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8"/>
          <c:min val="-9"/>
        </c:scaling>
        <c:delete val="0"/>
        <c:axPos val="l"/>
        <c:majorGridlines>
          <c:spPr>
            <a:ln w="6350">
              <a:solidFill>
                <a:schemeClr val="bg1">
                  <a:lumMod val="75000"/>
                </a:schemeClr>
              </a:solidFill>
            </a:ln>
          </c:spPr>
        </c:majorGridlines>
        <c:title>
          <c:tx>
            <c:rich>
              <a:bodyPr/>
              <a:lstStyle/>
              <a:p>
                <a:pPr>
                  <a:defRPr sz="750" b="0" i="1"/>
                </a:pPr>
                <a:r>
                  <a:rPr lang="cs-CZ" sz="750" b="0" i="1"/>
                  <a:t>Tržby</a:t>
                </a:r>
                <a:r>
                  <a:rPr lang="cs-CZ" sz="750" b="0" i="1" baseline="0"/>
                  <a:t> (příspěvěk k meziroč. růstu)</a:t>
                </a:r>
                <a:endParaRPr lang="cs-CZ" sz="750" b="0" i="1"/>
              </a:p>
            </c:rich>
          </c:tx>
          <c:layout>
            <c:manualLayout>
              <c:xMode val="edge"/>
              <c:yMode val="edge"/>
              <c:x val="2.6087065478328942E-3"/>
              <c:y val="0.18186950815930616"/>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3"/>
      </c:valAx>
      <c:valAx>
        <c:axId val="1875563695"/>
        <c:scaling>
          <c:orientation val="minMax"/>
          <c:min val="-40"/>
        </c:scaling>
        <c:delete val="0"/>
        <c:axPos val="r"/>
        <c:title>
          <c:tx>
            <c:rich>
              <a:bodyPr/>
              <a:lstStyle/>
              <a:p>
                <a:pPr>
                  <a:defRPr sz="750" b="0" i="1"/>
                </a:pPr>
                <a:r>
                  <a:rPr lang="cs-CZ" sz="750" b="0" i="1">
                    <a:latin typeface="Arial" panose="020B0604020202020204" pitchFamily="34" charset="0"/>
                    <a:cs typeface="Arial" panose="020B0604020202020204" pitchFamily="34" charset="0"/>
                  </a:rPr>
                  <a:t>Tržby</a:t>
                </a:r>
                <a:r>
                  <a:rPr lang="cs-CZ" sz="750" b="0" i="1" baseline="0">
                    <a:latin typeface="Arial" panose="020B0604020202020204" pitchFamily="34" charset="0"/>
                    <a:cs typeface="Arial" panose="020B0604020202020204" pitchFamily="34" charset="0"/>
                  </a:rPr>
                  <a:t> (rok 2015=100), </a:t>
                </a:r>
                <a:r>
                  <a:rPr lang="cs-CZ" sz="750" b="0" i="1" u="none" strike="noStrike" baseline="0">
                    <a:effectLst/>
                    <a:latin typeface="Arial" panose="020B0604020202020204" pitchFamily="34" charset="0"/>
                    <a:cs typeface="Arial" panose="020B0604020202020204" pitchFamily="34" charset="0"/>
                  </a:rPr>
                  <a:t>důvěra domácností (p. b.)</a:t>
                </a:r>
                <a:endParaRPr lang="cs-CZ" sz="750" b="0" i="1">
                  <a:latin typeface="Arial" panose="020B0604020202020204" pitchFamily="34" charset="0"/>
                  <a:cs typeface="Arial" panose="020B0604020202020204" pitchFamily="34" charset="0"/>
                </a:endParaRPr>
              </a:p>
            </c:rich>
          </c:tx>
          <c:overlay val="0"/>
        </c:title>
        <c:numFmt formatCode="#,##0" sourceLinked="0"/>
        <c:majorTickMark val="out"/>
        <c:minorTickMark val="none"/>
        <c:tickLblPos val="nextTo"/>
        <c:txPr>
          <a:bodyPr/>
          <a:lstStyle/>
          <a:p>
            <a:pPr>
              <a:defRPr sz="800"/>
            </a:pPr>
            <a:endParaRPr lang="cs-CZ"/>
          </a:p>
        </c:txPr>
        <c:crossAx val="1875570767"/>
        <c:crosses val="max"/>
        <c:crossBetween val="between"/>
      </c:valAx>
      <c:catAx>
        <c:axId val="1875570767"/>
        <c:scaling>
          <c:orientation val="minMax"/>
        </c:scaling>
        <c:delete val="1"/>
        <c:axPos val="b"/>
        <c:numFmt formatCode="General" sourceLinked="1"/>
        <c:majorTickMark val="out"/>
        <c:minorTickMark val="none"/>
        <c:tickLblPos val="nextTo"/>
        <c:crossAx val="1875563695"/>
        <c:crosses val="autoZero"/>
        <c:auto val="1"/>
        <c:lblAlgn val="ctr"/>
        <c:lblOffset val="100"/>
        <c:noMultiLvlLbl val="0"/>
      </c:catAx>
      <c:spPr>
        <a:ln>
          <a:solidFill>
            <a:schemeClr val="tx1"/>
          </a:solidFill>
        </a:ln>
      </c:spPr>
    </c:plotArea>
    <c:legend>
      <c:legendPos val="r"/>
      <c:layout>
        <c:manualLayout>
          <c:xMode val="edge"/>
          <c:yMode val="edge"/>
          <c:x val="1.8412489557226401E-2"/>
          <c:y val="0.84434351832471732"/>
          <c:w val="0.968374269005848"/>
          <c:h val="0.15203331631057587"/>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31BBA9E39CFCF469C5C18733081B222" ma:contentTypeVersion="2" ma:contentTypeDescription="Vytvoří nový dokument" ma:contentTypeScope="" ma:versionID="eb01c1c0223ab0a1c9372071ddfa2e5f">
  <xsd:schema xmlns:xsd="http://www.w3.org/2001/XMLSchema" xmlns:xs="http://www.w3.org/2001/XMLSchema" xmlns:p="http://schemas.microsoft.com/office/2006/metadata/properties" xmlns:ns2="eabc42bd-08fe-4a27-9645-04f6ad96d74a" targetNamespace="http://schemas.microsoft.com/office/2006/metadata/properties" ma:root="true" ma:fieldsID="3d4f44d82d427914eb8ec1afbd279452" ns2:_="">
    <xsd:import namespace="eabc42bd-08fe-4a27-9645-04f6ad96d7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c42bd-08fe-4a27-9645-04f6ad96d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02EAB-49C7-4DE4-9ED7-50D36407CF93}">
  <ds:schemaRefs>
    <ds:schemaRef ds:uri="http://schemas.openxmlformats.org/officeDocument/2006/bibliography"/>
  </ds:schemaRefs>
</ds:datastoreItem>
</file>

<file path=customXml/itemProps2.xml><?xml version="1.0" encoding="utf-8"?>
<ds:datastoreItem xmlns:ds="http://schemas.openxmlformats.org/officeDocument/2006/customXml" ds:itemID="{11179350-D56E-4794-82D9-60659CC7F947}">
  <ds:schemaRefs>
    <ds:schemaRef ds:uri="http://schemas.openxmlformats.org/officeDocument/2006/bibliography"/>
  </ds:schemaRefs>
</ds:datastoreItem>
</file>

<file path=customXml/itemProps3.xml><?xml version="1.0" encoding="utf-8"?>
<ds:datastoreItem xmlns:ds="http://schemas.openxmlformats.org/officeDocument/2006/customXml" ds:itemID="{84E99F03-37B3-4711-96A7-AEAB4BC3D9B3}"/>
</file>

<file path=customXml/itemProps4.xml><?xml version="1.0" encoding="utf-8"?>
<ds:datastoreItem xmlns:ds="http://schemas.openxmlformats.org/officeDocument/2006/customXml" ds:itemID="{2E704FC3-CE6F-4906-9E36-DDCC1DF3EF4E}"/>
</file>

<file path=customXml/itemProps5.xml><?xml version="1.0" encoding="utf-8"?>
<ds:datastoreItem xmlns:ds="http://schemas.openxmlformats.org/officeDocument/2006/customXml" ds:itemID="{17110E7B-A90C-470C-BB17-E946E3223250}"/>
</file>

<file path=docProps/app.xml><?xml version="1.0" encoding="utf-8"?>
<Properties xmlns="http://schemas.openxmlformats.org/officeDocument/2006/extended-properties" xmlns:vt="http://schemas.openxmlformats.org/officeDocument/2006/docPropsVTypes">
  <Template>Q_analyza_Q12018</Template>
  <TotalTime>2</TotalTime>
  <Pages>9</Pages>
  <Words>4098</Words>
  <Characters>24182</Characters>
  <Application>Microsoft Office Word</Application>
  <DocSecurity>0</DocSecurity>
  <Lines>201</Lines>
  <Paragraphs>56</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28224</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Karolína Zábojníková</cp:lastModifiedBy>
  <cp:revision>4</cp:revision>
  <cp:lastPrinted>2019-04-08T10:52:00Z</cp:lastPrinted>
  <dcterms:created xsi:type="dcterms:W3CDTF">2022-12-15T09:52:00Z</dcterms:created>
  <dcterms:modified xsi:type="dcterms:W3CDTF">2022-12-15T09:57:00Z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0x010100331BBA9E39CFCF469C5C18733081B222</vt:lpwstr>
  </property>
</Properties>
</file>