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CD3A6" w14:textId="77777777" w:rsidR="00ED69B0" w:rsidRPr="007C17F9" w:rsidRDefault="00ED69B0" w:rsidP="00ED69B0">
      <w:pPr>
        <w:pStyle w:val="Nadpis1"/>
        <w:spacing w:after="240"/>
        <w:contextualSpacing w:val="0"/>
        <w:rPr>
          <w:b w:val="0"/>
          <w:color w:val="auto"/>
        </w:rPr>
      </w:pPr>
      <w:r w:rsidRPr="007C17F9">
        <w:rPr>
          <w:color w:val="auto"/>
        </w:rPr>
        <w:t>Methodological notes</w:t>
      </w:r>
    </w:p>
    <w:p w14:paraId="2C0E5361"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The publication </w:t>
      </w:r>
      <w:r w:rsidRPr="004E3046">
        <w:rPr>
          <w:rFonts w:eastAsia="Calibri" w:cs="Arial"/>
          <w:b/>
          <w:bCs/>
          <w:szCs w:val="20"/>
          <w:lang w:val="en-GB" w:eastAsia="en-US"/>
        </w:rPr>
        <w:t>Cattle Production</w:t>
      </w:r>
      <w:r w:rsidRPr="004E3046">
        <w:rPr>
          <w:rFonts w:eastAsia="Calibri" w:cs="Arial"/>
          <w:szCs w:val="20"/>
          <w:lang w:val="en-GB" w:eastAsia="en-US"/>
        </w:rPr>
        <w:t xml:space="preserve"> presents statistical information on two main areas:</w:t>
      </w:r>
    </w:p>
    <w:p w14:paraId="3CA1722D" w14:textId="2198E4E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w:t>
      </w:r>
      <w:r>
        <w:rPr>
          <w:rFonts w:eastAsia="Calibri" w:cs="Arial"/>
          <w:szCs w:val="20"/>
          <w:lang w:val="en-GB" w:eastAsia="en-US"/>
        </w:rPr>
        <w:t xml:space="preserve"> </w:t>
      </w:r>
      <w:r w:rsidRPr="004E3046">
        <w:rPr>
          <w:rFonts w:eastAsia="Calibri" w:cs="Arial"/>
          <w:szCs w:val="20"/>
          <w:lang w:val="en-GB" w:eastAsia="en-US"/>
        </w:rPr>
        <w:t>numbers of bovine animals (cattle, buffaloes) broken down by age and purpose of keeping</w:t>
      </w:r>
    </w:p>
    <w:p w14:paraId="18A5FC32" w14:textId="5ECE2412"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w:t>
      </w:r>
      <w:r>
        <w:rPr>
          <w:rFonts w:eastAsia="Calibri" w:cs="Arial"/>
          <w:szCs w:val="20"/>
          <w:lang w:val="en-GB" w:eastAsia="en-US"/>
        </w:rPr>
        <w:t xml:space="preserve"> </w:t>
      </w:r>
      <w:r w:rsidRPr="004E3046">
        <w:rPr>
          <w:rFonts w:eastAsia="Calibri" w:cs="Arial"/>
          <w:szCs w:val="20"/>
          <w:lang w:val="en-GB" w:eastAsia="en-US"/>
        </w:rPr>
        <w:t>production from cattle farming (milk production, production of cattle for slaughter, number of calves born) which serves as a basis for computation of indicators of livestock yields</w:t>
      </w:r>
    </w:p>
    <w:p w14:paraId="32C8C775"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The data are surveyed in order to meet the obligations arising from Regulations (EC) No 2022/2379 and 138/2004 of the European Parliament and of the Council, Council Directive 96/16 / EC, as amended, for the purposes of internal economy analyses, for the needs of the European Union and international organizations, in particular the Food and Agriculture Organization, and for informing the public.</w:t>
      </w:r>
    </w:p>
    <w:p w14:paraId="5B989D4F"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The data cover the </w:t>
      </w:r>
      <w:r w:rsidRPr="004E3046">
        <w:rPr>
          <w:rFonts w:eastAsia="Calibri" w:cs="Arial"/>
          <w:b/>
          <w:bCs/>
          <w:szCs w:val="20"/>
          <w:lang w:val="en-GB" w:eastAsia="en-US"/>
        </w:rPr>
        <w:t>agricultural sector</w:t>
      </w:r>
      <w:r w:rsidRPr="004E3046">
        <w:rPr>
          <w:rFonts w:eastAsia="Calibri" w:cs="Arial"/>
          <w:szCs w:val="20"/>
          <w:lang w:val="en-GB" w:eastAsia="en-US"/>
        </w:rPr>
        <w:t>, which is defined by agricultural activities as stated in the NACE Rev. 2 classification and by threshold values for registering in the Farm Register:</w:t>
      </w:r>
    </w:p>
    <w:p w14:paraId="08D7B652"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01.1 Growing of non-perennial crops</w:t>
      </w:r>
    </w:p>
    <w:p w14:paraId="567A1A5D"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01.2 Growing of perennial crops</w:t>
      </w:r>
    </w:p>
    <w:p w14:paraId="255252EE"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01.3 Plant propagation</w:t>
      </w:r>
    </w:p>
    <w:p w14:paraId="62443293"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01.4 Animal production; as for class 01.49 of NACE Rev. 2 (Raising of other animals), only a) raising and breeding of semi-domesticated or other live animals (except insects), and b) bee-keeping and production of honey and beeswax are included</w:t>
      </w:r>
    </w:p>
    <w:p w14:paraId="6D55217E"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01.5 Mixed farming</w:t>
      </w:r>
    </w:p>
    <w:p w14:paraId="75F2D4C8"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01.6 Support activities to agriculture and post-harvest crop activities, only maintenance of agricultural land in good agricultural and environmental condition is included</w:t>
      </w:r>
    </w:p>
    <w:p w14:paraId="7FDA0027"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The Farm Register includes agricultural holdings that meet at least one from the following criteria laid down by Decree of the CZSO No 126/2001 Coll.: </w:t>
      </w:r>
    </w:p>
    <w:p w14:paraId="6944CFFA"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 xml:space="preserve">a) utilised agricultural area of 1 hectare and more </w:t>
      </w:r>
    </w:p>
    <w:p w14:paraId="0FEB94BF"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b) at least 1 500 m2 of grown intensive crops (vineyards, hop gardens, intensive orchards, flowers or ornamental woody plants, vegetables, aromatic plants, medicinal plants, seeds, nurseries etc.)</w:t>
      </w:r>
    </w:p>
    <w:p w14:paraId="5BB61E94"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 xml:space="preserve">c) at least 300 m2 of greenhouses and/or hotbeds </w:t>
      </w:r>
    </w:p>
    <w:p w14:paraId="74C000A2"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d) farming of livestock from 1 head of cattle, 2 head of pigs, 4 head of sheep and goats, 50 head of poultry, 100 head of rabbits, and/or 100 head of fur animals</w:t>
      </w:r>
    </w:p>
    <w:p w14:paraId="04E54423"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d) freshwater fish farming on water bodies, irrespective of their size</w:t>
      </w:r>
    </w:p>
    <w:p w14:paraId="6A739ACD" w14:textId="77777777" w:rsidR="004E3046" w:rsidRPr="004E3046" w:rsidRDefault="004E3046" w:rsidP="004E3046">
      <w:pPr>
        <w:rPr>
          <w:rFonts w:eastAsia="Calibri" w:cs="Arial"/>
          <w:szCs w:val="20"/>
          <w:lang w:val="en-GB" w:eastAsia="en-US"/>
        </w:rPr>
      </w:pPr>
      <w:r w:rsidRPr="004E3046">
        <w:rPr>
          <w:rFonts w:eastAsia="Calibri" w:cs="Arial"/>
          <w:b/>
          <w:bCs/>
          <w:szCs w:val="20"/>
          <w:lang w:val="en-GB" w:eastAsia="en-US"/>
        </w:rPr>
        <w:t>The statistical population</w:t>
      </w:r>
      <w:r w:rsidRPr="004E3046">
        <w:rPr>
          <w:rFonts w:eastAsia="Calibri" w:cs="Arial"/>
          <w:szCs w:val="20"/>
          <w:lang w:val="en-GB" w:eastAsia="en-US"/>
        </w:rPr>
        <w:t xml:space="preserve"> is economic subjects dealing with raising of cattle.</w:t>
      </w:r>
    </w:p>
    <w:p w14:paraId="70068B21" w14:textId="77777777" w:rsidR="004E3046" w:rsidRPr="004E3046" w:rsidRDefault="004E3046" w:rsidP="004E3046">
      <w:pPr>
        <w:rPr>
          <w:rFonts w:eastAsia="Calibri" w:cs="Arial"/>
          <w:szCs w:val="20"/>
          <w:lang w:val="en-GB" w:eastAsia="en-US"/>
        </w:rPr>
      </w:pPr>
      <w:r w:rsidRPr="004E3046">
        <w:rPr>
          <w:rFonts w:eastAsia="Calibri" w:cs="Arial"/>
          <w:b/>
          <w:bCs/>
          <w:szCs w:val="20"/>
          <w:lang w:val="en-GB" w:eastAsia="en-US"/>
        </w:rPr>
        <w:t>The statistical unit</w:t>
      </w:r>
      <w:r w:rsidRPr="004E3046">
        <w:rPr>
          <w:rFonts w:eastAsia="Calibri" w:cs="Arial"/>
          <w:szCs w:val="20"/>
          <w:lang w:val="en-GB" w:eastAsia="en-US"/>
        </w:rPr>
        <w:t xml:space="preserve"> is an agricultural holding, which is defined as a single unit, both technically and economically, that has a single management and that undertakes economic activities in agriculture either as its primary or secondary activity.</w:t>
      </w:r>
    </w:p>
    <w:p w14:paraId="461456F7"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lastRenderedPageBreak/>
        <w:t xml:space="preserve">Statistical units are legal and natural persons. </w:t>
      </w:r>
    </w:p>
    <w:p w14:paraId="155923D1" w14:textId="77777777" w:rsidR="004E3046" w:rsidRPr="004E3046" w:rsidRDefault="004E3046" w:rsidP="004E3046">
      <w:pPr>
        <w:rPr>
          <w:rFonts w:eastAsia="Calibri" w:cs="Arial"/>
          <w:szCs w:val="20"/>
          <w:lang w:val="en-GB" w:eastAsia="en-US"/>
        </w:rPr>
      </w:pPr>
      <w:r w:rsidRPr="004E3046">
        <w:rPr>
          <w:rFonts w:eastAsia="Calibri" w:cs="Arial"/>
          <w:b/>
          <w:bCs/>
          <w:szCs w:val="20"/>
          <w:lang w:val="en-GB" w:eastAsia="en-US"/>
        </w:rPr>
        <w:t>Reference dates</w:t>
      </w:r>
      <w:r w:rsidRPr="004E3046">
        <w:rPr>
          <w:rFonts w:eastAsia="Calibri" w:cs="Arial"/>
          <w:szCs w:val="20"/>
          <w:lang w:val="en-GB" w:eastAsia="en-US"/>
        </w:rPr>
        <w:t xml:space="preserve"> for the number of livestock are 30 June and 31 December.</w:t>
      </w:r>
    </w:p>
    <w:p w14:paraId="17BFB37D"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Calendar half-year or calendar year are </w:t>
      </w:r>
      <w:r w:rsidRPr="004E3046">
        <w:rPr>
          <w:rFonts w:eastAsia="Calibri" w:cs="Arial"/>
          <w:b/>
          <w:bCs/>
          <w:szCs w:val="20"/>
          <w:lang w:val="en-GB" w:eastAsia="en-US"/>
        </w:rPr>
        <w:t>reference periods</w:t>
      </w:r>
      <w:r w:rsidRPr="004E3046">
        <w:rPr>
          <w:rFonts w:eastAsia="Calibri" w:cs="Arial"/>
          <w:szCs w:val="20"/>
          <w:lang w:val="en-GB" w:eastAsia="en-US"/>
        </w:rPr>
        <w:t xml:space="preserve"> for production indicators.</w:t>
      </w:r>
    </w:p>
    <w:p w14:paraId="30557C7B"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Statistical information cover geographically </w:t>
      </w:r>
      <w:r w:rsidRPr="004E3046">
        <w:rPr>
          <w:rFonts w:eastAsia="Calibri" w:cs="Arial"/>
          <w:b/>
          <w:bCs/>
          <w:szCs w:val="20"/>
          <w:lang w:val="en-GB" w:eastAsia="en-US"/>
        </w:rPr>
        <w:t>the territory</w:t>
      </w:r>
      <w:r w:rsidRPr="004E3046">
        <w:rPr>
          <w:rFonts w:eastAsia="Calibri" w:cs="Arial"/>
          <w:szCs w:val="20"/>
          <w:lang w:val="en-GB" w:eastAsia="en-US"/>
        </w:rPr>
        <w:t xml:space="preserve"> of the Czech Republic and they are broken down by NUTS3 territorial units, alternatively by NUTS2.</w:t>
      </w:r>
    </w:p>
    <w:p w14:paraId="5A954BC1" w14:textId="77777777" w:rsidR="004E3046" w:rsidRPr="004E3046" w:rsidRDefault="004E3046" w:rsidP="004E3046">
      <w:pPr>
        <w:rPr>
          <w:rFonts w:eastAsia="Calibri" w:cs="Arial"/>
          <w:szCs w:val="20"/>
          <w:lang w:val="en-GB" w:eastAsia="en-US"/>
        </w:rPr>
      </w:pPr>
      <w:r w:rsidRPr="004E3046">
        <w:rPr>
          <w:rFonts w:eastAsia="Calibri" w:cs="Arial"/>
          <w:b/>
          <w:bCs/>
          <w:szCs w:val="20"/>
          <w:lang w:val="en-GB" w:eastAsia="en-US"/>
        </w:rPr>
        <w:t>The source of the published data</w:t>
      </w:r>
      <w:r w:rsidRPr="004E3046">
        <w:rPr>
          <w:rFonts w:eastAsia="Calibri" w:cs="Arial"/>
          <w:szCs w:val="20"/>
          <w:lang w:val="en-GB" w:eastAsia="en-US"/>
        </w:rPr>
        <w:t xml:space="preserve"> is a sample statistical survey Zem1-02 on cattle farming which runs twice a year. The sample is stratified by size of the herd of farmed cattle, affiliation with an agricultural production area, and with a region where the farming takes place. The values obtained in the survey are weighted in particular strata using coefficients corresponding to the percentage of selected units.</w:t>
      </w:r>
    </w:p>
    <w:p w14:paraId="2C88197C"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Values not obtained in the survey (actual non-response) are imputed as average values in respective strata.</w:t>
      </w:r>
    </w:p>
    <w:p w14:paraId="7C4672E0"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In 2025, the method of data imputation was changed. The affiliation with the region is now based on the affiliation with the establishment and not with the agricultural holding. Establishment-based data on bovine number is taken from an administrative data source. From 2025, the new source of data on number of bovine animals broken down by category is the Integrated Agricultural Register, administered by the Ministry of Agriculture. The data is taken over for processing four times a year (for each half-year, preliminary and final data are downloaded). The data cover the entire bovine population.</w:t>
      </w:r>
    </w:p>
    <w:p w14:paraId="35B1EA7F" w14:textId="77777777" w:rsidR="004E3046" w:rsidRPr="004E3046" w:rsidRDefault="004E3046" w:rsidP="004E3046">
      <w:pPr>
        <w:rPr>
          <w:rFonts w:eastAsia="Calibri" w:cs="Arial"/>
          <w:szCs w:val="20"/>
          <w:lang w:val="en-GB" w:eastAsia="en-US"/>
        </w:rPr>
      </w:pPr>
      <w:r w:rsidRPr="004E3046">
        <w:rPr>
          <w:rFonts w:eastAsia="Calibri" w:cs="Arial"/>
          <w:b/>
          <w:bCs/>
          <w:szCs w:val="20"/>
          <w:lang w:val="en-GB" w:eastAsia="en-US"/>
        </w:rPr>
        <w:t>Data are validated</w:t>
      </w:r>
      <w:r w:rsidRPr="004E3046">
        <w:rPr>
          <w:rFonts w:eastAsia="Calibri" w:cs="Arial"/>
          <w:szCs w:val="20"/>
          <w:lang w:val="en-GB" w:eastAsia="en-US"/>
        </w:rPr>
        <w:t xml:space="preserve"> at the level of responding units in two stages:</w:t>
      </w:r>
    </w:p>
    <w:p w14:paraId="057DCC01" w14:textId="782AE1E1"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w:t>
      </w:r>
      <w:r>
        <w:rPr>
          <w:rFonts w:eastAsia="Calibri" w:cs="Arial"/>
          <w:szCs w:val="20"/>
          <w:lang w:val="en-GB" w:eastAsia="en-US"/>
        </w:rPr>
        <w:t xml:space="preserve"> </w:t>
      </w:r>
      <w:r w:rsidRPr="004E3046">
        <w:rPr>
          <w:rFonts w:eastAsia="Calibri" w:cs="Arial"/>
          <w:szCs w:val="20"/>
          <w:lang w:val="en-GB" w:eastAsia="en-US"/>
        </w:rPr>
        <w:t>before submitting a completed online form for principal checks</w:t>
      </w:r>
    </w:p>
    <w:p w14:paraId="4607E8E0" w14:textId="4C15281F"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w:t>
      </w:r>
      <w:r>
        <w:rPr>
          <w:rFonts w:eastAsia="Calibri" w:cs="Arial"/>
          <w:szCs w:val="20"/>
          <w:lang w:val="en-GB" w:eastAsia="en-US"/>
        </w:rPr>
        <w:t xml:space="preserve"> </w:t>
      </w:r>
      <w:r w:rsidRPr="004E3046">
        <w:rPr>
          <w:rFonts w:eastAsia="Calibri" w:cs="Arial"/>
          <w:szCs w:val="20"/>
          <w:lang w:val="en-GB" w:eastAsia="en-US"/>
        </w:rPr>
        <w:t>after receiving data for conditional checks</w:t>
      </w:r>
    </w:p>
    <w:p w14:paraId="387DC127"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and at the level of aggregates for fluctuations using comparison to the preceding period.</w:t>
      </w:r>
    </w:p>
    <w:p w14:paraId="4B67BE99"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Observed data are used for calculation of derived indicators:</w:t>
      </w:r>
    </w:p>
    <w:p w14:paraId="6607CDB8" w14:textId="60D91708"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average number of cows = number of animal days for cows / number of calendar days in the reference period</w:t>
      </w:r>
    </w:p>
    <w:p w14:paraId="546BF963" w14:textId="77777777" w:rsidR="004E3046" w:rsidRPr="004E3046" w:rsidRDefault="004E3046" w:rsidP="004E3046">
      <w:pPr>
        <w:ind w:firstLine="708"/>
        <w:rPr>
          <w:rFonts w:eastAsia="Calibri" w:cs="Arial"/>
          <w:szCs w:val="20"/>
          <w:lang w:val="en-GB" w:eastAsia="en-US"/>
        </w:rPr>
      </w:pPr>
      <w:r w:rsidRPr="004E3046">
        <w:rPr>
          <w:rFonts w:eastAsia="Calibri" w:cs="Arial"/>
          <w:szCs w:val="20"/>
          <w:lang w:val="en-GB" w:eastAsia="en-US"/>
        </w:rPr>
        <w:t>daily milk yield = milk production in litres / number of animal days for dairy cows</w:t>
      </w:r>
    </w:p>
    <w:p w14:paraId="4D4B3A3C"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milk yield = milk production in litres / average number of cows in a year</w:t>
      </w:r>
    </w:p>
    <w:p w14:paraId="5A05DF85"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number of calves born alive per 100 cows = number of calves born alive/ 100 * average number of cows in the reference period</w:t>
      </w:r>
    </w:p>
    <w:p w14:paraId="2E5CD559"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death losses of calves (percentage) = number of calves dead until 3 months of age * 100 / number of calves born alive</w:t>
      </w:r>
    </w:p>
    <w:p w14:paraId="3A717D9E" w14:textId="77777777" w:rsidR="004E3046" w:rsidRPr="004E3046" w:rsidRDefault="004E3046" w:rsidP="004E3046">
      <w:pPr>
        <w:ind w:left="708"/>
        <w:rPr>
          <w:rFonts w:eastAsia="Calibri" w:cs="Arial"/>
          <w:szCs w:val="20"/>
          <w:lang w:val="en-GB" w:eastAsia="en-US"/>
        </w:rPr>
      </w:pPr>
      <w:r w:rsidRPr="004E3046">
        <w:rPr>
          <w:rFonts w:eastAsia="Calibri" w:cs="Arial"/>
          <w:szCs w:val="20"/>
          <w:lang w:val="en-GB" w:eastAsia="en-US"/>
        </w:rPr>
        <w:t>number of calves reared per 100 cows = (number of calves born alive - number of dead calves until 3 months of age) / 100 * average number of cows in the reference period.</w:t>
      </w:r>
    </w:p>
    <w:p w14:paraId="3C72E1BB" w14:textId="77777777" w:rsidR="004E3046" w:rsidRDefault="004E3046">
      <w:pPr>
        <w:spacing w:after="0" w:line="240" w:lineRule="auto"/>
        <w:rPr>
          <w:rFonts w:eastAsia="Calibri" w:cs="Arial"/>
          <w:szCs w:val="20"/>
          <w:lang w:val="en-GB" w:eastAsia="en-US"/>
        </w:rPr>
      </w:pPr>
      <w:r>
        <w:rPr>
          <w:rFonts w:eastAsia="Calibri" w:cs="Arial"/>
          <w:szCs w:val="20"/>
          <w:lang w:val="en-GB" w:eastAsia="en-US"/>
        </w:rPr>
        <w:br w:type="page"/>
      </w:r>
    </w:p>
    <w:p w14:paraId="2EECD869" w14:textId="62B10753" w:rsidR="004E3046" w:rsidRPr="004E3046" w:rsidRDefault="004E3046" w:rsidP="004E3046">
      <w:pPr>
        <w:rPr>
          <w:rFonts w:eastAsia="Calibri" w:cs="Arial"/>
          <w:b/>
          <w:bCs/>
          <w:szCs w:val="20"/>
          <w:lang w:val="en-GB" w:eastAsia="en-US"/>
        </w:rPr>
      </w:pPr>
      <w:r w:rsidRPr="004E3046">
        <w:rPr>
          <w:rFonts w:eastAsia="Calibri" w:cs="Arial"/>
          <w:b/>
          <w:bCs/>
          <w:szCs w:val="20"/>
          <w:lang w:val="en-GB" w:eastAsia="en-US"/>
        </w:rPr>
        <w:lastRenderedPageBreak/>
        <w:t>Breaks in series in surveyed indicators:</w:t>
      </w:r>
    </w:p>
    <w:p w14:paraId="4F370EF5" w14:textId="2BD5CF50" w:rsidR="004E3046" w:rsidRPr="004E3046" w:rsidRDefault="004E3046" w:rsidP="004E3046">
      <w:pPr>
        <w:rPr>
          <w:rFonts w:eastAsia="Calibri" w:cs="Arial"/>
          <w:szCs w:val="20"/>
          <w:lang w:val="en-GB" w:eastAsia="en-US"/>
        </w:rPr>
      </w:pPr>
      <w:r w:rsidRPr="004E3046">
        <w:rPr>
          <w:rFonts w:eastAsia="Calibri" w:cs="Arial"/>
          <w:szCs w:val="20"/>
          <w:lang w:val="en-GB" w:eastAsia="en-US"/>
        </w:rPr>
        <w:t>Since 2017</w:t>
      </w:r>
      <w:r>
        <w:rPr>
          <w:rFonts w:eastAsia="Calibri" w:cs="Arial"/>
          <w:szCs w:val="20"/>
          <w:lang w:val="en-GB" w:eastAsia="en-US"/>
        </w:rPr>
        <w:t>:</w:t>
      </w:r>
    </w:p>
    <w:p w14:paraId="0E45AC8A"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Age breakdown of cattle under 1 year was changed from “under 8 months” and “8 to 12 months of age” to “under 6 months” and “6 to 12 months of age”.</w:t>
      </w:r>
    </w:p>
    <w:p w14:paraId="21F8F450"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Since 2025:</w:t>
      </w:r>
    </w:p>
    <w:p w14:paraId="66C17428"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 xml:space="preserve">"Cattle number" is changed to "Bovine number” or “number of bovine animals" </w:t>
      </w:r>
    </w:p>
    <w:p w14:paraId="26920D3B"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Changes in age breakdown:</w:t>
      </w:r>
    </w:p>
    <w:p w14:paraId="4C125D16" w14:textId="3F31E49D" w:rsidR="004E3046" w:rsidRPr="004E3046" w:rsidRDefault="004E3046" w:rsidP="004E3046">
      <w:pPr>
        <w:rPr>
          <w:rFonts w:eastAsia="Calibri" w:cs="Arial"/>
          <w:szCs w:val="20"/>
          <w:lang w:val="en-GB" w:eastAsia="en-US"/>
        </w:rPr>
      </w:pPr>
      <w:r w:rsidRPr="004E3046">
        <w:rPr>
          <w:rFonts w:eastAsia="Calibri" w:cs="Arial"/>
          <w:szCs w:val="20"/>
          <w:lang w:val="en-GB" w:eastAsia="en-US"/>
        </w:rPr>
        <w:t>Category "Up to 1 year" is further broken down into ”calves for slaughter</w:t>
      </w:r>
      <w:r>
        <w:rPr>
          <w:rFonts w:eastAsia="Calibri" w:cs="Arial"/>
          <w:szCs w:val="20"/>
          <w:lang w:val="en-GB" w:eastAsia="en-US"/>
        </w:rPr>
        <w:t>”</w:t>
      </w:r>
      <w:r w:rsidRPr="004E3046">
        <w:rPr>
          <w:rFonts w:eastAsia="Calibri" w:cs="Arial"/>
          <w:szCs w:val="20"/>
          <w:lang w:val="en-GB" w:eastAsia="en-US"/>
        </w:rPr>
        <w:t>, “other calves”, “males”, ”females” and "of which calves up to 6 months", "of which calves 6 to 12 months"</w:t>
      </w:r>
    </w:p>
    <w:p w14:paraId="7789E7DC"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"Bulls (incl. bullocks)” – “1 to 2 years” and “over 2 years” (the breakdown to "breeding" and "others incl. bullocks" no longer reported)</w:t>
      </w:r>
    </w:p>
    <w:p w14:paraId="0090DF15" w14:textId="6D3AB5F2" w:rsidR="004E3046" w:rsidRPr="004E3046" w:rsidRDefault="004E3046" w:rsidP="004E3046">
      <w:pPr>
        <w:rPr>
          <w:rFonts w:eastAsia="Calibri" w:cs="Arial"/>
          <w:szCs w:val="20"/>
          <w:lang w:val="en-GB" w:eastAsia="en-US"/>
        </w:rPr>
      </w:pPr>
      <w:r w:rsidRPr="004E3046">
        <w:rPr>
          <w:rFonts w:eastAsia="Calibri" w:cs="Arial"/>
          <w:szCs w:val="20"/>
          <w:lang w:val="en-GB" w:eastAsia="en-US"/>
        </w:rPr>
        <w:t>"Heifers for slaughter", "Other heifers” – “1 to 2 years” and “over 2 years” (no longer reported the breakdown to "mated" and "not mated")</w:t>
      </w:r>
    </w:p>
    <w:p w14:paraId="50CADB5B" w14:textId="77777777" w:rsidR="004E3046" w:rsidRPr="004E3046" w:rsidRDefault="004E3046" w:rsidP="004E3046">
      <w:pPr>
        <w:rPr>
          <w:rFonts w:eastAsia="Calibri" w:cs="Arial"/>
          <w:szCs w:val="20"/>
          <w:lang w:val="en-GB" w:eastAsia="en-US"/>
        </w:rPr>
      </w:pPr>
      <w:r w:rsidRPr="004E3046">
        <w:rPr>
          <w:rFonts w:eastAsia="Calibri" w:cs="Arial"/>
          <w:szCs w:val="20"/>
          <w:lang w:val="en-GB" w:eastAsia="en-US"/>
        </w:rPr>
        <w:t>"Dairy cows", "Other cows" (no longer reported the breakdown to "mated" and "not mated").</w:t>
      </w:r>
    </w:p>
    <w:p w14:paraId="7E10E1A6" w14:textId="77777777" w:rsidR="009723C5" w:rsidRPr="007C17F9" w:rsidRDefault="009723C5" w:rsidP="009723C5">
      <w:pPr>
        <w:rPr>
          <w:rFonts w:eastAsia="Calibri" w:cs="Arial"/>
          <w:szCs w:val="20"/>
          <w:lang w:val="en-GB" w:eastAsia="en-US"/>
        </w:rPr>
      </w:pPr>
    </w:p>
    <w:p w14:paraId="42FEAEBA" w14:textId="4CC8D1BD" w:rsidR="009723C5" w:rsidRPr="007C17F9" w:rsidRDefault="009723C5" w:rsidP="009723C5">
      <w:pPr>
        <w:rPr>
          <w:rFonts w:cs="Arial"/>
        </w:rPr>
      </w:pPr>
      <w:r w:rsidRPr="007C17F9">
        <w:rPr>
          <w:rFonts w:eastAsia="MS Gothic"/>
          <w:b/>
          <w:bCs/>
          <w:sz w:val="28"/>
          <w:szCs w:val="26"/>
        </w:rPr>
        <w:t>Symbols used in the tables</w:t>
      </w:r>
    </w:p>
    <w:p w14:paraId="50008D11"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w:t>
      </w:r>
      <w:r w:rsidRPr="007C17F9">
        <w:rPr>
          <w:rFonts w:eastAsia="Calibri" w:cs="Arial"/>
          <w:szCs w:val="20"/>
          <w:lang w:val="en-GB" w:eastAsia="en-US"/>
        </w:rPr>
        <w:tab/>
        <w:t>no cases registered</w:t>
      </w:r>
    </w:p>
    <w:p w14:paraId="40309FB1"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w:t>
      </w:r>
      <w:r w:rsidRPr="007C17F9">
        <w:rPr>
          <w:rFonts w:eastAsia="Calibri" w:cs="Arial"/>
          <w:szCs w:val="20"/>
          <w:lang w:val="en-GB" w:eastAsia="en-US"/>
        </w:rPr>
        <w:tab/>
        <w:t>data unavailable or unreliable</w:t>
      </w:r>
    </w:p>
    <w:p w14:paraId="246B0CF7"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x</w:t>
      </w:r>
      <w:r w:rsidRPr="007C17F9">
        <w:rPr>
          <w:rFonts w:eastAsia="Calibri" w:cs="Arial"/>
          <w:szCs w:val="20"/>
          <w:lang w:val="en-GB" w:eastAsia="en-US"/>
        </w:rPr>
        <w:tab/>
        <w:t>not applicable</w:t>
      </w:r>
    </w:p>
    <w:p w14:paraId="39DD1408"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0</w:t>
      </w:r>
      <w:r w:rsidRPr="007C17F9">
        <w:rPr>
          <w:rFonts w:eastAsia="Calibri" w:cs="Arial"/>
          <w:szCs w:val="20"/>
          <w:lang w:val="en-GB" w:eastAsia="en-US"/>
        </w:rPr>
        <w:tab/>
        <w:t>less than half the final digit shown and greater than real zero</w:t>
      </w:r>
    </w:p>
    <w:p w14:paraId="71564880" w14:textId="77777777" w:rsidR="009723C5" w:rsidRPr="007C17F9" w:rsidRDefault="009723C5" w:rsidP="009723C5">
      <w:pPr>
        <w:rPr>
          <w:rFonts w:eastAsia="Calibri" w:cs="Arial"/>
          <w:szCs w:val="20"/>
          <w:lang w:val="en-GB" w:eastAsia="en-US"/>
        </w:rPr>
      </w:pPr>
      <w:r w:rsidRPr="007C17F9">
        <w:rPr>
          <w:rFonts w:eastAsia="Calibri" w:cs="Arial"/>
          <w:szCs w:val="20"/>
          <w:lang w:val="en-GB" w:eastAsia="en-US"/>
        </w:rPr>
        <w:t>i. d.</w:t>
      </w:r>
      <w:r w:rsidRPr="007C17F9">
        <w:rPr>
          <w:rFonts w:eastAsia="Calibri" w:cs="Arial"/>
          <w:szCs w:val="20"/>
          <w:lang w:val="en-GB" w:eastAsia="en-US"/>
        </w:rPr>
        <w:tab/>
        <w:t>individual data</w:t>
      </w:r>
    </w:p>
    <w:p w14:paraId="0EB33EC3" w14:textId="77777777" w:rsidR="00ED69B0" w:rsidRPr="007C17F9" w:rsidRDefault="00ED69B0" w:rsidP="00ED69B0"/>
    <w:p w14:paraId="220E5896" w14:textId="77777777" w:rsidR="006B4B37" w:rsidRPr="007C17F9" w:rsidRDefault="006B4B37" w:rsidP="004C0A82">
      <w:pPr>
        <w:pStyle w:val="Zkladntextodsazen"/>
        <w:spacing w:before="0" w:after="240" w:line="288" w:lineRule="auto"/>
        <w:ind w:firstLine="0"/>
      </w:pPr>
    </w:p>
    <w:sectPr w:rsidR="006B4B37" w:rsidRPr="007C17F9" w:rsidSect="006F5416">
      <w:headerReference w:type="even" r:id="rId11"/>
      <w:headerReference w:type="default" r:id="rId12"/>
      <w:footerReference w:type="even" r:id="rId13"/>
      <w:footerReference w:type="default" r:id="rId14"/>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7AAA7" w14:textId="77777777" w:rsidR="00497741" w:rsidRDefault="00497741" w:rsidP="00E71A58">
      <w:r>
        <w:separator/>
      </w:r>
    </w:p>
  </w:endnote>
  <w:endnote w:type="continuationSeparator" w:id="0">
    <w:p w14:paraId="0FEE0EFE" w14:textId="77777777" w:rsidR="00497741" w:rsidRDefault="00497741"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D806" w14:textId="77777777" w:rsidR="007661E9" w:rsidRPr="00932443" w:rsidRDefault="0079585A" w:rsidP="00A418BC">
    <w:pPr>
      <w:pStyle w:val="Zpat"/>
      <w:rPr>
        <w:szCs w:val="16"/>
      </w:rPr>
    </w:pPr>
    <w:r>
      <w:rPr>
        <w:szCs w:val="16"/>
        <w:lang w:eastAsia="cs-CZ"/>
      </w:rPr>
      <w:drawing>
        <wp:anchor distT="0" distB="0" distL="114300" distR="114300" simplePos="0" relativeHeight="251658240" behindDoc="0" locked="0" layoutInCell="1" allowOverlap="1" wp14:anchorId="55FE2EF2" wp14:editId="55FE2EF3">
          <wp:simplePos x="0" y="0"/>
          <wp:positionH relativeFrom="column">
            <wp:align>right</wp:align>
          </wp:positionH>
          <wp:positionV relativeFrom="paragraph">
            <wp:posOffset>-64770</wp:posOffset>
          </wp:positionV>
          <wp:extent cx="428625" cy="201295"/>
          <wp:effectExtent l="0" t="0" r="3175" b="1905"/>
          <wp:wrapNone/>
          <wp:docPr id="11" name="Picture 11"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fldChar w:fldCharType="begin"/>
    </w:r>
    <w:r w:rsidR="005647BF" w:rsidRPr="00932443">
      <w:rPr>
        <w:szCs w:val="16"/>
      </w:rPr>
      <w:instrText>PAGE   \* MERGEFORMAT</w:instrText>
    </w:r>
    <w:r w:rsidR="005647BF" w:rsidRPr="00932443">
      <w:rPr>
        <w:szCs w:val="16"/>
      </w:rPr>
      <w:fldChar w:fldCharType="separate"/>
    </w:r>
    <w:r w:rsidR="00D826AC">
      <w:rPr>
        <w:szCs w:val="16"/>
      </w:rPr>
      <w:t>2</w:t>
    </w:r>
    <w:r w:rsidR="005647BF" w:rsidRPr="00932443">
      <w:rPr>
        <w:szCs w:val="16"/>
      </w:rPr>
      <w:fldChar w:fldCharType="end"/>
    </w:r>
    <w:r w:rsidR="005647BF" w:rsidRPr="00932443">
      <w:rPr>
        <w:szCs w:val="16"/>
      </w:rPr>
      <w:tab/>
    </w:r>
    <w:r w:rsidR="00D826AC">
      <w:rPr>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5B5C" w14:textId="77777777" w:rsidR="00B80EC6" w:rsidRPr="00932443" w:rsidRDefault="0079585A" w:rsidP="00A418BC">
    <w:pPr>
      <w:pStyle w:val="Zpat"/>
      <w:rPr>
        <w:szCs w:val="16"/>
      </w:rPr>
    </w:pPr>
    <w:r>
      <w:rPr>
        <w:szCs w:val="16"/>
        <w:lang w:eastAsia="cs-CZ"/>
      </w:rPr>
      <w:drawing>
        <wp:anchor distT="0" distB="0" distL="114300" distR="114300" simplePos="0" relativeHeight="251657216" behindDoc="0" locked="0" layoutInCell="1" allowOverlap="1" wp14:anchorId="55FE2EF4" wp14:editId="55FE2EF5">
          <wp:simplePos x="0" y="0"/>
          <wp:positionH relativeFrom="column">
            <wp:align>left</wp:align>
          </wp:positionH>
          <wp:positionV relativeFrom="paragraph">
            <wp:posOffset>-122555</wp:posOffset>
          </wp:positionV>
          <wp:extent cx="510540" cy="272415"/>
          <wp:effectExtent l="0" t="0" r="0" b="6985"/>
          <wp:wrapNone/>
          <wp:docPr id="10" name="Picture 10" descr="CSU RG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272415"/>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932443">
      <w:rPr>
        <w:szCs w:val="16"/>
      </w:rPr>
      <w:tab/>
    </w:r>
    <w:r w:rsidR="00D826AC">
      <w:rPr>
        <w:rStyle w:val="ZpatChar"/>
        <w:szCs w:val="16"/>
      </w:rPr>
      <w:t>2025</w:t>
    </w:r>
    <w:r w:rsidR="005647BF" w:rsidRPr="00932443">
      <w:rPr>
        <w:szCs w:val="16"/>
      </w:rPr>
      <w:tab/>
    </w:r>
    <w:r w:rsidR="005647BF" w:rsidRPr="00932443">
      <w:rPr>
        <w:rStyle w:val="ZpatChar"/>
        <w:szCs w:val="16"/>
      </w:rPr>
      <w:fldChar w:fldCharType="begin"/>
    </w:r>
    <w:r w:rsidR="005647BF" w:rsidRPr="00932443">
      <w:rPr>
        <w:rStyle w:val="ZpatChar"/>
        <w:szCs w:val="16"/>
      </w:rPr>
      <w:instrText>PAGE   \* MERGEFORMAT</w:instrText>
    </w:r>
    <w:r w:rsidR="005647BF" w:rsidRPr="00932443">
      <w:rPr>
        <w:rStyle w:val="ZpatChar"/>
        <w:szCs w:val="16"/>
      </w:rPr>
      <w:fldChar w:fldCharType="separate"/>
    </w:r>
    <w:r w:rsidR="00D826AC">
      <w:rPr>
        <w:rStyle w:val="ZpatChar"/>
        <w:szCs w:val="16"/>
      </w:rPr>
      <w:t>3</w:t>
    </w:r>
    <w:r w:rsidR="005647BF"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7E61" w14:textId="77777777" w:rsidR="00497741" w:rsidRDefault="00497741" w:rsidP="00E71A58">
      <w:r>
        <w:separator/>
      </w:r>
    </w:p>
  </w:footnote>
  <w:footnote w:type="continuationSeparator" w:id="0">
    <w:p w14:paraId="304BE078" w14:textId="77777777" w:rsidR="00497741" w:rsidRDefault="00497741" w:rsidP="00E71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36338" w14:textId="77777777" w:rsidR="00AE2B82" w:rsidRPr="009723C5" w:rsidRDefault="00AE2B82" w:rsidP="00AE2B82">
    <w:pPr>
      <w:pStyle w:val="Zhlav"/>
    </w:pPr>
    <w:r w:rsidRPr="0034191F">
      <w:rPr>
        <w:rFonts w:cs="Arial"/>
        <w:szCs w:val="16"/>
      </w:rPr>
      <w:t xml:space="preserve">CHOV SKOTU – 2. POLOLETÍ 2025 – DEFINITIVNÍ DATA </w:t>
    </w:r>
    <w:r w:rsidRPr="0034191F">
      <w:rPr>
        <w:rFonts w:cs="Arial"/>
        <w:i/>
        <w:iCs/>
        <w:szCs w:val="16"/>
      </w:rPr>
      <w:t>/ CATTLE PRODUCTION – 2ND HALF OF 2025 – FINAL DATA</w:t>
    </w:r>
  </w:p>
  <w:p w14:paraId="7531CC16" w14:textId="16404713" w:rsidR="00515C74" w:rsidRPr="00AE2B82" w:rsidRDefault="00515C74" w:rsidP="00AE2B8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6A32" w14:textId="08DDDE3C" w:rsidR="00B5752E" w:rsidRPr="009723C5" w:rsidRDefault="0034191F" w:rsidP="009723C5">
    <w:pPr>
      <w:pStyle w:val="Zhlav"/>
    </w:pPr>
    <w:r w:rsidRPr="0034191F">
      <w:rPr>
        <w:rFonts w:cs="Arial"/>
        <w:szCs w:val="16"/>
      </w:rPr>
      <w:t xml:space="preserve">CHOV SKOTU – 2. POLOLETÍ 2025 – DEFINITIVNÍ DATA </w:t>
    </w:r>
    <w:r w:rsidRPr="0034191F">
      <w:rPr>
        <w:rFonts w:cs="Arial"/>
        <w:i/>
        <w:iCs/>
        <w:szCs w:val="16"/>
      </w:rPr>
      <w:t>/ CATTLE PRODUCTION – 2ND HALF OF 2025 – FINAL DATA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5586E"/>
    <w:multiLevelType w:val="hybridMultilevel"/>
    <w:tmpl w:val="D7CA144E"/>
    <w:lvl w:ilvl="0" w:tplc="31DC2A1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D440A2F"/>
    <w:multiLevelType w:val="hybridMultilevel"/>
    <w:tmpl w:val="9FAC22F8"/>
    <w:lvl w:ilvl="0" w:tplc="31DC2A1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9F3E4C"/>
    <w:multiLevelType w:val="hybridMultilevel"/>
    <w:tmpl w:val="62BC2980"/>
    <w:lvl w:ilvl="0" w:tplc="31DC2A1C">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7036734">
    <w:abstractNumId w:val="14"/>
  </w:num>
  <w:num w:numId="2" w16cid:durableId="785467133">
    <w:abstractNumId w:val="8"/>
  </w:num>
  <w:num w:numId="3" w16cid:durableId="1528057077">
    <w:abstractNumId w:val="3"/>
  </w:num>
  <w:num w:numId="4" w16cid:durableId="840048213">
    <w:abstractNumId w:val="2"/>
  </w:num>
  <w:num w:numId="5" w16cid:durableId="94788241">
    <w:abstractNumId w:val="1"/>
  </w:num>
  <w:num w:numId="6" w16cid:durableId="1772970937">
    <w:abstractNumId w:val="0"/>
  </w:num>
  <w:num w:numId="7" w16cid:durableId="384109187">
    <w:abstractNumId w:val="9"/>
  </w:num>
  <w:num w:numId="8" w16cid:durableId="2097634368">
    <w:abstractNumId w:val="7"/>
  </w:num>
  <w:num w:numId="9" w16cid:durableId="270818772">
    <w:abstractNumId w:val="6"/>
  </w:num>
  <w:num w:numId="10" w16cid:durableId="469633632">
    <w:abstractNumId w:val="5"/>
  </w:num>
  <w:num w:numId="11" w16cid:durableId="457066353">
    <w:abstractNumId w:val="4"/>
  </w:num>
  <w:num w:numId="12" w16cid:durableId="1374573512">
    <w:abstractNumId w:val="11"/>
  </w:num>
  <w:num w:numId="13" w16cid:durableId="1971863670">
    <w:abstractNumId w:val="15"/>
  </w:num>
  <w:num w:numId="14" w16cid:durableId="1926111094">
    <w:abstractNumId w:val="10"/>
  </w:num>
  <w:num w:numId="15" w16cid:durableId="139731121">
    <w:abstractNumId w:val="12"/>
  </w:num>
  <w:num w:numId="16" w16cid:durableId="562493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50">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763"/>
    <w:rsid w:val="0000209D"/>
    <w:rsid w:val="00004D5A"/>
    <w:rsid w:val="000056D5"/>
    <w:rsid w:val="0000767A"/>
    <w:rsid w:val="00010702"/>
    <w:rsid w:val="000234D6"/>
    <w:rsid w:val="00023D29"/>
    <w:rsid w:val="00026389"/>
    <w:rsid w:val="00031AE0"/>
    <w:rsid w:val="000322EF"/>
    <w:rsid w:val="00033FCD"/>
    <w:rsid w:val="00041CEC"/>
    <w:rsid w:val="0004694F"/>
    <w:rsid w:val="000522E4"/>
    <w:rsid w:val="000610E1"/>
    <w:rsid w:val="00062EC5"/>
    <w:rsid w:val="00062F22"/>
    <w:rsid w:val="000712B3"/>
    <w:rsid w:val="0008263E"/>
    <w:rsid w:val="00082C19"/>
    <w:rsid w:val="00085395"/>
    <w:rsid w:val="00087634"/>
    <w:rsid w:val="00087F2B"/>
    <w:rsid w:val="00096946"/>
    <w:rsid w:val="000974D1"/>
    <w:rsid w:val="0009799E"/>
    <w:rsid w:val="000A1183"/>
    <w:rsid w:val="000A256D"/>
    <w:rsid w:val="000A3A2C"/>
    <w:rsid w:val="000C3408"/>
    <w:rsid w:val="000C6AFD"/>
    <w:rsid w:val="000D5637"/>
    <w:rsid w:val="000E6FBD"/>
    <w:rsid w:val="00100F5C"/>
    <w:rsid w:val="00104C4C"/>
    <w:rsid w:val="0011347B"/>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C400A"/>
    <w:rsid w:val="001D68B2"/>
    <w:rsid w:val="001F4597"/>
    <w:rsid w:val="002118B9"/>
    <w:rsid w:val="00217C5B"/>
    <w:rsid w:val="0022139E"/>
    <w:rsid w:val="002252E0"/>
    <w:rsid w:val="002255F6"/>
    <w:rsid w:val="00227850"/>
    <w:rsid w:val="00227A53"/>
    <w:rsid w:val="00230C6E"/>
    <w:rsid w:val="00236443"/>
    <w:rsid w:val="002436BA"/>
    <w:rsid w:val="00244A15"/>
    <w:rsid w:val="00247319"/>
    <w:rsid w:val="0024799E"/>
    <w:rsid w:val="00253C0F"/>
    <w:rsid w:val="00263EBC"/>
    <w:rsid w:val="00271465"/>
    <w:rsid w:val="00285412"/>
    <w:rsid w:val="002A16D4"/>
    <w:rsid w:val="002A230C"/>
    <w:rsid w:val="002C43BD"/>
    <w:rsid w:val="002C624A"/>
    <w:rsid w:val="002D0E59"/>
    <w:rsid w:val="002D73B4"/>
    <w:rsid w:val="002E02A1"/>
    <w:rsid w:val="002E4E4C"/>
    <w:rsid w:val="00304771"/>
    <w:rsid w:val="003052D4"/>
    <w:rsid w:val="00306C5B"/>
    <w:rsid w:val="00314D9F"/>
    <w:rsid w:val="003209D6"/>
    <w:rsid w:val="00321924"/>
    <w:rsid w:val="00324905"/>
    <w:rsid w:val="0032656E"/>
    <w:rsid w:val="003306DF"/>
    <w:rsid w:val="00332190"/>
    <w:rsid w:val="003350AC"/>
    <w:rsid w:val="0034191F"/>
    <w:rsid w:val="00344668"/>
    <w:rsid w:val="003462D9"/>
    <w:rsid w:val="003469F5"/>
    <w:rsid w:val="00360C86"/>
    <w:rsid w:val="003657F3"/>
    <w:rsid w:val="003818DC"/>
    <w:rsid w:val="00384327"/>
    <w:rsid w:val="00385D98"/>
    <w:rsid w:val="003A2B4D"/>
    <w:rsid w:val="003A478C"/>
    <w:rsid w:val="003A5525"/>
    <w:rsid w:val="003A6B38"/>
    <w:rsid w:val="003B5A32"/>
    <w:rsid w:val="003C3490"/>
    <w:rsid w:val="003D6920"/>
    <w:rsid w:val="003E4C91"/>
    <w:rsid w:val="003F313C"/>
    <w:rsid w:val="003F4B2C"/>
    <w:rsid w:val="003F551C"/>
    <w:rsid w:val="003F7D23"/>
    <w:rsid w:val="00407C13"/>
    <w:rsid w:val="00410638"/>
    <w:rsid w:val="00416F0B"/>
    <w:rsid w:val="00422E55"/>
    <w:rsid w:val="00432A58"/>
    <w:rsid w:val="00434617"/>
    <w:rsid w:val="00440900"/>
    <w:rsid w:val="004441A0"/>
    <w:rsid w:val="00452052"/>
    <w:rsid w:val="00454A3F"/>
    <w:rsid w:val="00460FB3"/>
    <w:rsid w:val="00476240"/>
    <w:rsid w:val="00476439"/>
    <w:rsid w:val="0047735C"/>
    <w:rsid w:val="004776BC"/>
    <w:rsid w:val="0048139F"/>
    <w:rsid w:val="00481E40"/>
    <w:rsid w:val="00484ECE"/>
    <w:rsid w:val="004915CB"/>
    <w:rsid w:val="004924DC"/>
    <w:rsid w:val="00497741"/>
    <w:rsid w:val="004A14E4"/>
    <w:rsid w:val="004A3212"/>
    <w:rsid w:val="004A61C5"/>
    <w:rsid w:val="004A77DF"/>
    <w:rsid w:val="004B1417"/>
    <w:rsid w:val="004B55B7"/>
    <w:rsid w:val="004B6468"/>
    <w:rsid w:val="004C0A82"/>
    <w:rsid w:val="004C384C"/>
    <w:rsid w:val="004C3867"/>
    <w:rsid w:val="004C4CD0"/>
    <w:rsid w:val="004C70DC"/>
    <w:rsid w:val="004D0211"/>
    <w:rsid w:val="004D0794"/>
    <w:rsid w:val="004E3046"/>
    <w:rsid w:val="004F06F5"/>
    <w:rsid w:val="004F33A0"/>
    <w:rsid w:val="005108C0"/>
    <w:rsid w:val="00511873"/>
    <w:rsid w:val="00512A2F"/>
    <w:rsid w:val="00513B7E"/>
    <w:rsid w:val="00515C74"/>
    <w:rsid w:val="0052007E"/>
    <w:rsid w:val="0052337A"/>
    <w:rsid w:val="00525137"/>
    <w:rsid w:val="005251DD"/>
    <w:rsid w:val="00532CE7"/>
    <w:rsid w:val="0053324C"/>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5F5469"/>
    <w:rsid w:val="00604307"/>
    <w:rsid w:val="0060487F"/>
    <w:rsid w:val="00604EAD"/>
    <w:rsid w:val="006104FB"/>
    <w:rsid w:val="00612A2F"/>
    <w:rsid w:val="00616E05"/>
    <w:rsid w:val="00624093"/>
    <w:rsid w:val="006404A7"/>
    <w:rsid w:val="006451E4"/>
    <w:rsid w:val="00645B33"/>
    <w:rsid w:val="006516CB"/>
    <w:rsid w:val="00657E87"/>
    <w:rsid w:val="006634CE"/>
    <w:rsid w:val="00664803"/>
    <w:rsid w:val="00665BA4"/>
    <w:rsid w:val="00667AF2"/>
    <w:rsid w:val="006710C9"/>
    <w:rsid w:val="00674D89"/>
    <w:rsid w:val="00675E37"/>
    <w:rsid w:val="0068174E"/>
    <w:rsid w:val="00681DCE"/>
    <w:rsid w:val="0068260E"/>
    <w:rsid w:val="00695BEF"/>
    <w:rsid w:val="006977F6"/>
    <w:rsid w:val="00697A13"/>
    <w:rsid w:val="006A109C"/>
    <w:rsid w:val="006B344A"/>
    <w:rsid w:val="006B4B37"/>
    <w:rsid w:val="006B78D8"/>
    <w:rsid w:val="006C113F"/>
    <w:rsid w:val="006C123E"/>
    <w:rsid w:val="006C56D4"/>
    <w:rsid w:val="006C6924"/>
    <w:rsid w:val="006C7CA6"/>
    <w:rsid w:val="006D3E8A"/>
    <w:rsid w:val="006D61F6"/>
    <w:rsid w:val="006E279A"/>
    <w:rsid w:val="006E313B"/>
    <w:rsid w:val="006F5416"/>
    <w:rsid w:val="006F6B1A"/>
    <w:rsid w:val="00706AD4"/>
    <w:rsid w:val="007140BE"/>
    <w:rsid w:val="007202BA"/>
    <w:rsid w:val="007211F5"/>
    <w:rsid w:val="007254B0"/>
    <w:rsid w:val="00725BB5"/>
    <w:rsid w:val="00730AE8"/>
    <w:rsid w:val="00734624"/>
    <w:rsid w:val="00741493"/>
    <w:rsid w:val="00752180"/>
    <w:rsid w:val="00755202"/>
    <w:rsid w:val="00755D3A"/>
    <w:rsid w:val="007578D3"/>
    <w:rsid w:val="007609C6"/>
    <w:rsid w:val="0076175D"/>
    <w:rsid w:val="0076521E"/>
    <w:rsid w:val="007661E9"/>
    <w:rsid w:val="00776169"/>
    <w:rsid w:val="00776527"/>
    <w:rsid w:val="00780EF1"/>
    <w:rsid w:val="00790764"/>
    <w:rsid w:val="0079453C"/>
    <w:rsid w:val="00794677"/>
    <w:rsid w:val="0079585A"/>
    <w:rsid w:val="007B6689"/>
    <w:rsid w:val="007C17F9"/>
    <w:rsid w:val="007D1A71"/>
    <w:rsid w:val="007D40DF"/>
    <w:rsid w:val="007E7E61"/>
    <w:rsid w:val="007F0845"/>
    <w:rsid w:val="007F0A02"/>
    <w:rsid w:val="00807C82"/>
    <w:rsid w:val="00816905"/>
    <w:rsid w:val="00821FF6"/>
    <w:rsid w:val="00825C4D"/>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6642C"/>
    <w:rsid w:val="008701E4"/>
    <w:rsid w:val="00875A32"/>
    <w:rsid w:val="00876086"/>
    <w:rsid w:val="008767E4"/>
    <w:rsid w:val="00885F7B"/>
    <w:rsid w:val="008873D4"/>
    <w:rsid w:val="00893E85"/>
    <w:rsid w:val="00894031"/>
    <w:rsid w:val="008B7C02"/>
    <w:rsid w:val="008B7D2B"/>
    <w:rsid w:val="008C0049"/>
    <w:rsid w:val="008C0E88"/>
    <w:rsid w:val="008C397F"/>
    <w:rsid w:val="008D02E1"/>
    <w:rsid w:val="008D1E6A"/>
    <w:rsid w:val="008D2A16"/>
    <w:rsid w:val="008E2C57"/>
    <w:rsid w:val="008E31FF"/>
    <w:rsid w:val="008E6F06"/>
    <w:rsid w:val="008F029B"/>
    <w:rsid w:val="008F3FC9"/>
    <w:rsid w:val="008F4536"/>
    <w:rsid w:val="008F585B"/>
    <w:rsid w:val="009003A8"/>
    <w:rsid w:val="00902500"/>
    <w:rsid w:val="00902EFF"/>
    <w:rsid w:val="00906401"/>
    <w:rsid w:val="0091155E"/>
    <w:rsid w:val="00912A92"/>
    <w:rsid w:val="0091728D"/>
    <w:rsid w:val="0092180B"/>
    <w:rsid w:val="00921F14"/>
    <w:rsid w:val="00924AC8"/>
    <w:rsid w:val="0092597A"/>
    <w:rsid w:val="00932443"/>
    <w:rsid w:val="0093250F"/>
    <w:rsid w:val="00937AE2"/>
    <w:rsid w:val="0094427A"/>
    <w:rsid w:val="009723C5"/>
    <w:rsid w:val="00973A2C"/>
    <w:rsid w:val="00974923"/>
    <w:rsid w:val="00980D3D"/>
    <w:rsid w:val="00987A30"/>
    <w:rsid w:val="00990C77"/>
    <w:rsid w:val="00992CF3"/>
    <w:rsid w:val="00993BB8"/>
    <w:rsid w:val="00995A66"/>
    <w:rsid w:val="009968D6"/>
    <w:rsid w:val="009A1CAB"/>
    <w:rsid w:val="009A60D1"/>
    <w:rsid w:val="009B10A8"/>
    <w:rsid w:val="009B6FD3"/>
    <w:rsid w:val="009C1750"/>
    <w:rsid w:val="009C2E29"/>
    <w:rsid w:val="009C554B"/>
    <w:rsid w:val="009C719E"/>
    <w:rsid w:val="009D3ACD"/>
    <w:rsid w:val="009E5273"/>
    <w:rsid w:val="009E5DDB"/>
    <w:rsid w:val="009F4CA7"/>
    <w:rsid w:val="009F7A0A"/>
    <w:rsid w:val="00A10D66"/>
    <w:rsid w:val="00A14114"/>
    <w:rsid w:val="00A16413"/>
    <w:rsid w:val="00A23E43"/>
    <w:rsid w:val="00A30F65"/>
    <w:rsid w:val="00A33966"/>
    <w:rsid w:val="00A418BC"/>
    <w:rsid w:val="00A46DE0"/>
    <w:rsid w:val="00A50D73"/>
    <w:rsid w:val="00A52CAD"/>
    <w:rsid w:val="00A53FC7"/>
    <w:rsid w:val="00A62CE1"/>
    <w:rsid w:val="00A6741E"/>
    <w:rsid w:val="00A75E40"/>
    <w:rsid w:val="00A77D1D"/>
    <w:rsid w:val="00A857C0"/>
    <w:rsid w:val="00A96789"/>
    <w:rsid w:val="00AA2996"/>
    <w:rsid w:val="00AA52BF"/>
    <w:rsid w:val="00AA559A"/>
    <w:rsid w:val="00AB2AF1"/>
    <w:rsid w:val="00AD306C"/>
    <w:rsid w:val="00AE09B3"/>
    <w:rsid w:val="00AE1A83"/>
    <w:rsid w:val="00AE2B82"/>
    <w:rsid w:val="00AF46DC"/>
    <w:rsid w:val="00B00913"/>
    <w:rsid w:val="00B01593"/>
    <w:rsid w:val="00B10A4D"/>
    <w:rsid w:val="00B119F7"/>
    <w:rsid w:val="00B17E71"/>
    <w:rsid w:val="00B17FDE"/>
    <w:rsid w:val="00B2379C"/>
    <w:rsid w:val="00B2687D"/>
    <w:rsid w:val="00B32DDB"/>
    <w:rsid w:val="00B34528"/>
    <w:rsid w:val="00B35250"/>
    <w:rsid w:val="00B3611A"/>
    <w:rsid w:val="00B402FC"/>
    <w:rsid w:val="00B40F34"/>
    <w:rsid w:val="00B46604"/>
    <w:rsid w:val="00B530CD"/>
    <w:rsid w:val="00B55F5E"/>
    <w:rsid w:val="00B572E3"/>
    <w:rsid w:val="00B5752E"/>
    <w:rsid w:val="00B63A11"/>
    <w:rsid w:val="00B64411"/>
    <w:rsid w:val="00B64C24"/>
    <w:rsid w:val="00B6608F"/>
    <w:rsid w:val="00B679FB"/>
    <w:rsid w:val="00B73EC9"/>
    <w:rsid w:val="00B76D1E"/>
    <w:rsid w:val="00B80EC6"/>
    <w:rsid w:val="00B86681"/>
    <w:rsid w:val="00B92D1D"/>
    <w:rsid w:val="00B938C5"/>
    <w:rsid w:val="00B95940"/>
    <w:rsid w:val="00BB46F3"/>
    <w:rsid w:val="00BB4CB1"/>
    <w:rsid w:val="00BB4F98"/>
    <w:rsid w:val="00BC7154"/>
    <w:rsid w:val="00BD366B"/>
    <w:rsid w:val="00BD6D50"/>
    <w:rsid w:val="00BE18B9"/>
    <w:rsid w:val="00BE2495"/>
    <w:rsid w:val="00BF1578"/>
    <w:rsid w:val="00C21F94"/>
    <w:rsid w:val="00C27913"/>
    <w:rsid w:val="00C33B68"/>
    <w:rsid w:val="00C36A79"/>
    <w:rsid w:val="00C405D4"/>
    <w:rsid w:val="00C4513B"/>
    <w:rsid w:val="00C54697"/>
    <w:rsid w:val="00C56BB4"/>
    <w:rsid w:val="00C631AB"/>
    <w:rsid w:val="00C73885"/>
    <w:rsid w:val="00C747B1"/>
    <w:rsid w:val="00C82191"/>
    <w:rsid w:val="00C90CF4"/>
    <w:rsid w:val="00C92EB6"/>
    <w:rsid w:val="00C93389"/>
    <w:rsid w:val="00CB4930"/>
    <w:rsid w:val="00CC2E7D"/>
    <w:rsid w:val="00CD10A5"/>
    <w:rsid w:val="00CD2076"/>
    <w:rsid w:val="00CD77D4"/>
    <w:rsid w:val="00CE670B"/>
    <w:rsid w:val="00CF51EC"/>
    <w:rsid w:val="00CF73AE"/>
    <w:rsid w:val="00D040DD"/>
    <w:rsid w:val="00D07BA7"/>
    <w:rsid w:val="00D13986"/>
    <w:rsid w:val="00D235B7"/>
    <w:rsid w:val="00D25F28"/>
    <w:rsid w:val="00D27973"/>
    <w:rsid w:val="00D50F46"/>
    <w:rsid w:val="00D55763"/>
    <w:rsid w:val="00D66223"/>
    <w:rsid w:val="00D8084C"/>
    <w:rsid w:val="00D826AC"/>
    <w:rsid w:val="00DA7C0C"/>
    <w:rsid w:val="00DB2EC8"/>
    <w:rsid w:val="00DB55DD"/>
    <w:rsid w:val="00DC5B3B"/>
    <w:rsid w:val="00DD129F"/>
    <w:rsid w:val="00DD2123"/>
    <w:rsid w:val="00DF42FF"/>
    <w:rsid w:val="00E01C0E"/>
    <w:rsid w:val="00E03F9A"/>
    <w:rsid w:val="00E04694"/>
    <w:rsid w:val="00E12B1E"/>
    <w:rsid w:val="00E15EB7"/>
    <w:rsid w:val="00E17262"/>
    <w:rsid w:val="00E253A2"/>
    <w:rsid w:val="00E3026B"/>
    <w:rsid w:val="00E3309D"/>
    <w:rsid w:val="00E50156"/>
    <w:rsid w:val="00E53470"/>
    <w:rsid w:val="00E539F6"/>
    <w:rsid w:val="00E6519D"/>
    <w:rsid w:val="00E67696"/>
    <w:rsid w:val="00E71A58"/>
    <w:rsid w:val="00E72A7A"/>
    <w:rsid w:val="00E75C94"/>
    <w:rsid w:val="00E93820"/>
    <w:rsid w:val="00E94CA1"/>
    <w:rsid w:val="00EA0C68"/>
    <w:rsid w:val="00EA32BC"/>
    <w:rsid w:val="00EB3701"/>
    <w:rsid w:val="00EB4511"/>
    <w:rsid w:val="00EC03D7"/>
    <w:rsid w:val="00ED62C6"/>
    <w:rsid w:val="00ED64C1"/>
    <w:rsid w:val="00ED69B0"/>
    <w:rsid w:val="00EE3446"/>
    <w:rsid w:val="00EE3E78"/>
    <w:rsid w:val="00EE4B1B"/>
    <w:rsid w:val="00EF1357"/>
    <w:rsid w:val="00EF150D"/>
    <w:rsid w:val="00EF1F5A"/>
    <w:rsid w:val="00EF47BF"/>
    <w:rsid w:val="00F04811"/>
    <w:rsid w:val="00F0488C"/>
    <w:rsid w:val="00F10F11"/>
    <w:rsid w:val="00F15AAA"/>
    <w:rsid w:val="00F15BEF"/>
    <w:rsid w:val="00F24407"/>
    <w:rsid w:val="00F24FAA"/>
    <w:rsid w:val="00F3364D"/>
    <w:rsid w:val="00F41212"/>
    <w:rsid w:val="00F437CC"/>
    <w:rsid w:val="00F47067"/>
    <w:rsid w:val="00F525EB"/>
    <w:rsid w:val="00F63DDE"/>
    <w:rsid w:val="00F63FB7"/>
    <w:rsid w:val="00F649D2"/>
    <w:rsid w:val="00F6602B"/>
    <w:rsid w:val="00F73A0C"/>
    <w:rsid w:val="00F756DB"/>
    <w:rsid w:val="00F85066"/>
    <w:rsid w:val="00F9393D"/>
    <w:rsid w:val="00FA5D4D"/>
    <w:rsid w:val="00FB0EE2"/>
    <w:rsid w:val="00FB542E"/>
    <w:rsid w:val="00FC0E5F"/>
    <w:rsid w:val="00FC1A95"/>
    <w:rsid w:val="00FC56DE"/>
    <w:rsid w:val="00FC684B"/>
    <w:rsid w:val="00FD3265"/>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ecf4dd,#eaecee,#fcec0a,#fcecdb,#f1daf5"/>
    </o:shapedefaults>
    <o:shapelayout v:ext="edit">
      <o:idmap v:ext="edit" data="2"/>
    </o:shapelayout>
  </w:shapeDefaults>
  <w:decimalSymbol w:val=","/>
  <w:listSeparator w:val=";"/>
  <w14:docId w14:val="027FA9DB"/>
  <w15:docId w15:val="{6634BF6A-D44E-482A-9B54-0320D83F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7202BA"/>
    <w:pPr>
      <w:keepNext/>
      <w:keepLines/>
      <w:spacing w:after="100" w:line="288" w:lineRule="auto"/>
      <w:contextualSpacing/>
      <w:outlineLvl w:val="0"/>
    </w:pPr>
    <w:rPr>
      <w:rFonts w:ascii="Arial" w:eastAsia="MS Gothic" w:hAnsi="Arial"/>
      <w:b/>
      <w:bCs/>
      <w:color w:val="009471"/>
      <w:sz w:val="32"/>
      <w:szCs w:val="28"/>
      <w:lang w:eastAsia="cs-CZ"/>
    </w:rPr>
  </w:style>
  <w:style w:type="paragraph" w:styleId="Nadpis2">
    <w:name w:val="heading 2"/>
    <w:next w:val="Normln"/>
    <w:link w:val="Nadpis2Char"/>
    <w:uiPriority w:val="9"/>
    <w:qFormat/>
    <w:rsid w:val="007202BA"/>
    <w:pPr>
      <w:keepNext/>
      <w:keepLines/>
      <w:spacing w:line="288" w:lineRule="auto"/>
      <w:outlineLvl w:val="1"/>
    </w:pPr>
    <w:rPr>
      <w:rFonts w:ascii="Arial" w:eastAsia="MS Gothic" w:hAnsi="Arial"/>
      <w:b/>
      <w:bCs/>
      <w:color w:val="009471"/>
      <w:sz w:val="28"/>
      <w:szCs w:val="26"/>
      <w:lang w:eastAsia="cs-CZ"/>
    </w:rPr>
  </w:style>
  <w:style w:type="paragraph" w:styleId="Nadpis3">
    <w:name w:val="heading 3"/>
    <w:next w:val="Normln"/>
    <w:link w:val="Nadpis3Char"/>
    <w:uiPriority w:val="9"/>
    <w:qFormat/>
    <w:rsid w:val="007202BA"/>
    <w:pPr>
      <w:keepNext/>
      <w:keepLines/>
      <w:spacing w:line="288" w:lineRule="auto"/>
      <w:outlineLvl w:val="2"/>
    </w:pPr>
    <w:rPr>
      <w:rFonts w:ascii="Arial" w:eastAsia="MS Gothic" w:hAnsi="Arial"/>
      <w:b/>
      <w:bCs/>
      <w:color w:val="009471"/>
      <w:sz w:val="24"/>
      <w:szCs w:val="24"/>
      <w:lang w:eastAsia="cs-CZ"/>
    </w:rPr>
  </w:style>
  <w:style w:type="paragraph" w:styleId="Nadpis4">
    <w:name w:val="heading 4"/>
    <w:next w:val="Normln"/>
    <w:link w:val="Nadpis4Char"/>
    <w:uiPriority w:val="9"/>
    <w:qFormat/>
    <w:rsid w:val="007202BA"/>
    <w:pPr>
      <w:keepNext/>
      <w:keepLines/>
      <w:spacing w:line="288" w:lineRule="auto"/>
      <w:outlineLvl w:val="3"/>
    </w:pPr>
    <w:rPr>
      <w:rFonts w:ascii="Arial" w:eastAsia="MS Gothic" w:hAnsi="Arial"/>
      <w:b/>
      <w:bCs/>
      <w:iCs/>
      <w:color w:val="009471"/>
      <w:szCs w:val="24"/>
      <w:lang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202BA"/>
    <w:rPr>
      <w:rFonts w:ascii="Arial" w:eastAsia="MS Gothic" w:hAnsi="Arial"/>
      <w:b/>
      <w:bCs/>
      <w:color w:val="009471"/>
      <w:sz w:val="32"/>
      <w:szCs w:val="28"/>
      <w:lang w:eastAsia="cs-CZ"/>
    </w:rPr>
  </w:style>
  <w:style w:type="character" w:customStyle="1" w:styleId="Nadpis2Char">
    <w:name w:val="Nadpis 2 Char"/>
    <w:link w:val="Nadpis2"/>
    <w:uiPriority w:val="9"/>
    <w:rsid w:val="007202BA"/>
    <w:rPr>
      <w:rFonts w:ascii="Arial" w:eastAsia="MS Gothic" w:hAnsi="Arial"/>
      <w:b/>
      <w:bCs/>
      <w:color w:val="009471"/>
      <w:sz w:val="28"/>
      <w:szCs w:val="26"/>
      <w:lang w:eastAsia="cs-CZ"/>
    </w:rPr>
  </w:style>
  <w:style w:type="character" w:customStyle="1" w:styleId="Nadpis3Char">
    <w:name w:val="Nadpis 3 Char"/>
    <w:link w:val="Nadpis3"/>
    <w:uiPriority w:val="9"/>
    <w:rsid w:val="007202BA"/>
    <w:rPr>
      <w:rFonts w:ascii="Arial" w:eastAsia="MS Gothic" w:hAnsi="Arial"/>
      <w:b/>
      <w:bCs/>
      <w:color w:val="009471"/>
      <w:sz w:val="24"/>
      <w:szCs w:val="24"/>
      <w:lang w:eastAsia="cs-CZ"/>
    </w:rPr>
  </w:style>
  <w:style w:type="character" w:customStyle="1" w:styleId="Nadpis4Char">
    <w:name w:val="Nadpis 4 Char"/>
    <w:link w:val="Nadpis4"/>
    <w:uiPriority w:val="9"/>
    <w:rsid w:val="007202BA"/>
    <w:rPr>
      <w:rFonts w:ascii="Arial" w:eastAsia="MS Gothic" w:hAnsi="Arial"/>
      <w:b/>
      <w:bCs/>
      <w:iCs/>
      <w:color w:val="009471"/>
      <w:szCs w:val="24"/>
      <w:lang w:eastAsia="cs-CZ"/>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B3611A"/>
    <w:pPr>
      <w:spacing w:after="80" w:line="288" w:lineRule="auto"/>
    </w:pPr>
    <w:rPr>
      <w:rFonts w:ascii="Arial" w:eastAsia="Times New Roman" w:hAnsi="Arial"/>
      <w:b/>
      <w:color w:val="009471"/>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416F0B"/>
    <w:pPr>
      <w:shd w:val="clear" w:color="auto" w:fill="E3F1EC"/>
      <w:spacing w:before="240" w:after="240" w:line="288" w:lineRule="auto"/>
      <w:ind w:left="709"/>
      <w:contextualSpacing/>
    </w:pPr>
    <w:rPr>
      <w:rFonts w:ascii="Arial" w:hAnsi="Arial" w:cs="Arial"/>
      <w:lang w:eastAsia="cs-CZ"/>
    </w:rPr>
  </w:style>
  <w:style w:type="paragraph" w:customStyle="1" w:styleId="Box2">
    <w:name w:val="Box 2"/>
    <w:qFormat/>
    <w:rsid w:val="007202BA"/>
    <w:pPr>
      <w:spacing w:before="240" w:after="240" w:line="288" w:lineRule="auto"/>
      <w:ind w:left="709"/>
      <w:contextualSpacing/>
    </w:pPr>
    <w:rPr>
      <w:rFonts w:ascii="Arial" w:hAnsi="Arial" w:cs="Arial"/>
      <w:color w:val="009471"/>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B3611A"/>
    <w:pPr>
      <w:spacing w:after="40"/>
      <w:contextualSpacing/>
    </w:pPr>
    <w:rPr>
      <w:b/>
      <w:caps/>
      <w:color w:val="000000" w:themeColor="text1"/>
      <w:sz w:val="24"/>
    </w:rPr>
  </w:style>
  <w:style w:type="paragraph" w:customStyle="1" w:styleId="TLKontakty">
    <w:name w:val="TL Kontakty"/>
    <w:qFormat/>
    <w:rsid w:val="00B3611A"/>
    <w:pPr>
      <w:spacing w:after="160" w:line="259" w:lineRule="auto"/>
      <w:contextualSpacing/>
    </w:pPr>
    <w:rPr>
      <w:rFonts w:ascii="Arial" w:eastAsia="Times New Roman" w:hAnsi="Arial"/>
      <w:b/>
      <w:color w:val="009471"/>
      <w:lang w:eastAsia="cs-CZ"/>
    </w:rPr>
  </w:style>
  <w:style w:type="paragraph" w:styleId="Nzev">
    <w:name w:val="Title"/>
    <w:link w:val="NzevChar"/>
    <w:uiPriority w:val="10"/>
    <w:qFormat/>
    <w:rsid w:val="00B3611A"/>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B3611A"/>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B3611A"/>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B3611A"/>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styleId="Odkazintenzivn">
    <w:name w:val="Intense Reference"/>
    <w:basedOn w:val="Standardnpsmoodstavce"/>
    <w:uiPriority w:val="32"/>
    <w:qFormat/>
    <w:rsid w:val="00B3611A"/>
    <w:rPr>
      <w:b/>
      <w:bCs/>
      <w:smallCaps/>
      <w:color w:val="000000" w:themeColor="text1"/>
      <w:spacing w:val="5"/>
    </w:rPr>
  </w:style>
  <w:style w:type="character" w:styleId="Zdraznnintenzivn">
    <w:name w:val="Intense Emphasis"/>
    <w:basedOn w:val="Standardnpsmoodstavce"/>
    <w:uiPriority w:val="21"/>
    <w:qFormat/>
    <w:rsid w:val="00B3611A"/>
    <w:rPr>
      <w:i/>
      <w:iCs/>
      <w:color w:val="000000" w:themeColor="text1"/>
    </w:rPr>
  </w:style>
  <w:style w:type="paragraph" w:styleId="Zkladntextodsazen">
    <w:name w:val="Body Text Indent"/>
    <w:basedOn w:val="Normln"/>
    <w:link w:val="ZkladntextodsazenChar"/>
    <w:semiHidden/>
    <w:rsid w:val="006B4B37"/>
    <w:pPr>
      <w:overflowPunct w:val="0"/>
      <w:autoSpaceDE w:val="0"/>
      <w:autoSpaceDN w:val="0"/>
      <w:adjustRightInd w:val="0"/>
      <w:spacing w:before="120" w:after="120" w:line="240" w:lineRule="auto"/>
      <w:ind w:firstLine="426"/>
      <w:jc w:val="both"/>
      <w:textAlignment w:val="baseline"/>
    </w:pPr>
    <w:rPr>
      <w:szCs w:val="20"/>
    </w:rPr>
  </w:style>
  <w:style w:type="character" w:customStyle="1" w:styleId="ZkladntextodsazenChar">
    <w:name w:val="Základní text odsazený Char"/>
    <w:basedOn w:val="Standardnpsmoodstavce"/>
    <w:link w:val="Zkladntextodsazen"/>
    <w:semiHidden/>
    <w:rsid w:val="006B4B37"/>
    <w:rPr>
      <w:rFonts w:ascii="Arial" w:eastAsia="Times New Roman" w:hAnsi="Arial"/>
      <w:lang w:eastAsia="cs-CZ"/>
    </w:rPr>
  </w:style>
  <w:style w:type="paragraph" w:styleId="Zkladntextodsazen2">
    <w:name w:val="Body Text Indent 2"/>
    <w:basedOn w:val="Normln"/>
    <w:link w:val="Zkladntextodsazen2Char"/>
    <w:semiHidden/>
    <w:rsid w:val="006B4B37"/>
    <w:pPr>
      <w:spacing w:before="120" w:after="120" w:line="240" w:lineRule="auto"/>
      <w:ind w:firstLine="284"/>
      <w:jc w:val="both"/>
    </w:pPr>
  </w:style>
  <w:style w:type="character" w:customStyle="1" w:styleId="Zkladntextodsazen2Char">
    <w:name w:val="Základní text odsazený 2 Char"/>
    <w:basedOn w:val="Standardnpsmoodstavce"/>
    <w:link w:val="Zkladntextodsazen2"/>
    <w:semiHidden/>
    <w:rsid w:val="006B4B37"/>
    <w:rPr>
      <w:rFonts w:ascii="Arial" w:eastAsia="Times New Roman" w:hAnsi="Arial"/>
      <w:szCs w:val="24"/>
      <w:lang w:eastAsia="cs-CZ"/>
    </w:rPr>
  </w:style>
  <w:style w:type="paragraph" w:styleId="Zkladntext2">
    <w:name w:val="Body Text 2"/>
    <w:basedOn w:val="Normln"/>
    <w:link w:val="Zkladntext2Char"/>
    <w:semiHidden/>
    <w:rsid w:val="006B4B37"/>
    <w:pPr>
      <w:spacing w:before="120" w:after="120" w:line="240" w:lineRule="auto"/>
      <w:jc w:val="both"/>
    </w:pPr>
  </w:style>
  <w:style w:type="character" w:customStyle="1" w:styleId="Zkladntext2Char">
    <w:name w:val="Základní text 2 Char"/>
    <w:basedOn w:val="Standardnpsmoodstavce"/>
    <w:link w:val="Zkladntext2"/>
    <w:semiHidden/>
    <w:rsid w:val="006B4B37"/>
    <w:rPr>
      <w:rFonts w:ascii="Arial" w:eastAsia="Times New Roman" w:hAnsi="Arial"/>
      <w:szCs w:val="24"/>
      <w:lang w:eastAsia="cs-CZ"/>
    </w:rPr>
  </w:style>
  <w:style w:type="paragraph" w:styleId="Zkladntext">
    <w:name w:val="Body Text"/>
    <w:basedOn w:val="Normln"/>
    <w:link w:val="ZkladntextChar"/>
    <w:uiPriority w:val="99"/>
    <w:semiHidden/>
    <w:unhideWhenUsed/>
    <w:rsid w:val="006B4B37"/>
    <w:pPr>
      <w:overflowPunct w:val="0"/>
      <w:autoSpaceDE w:val="0"/>
      <w:autoSpaceDN w:val="0"/>
      <w:adjustRightInd w:val="0"/>
      <w:spacing w:after="120" w:line="240" w:lineRule="auto"/>
      <w:textAlignment w:val="baseline"/>
    </w:pPr>
    <w:rPr>
      <w:rFonts w:ascii="Times New Roman" w:hAnsi="Times New Roman"/>
      <w:szCs w:val="20"/>
    </w:rPr>
  </w:style>
  <w:style w:type="character" w:customStyle="1" w:styleId="ZkladntextChar">
    <w:name w:val="Základní text Char"/>
    <w:basedOn w:val="Standardnpsmoodstavce"/>
    <w:link w:val="Zkladntext"/>
    <w:uiPriority w:val="99"/>
    <w:semiHidden/>
    <w:rsid w:val="006B4B37"/>
    <w:rPr>
      <w:rFonts w:ascii="Times New Roman" w:eastAsia="Times New Roman" w:hAnsi="Times New Roman"/>
      <w:lang w:eastAsia="cs-CZ"/>
    </w:rPr>
  </w:style>
  <w:style w:type="paragraph" w:styleId="Zkladntext3">
    <w:name w:val="Body Text 3"/>
    <w:basedOn w:val="Normln"/>
    <w:link w:val="Zkladntext3Char"/>
    <w:uiPriority w:val="99"/>
    <w:unhideWhenUsed/>
    <w:rsid w:val="006B4B37"/>
    <w:pPr>
      <w:overflowPunct w:val="0"/>
      <w:autoSpaceDE w:val="0"/>
      <w:autoSpaceDN w:val="0"/>
      <w:adjustRightInd w:val="0"/>
      <w:spacing w:after="120" w:line="240" w:lineRule="auto"/>
      <w:textAlignment w:val="baseline"/>
    </w:pPr>
    <w:rPr>
      <w:rFonts w:ascii="Times New Roman" w:hAnsi="Times New Roman"/>
      <w:sz w:val="16"/>
      <w:szCs w:val="16"/>
    </w:rPr>
  </w:style>
  <w:style w:type="character" w:customStyle="1" w:styleId="Zkladntext3Char">
    <w:name w:val="Základní text 3 Char"/>
    <w:basedOn w:val="Standardnpsmoodstavce"/>
    <w:link w:val="Zkladntext3"/>
    <w:uiPriority w:val="99"/>
    <w:rsid w:val="006B4B37"/>
    <w:rPr>
      <w:rFonts w:ascii="Times New Roman" w:eastAsia="Times New Roman" w:hAnsi="Times New Roman"/>
      <w:sz w:val="16"/>
      <w:szCs w:val="16"/>
      <w:lang w:eastAsia="cs-CZ"/>
    </w:rPr>
  </w:style>
  <w:style w:type="paragraph" w:styleId="Zkladntextodsazen3">
    <w:name w:val="Body Text Indent 3"/>
    <w:basedOn w:val="Normln"/>
    <w:link w:val="Zkladntextodsazen3Char"/>
    <w:uiPriority w:val="99"/>
    <w:semiHidden/>
    <w:unhideWhenUsed/>
    <w:rsid w:val="006B4B37"/>
    <w:pPr>
      <w:overflowPunct w:val="0"/>
      <w:autoSpaceDE w:val="0"/>
      <w:autoSpaceDN w:val="0"/>
      <w:adjustRightInd w:val="0"/>
      <w:spacing w:after="120" w:line="240" w:lineRule="auto"/>
      <w:ind w:left="283"/>
      <w:textAlignment w:val="baseline"/>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rsid w:val="006B4B37"/>
    <w:rPr>
      <w:rFonts w:ascii="Times New Roman" w:eastAsia="Times New Roman" w:hAnsi="Times New Roman"/>
      <w:sz w:val="16"/>
      <w:szCs w:val="16"/>
      <w:lang w:eastAsia="cs-CZ"/>
    </w:rPr>
  </w:style>
  <w:style w:type="paragraph" w:styleId="Odstavecseseznamem">
    <w:name w:val="List Paragraph"/>
    <w:basedOn w:val="Normln"/>
    <w:uiPriority w:val="34"/>
    <w:qFormat/>
    <w:rsid w:val="004C0A82"/>
    <w:pPr>
      <w:spacing w:after="200" w:line="276" w:lineRule="auto"/>
      <w:ind w:left="720"/>
      <w:contextualSpacing/>
    </w:pPr>
    <w:rPr>
      <w:rFonts w:ascii="Calibri" w:eastAsia="Calibri" w:hAnsi="Calibri"/>
      <w:sz w:val="22"/>
      <w:szCs w:val="22"/>
      <w:lang w:eastAsia="en-US"/>
    </w:rPr>
  </w:style>
  <w:style w:type="paragraph" w:styleId="Bezmezer">
    <w:name w:val="No Spacing"/>
    <w:uiPriority w:val="1"/>
    <w:qFormat/>
    <w:rsid w:val="004C0A82"/>
    <w:rPr>
      <w:sz w:val="22"/>
      <w:szCs w:val="22"/>
    </w:rPr>
  </w:style>
  <w:style w:type="character" w:customStyle="1" w:styleId="tlid-translation">
    <w:name w:val="tlid-translation"/>
    <w:rsid w:val="00ED69B0"/>
  </w:style>
  <w:style w:type="paragraph" w:styleId="Normlnweb">
    <w:name w:val="Normal (Web)"/>
    <w:basedOn w:val="Normln"/>
    <w:semiHidden/>
    <w:rsid w:val="00ED69B0"/>
    <w:pPr>
      <w:spacing w:before="100" w:beforeAutospacing="1" w:after="100" w:afterAutospacing="1" w:line="240" w:lineRule="auto"/>
    </w:pPr>
    <w:rPr>
      <w:rFonts w:ascii="Arial Unicode MS" w:eastAsia="Arial Unicode MS" w:hAnsi="Arial Unicode MS" w:cs="Arial Unicode MS"/>
      <w:color w:val="0078B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6849949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337683782">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443</Form_c>
    <NazevForm xmlns="8675fb2b-b414-4bad-b4c4-d9349268b5a1">Publikace CZ barevná - hospodářská odvětví</NazevForm>
    <UcinnostOdForm xmlns="8675fb2b-b414-4bad-b4c4-d9349268b5a1">2024-06-18T22:00:00+00:00</UcinnostOdForm>
    <DomenaForm xmlns="8675fb2b-b414-4bad-b4c4-d9349268b5a1">
      <Value>P4 Komunikace a propagace</Value>
    </DomenaForm>
    <PredpisForm xmlns="8675fb2b-b414-4bad-b4c4-d9349268b5a1">Manuál značky a jednotného vizuálního stylu Českého statistického úřadu (č.2/2024)</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49235dd285db149611ba0ad3ef70ad08">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a93907e7ddce75859c6ca4616d139022"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H1. Koordinace a správa metodiky"/>
                    <xsd:enumeration value="H2. Posouzení požadavků"/>
                    <xsd:enumeration value="H3. Specifikace úlohy"/>
                    <xsd:enumeration value="H4. Příprava zpracování"/>
                    <xsd:enumeration value="H5. Sběr dat"/>
                    <xsd:enumeration value="H6. Statistické zpracování"/>
                    <xsd:enumeration value="H7. Analýza a tvorba výstupů"/>
                    <xsd:enumeration value="H8. Diseminace"/>
                    <xsd:enumeration value="H9. Evaluace"/>
                    <xsd:enumeration value="H10. Zpracování voleb"/>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7C02-2A1C-4865-B445-BEE36455B994}">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2.xml><?xml version="1.0" encoding="utf-8"?>
<ds:datastoreItem xmlns:ds="http://schemas.openxmlformats.org/officeDocument/2006/customXml" ds:itemID="{C9139D5E-AFB6-4B68-A8C2-3C8FF5CC8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422A55-CEA9-480C-B27B-21CB6A48CE16}">
  <ds:schemaRefs>
    <ds:schemaRef ds:uri="http://schemas.microsoft.com/sharepoint/v3/contenttype/forms"/>
  </ds:schemaRefs>
</ds:datastoreItem>
</file>

<file path=customXml/itemProps4.xml><?xml version="1.0" encoding="utf-8"?>
<ds:datastoreItem xmlns:ds="http://schemas.openxmlformats.org/officeDocument/2006/customXml" ds:itemID="{C11E18D8-9B47-466B-8DC2-29648F9CD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879</Words>
  <Characters>5187</Characters>
  <Application>Microsoft Office Word</Application>
  <DocSecurity>0</DocSecurity>
  <Lines>43</Lines>
  <Paragraphs>12</Paragraphs>
  <ScaleCrop>false</ScaleCrop>
  <HeadingPairs>
    <vt:vector size="6" baseType="variant">
      <vt:variant>
        <vt:lpstr>Název</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Styl: Nadpis 1</vt:lpstr>
      <vt:lpstr>    Styl: Nadpis 2</vt:lpstr>
      <vt:lpstr>        Styl: Nadpis 3</vt:lpstr>
      <vt:lpstr>        Styl: Nadpis 3</vt:lpstr>
      <vt:lpstr>    Styl: Nadpis 2</vt:lpstr>
      <vt:lpstr>        Styl: Nadpis 3</vt:lpstr>
      <vt:lpstr>    Styl: Nadpis 2</vt:lpstr>
      <vt:lpstr>        Styl: Nadpis 3</vt:lpstr>
    </vt:vector>
  </TitlesOfParts>
  <Manager/>
  <Company>CSU</Company>
  <LinksUpToDate>false</LinksUpToDate>
  <CharactersWithSpaces>6054</CharactersWithSpaces>
  <SharedDoc>false</SharedDoc>
  <HyperlinkBase/>
  <HLinks>
    <vt:vector size="18" baseType="variant">
      <vt:variant>
        <vt:i4>7602181</vt:i4>
      </vt:variant>
      <vt:variant>
        <vt:i4>11092</vt:i4>
      </vt:variant>
      <vt:variant>
        <vt:i4>1025</vt:i4>
      </vt:variant>
      <vt:variant>
        <vt:i4>1</vt:i4>
      </vt:variant>
      <vt:variant>
        <vt:lpwstr>msoFAAF</vt:lpwstr>
      </vt:variant>
      <vt:variant>
        <vt:lpwstr/>
      </vt:variant>
      <vt:variant>
        <vt:i4>7995509</vt:i4>
      </vt:variant>
      <vt:variant>
        <vt:i4>-1</vt:i4>
      </vt:variant>
      <vt:variant>
        <vt:i4>2058</vt:i4>
      </vt:variant>
      <vt:variant>
        <vt:i4>1</vt:i4>
      </vt:variant>
      <vt:variant>
        <vt:lpwstr>CSU RGB CZ logo-02</vt:lpwstr>
      </vt:variant>
      <vt:variant>
        <vt:lpwstr/>
      </vt:variant>
      <vt:variant>
        <vt:i4>7929973</vt:i4>
      </vt:variant>
      <vt:variant>
        <vt:i4>-1</vt:i4>
      </vt:variant>
      <vt:variant>
        <vt:i4>2059</vt:i4>
      </vt:variant>
      <vt:variant>
        <vt:i4>1</vt:i4>
      </vt:variant>
      <vt:variant>
        <vt:lpwstr>CSU RGB CZ 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Romana</dc:creator>
  <cp:keywords/>
  <dc:description/>
  <cp:lastModifiedBy>Procházková Romana</cp:lastModifiedBy>
  <cp:revision>23</cp:revision>
  <cp:lastPrinted>2026-05-13T07:15:00Z</cp:lastPrinted>
  <dcterms:created xsi:type="dcterms:W3CDTF">2024-09-19T07:54:00Z</dcterms:created>
  <dcterms:modified xsi:type="dcterms:W3CDTF">2026-05-13T07:16:00Z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Publikace CZ barevné - ekonomika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2017-08-14T07:00:00Z</vt:filetime>
  </property>
  <property fmtid="{D5CDD505-2E9C-101B-9397-08002B2CF9AE}" pid="8" name="Označení">
    <vt:lpwstr>Form_c438</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