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4AB29" w14:textId="77777777" w:rsidR="000C004E" w:rsidRDefault="000C004E" w:rsidP="000C004E">
      <w:pPr>
        <w:pStyle w:val="Nadpis1"/>
      </w:pPr>
      <w:bookmarkStart w:id="0" w:name="_Toc200969293"/>
      <w:r>
        <w:t>6. Trh práce</w:t>
      </w:r>
      <w:bookmarkEnd w:id="0"/>
    </w:p>
    <w:tbl>
      <w:tblPr>
        <w:tblW w:w="9674" w:type="dxa"/>
        <w:tblInd w:w="-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1"/>
        <w:gridCol w:w="198"/>
        <w:gridCol w:w="7715"/>
      </w:tblGrid>
      <w:tr w:rsidR="000C004E" w14:paraId="62C912DC" w14:textId="77777777" w:rsidTr="000C004E">
        <w:trPr>
          <w:trHeight w:val="155"/>
        </w:trPr>
        <w:tc>
          <w:tcPr>
            <w:tcW w:w="1761" w:type="dxa"/>
          </w:tcPr>
          <w:p w14:paraId="0BB71CB0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t>Na trhu práce došlo na počátku roku k oživení, zejména v oblasti zaměstnanosti.</w:t>
            </w:r>
          </w:p>
          <w:p w14:paraId="0AD448C8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0CF8E704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43C34D6F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367E7204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2BE8E35D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20672D72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31472CE8" w14:textId="77777777" w:rsidR="000C004E" w:rsidRDefault="000C004E">
            <w:pPr>
              <w:pStyle w:val="Marginlie"/>
              <w:spacing w:after="12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>Mzdový růst mírně zvolňoval a mezi odvětvími byl dosti diferencovaný. Kupní síla mezd odpovídala úrovni z</w:t>
            </w:r>
            <w:r>
              <w:rPr>
                <w:color w:val="0D0D0D" w:themeColor="text1" w:themeTint="F2"/>
                <w:spacing w:val="0"/>
                <w:lang w:eastAsia="en-US"/>
              </w:rPr>
              <w:t> </w:t>
            </w:r>
            <w:r>
              <w:rPr>
                <w:color w:val="0D0D0D" w:themeColor="text1" w:themeTint="F2"/>
                <w:spacing w:val="-4"/>
                <w:lang w:eastAsia="en-US"/>
              </w:rPr>
              <w:t>konce roku 2018.</w:t>
            </w:r>
          </w:p>
        </w:tc>
        <w:tc>
          <w:tcPr>
            <w:tcW w:w="198" w:type="dxa"/>
          </w:tcPr>
          <w:p w14:paraId="1292867E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1A3E4AD2" w14:textId="77777777" w:rsidR="000C004E" w:rsidRDefault="000C004E">
            <w:pPr>
              <w:spacing w:after="200"/>
              <w:rPr>
                <w:color w:val="0D0D0D" w:themeColor="text1" w:themeTint="F2"/>
                <w:spacing w:val="-4"/>
                <w:szCs w:val="20"/>
                <w:lang w:eastAsia="en-US"/>
              </w:rPr>
            </w:pPr>
            <w:r>
              <w:rPr>
                <w:color w:val="0D0D0D" w:themeColor="text1" w:themeTint="F2"/>
                <w:spacing w:val="-4"/>
                <w:szCs w:val="20"/>
                <w:lang w:eastAsia="en-US"/>
              </w:rPr>
              <w:t>Posílení výkonu ekonomiky na počátku letošního roku se odrazilo i na trhu práce. Růst zaměstnanosti zrychlil, v samotném průmyslu ale k oživení zatím nedošlo. Dařilo se ale širokému spektru služeb, které těžily primárně z rostoucí tuzemské poptávky. Podnikatelé ve většině odvětví ekonomiky během jara mírně vylepšili krátkodobá očekávání v oblasti zaměstnanosti. I přes nejisté ekonomické výhledy firmy stále intenzivně poptávaly levnější pracovní sílu ze zahraničí. Souběžně pokračovala rovněž integrace ukrajinských uprchlíků na pracovní trh v Česku, což zčásti řešilo dlouhodobější nedostatek volných pracovních sil v tuzemsku. Nezaměstnanost setrvala bez výraznějších změn na velmi nízké úrovni. Pracovníci propuštění z průmyslových podniků totiž mohli ve většině případů nalézt nové uplatnění v jiných odvětvích bez výraznějších obtíží, a to i díky vyšší aktivitě úřadů práce v oblasti rekvalifikací. Meziroční růst nominálních mezd lehce zvolňoval, v řadě váhově významných odvětví byl navíc poměrně slabý. Při stabilizaci cenové hladiny v ekonomice pokračoval svižný růst reálných mezd, jenž byl alespoň v minimální míře patrný ve všech hlavních odvětvích. Kupní síla zaměstnaneckých výdělků ovšem dosahovala pouze úrovně z konce roku 2018.</w:t>
            </w:r>
          </w:p>
        </w:tc>
      </w:tr>
      <w:tr w:rsidR="000C004E" w14:paraId="683B9CCE" w14:textId="77777777" w:rsidTr="000C004E">
        <w:trPr>
          <w:trHeight w:val="155"/>
        </w:trPr>
        <w:tc>
          <w:tcPr>
            <w:tcW w:w="1761" w:type="dxa"/>
            <w:hideMark/>
          </w:tcPr>
          <w:p w14:paraId="56E56114" w14:textId="77777777" w:rsidR="000C004E" w:rsidRDefault="000C004E">
            <w:pPr>
              <w:pStyle w:val="Marginlie"/>
              <w:spacing w:after="12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>Růst celkové zaměstnanosti na počátku roku zrychlil, téměř výhradně díky službám.</w:t>
            </w:r>
          </w:p>
        </w:tc>
        <w:tc>
          <w:tcPr>
            <w:tcW w:w="198" w:type="dxa"/>
          </w:tcPr>
          <w:p w14:paraId="38CA3055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3FACEE37" w14:textId="77777777" w:rsidR="000C004E" w:rsidRDefault="000C004E">
            <w:pPr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Jestliže ve druhé polovině loňského roku celková zaměstnanost</w:t>
            </w:r>
            <w:r>
              <w:rPr>
                <w:color w:val="0D0D0D" w:themeColor="text1" w:themeTint="F2"/>
                <w:vertAlign w:val="superscript"/>
                <w:lang w:eastAsia="en-US"/>
              </w:rPr>
              <w:footnoteReference w:id="1"/>
            </w:r>
            <w:r>
              <w:rPr>
                <w:spacing w:val="-4"/>
                <w:lang w:eastAsia="en-US"/>
              </w:rPr>
              <w:t xml:space="preserve"> v ekonomice mezikvartálně pouze stagnovala, v 1. čtvrtletí se následně zvýšila o 0,7 %. To představovalo nejvýraznější oživení od poloviny roku 2022. Za tímto vývojem stál z drtivé části sektor služeb, kde se projevila zvyšující se poptávka po pracovnících téměř ve všech hlavních odvětvích. Naopak ve váhově nejvýznamnějším hospodářském odvětví – průmyslu – úbytek pracovních míst pokračoval. Celková zaměstnanost letos dosáhla rekordních 5,44 mil. osob a ve srovnání s maximální hodnotou z období poslední konjunktury (4. čtvrtletí 2018) byla vyšší o 1,3 %, z rozhodující části zásluhou rozvoje veřejných služeb. Tempo celkové zaměstnanosti zrychlilo i v meziročním srovnání a v 1. čtvrtletí dosáhlo 1,1 %. Na akceleraci se podíleli jak zaměstnanci, jichž oproti počátku loňského roku přibylo 47 tis., tak sebezaměstnaní (+12 tis.). Poprvé od pandemického roku 2021 se také letos celkový počet pracovníků v Česku zvyšoval rychleji než současně v EU (+0,4 %) i eurozóně (+0,7 %)</w:t>
            </w:r>
            <w:r>
              <w:rPr>
                <w:rStyle w:val="Znakapoznpodarou"/>
                <w:spacing w:val="-4"/>
                <w:lang w:eastAsia="en-US"/>
              </w:rPr>
              <w:footnoteReference w:id="2"/>
            </w:r>
            <w:r>
              <w:rPr>
                <w:spacing w:val="-4"/>
                <w:lang w:eastAsia="en-US"/>
              </w:rPr>
              <w:t xml:space="preserve">. </w:t>
            </w:r>
          </w:p>
        </w:tc>
      </w:tr>
      <w:tr w:rsidR="000C004E" w14:paraId="17460373" w14:textId="77777777" w:rsidTr="000C004E">
        <w:trPr>
          <w:trHeight w:val="155"/>
        </w:trPr>
        <w:tc>
          <w:tcPr>
            <w:tcW w:w="1761" w:type="dxa"/>
          </w:tcPr>
          <w:p w14:paraId="51FB6918" w14:textId="77777777" w:rsidR="000C004E" w:rsidRDefault="000C004E">
            <w:pPr>
              <w:pStyle w:val="Marginlie"/>
              <w:spacing w:after="12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>Těžiště růstu zaměstnanosti v terciární sféře spočívalo i nadále ve veřejných službách. Dařilo se i oblasti nemovitostí a vyspělejším podnikovým službám.</w:t>
            </w:r>
          </w:p>
          <w:p w14:paraId="34FBAAE4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35D7B942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2FEAD6F2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5F44BDB5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6B2EA0A4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76D5B640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7FBDAD0F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2AA50360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177F3525" w14:textId="77777777" w:rsidR="000C004E" w:rsidRDefault="000C004E">
            <w:pPr>
              <w:pStyle w:val="Marginlie"/>
              <w:spacing w:after="12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 xml:space="preserve">Ve stavebnictví růst zaměstnanosti zrychlil, přibývalo zaměstnanců </w:t>
            </w:r>
            <w:r>
              <w:rPr>
                <w:color w:val="0D0D0D" w:themeColor="text1" w:themeTint="F2"/>
                <w:spacing w:val="-4"/>
                <w:lang w:eastAsia="en-US"/>
              </w:rPr>
              <w:br/>
              <w:t>i drobných podnikatelů.</w:t>
            </w:r>
          </w:p>
        </w:tc>
        <w:tc>
          <w:tcPr>
            <w:tcW w:w="198" w:type="dxa"/>
          </w:tcPr>
          <w:p w14:paraId="062699EC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11EB9F2C" w14:textId="77777777" w:rsidR="000C004E" w:rsidRDefault="000C004E">
            <w:pPr>
              <w:spacing w:after="200"/>
              <w:rPr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 xml:space="preserve">K meziročnímu posílení zaměstnanosti </w:t>
            </w:r>
            <w:r>
              <w:rPr>
                <w:spacing w:val="-4"/>
                <w:lang w:eastAsia="en-US"/>
              </w:rPr>
              <w:t xml:space="preserve">v Česku </w:t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přispěly </w:t>
            </w:r>
            <w:r>
              <w:rPr>
                <w:spacing w:val="-4"/>
                <w:lang w:eastAsia="en-US"/>
              </w:rPr>
              <w:t>i v 1. čtvrtletí 2025 nejvíce veřejné služby</w:t>
            </w:r>
            <w:r>
              <w:rPr>
                <w:rStyle w:val="Znakapoznpodarou"/>
                <w:spacing w:val="-4"/>
                <w:lang w:eastAsia="en-US"/>
              </w:rPr>
              <w:footnoteReference w:id="3"/>
            </w:r>
            <w:r>
              <w:rPr>
                <w:spacing w:val="-4"/>
                <w:lang w:eastAsia="en-US"/>
              </w:rPr>
              <w:t>, kde se v posledních letech růst ustálil okolo 2 %. Tyto služby reagovaly na vysokou poptávku spojenou s dlouhodobějšími změnami ve věkové skladbě populace (v oblasti vzdělávání, zdravotní a sociální péče). Relativně nejvíce ovšem přibylo pracovníků v činnostech v oblasti nemovitostí (+4,7 %), k čemuž letos stejně jako v předchozích dvou letech přispívali primárně zaměstnanci. To platilo i pro odvětví ostatních činností</w:t>
            </w:r>
            <w:r>
              <w:rPr>
                <w:rStyle w:val="Znakapoznpodarou"/>
                <w:spacing w:val="-4"/>
                <w:lang w:eastAsia="en-US"/>
              </w:rPr>
              <w:footnoteReference w:id="4"/>
            </w:r>
            <w:r>
              <w:rPr>
                <w:spacing w:val="-4"/>
                <w:lang w:eastAsia="en-US"/>
              </w:rPr>
              <w:t xml:space="preserve">, kde růst zaměstnanosti zrychlil na 2,8 %, stejně jako v procyklickém odvětví profesní, vědecké, technické a administrativní činnosti (+1,8 %). Ve váhově významném uskupení obchod, doprava, ubytování a pohostinství naopak tempo zvolnilo na (0,9 %), což pramenilo z méně příznivého vývoje v oblasti dopravy a skladování, kde poptávku po zaměstnancích limituje slabší výkon v souvisejícím odvětví průmyslu. Naopak drobným podnikatelům v celém výše </w:t>
            </w:r>
            <w:r>
              <w:rPr>
                <w:spacing w:val="-4"/>
                <w:lang w:eastAsia="en-US"/>
              </w:rPr>
              <w:lastRenderedPageBreak/>
              <w:t xml:space="preserve">uvedeném uskupení se dařilo relativně lépe, což lze přičíst pokračujícímu zotavování cestovního ruchu. V okruhu nejvyspělejších služeb zařazených do kvartérního sektoru ekonomiky roste v posledních čtvrtletích celková zaměstnanost jen slabě – v oblasti ICT se letos (stejně jako loni) navyšovaly pouze stavy sebezaměstnaných a ve finančnictví je přeliv zaměstnanosti směrem k drobným podnikatelům patrný již od roku 2021. Mimo služby rostl letos počet pracovníků již pouze ve stavebnictví (+2,4 %), kde podobným tempem přibývalo zaměstnanců i drobných podnikatelů. </w:t>
            </w:r>
          </w:p>
        </w:tc>
      </w:tr>
      <w:tr w:rsidR="000C004E" w14:paraId="1BC1AB89" w14:textId="77777777" w:rsidTr="000C004E">
        <w:trPr>
          <w:trHeight w:val="155"/>
        </w:trPr>
        <w:tc>
          <w:tcPr>
            <w:tcW w:w="1761" w:type="dxa"/>
            <w:hideMark/>
          </w:tcPr>
          <w:p w14:paraId="73FF098C" w14:textId="77777777" w:rsidR="000C004E" w:rsidRDefault="000C004E">
            <w:pPr>
              <w:pStyle w:val="Marginlie"/>
              <w:spacing w:after="12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lastRenderedPageBreak/>
              <w:t>Pokles zaměstnanosti ve zpracovatelském průmyslu se zmírnil. Situace v řadě tradičních exportních oborů je stále obtížná.</w:t>
            </w:r>
          </w:p>
        </w:tc>
        <w:tc>
          <w:tcPr>
            <w:tcW w:w="198" w:type="dxa"/>
          </w:tcPr>
          <w:p w14:paraId="1A1E3799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1447A640" w14:textId="77777777" w:rsidR="000C004E" w:rsidRDefault="000C004E">
            <w:pPr>
              <w:spacing w:after="200"/>
              <w:rPr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 xml:space="preserve">Růst celkové zaměstnanosti byl rovněž na počátku letošního roku tlumen vývojem ve </w:t>
            </w:r>
            <w:r>
              <w:rPr>
                <w:spacing w:val="-4"/>
                <w:lang w:eastAsia="en-US"/>
              </w:rPr>
              <w:t xml:space="preserve">zpracovatelském průmyslu. Pracovníků zde meziročně ubývá již osmý kvartál v řadě, byť </w:t>
            </w:r>
            <w:r>
              <w:rPr>
                <w:spacing w:val="-5"/>
                <w:lang w:eastAsia="en-US"/>
              </w:rPr>
              <w:t>aktuálně již jen o 0,4 %. Potíže s odbytem zboží, nejistota nejbližšího vývoje v mezinárodních obchodních</w:t>
            </w:r>
            <w:r>
              <w:rPr>
                <w:spacing w:val="-4"/>
                <w:lang w:eastAsia="en-US"/>
              </w:rPr>
              <w:t xml:space="preserve"> vztazích, jakož i přetrvávající nákladové tlaky související hlavně s energetickou náročností výroby neposkytují větší prostor pro růst nových pracovních míst. O vážnosti situace vypovídá i pokračující pokles počtu sebezaměstnaných v průmyslu. V ostatním průmyslu byla situace trochu příznivější, neboť mírný růst zaměstnanosti v energetice, vodním a odpadovém hospodářství stačil kompenzovat prohlubující se útlum v relativně malém oboru těžby a dobývání. V odvětví zemědělství, lesnictví a rybářství se celkový počet pracovníků významně neměnil, přičemž se nadále mírně zvyšoval počet sebezaměstnaných.</w:t>
            </w:r>
          </w:p>
        </w:tc>
      </w:tr>
      <w:tr w:rsidR="000C004E" w14:paraId="11C7FE2C" w14:textId="77777777" w:rsidTr="000C004E">
        <w:trPr>
          <w:trHeight w:val="155"/>
        </w:trPr>
        <w:tc>
          <w:tcPr>
            <w:tcW w:w="1761" w:type="dxa"/>
            <w:hideMark/>
          </w:tcPr>
          <w:p w14:paraId="6FDE68C7" w14:textId="77777777" w:rsidR="000C004E" w:rsidRDefault="000C004E">
            <w:pPr>
              <w:pStyle w:val="Marginlie"/>
              <w:spacing w:after="12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 xml:space="preserve">Počet cizinců v zaměstnaneckém postavení vystoupal na rekordních 858 tis. Jejich přírůstek byl stále tažen hlavně občany Ukrajiny. Zrychlil příliv osob z některých asijských států, pracovníků ze střední a východní Evropy ale postupně ubývá. </w:t>
            </w:r>
          </w:p>
        </w:tc>
        <w:tc>
          <w:tcPr>
            <w:tcW w:w="198" w:type="dxa"/>
          </w:tcPr>
          <w:p w14:paraId="42669B78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75672A20" w14:textId="1E9FEF4D" w:rsidR="000C004E" w:rsidRDefault="000C004E" w:rsidP="009E7F05">
            <w:pPr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 xml:space="preserve">Dlouhodobě nízká zásoba volných pracovních sil v Česku (vlivem demografického stárnutí </w:t>
            </w:r>
            <w:r>
              <w:rPr>
                <w:color w:val="0D0D0D" w:themeColor="text1" w:themeTint="F2"/>
                <w:spacing w:val="-4"/>
                <w:lang w:eastAsia="en-US"/>
              </w:rPr>
              <w:br/>
              <w:t>i nízké porodnosti) spolu se sílícím tlakem firem na optimalizaci výrobních nákladů nadále stimulovaly rostoucí poptávku tuzemských zaměstnavatelů po pracovnících ze zahraničí. Snadnějšímu zaměstnávání cizinců pomáhají legislativní změny snižující administrativní náročnost v této oblasti. To se týká jak ukrajinských občanů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5"/>
            </w:r>
            <w:r>
              <w:rPr>
                <w:color w:val="0D0D0D" w:themeColor="text1" w:themeTint="F2"/>
                <w:spacing w:val="-4"/>
                <w:lang w:eastAsia="en-US"/>
              </w:rPr>
              <w:t>, tak i cizinců z dalších, nejen hospodářsky méně vyspělých zemí mimo EU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6"/>
            </w:r>
            <w:r>
              <w:rPr>
                <w:color w:val="0D0D0D" w:themeColor="text1" w:themeTint="F2"/>
                <w:spacing w:val="-4"/>
                <w:lang w:eastAsia="en-US"/>
              </w:rPr>
              <w:t>. Dlouhodobý příliv zahraničních pracovníků do Česka tak pokračoval. V dominantní skupině zaměstnanců jich letos na konci dubna bylo na úřadech práce registrováno 859 tis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7"/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 (meziročně o +43 tis. více)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8"/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. Nejvíce meziročně přibylo již tradičně občanů Ukrajiny (+32 tis. na 310 tis., z toho ženy +24 tis., na 167 tis.), řádově </w:t>
            </w:r>
            <w:r>
              <w:rPr>
                <w:color w:val="0D0D0D" w:themeColor="text1" w:themeTint="F2"/>
                <w:spacing w:val="-6"/>
                <w:lang w:eastAsia="en-US"/>
              </w:rPr>
              <w:t>méně z Filipín, Vietnamu, Slovenska i Ruska (shodně mezi +2 až +3,5 tis.). Z významnějších</w:t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 skupin cizinců rostl relativně svižně počet občanů Indie, Číny </w:t>
            </w:r>
            <w:r>
              <w:rPr>
                <w:color w:val="0D0D0D" w:themeColor="text1" w:themeTint="F2"/>
                <w:spacing w:val="-4"/>
                <w:lang w:eastAsia="en-US"/>
              </w:rPr>
              <w:br/>
              <w:t>a Kazachstánu (shodně mírně přes 20 %). Naopak ubylo početných skupin</w:t>
            </w:r>
            <w:r w:rsidR="009E7F05">
              <w:rPr>
                <w:color w:val="0D0D0D" w:themeColor="text1" w:themeTint="F2"/>
                <w:spacing w:val="-4"/>
                <w:lang w:eastAsia="en-US"/>
              </w:rPr>
              <w:t xml:space="preserve"> pracovníků</w:t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 z chudších států střední a východní Evropy – především z Polska (</w:t>
            </w:r>
            <w:r>
              <w:rPr>
                <w:spacing w:val="-4"/>
                <w:lang w:eastAsia="en-US"/>
              </w:rPr>
              <w:t>−</w:t>
            </w:r>
            <w:r>
              <w:rPr>
                <w:color w:val="0D0D0D" w:themeColor="text1" w:themeTint="F2"/>
                <w:spacing w:val="-4"/>
                <w:lang w:eastAsia="en-US"/>
              </w:rPr>
              <w:t>5,0 tis., resp. o 10 %), Bulharska (</w:t>
            </w:r>
            <w:r>
              <w:rPr>
                <w:spacing w:val="-4"/>
                <w:lang w:eastAsia="en-US"/>
              </w:rPr>
              <w:t>−4</w:t>
            </w:r>
            <w:r>
              <w:rPr>
                <w:color w:val="0D0D0D" w:themeColor="text1" w:themeTint="F2"/>
                <w:spacing w:val="-4"/>
                <w:lang w:eastAsia="en-US"/>
              </w:rPr>
              <w:t> %), Maďarska (</w:t>
            </w:r>
            <w:r>
              <w:rPr>
                <w:spacing w:val="-4"/>
                <w:lang w:eastAsia="en-US"/>
              </w:rPr>
              <w:t>−3</w:t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 %) </w:t>
            </w:r>
            <w:r>
              <w:rPr>
                <w:color w:val="0D0D0D" w:themeColor="text1" w:themeTint="F2"/>
                <w:spacing w:val="-6"/>
                <w:lang w:eastAsia="en-US"/>
              </w:rPr>
              <w:t>a Rumunska (</w:t>
            </w:r>
            <w:r>
              <w:rPr>
                <w:spacing w:val="-6"/>
                <w:lang w:eastAsia="en-US"/>
              </w:rPr>
              <w:t>−2</w:t>
            </w:r>
            <w:r>
              <w:rPr>
                <w:color w:val="0D0D0D" w:themeColor="text1" w:themeTint="F2"/>
                <w:spacing w:val="-6"/>
                <w:lang w:eastAsia="en-US"/>
              </w:rPr>
              <w:t> %), což souvisí s postupným vyrovnáváním mzdové úrovně v tomto regionu.</w:t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 </w:t>
            </w:r>
          </w:p>
        </w:tc>
      </w:tr>
      <w:tr w:rsidR="000C004E" w14:paraId="4400B123" w14:textId="77777777" w:rsidTr="000C004E">
        <w:trPr>
          <w:trHeight w:val="155"/>
        </w:trPr>
        <w:tc>
          <w:tcPr>
            <w:tcW w:w="1761" w:type="dxa"/>
            <w:hideMark/>
          </w:tcPr>
          <w:p w14:paraId="406E8ADE" w14:textId="77777777" w:rsidR="000C004E" w:rsidRDefault="000C004E">
            <w:pPr>
              <w:pStyle w:val="Marginlie"/>
              <w:spacing w:after="12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 xml:space="preserve">Míra zaměstnanosti žen ve věku 15 až 64 let vystoupala na rekordní úroveň. </w:t>
            </w:r>
          </w:p>
        </w:tc>
        <w:tc>
          <w:tcPr>
            <w:tcW w:w="198" w:type="dxa"/>
          </w:tcPr>
          <w:p w14:paraId="6BD238EB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7ADE7A24" w14:textId="77777777" w:rsidR="000C004E" w:rsidRDefault="000C004E">
            <w:pPr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Výše uvedené trendy se odrazily v pokračujícím lehkém růstu míry ekonomické aktivity, který se letos, stejně jako po většinu roku 2024, propisuje v zásadě jen do oblasti zaměstnanosti. Míra zaměstnanosti</w:t>
            </w:r>
            <w:r>
              <w:rPr>
                <w:rStyle w:val="Znakapoznpodarou"/>
                <w:spacing w:val="-4"/>
                <w:lang w:eastAsia="en-US"/>
              </w:rPr>
              <w:footnoteReference w:id="9"/>
            </w:r>
            <w:r>
              <w:rPr>
                <w:spacing w:val="-4"/>
                <w:lang w:eastAsia="en-US"/>
              </w:rPr>
              <w:t xml:space="preserve"> (15–64letých) dosáhla v dubnu 75,8 %, meziročně posílila o 0,9 p. b. Zatímco u mužů míra stagnovala (na 81,0 %), u žen se zvýšila o rovné 2  p. b. – na rekordních 70,5 %. Vývoj u žen souvisí s celkovým oživením tržních služeb </w:t>
            </w:r>
            <w:r>
              <w:rPr>
                <w:spacing w:val="-4"/>
                <w:lang w:eastAsia="en-US"/>
              </w:rPr>
              <w:lastRenderedPageBreak/>
              <w:t>i  stabilně rostoucí zaměstnaností ve veřejných službách, s rozšiřováním zkrácených úvazků</w:t>
            </w:r>
            <w:r>
              <w:rPr>
                <w:rStyle w:val="Znakapoznpodarou"/>
                <w:spacing w:val="-4"/>
                <w:lang w:eastAsia="en-US"/>
              </w:rPr>
              <w:footnoteReference w:id="10"/>
            </w:r>
            <w:r>
              <w:rPr>
                <w:spacing w:val="-4"/>
                <w:lang w:eastAsia="en-US"/>
              </w:rPr>
              <w:t xml:space="preserve"> a také dosud stále rychlejším posunem hranice důchodového věku (oproti mužům).</w:t>
            </w:r>
          </w:p>
        </w:tc>
      </w:tr>
      <w:tr w:rsidR="000C004E" w14:paraId="1F6F3C6D" w14:textId="77777777" w:rsidTr="000C004E">
        <w:trPr>
          <w:trHeight w:val="155"/>
        </w:trPr>
        <w:tc>
          <w:tcPr>
            <w:tcW w:w="1761" w:type="dxa"/>
            <w:vMerge w:val="restart"/>
          </w:tcPr>
          <w:p w14:paraId="69986181" w14:textId="77777777" w:rsidR="000C004E" w:rsidRDefault="000C004E">
            <w:pPr>
              <w:pStyle w:val="Marginlie"/>
              <w:spacing w:after="120"/>
              <w:rPr>
                <w:spacing w:val="-4"/>
                <w:lang w:eastAsia="en-US"/>
              </w:rPr>
            </w:pPr>
          </w:p>
        </w:tc>
        <w:tc>
          <w:tcPr>
            <w:tcW w:w="198" w:type="dxa"/>
            <w:vMerge w:val="restart"/>
          </w:tcPr>
          <w:p w14:paraId="15E1913F" w14:textId="77777777" w:rsidR="000C004E" w:rsidRDefault="000C004E">
            <w:pPr>
              <w:pStyle w:val="Textpoznpodarou"/>
              <w:spacing w:after="120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098DC946" w14:textId="77777777" w:rsidR="000C004E" w:rsidRDefault="000C004E">
            <w:pPr>
              <w:spacing w:after="0"/>
              <w:rPr>
                <w:spacing w:val="-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>Graf č. 13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Celková zaměstnanost </w:t>
            </w:r>
            <w:r>
              <w:rPr>
                <w:lang w:eastAsia="en-US"/>
              </w:rPr>
              <w:t>(</w:t>
            </w:r>
            <w:r>
              <w:rPr>
                <w:spacing w:val="-2"/>
                <w:lang w:eastAsia="en-US"/>
              </w:rPr>
              <w:t>meziročně v %)</w:t>
            </w:r>
            <w:r>
              <w:rPr>
                <w:b/>
                <w:bCs/>
                <w:spacing w:val="-2"/>
                <w:lang w:eastAsia="en-US"/>
              </w:rPr>
              <w:t xml:space="preserve">, příspěvky odvětví k meziroční změně zaměstnanosti </w:t>
            </w:r>
            <w:r>
              <w:rPr>
                <w:spacing w:val="-2"/>
                <w:lang w:eastAsia="en-US"/>
              </w:rPr>
              <w:t>(v p. b.)</w:t>
            </w:r>
            <w:r>
              <w:rPr>
                <w:b/>
                <w:bCs/>
                <w:spacing w:val="-2"/>
                <w:lang w:eastAsia="en-US"/>
              </w:rPr>
              <w:t xml:space="preserve"> a očekávání vývoje zaměstnanosti </w:t>
            </w:r>
            <w:r>
              <w:rPr>
                <w:spacing w:val="-2"/>
                <w:lang w:eastAsia="en-US"/>
              </w:rPr>
              <w:t>(saldo v p. b.)</w:t>
            </w:r>
          </w:p>
        </w:tc>
      </w:tr>
      <w:tr w:rsidR="000C004E" w14:paraId="3A78DA35" w14:textId="77777777" w:rsidTr="000C004E">
        <w:trPr>
          <w:trHeight w:val="155"/>
        </w:trPr>
        <w:tc>
          <w:tcPr>
            <w:tcW w:w="0" w:type="auto"/>
            <w:vMerge/>
            <w:vAlign w:val="center"/>
            <w:hideMark/>
          </w:tcPr>
          <w:p w14:paraId="096DEBB5" w14:textId="77777777" w:rsidR="000C004E" w:rsidRDefault="000C004E">
            <w:pPr>
              <w:spacing w:after="0" w:line="240" w:lineRule="auto"/>
              <w:jc w:val="left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F82484" w14:textId="77777777" w:rsidR="000C004E" w:rsidRDefault="000C004E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71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DCAC6" w14:textId="704917D8" w:rsidR="000C004E" w:rsidRDefault="000C004E">
            <w:pPr>
              <w:spacing w:after="0"/>
              <w:rPr>
                <w:spacing w:val="-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77D3A75" wp14:editId="5D6113FF">
                  <wp:extent cx="4762500" cy="3810000"/>
                  <wp:effectExtent l="0" t="0" r="0" b="0"/>
                  <wp:docPr id="16" name="Graf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C004E" w14:paraId="7D9EDE86" w14:textId="77777777" w:rsidTr="000C004E">
        <w:trPr>
          <w:trHeight w:val="671"/>
        </w:trPr>
        <w:tc>
          <w:tcPr>
            <w:tcW w:w="0" w:type="auto"/>
            <w:vMerge/>
            <w:vAlign w:val="center"/>
            <w:hideMark/>
          </w:tcPr>
          <w:p w14:paraId="4957F9A5" w14:textId="77777777" w:rsidR="000C004E" w:rsidRDefault="000C004E">
            <w:pPr>
              <w:spacing w:after="0" w:line="240" w:lineRule="auto"/>
              <w:jc w:val="left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111957" w14:textId="77777777" w:rsidR="000C004E" w:rsidRDefault="000C004E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715" w:type="dxa"/>
            <w:hideMark/>
          </w:tcPr>
          <w:p w14:paraId="5E05F5BF" w14:textId="77777777" w:rsidR="000C004E" w:rsidRDefault="000C004E">
            <w:pPr>
              <w:spacing w:after="0" w:line="240" w:lineRule="auto"/>
              <w:rPr>
                <w:rFonts w:cs="Arial"/>
                <w:sz w:val="14"/>
                <w:szCs w:val="14"/>
                <w:lang w:eastAsia="en-US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  <w:t>*</w:t>
            </w:r>
            <w:r>
              <w:rPr>
                <w:rFonts w:cs="Arial"/>
                <w:sz w:val="14"/>
                <w:szCs w:val="14"/>
                <w:lang w:eastAsia="en-US"/>
              </w:rPr>
              <w:t xml:space="preserve"> Těžba a energetika; Peněžnictví a pojišťovnictví; Činnosti v oblasti nemovitostí; Kulturní, zábavní a</w:t>
            </w:r>
            <w:r>
              <w:rPr>
                <w:sz w:val="14"/>
                <w:szCs w:val="14"/>
                <w:lang w:eastAsia="en-US"/>
              </w:rPr>
              <w:t> </w:t>
            </w:r>
            <w:r>
              <w:rPr>
                <w:rFonts w:cs="Arial"/>
                <w:sz w:val="14"/>
                <w:szCs w:val="14"/>
                <w:lang w:eastAsia="en-US"/>
              </w:rPr>
              <w:t>rekreační činnosti.</w:t>
            </w:r>
          </w:p>
          <w:p w14:paraId="25B183BE" w14:textId="77777777" w:rsidR="000C004E" w:rsidRDefault="000C004E">
            <w:pPr>
              <w:spacing w:after="0" w:line="240" w:lineRule="auto"/>
              <w:rPr>
                <w:rFonts w:cs="Arial"/>
                <w:sz w:val="14"/>
                <w:szCs w:val="14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 xml:space="preserve">Poznámka: Saldo </w:t>
            </w:r>
            <w:r>
              <w:rPr>
                <w:rFonts w:cs="Arial"/>
                <w:color w:val="0D0D0D" w:themeColor="text1" w:themeTint="F2"/>
                <w:sz w:val="14"/>
                <w:szCs w:val="14"/>
                <w:lang w:eastAsia="en-US"/>
              </w:rPr>
              <w:t>očekávání vyjadřuje rozdíl v p. b. mezi kategoriemi růst versus pokles zaměstnanosti v nejbližších třech měsících. Údaje jsou sezónně očištěny a vztahují se k druhému měsíci daného čtvrtletí.</w:t>
            </w:r>
          </w:p>
          <w:p w14:paraId="2617E452" w14:textId="77777777" w:rsidR="000C004E" w:rsidRDefault="000C004E">
            <w:pPr>
              <w:spacing w:after="20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Zdroj: ČSÚ (národní účty), Eurostat (konjunkturální průzkumy).</w:t>
            </w:r>
          </w:p>
        </w:tc>
      </w:tr>
      <w:tr w:rsidR="000C004E" w14:paraId="4CB3114C" w14:textId="77777777" w:rsidTr="000C004E">
        <w:trPr>
          <w:trHeight w:val="145"/>
        </w:trPr>
        <w:tc>
          <w:tcPr>
            <w:tcW w:w="1761" w:type="dxa"/>
          </w:tcPr>
          <w:p w14:paraId="52CBB87C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>Krátkodobá očekávání podniků v oblasti zaměstnanosti na počátku roku kolísala. Lehký optimismus pokračoval v obchodu i stavebnictví.</w:t>
            </w:r>
          </w:p>
          <w:p w14:paraId="6C7145FC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5096C5B0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432AD591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  <w:p w14:paraId="5D4FF357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>Nedostatek pracovníků sužuje tradičně hlavně stavební podniky.</w:t>
            </w:r>
          </w:p>
        </w:tc>
        <w:tc>
          <w:tcPr>
            <w:tcW w:w="198" w:type="dxa"/>
          </w:tcPr>
          <w:p w14:paraId="5F373E60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6560C6AF" w14:textId="77777777" w:rsidR="000C004E" w:rsidRDefault="000C004E">
            <w:pPr>
              <w:spacing w:after="200"/>
              <w:rPr>
                <w:rStyle w:val="normaltextrun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>Krátkodobá očekávání podniků v oblasti vlastní zaměstnanosti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11"/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 se během loňského roku postupně zlepšovala. Jejich dosavadní letošní vývoj je spíše ve znamení kolísání, jež odráží rostoucí nejistoty podnikatelů plynoucí patrně z vnějších (zahraničních) faktorů. Celková očekávání tak zůstávají v mírně negativním pásmu, především vlivem průmyslu, kde se zatím výhledy v oblasti zaměstnanosti nelepší. Podle konjunkturálního průzkumu z května 2025 </w:t>
            </w:r>
            <w:r>
              <w:rPr>
                <w:rStyle w:val="normaltextrun"/>
                <w:rFonts w:eastAsia="MS Gothic" w:cs="Arial"/>
                <w:szCs w:val="20"/>
                <w:lang w:eastAsia="en-US"/>
              </w:rPr>
              <w:t xml:space="preserve">předpokládalo </w:t>
            </w:r>
            <w:r>
              <w:rPr>
                <w:rFonts w:cs="Arial"/>
                <w:szCs w:val="20"/>
                <w:lang w:eastAsia="en-US"/>
              </w:rPr>
              <w:t>v</w:t>
            </w:r>
            <w:r>
              <w:rPr>
                <w:color w:val="0D0D0D" w:themeColor="text1" w:themeTint="F2"/>
                <w:spacing w:val="-4"/>
                <w:lang w:eastAsia="en-US"/>
              </w:rPr>
              <w:t> </w:t>
            </w:r>
            <w:r>
              <w:rPr>
                <w:rFonts w:cs="Arial"/>
                <w:szCs w:val="20"/>
                <w:lang w:eastAsia="en-US"/>
              </w:rPr>
              <w:t>tříměsíčním horizontu snižování počtu zaměstnanců 20 % firem ve službách a 17 % v</w:t>
            </w:r>
            <w:r>
              <w:rPr>
                <w:color w:val="0D0D0D" w:themeColor="text1" w:themeTint="F2"/>
                <w:spacing w:val="-4"/>
                <w:lang w:eastAsia="en-US"/>
              </w:rPr>
              <w:t> </w:t>
            </w:r>
            <w:r>
              <w:rPr>
                <w:rFonts w:cs="Arial"/>
                <w:szCs w:val="20"/>
                <w:lang w:eastAsia="en-US"/>
              </w:rPr>
              <w:t xml:space="preserve">průmyslu, ale jen 6 % ve stavebnictví a 4 % v obchodě. Naopak náborové plány byly nejzřetelnější ve stavebnictví (16 %), obchodě a službách (shodně 15 %), v průmyslu pak očekávalo zvyšování zaměstnanosti jen 7 % podniků. </w:t>
            </w:r>
            <w:r>
              <w:rPr>
                <w:color w:val="0D0D0D" w:themeColor="text1" w:themeTint="F2"/>
                <w:spacing w:val="-4"/>
                <w:lang w:eastAsia="en-US"/>
              </w:rPr>
              <w:t>Stav na úrovni dílčích odvětví v rámci průmyslu i služeb se přirozeně odlišoval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12"/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. </w:t>
            </w:r>
            <w:r>
              <w:rPr>
                <w:rStyle w:val="eop"/>
                <w:rFonts w:eastAsia="MS Gothic" w:cs="Arial"/>
                <w:color w:val="0D0D0D" w:themeColor="text1" w:themeTint="F2"/>
                <w:spacing w:val="-4"/>
                <w:szCs w:val="20"/>
                <w:lang w:eastAsia="en-US"/>
              </w:rPr>
              <w:t xml:space="preserve">Podíl podniků, pro </w:t>
            </w:r>
            <w:r>
              <w:rPr>
                <w:rStyle w:val="eop"/>
                <w:rFonts w:eastAsia="MS Gothic" w:cs="Arial"/>
                <w:color w:val="0D0D0D" w:themeColor="text1" w:themeTint="F2"/>
                <w:spacing w:val="-4"/>
                <w:szCs w:val="20"/>
                <w:lang w:eastAsia="en-US"/>
              </w:rPr>
              <w:lastRenderedPageBreak/>
              <w:t xml:space="preserve">něž </w:t>
            </w:r>
            <w:r>
              <w:rPr>
                <w:color w:val="0D0D0D" w:themeColor="text1" w:themeTint="F2"/>
                <w:spacing w:val="-4"/>
                <w:lang w:eastAsia="en-US"/>
              </w:rPr>
              <w:t>představuje nedostatek pracovní síly jednu z významných růstových bariér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13"/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, byl na </w:t>
            </w:r>
            <w:r>
              <w:rPr>
                <w:color w:val="0D0D0D" w:themeColor="text1" w:themeTint="F2"/>
                <w:spacing w:val="-6"/>
                <w:lang w:eastAsia="en-US"/>
              </w:rPr>
              <w:t xml:space="preserve">počátku letošního roku tradičně nejvyšší ve stavebnictví (50 %.). Opačně tomu bylo v průmyslu </w:t>
            </w:r>
            <w:r>
              <w:rPr>
                <w:color w:val="0D0D0D" w:themeColor="text1" w:themeTint="F2"/>
                <w:spacing w:val="-4"/>
                <w:lang w:eastAsia="en-US"/>
              </w:rPr>
              <w:t>(11 %) a ve službách (10 %). Situace se ve srovnání s loňským jarem významně nezměnila.</w:t>
            </w:r>
          </w:p>
        </w:tc>
      </w:tr>
      <w:tr w:rsidR="000C004E" w14:paraId="55704A38" w14:textId="77777777" w:rsidTr="000C004E">
        <w:trPr>
          <w:trHeight w:val="145"/>
        </w:trPr>
        <w:tc>
          <w:tcPr>
            <w:tcW w:w="1761" w:type="dxa"/>
          </w:tcPr>
          <w:p w14:paraId="0CAB75C4" w14:textId="77777777" w:rsidR="000C004E" w:rsidRDefault="000C004E">
            <w:pPr>
              <w:pStyle w:val="Marginlie"/>
              <w:rPr>
                <w:spacing w:val="-5"/>
              </w:rPr>
            </w:pPr>
            <w:r>
              <w:rPr>
                <w:color w:val="0D0D0D" w:themeColor="text1" w:themeTint="F2"/>
                <w:spacing w:val="-5"/>
                <w:lang w:eastAsia="en-US"/>
              </w:rPr>
              <w:lastRenderedPageBreak/>
              <w:t>Obecná míra nezaměstnanosti loni mírně kolísala na nízké úrovni. Příznivý byl i vývoj dlouhodobé nezaměstnanosti.</w:t>
            </w:r>
          </w:p>
          <w:p w14:paraId="28D19BEC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</w:p>
          <w:p w14:paraId="0C577DA9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</w:p>
          <w:p w14:paraId="137C7678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</w:p>
          <w:p w14:paraId="28D9844E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</w:p>
          <w:p w14:paraId="3BB56C58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  <w:r>
              <w:rPr>
                <w:color w:val="0D0D0D" w:themeColor="text1" w:themeTint="F2"/>
                <w:spacing w:val="-5"/>
                <w:lang w:eastAsia="en-US"/>
              </w:rPr>
              <w:t xml:space="preserve">Velikost potenciální pracovní rezervy zůstávala nízká. </w:t>
            </w:r>
          </w:p>
        </w:tc>
        <w:tc>
          <w:tcPr>
            <w:tcW w:w="198" w:type="dxa"/>
          </w:tcPr>
          <w:p w14:paraId="3A0A34CD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3498653B" w14:textId="77777777" w:rsidR="000C004E" w:rsidRDefault="000C004E">
            <w:pPr>
              <w:spacing w:after="200"/>
              <w:rPr>
                <w:color w:val="0D0D0D" w:themeColor="text1" w:themeTint="F2"/>
                <w:spacing w:val="-6"/>
                <w:lang w:eastAsia="en-US"/>
              </w:rPr>
            </w:pP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  <w:lang w:eastAsia="en-US"/>
              </w:rPr>
              <w:t>Navzdory problémům některých zejména průmyslových podniků se obecná míra nezaměstnanosti</w:t>
            </w:r>
            <w:r>
              <w:rPr>
                <w:vertAlign w:val="superscript"/>
                <w:lang w:eastAsia="en-US"/>
              </w:rPr>
              <w:footnoteReference w:id="14"/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  <w:lang w:eastAsia="en-US"/>
              </w:rPr>
              <w:t xml:space="preserve"> v posledních čtvrtletích významně nezvyšovala, spíše lze hovořit o jejím mírném kolísání, zejména u žen. Propuštěné pracovníky z některých útlumových oborů totiž dokázaly z velké míry vstřebat rozvíjející se služby.</w:t>
            </w:r>
            <w:r>
              <w:rPr>
                <w:color w:val="0D0D0D" w:themeColor="text1" w:themeTint="F2"/>
                <w:spacing w:val="-6"/>
                <w:lang w:eastAsia="en-US"/>
              </w:rPr>
              <w:t xml:space="preserve">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  <w:lang w:eastAsia="en-US"/>
              </w:rPr>
              <w:t>Sezónně očištěná míra nezaměstnanosti (15–64letých) činila letos v dubnu 2,7 % (muži 2,3 %, ženy 3,2 %)</w:t>
            </w:r>
            <w:r>
              <w:rPr>
                <w:rStyle w:val="Znakapoznpodarou"/>
                <w:color w:val="0D0D0D" w:themeColor="text1" w:themeTint="F2"/>
                <w:lang w:eastAsia="en-US"/>
              </w:rPr>
              <w:footnoteReference w:id="15"/>
            </w:r>
            <w:r>
              <w:rPr>
                <w:rStyle w:val="normaltextrun"/>
                <w:rFonts w:eastAsia="MS Gothic" w:cs="Arial"/>
                <w:color w:val="0D0D0D" w:themeColor="text1" w:themeTint="F2"/>
                <w:szCs w:val="20"/>
                <w:lang w:eastAsia="en-US"/>
              </w:rPr>
              <w:t xml:space="preserve">. </w:t>
            </w:r>
            <w:r>
              <w:rPr>
                <w:color w:val="0D0D0D" w:themeColor="text1" w:themeTint="F2"/>
                <w:lang w:eastAsia="en-US"/>
              </w:rPr>
              <w:t>Nevzrostl ani počet dlouhodobě nezaměstnaných – ti se na celkovém počtu lidí bez práce ve 1. čtvrtletí 2025 podíleli 25 % (to je v dlouhodobém i mezinárodním kontextu podprůměrná hodnota). V</w:t>
            </w:r>
            <w:r>
              <w:rPr>
                <w:color w:val="0D0D0D" w:themeColor="text1" w:themeTint="F2"/>
                <w:spacing w:val="-4"/>
                <w:lang w:eastAsia="en-US"/>
              </w:rPr>
              <w:t>elikost potenciální pracovní rezervy (tj. ekonomicky neaktivních osob práci nehledajících, ale uvádějících ochotu pracovat) ve 4. čtvrtletí meziročně fakticky stagnovala (na necelých 80 tis. osobách)</w:t>
            </w:r>
            <w:r>
              <w:rPr>
                <w:rStyle w:val="Znakapoznpodarou"/>
                <w:color w:val="0D0D0D" w:themeColor="text1" w:themeTint="F2"/>
                <w:spacing w:val="-4"/>
                <w:lang w:eastAsia="en-US"/>
              </w:rPr>
              <w:footnoteReference w:id="16"/>
            </w:r>
            <w:r>
              <w:rPr>
                <w:color w:val="0D0D0D" w:themeColor="text1" w:themeTint="F2"/>
                <w:spacing w:val="-4"/>
                <w:lang w:eastAsia="en-US"/>
              </w:rPr>
              <w:t xml:space="preserve"> a z dlouhodobé perspektivy zůstává nízká. To sice představuje nezanedbatelný problém pro řadu zaměstnavatelů, na druhou stranu jde ovšem také o pozitivní signál naznačující, že rozsah skryté nezaměstnanosti (ve formě „úniku“ do ekonomické neaktivity) není na tuzemském pracovním trhu aktuálně významný.</w:t>
            </w:r>
          </w:p>
        </w:tc>
      </w:tr>
      <w:tr w:rsidR="000C004E" w14:paraId="44B0A666" w14:textId="77777777" w:rsidTr="000C004E">
        <w:trPr>
          <w:trHeight w:val="145"/>
        </w:trPr>
        <w:tc>
          <w:tcPr>
            <w:tcW w:w="1761" w:type="dxa"/>
            <w:hideMark/>
          </w:tcPr>
          <w:p w14:paraId="4FDC329D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Meziročně mírně přibylo registrovaných uchazečů o práci. </w:t>
            </w:r>
          </w:p>
        </w:tc>
        <w:tc>
          <w:tcPr>
            <w:tcW w:w="198" w:type="dxa"/>
          </w:tcPr>
          <w:p w14:paraId="4D8E9CEE" w14:textId="77777777" w:rsidR="000C004E" w:rsidRDefault="000C004E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732745E0" w14:textId="77777777" w:rsidR="000C004E" w:rsidRDefault="000C004E">
            <w:pPr>
              <w:spacing w:after="200"/>
              <w:rPr>
                <w:color w:val="0D0D0D" w:themeColor="text1" w:themeTint="F2"/>
                <w:spacing w:val="-6"/>
                <w:lang w:eastAsia="en-US"/>
              </w:rPr>
            </w:pPr>
            <w:r>
              <w:rPr>
                <w:color w:val="0D0D0D" w:themeColor="text1" w:themeTint="F2"/>
                <w:spacing w:val="-6"/>
                <w:lang w:eastAsia="en-US"/>
              </w:rPr>
              <w:t xml:space="preserve">Významnější ochlazení na tuzemském pracovním trhu aktuálně nenaznačují ani údaje z úřadů práce (ÚP). </w:t>
            </w:r>
            <w:r>
              <w:rPr>
                <w:rStyle w:val="normaltextrun"/>
                <w:rFonts w:cs="Arial"/>
                <w:szCs w:val="20"/>
                <w:lang w:eastAsia="en-US"/>
              </w:rPr>
              <w:t>Sezonně neočištěný podíl registrovaných uchazečů o práci na celkové populaci 15 až 64letých dosáhl letos na konci dubna 4,3 % (muži: 4,0 %, ženy: 4,6 %)</w:t>
            </w:r>
            <w:r>
              <w:rPr>
                <w:rStyle w:val="Znakapoznpodarou"/>
                <w:szCs w:val="20"/>
                <w:lang w:eastAsia="en-US"/>
              </w:rPr>
              <w:footnoteReference w:id="17"/>
            </w:r>
            <w:r>
              <w:rPr>
                <w:rStyle w:val="normaltextrun"/>
                <w:rFonts w:cs="Arial"/>
                <w:szCs w:val="20"/>
                <w:lang w:eastAsia="en-US"/>
              </w:rPr>
              <w:t>. To bylo meziročně o 0,6 p. b. více (mírný růst nezaměstnanosti probíhal nepřetržitě i po celý loňský rok). T</w:t>
            </w:r>
            <w:r>
              <w:rPr>
                <w:rStyle w:val="normaltextrun"/>
                <w:rFonts w:cs="Arial"/>
                <w:lang w:eastAsia="en-US"/>
              </w:rPr>
              <w:t xml:space="preserve">ento nárůst částečně souvisí s vyšší aktivitou ÚP v oblasti rekvalifikací, jež má kromě jiného i podpořit </w:t>
            </w:r>
            <w:r>
              <w:rPr>
                <w:color w:val="0D0D0D" w:themeColor="text1" w:themeTint="F2"/>
                <w:spacing w:val="-6"/>
                <w:lang w:eastAsia="en-US"/>
              </w:rPr>
              <w:t>fluktuaci pracovníků na trhu práce</w:t>
            </w:r>
            <w:r>
              <w:rPr>
                <w:rStyle w:val="normaltextrun"/>
                <w:rFonts w:cs="Arial"/>
                <w:lang w:eastAsia="en-US"/>
              </w:rPr>
              <w:t xml:space="preserve">. Ochotu k registraci na ÚP zřejmě zvyšuje i rozšíření možností elektronické komunikace s úřady na dálku, což by mělo osobám hledajícím práci poskytnout vyšší časovou flexibilitu </w:t>
            </w:r>
            <w:r>
              <w:rPr>
                <w:rStyle w:val="normaltextrun"/>
                <w:rFonts w:cs="Arial"/>
                <w:lang w:eastAsia="en-US"/>
              </w:rPr>
              <w:br/>
              <w:t>a zároveň snížit jejich potenciální stigmatizaci.</w:t>
            </w:r>
          </w:p>
        </w:tc>
      </w:tr>
      <w:tr w:rsidR="000C004E" w14:paraId="1B161DC1" w14:textId="77777777" w:rsidTr="000C004E">
        <w:trPr>
          <w:trHeight w:val="155"/>
        </w:trPr>
        <w:tc>
          <w:tcPr>
            <w:tcW w:w="1761" w:type="dxa"/>
            <w:hideMark/>
          </w:tcPr>
          <w:p w14:paraId="47EC72FE" w14:textId="77777777" w:rsidR="000C004E" w:rsidRDefault="000C004E">
            <w:pPr>
              <w:pStyle w:val="Marginlie"/>
              <w:spacing w:after="12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V drtivé většině okresů je patrný převis počtu uchazečů o práci nad volnými místy. Přetrvává </w:t>
            </w:r>
            <w:r>
              <w:rPr>
                <w:spacing w:val="-4"/>
                <w:lang w:eastAsia="en-US"/>
              </w:rPr>
              <w:br/>
              <w:t xml:space="preserve">i problém nesouladu nabídky a poptávky </w:t>
            </w:r>
            <w:r>
              <w:rPr>
                <w:spacing w:val="-4"/>
                <w:lang w:eastAsia="en-US"/>
              </w:rPr>
              <w:lastRenderedPageBreak/>
              <w:t>z pohledu kvalifikačních nároků.</w:t>
            </w:r>
          </w:p>
        </w:tc>
        <w:tc>
          <w:tcPr>
            <w:tcW w:w="198" w:type="dxa"/>
          </w:tcPr>
          <w:p w14:paraId="55044F3E" w14:textId="77777777" w:rsidR="000C004E" w:rsidRDefault="000C004E">
            <w:pPr>
              <w:pStyle w:val="Textpoznpodarou"/>
              <w:spacing w:after="120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2160D69E" w14:textId="77777777" w:rsidR="000C004E" w:rsidRDefault="000C004E">
            <w:pPr>
              <w:spacing w:after="200"/>
              <w:rPr>
                <w:color w:val="0D0D0D" w:themeColor="text1" w:themeTint="F2"/>
                <w:spacing w:val="-6"/>
                <w:lang w:eastAsia="en-US"/>
              </w:rPr>
            </w:pPr>
            <w:r>
              <w:rPr>
                <w:color w:val="0D0D0D" w:themeColor="text1" w:themeTint="F2"/>
                <w:spacing w:val="-6"/>
                <w:lang w:eastAsia="en-US"/>
              </w:rPr>
              <w:t>ÚP práce evidovaly dle nové metodiky na konci dubna 95,8 tis</w:t>
            </w:r>
            <w:r>
              <w:rPr>
                <w:rStyle w:val="Znakapoznpodarou"/>
                <w:color w:val="0D0D0D" w:themeColor="text1" w:themeTint="F2"/>
                <w:spacing w:val="-6"/>
                <w:lang w:eastAsia="en-US"/>
              </w:rPr>
              <w:footnoteReference w:id="18"/>
            </w:r>
            <w:r>
              <w:rPr>
                <w:color w:val="0D0D0D" w:themeColor="text1" w:themeTint="F2"/>
                <w:spacing w:val="-6"/>
                <w:lang w:eastAsia="en-US"/>
              </w:rPr>
              <w:t>. volných míst (v zásadě jde jen místa s dobou evidence kratší než šest měsíců</w:t>
            </w:r>
            <w:r>
              <w:rPr>
                <w:rStyle w:val="Znakapoznpodarou"/>
                <w:color w:val="0D0D0D" w:themeColor="text1" w:themeTint="F2"/>
                <w:spacing w:val="-6"/>
                <w:lang w:eastAsia="en-US"/>
              </w:rPr>
              <w:footnoteReference w:id="19"/>
            </w:r>
            <w:r>
              <w:rPr>
                <w:color w:val="0D0D0D" w:themeColor="text1" w:themeTint="F2"/>
                <w:spacing w:val="-6"/>
                <w:lang w:eastAsia="en-US"/>
              </w:rPr>
              <w:t xml:space="preserve">), což je o 15 % více než letos na konci ledna. Aktuálně bylo celkem registrováno 318,5 tis. uchazečů o práci. Nejvíce uchazečů na volné místo připadá v okresu Karviná (23,7), Sokolov (17,2), Děčín (12,8), Hodonín (12,1) </w:t>
            </w:r>
            <w:r>
              <w:rPr>
                <w:color w:val="0D0D0D" w:themeColor="text1" w:themeTint="F2"/>
                <w:spacing w:val="-6"/>
                <w:lang w:eastAsia="en-US"/>
              </w:rPr>
              <w:br/>
            </w:r>
            <w:r>
              <w:rPr>
                <w:color w:val="0D0D0D" w:themeColor="text1" w:themeTint="F2"/>
                <w:spacing w:val="-6"/>
                <w:lang w:eastAsia="en-US"/>
              </w:rPr>
              <w:lastRenderedPageBreak/>
              <w:t>a Bruntál (10,5). Naopak převis míst nad uchazeči je pouze v okresech Praha-východ a Mladá Boleslav a zhruba vyrovnaná je pak bilance v Praze a na Tachovsku. Vedle toho přetrvává také problém strukturálního nesouladu mezi nabízenými místy a kvalifikací uchazečů o práci</w:t>
            </w:r>
            <w:r>
              <w:rPr>
                <w:rStyle w:val="Znakapoznpodarou"/>
                <w:color w:val="0D0D0D" w:themeColor="text1" w:themeTint="F2"/>
                <w:spacing w:val="-6"/>
                <w:lang w:eastAsia="en-US"/>
              </w:rPr>
              <w:footnoteReference w:id="20"/>
            </w:r>
            <w:r>
              <w:rPr>
                <w:color w:val="0D0D0D" w:themeColor="text1" w:themeTint="F2"/>
                <w:spacing w:val="-6"/>
                <w:lang w:eastAsia="en-US"/>
              </w:rPr>
              <w:t xml:space="preserve">. </w:t>
            </w:r>
          </w:p>
        </w:tc>
      </w:tr>
      <w:tr w:rsidR="000C004E" w14:paraId="0C63050B" w14:textId="77777777" w:rsidTr="000C004E">
        <w:trPr>
          <w:trHeight w:val="155"/>
        </w:trPr>
        <w:tc>
          <w:tcPr>
            <w:tcW w:w="1761" w:type="dxa"/>
            <w:hideMark/>
          </w:tcPr>
          <w:p w14:paraId="3A802AFD" w14:textId="77777777" w:rsidR="000C004E" w:rsidRDefault="000C004E">
            <w:pPr>
              <w:pStyle w:val="Marginlie"/>
              <w:spacing w:after="120"/>
              <w:rPr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5"/>
                <w:lang w:eastAsia="en-US"/>
              </w:rPr>
              <w:lastRenderedPageBreak/>
              <w:t>Obavy lidí z růstu nezaměstnanosti v nejbližších 12 měsících se letos zvyšují.</w:t>
            </w:r>
          </w:p>
        </w:tc>
        <w:tc>
          <w:tcPr>
            <w:tcW w:w="198" w:type="dxa"/>
          </w:tcPr>
          <w:p w14:paraId="61FDF663" w14:textId="77777777" w:rsidR="000C004E" w:rsidRDefault="000C004E">
            <w:pPr>
              <w:pStyle w:val="Textpoznpodarou"/>
              <w:spacing w:after="120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66E222EE" w14:textId="77777777" w:rsidR="000C004E" w:rsidRDefault="000C004E">
            <w:pPr>
              <w:spacing w:after="200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-4"/>
                <w:lang w:eastAsia="en-US"/>
              </w:rPr>
              <w:t>Obavy lidí z růstu nezaměstnanosti (vyjádřené v rámci konjunkturálních průzkumů) od loňského prosince narůstají a aktuálně již mírně převyšují dlouhodobý průměr. Tento vývoj může souviset se situací v průmyslu, s pokračujícími veřejnými diskusemi o fiskální konsolidaci, ale i s napjatou geopolitickou situací.</w:t>
            </w:r>
          </w:p>
        </w:tc>
      </w:tr>
      <w:tr w:rsidR="000C004E" w14:paraId="0F6FB856" w14:textId="77777777" w:rsidTr="000C004E">
        <w:trPr>
          <w:trHeight w:val="155"/>
        </w:trPr>
        <w:tc>
          <w:tcPr>
            <w:tcW w:w="1761" w:type="dxa"/>
            <w:vMerge w:val="restart"/>
          </w:tcPr>
          <w:p w14:paraId="4DC51EC8" w14:textId="77777777" w:rsidR="000C004E" w:rsidRDefault="000C004E">
            <w:pPr>
              <w:pStyle w:val="Marginlie"/>
              <w:spacing w:after="120"/>
              <w:rPr>
                <w:spacing w:val="-4"/>
                <w:lang w:eastAsia="en-US"/>
              </w:rPr>
            </w:pPr>
          </w:p>
        </w:tc>
        <w:tc>
          <w:tcPr>
            <w:tcW w:w="198" w:type="dxa"/>
            <w:vMerge w:val="restart"/>
          </w:tcPr>
          <w:p w14:paraId="1E3AC9CE" w14:textId="77777777" w:rsidR="000C004E" w:rsidRDefault="000C004E">
            <w:pPr>
              <w:pStyle w:val="Textpoznpodarou"/>
              <w:spacing w:after="120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505CB3EF" w14:textId="77777777" w:rsidR="000C004E" w:rsidRDefault="000C004E">
            <w:pPr>
              <w:spacing w:after="0"/>
              <w:rPr>
                <w:rFonts w:cs="Arial"/>
                <w:b/>
                <w:bCs/>
                <w:spacing w:val="-4"/>
                <w:lang w:eastAsia="en-US"/>
              </w:rPr>
            </w:pPr>
            <w:r>
              <w:rPr>
                <w:b/>
                <w:spacing w:val="-4"/>
                <w:lang w:eastAsia="en-US"/>
              </w:rPr>
              <w:t xml:space="preserve">Graf č. 14 </w:t>
            </w:r>
            <w:r>
              <w:rPr>
                <w:rFonts w:cs="Arial"/>
                <w:b/>
                <w:spacing w:val="-4"/>
                <w:lang w:eastAsia="en-US"/>
              </w:rPr>
              <w:t xml:space="preserve">Obecná míra nezaměstnanosti </w:t>
            </w:r>
            <w:r>
              <w:rPr>
                <w:rFonts w:cs="Arial"/>
                <w:bCs/>
                <w:spacing w:val="-4"/>
                <w:lang w:eastAsia="en-US"/>
              </w:rPr>
              <w:t>(v %, věk 15 až 64 let)</w:t>
            </w:r>
            <w:r>
              <w:rPr>
                <w:rFonts w:cs="Arial"/>
                <w:b/>
                <w:spacing w:val="-4"/>
                <w:lang w:eastAsia="en-US"/>
              </w:rPr>
              <w:t>,</w:t>
            </w:r>
            <w:r>
              <w:rPr>
                <w:rFonts w:cs="Arial"/>
                <w:bCs/>
                <w:spacing w:val="-4"/>
                <w:lang w:eastAsia="en-US"/>
              </w:rPr>
              <w:t xml:space="preserve"> </w:t>
            </w:r>
            <w:r>
              <w:rPr>
                <w:rFonts w:cs="Arial"/>
                <w:b/>
                <w:bCs/>
                <w:spacing w:val="-4"/>
                <w:lang w:eastAsia="en-US"/>
              </w:rPr>
              <w:t>očekávání vývoje nezaměstnanosti ze strany domácností*</w:t>
            </w:r>
            <w:r>
              <w:rPr>
                <w:rFonts w:cs="Arial"/>
                <w:bCs/>
                <w:spacing w:val="-4"/>
                <w:lang w:eastAsia="en-US"/>
              </w:rPr>
              <w:t xml:space="preserve"> (v p. b.), </w:t>
            </w:r>
            <w:r>
              <w:rPr>
                <w:rFonts w:cs="Arial"/>
                <w:b/>
                <w:bCs/>
                <w:spacing w:val="-4"/>
                <w:lang w:eastAsia="en-US"/>
              </w:rPr>
              <w:t xml:space="preserve">volná pracovní místa a pracující cizinci v pozici zaměstnanců </w:t>
            </w:r>
            <w:r>
              <w:rPr>
                <w:rFonts w:cs="Arial"/>
                <w:bCs/>
                <w:spacing w:val="-4"/>
                <w:lang w:eastAsia="en-US"/>
              </w:rPr>
              <w:t>(v tis.)**</w:t>
            </w:r>
          </w:p>
        </w:tc>
      </w:tr>
      <w:tr w:rsidR="000C004E" w14:paraId="732AA053" w14:textId="77777777" w:rsidTr="000C004E">
        <w:trPr>
          <w:trHeight w:val="155"/>
        </w:trPr>
        <w:tc>
          <w:tcPr>
            <w:tcW w:w="0" w:type="auto"/>
            <w:vMerge/>
            <w:vAlign w:val="center"/>
            <w:hideMark/>
          </w:tcPr>
          <w:p w14:paraId="4BFF6CEB" w14:textId="77777777" w:rsidR="000C004E" w:rsidRDefault="000C004E">
            <w:pPr>
              <w:spacing w:after="0" w:line="240" w:lineRule="auto"/>
              <w:jc w:val="left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025D9F" w14:textId="77777777" w:rsidR="000C004E" w:rsidRDefault="000C004E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71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E65F7" w14:textId="577B4EE3" w:rsidR="000C004E" w:rsidRDefault="000C004E">
            <w:pPr>
              <w:spacing w:after="0"/>
              <w:rPr>
                <w:spacing w:val="-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A3886A1" wp14:editId="0D56D6CE">
                  <wp:extent cx="4752975" cy="3552825"/>
                  <wp:effectExtent l="0" t="0" r="0" b="0"/>
                  <wp:docPr id="15" name="Graf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C004E" w14:paraId="1932CB3A" w14:textId="77777777" w:rsidTr="000C004E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45558A10" w14:textId="77777777" w:rsidR="000C004E" w:rsidRDefault="000C004E">
            <w:pPr>
              <w:spacing w:after="0" w:line="240" w:lineRule="auto"/>
              <w:jc w:val="left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9E4FAA" w14:textId="77777777" w:rsidR="000C004E" w:rsidRDefault="000C004E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715" w:type="dxa"/>
            <w:hideMark/>
          </w:tcPr>
          <w:p w14:paraId="3D633461" w14:textId="77777777" w:rsidR="000C004E" w:rsidRDefault="000C004E">
            <w:pPr>
              <w:spacing w:before="60"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  <w:lang w:eastAsia="en-US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  <w:lang w:eastAsia="en-US"/>
              </w:rPr>
              <w:t xml:space="preserve">Pozn.: Míry nezaměstnanosti jsou sezónně očištěny. </w:t>
            </w:r>
          </w:p>
          <w:p w14:paraId="21DD3E63" w14:textId="77777777" w:rsidR="000C004E" w:rsidRDefault="000C004E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  <w:lang w:eastAsia="en-US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  <w:lang w:eastAsia="en-US"/>
              </w:rPr>
              <w:t>VPM = pouze volná pracovní místa s délkou evidence do šesti měsíců. (stav na konci čtvrtletí).</w:t>
            </w:r>
          </w:p>
          <w:p w14:paraId="3FAF2AF1" w14:textId="77777777" w:rsidR="000C004E" w:rsidRDefault="000C004E">
            <w:pPr>
              <w:spacing w:after="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  <w:t>*Sezónně očištěné saldo očekávání nezaměstnanosti v nejbližších 12 měsících (rozdíl mezi procentuální četností odpovědí domácností, růst a pokles vyjádřený v procentních bodech). Vztahuje se k prostřednímu měsíci daného čtvrtletí.</w:t>
            </w:r>
          </w:p>
          <w:p w14:paraId="3E0F2443" w14:textId="77777777" w:rsidR="000C004E" w:rsidRDefault="000C004E">
            <w:pPr>
              <w:spacing w:after="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  <w:t>**Počet cizinců v postavení zaměstnanců evidovaných na úřadech práce v ČR na konci příslušného čtvrtletí.</w:t>
            </w:r>
          </w:p>
          <w:p w14:paraId="65EEE778" w14:textId="77777777" w:rsidR="000C004E" w:rsidRDefault="000C004E">
            <w:pPr>
              <w:spacing w:after="200" w:line="240" w:lineRule="auto"/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</w:pPr>
            <w:r>
              <w:rPr>
                <w:rFonts w:cs="Arial"/>
                <w:color w:val="0D0D0D" w:themeColor="text1" w:themeTint="F2"/>
                <w:spacing w:val="-2"/>
                <w:sz w:val="14"/>
                <w:szCs w:val="14"/>
                <w:lang w:eastAsia="en-US"/>
              </w:rPr>
              <w:t>Zdroj: ČSÚ (VŠPS, konjunkturální průzkum), MPSV (VPM registrovaná na úřadech práce v ČR, zaměstnaní cizinci)</w:t>
            </w:r>
          </w:p>
        </w:tc>
      </w:tr>
      <w:tr w:rsidR="000C004E" w14:paraId="2AA1424C" w14:textId="77777777" w:rsidTr="000C004E">
        <w:trPr>
          <w:trHeight w:val="132"/>
        </w:trPr>
        <w:tc>
          <w:tcPr>
            <w:tcW w:w="1761" w:type="dxa"/>
          </w:tcPr>
          <w:p w14:paraId="4CAB215F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t>Meziroční růst průměrných mezd činil na počátku roku 6,7 %, nejméně za posledních pět kvartálů.</w:t>
            </w:r>
          </w:p>
          <w:p w14:paraId="5C2C2748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198" w:type="dxa"/>
          </w:tcPr>
          <w:p w14:paraId="24EBD2F8" w14:textId="77777777" w:rsidR="000C004E" w:rsidRDefault="000C004E">
            <w:pPr>
              <w:pStyle w:val="Textpoznpodarou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06093775" w14:textId="77777777" w:rsidR="000C004E" w:rsidRDefault="000C004E">
            <w:pPr>
              <w:spacing w:after="200"/>
              <w:rPr>
                <w:rFonts w:eastAsia="MS Gothic" w:cs="Arial"/>
                <w:color w:val="0D0D0D" w:themeColor="text1" w:themeTint="F2"/>
                <w:spacing w:val="-6"/>
                <w:szCs w:val="20"/>
                <w:lang w:eastAsia="en-US"/>
              </w:rPr>
            </w:pPr>
            <w:r>
              <w:rPr>
                <w:rStyle w:val="normaltextrun"/>
                <w:rFonts w:eastAsia="MS Gothic" w:cs="Arial"/>
                <w:color w:val="0D0D0D" w:themeColor="text1" w:themeTint="F2"/>
                <w:spacing w:val="-6"/>
                <w:szCs w:val="20"/>
                <w:lang w:eastAsia="en-US"/>
              </w:rPr>
              <w:t xml:space="preserve">V 1. čtvrtletí 2025 vystoupala průměrná hrubá měsíční nominální mzda v národním hospodářství na 46 924 korun a meziročně byla vyšší o 6,7 %. Ve srovnání s předchozím čtvrtletím dosáhl mzdový růst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 xml:space="preserve">(po sezónním očištění) 1,7 % a na podobné úrovni kolísal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br/>
              <w:t>i po většinu loňského roku. Z meziročních temp je však patrné, že dynamika nominálních mezd mírně zvolňuje, neboť aktuální růst byl nejslabší od konce roku 2023.</w:t>
            </w:r>
          </w:p>
        </w:tc>
      </w:tr>
      <w:tr w:rsidR="000C004E" w14:paraId="18D03756" w14:textId="77777777" w:rsidTr="000C004E">
        <w:trPr>
          <w:trHeight w:val="132"/>
        </w:trPr>
        <w:tc>
          <w:tcPr>
            <w:tcW w:w="1761" w:type="dxa"/>
            <w:hideMark/>
          </w:tcPr>
          <w:p w14:paraId="07791955" w14:textId="77777777" w:rsidR="000C004E" w:rsidRDefault="000C004E">
            <w:pPr>
              <w:pStyle w:val="Marginlie"/>
              <w:rPr>
                <w:color w:val="0D0D0D" w:themeColor="text1" w:themeTint="F2"/>
                <w:spacing w:val="-5"/>
                <w:lang w:eastAsia="en-US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t>Existují významné faktory působící ve směru vyššího růstu mezd, ale také ty s opačným efektem.</w:t>
            </w:r>
          </w:p>
        </w:tc>
        <w:tc>
          <w:tcPr>
            <w:tcW w:w="198" w:type="dxa"/>
          </w:tcPr>
          <w:p w14:paraId="4BCD7C70" w14:textId="77777777" w:rsidR="000C004E" w:rsidRDefault="000C004E">
            <w:pPr>
              <w:pStyle w:val="Textpoznpodarou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252BB51F" w14:textId="77777777" w:rsidR="000C004E" w:rsidRDefault="000C004E" w:rsidP="00E13FE2">
            <w:pPr>
              <w:rPr>
                <w:color w:val="0D0D0D" w:themeColor="text1" w:themeTint="F2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Ve směru růstu nominální mzdy stále působila relativně vysoká poptávka podniků po pracovní síle v řadě odvětví (zejména ve stavebnictví a službách) či zvýšený tlak zaměstnanců pramenící i z napjatých rodinných rozpočtů vlivem stále vysokého růstu cen některých položek spotřebního koše i jiných výdajů (splátky hypoték). Dynamičtější mzdový růst v řadě odvětví umožňovala i přetrvávající vysoká míra zisku podniků. V některých n</w:t>
            </w:r>
            <w:r>
              <w:rPr>
                <w:lang w:eastAsia="en-US"/>
              </w:rPr>
              <w:t xml:space="preserve">ízkovýdělkových </w:t>
            </w:r>
            <w:r>
              <w:rPr>
                <w:spacing w:val="-6"/>
                <w:lang w:eastAsia="en-US"/>
              </w:rPr>
              <w:t>odvětvích mohlo mít dílčí vliv zrychlené navyšování minimální mzdy</w:t>
            </w:r>
            <w:r>
              <w:rPr>
                <w:vertAlign w:val="superscript"/>
                <w:lang w:eastAsia="en-US"/>
              </w:rPr>
              <w:footnoteReference w:id="21"/>
            </w:r>
            <w:r>
              <w:rPr>
                <w:spacing w:val="-6"/>
                <w:lang w:eastAsia="en-US"/>
              </w:rPr>
              <w:t>. M</w:t>
            </w:r>
            <w:r>
              <w:rPr>
                <w:color w:val="0D0D0D" w:themeColor="text1" w:themeTint="F2"/>
                <w:spacing w:val="-6"/>
                <w:lang w:eastAsia="en-US"/>
              </w:rPr>
              <w:t xml:space="preserve">zdový růst </w:t>
            </w:r>
            <w:r>
              <w:rPr>
                <w:color w:val="0D0D0D" w:themeColor="text1" w:themeTint="F2"/>
                <w:spacing w:val="-6"/>
                <w:lang w:eastAsia="en-US"/>
              </w:rPr>
              <w:lastRenderedPageBreak/>
              <w:t>v ekonomice naopak stále tlumila sílící potřeba úspor v rozpočtové sféře i</w:t>
            </w:r>
            <w:r>
              <w:rPr>
                <w:color w:val="0D0D0D" w:themeColor="text1" w:themeTint="F2"/>
                <w:lang w:eastAsia="en-US"/>
              </w:rPr>
              <w:t xml:space="preserve"> </w:t>
            </w:r>
            <w:r>
              <w:rPr>
                <w:color w:val="0D0D0D" w:themeColor="text1" w:themeTint="F2"/>
                <w:spacing w:val="-6"/>
                <w:lang w:eastAsia="en-US"/>
              </w:rPr>
              <w:t>s</w:t>
            </w:r>
            <w:r>
              <w:rPr>
                <w:color w:val="0D0D0D" w:themeColor="text1" w:themeTint="F2"/>
                <w:lang w:eastAsia="en-US"/>
              </w:rPr>
              <w:t xml:space="preserve">tále </w:t>
            </w:r>
            <w:r>
              <w:rPr>
                <w:color w:val="0D0D0D" w:themeColor="text1" w:themeTint="F2"/>
                <w:spacing w:val="-6"/>
                <w:lang w:eastAsia="en-US"/>
              </w:rPr>
              <w:t>rostoucí počet zahraničních pracovníků ze „třetích zemí“. Ti nezřídka pracují na nízkokvalifikovaných pozicích</w:t>
            </w:r>
            <w:r>
              <w:rPr>
                <w:vertAlign w:val="superscript"/>
                <w:lang w:eastAsia="en-US"/>
              </w:rPr>
              <w:footnoteReference w:id="22"/>
            </w:r>
            <w:r>
              <w:rPr>
                <w:color w:val="0D0D0D" w:themeColor="text1" w:themeTint="F2"/>
                <w:spacing w:val="-6"/>
                <w:lang w:eastAsia="en-US"/>
              </w:rPr>
              <w:t xml:space="preserve"> a jejich výdělky tudíž zpravidla nedosahují úrovně občanů ČR.</w:t>
            </w:r>
            <w:bookmarkStart w:id="1" w:name="_GoBack"/>
            <w:bookmarkEnd w:id="1"/>
          </w:p>
        </w:tc>
      </w:tr>
      <w:tr w:rsidR="000C004E" w14:paraId="24E0ABD4" w14:textId="77777777" w:rsidTr="000C004E">
        <w:trPr>
          <w:trHeight w:val="132"/>
        </w:trPr>
        <w:tc>
          <w:tcPr>
            <w:tcW w:w="1761" w:type="dxa"/>
            <w:hideMark/>
          </w:tcPr>
          <w:p w14:paraId="06E7A641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lastRenderedPageBreak/>
              <w:t>K</w:t>
            </w:r>
            <w:r>
              <w:rPr>
                <w:color w:val="0D0D0D" w:themeColor="text1" w:themeTint="F2"/>
                <w:lang w:eastAsia="en-US"/>
              </w:rPr>
              <w:t xml:space="preserve">upní sila mezd se zvýšila ve všech hlavních odvětvích. Reálná úroveň mzdy se ale stále nacházela pouze na </w:t>
            </w:r>
            <w:r>
              <w:rPr>
                <w:color w:val="0D0D0D" w:themeColor="text1" w:themeTint="F2"/>
                <w:spacing w:val="-4"/>
                <w:lang w:eastAsia="en-US"/>
              </w:rPr>
              <w:t>úrovni z konce roku 2018.</w:t>
            </w:r>
          </w:p>
        </w:tc>
        <w:tc>
          <w:tcPr>
            <w:tcW w:w="198" w:type="dxa"/>
          </w:tcPr>
          <w:p w14:paraId="7FE1AE14" w14:textId="77777777" w:rsidR="000C004E" w:rsidRDefault="000C004E">
            <w:pPr>
              <w:pStyle w:val="Textpoznpodarou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0FE02463" w14:textId="77777777" w:rsidR="000C004E" w:rsidRDefault="000C004E">
            <w:pPr>
              <w:spacing w:after="200"/>
              <w:rPr>
                <w:rStyle w:val="normaltextrun"/>
                <w:rFonts w:eastAsia="MS Gothic" w:cs="Arial"/>
                <w:szCs w:val="20"/>
              </w:rPr>
            </w:pPr>
            <w:r>
              <w:rPr>
                <w:rStyle w:val="normaltextrun"/>
                <w:rFonts w:eastAsia="MS Gothic" w:cs="Arial"/>
                <w:szCs w:val="20"/>
                <w:lang w:eastAsia="en-US"/>
              </w:rPr>
              <w:t xml:space="preserve">Hlavně díky zklidnění růstu cenové hladiny v ekonomice pokračoval očekávaný růst reálné mzdy, jenž v 1. čtvrtletí 2025 činil meziročně 3,9 %, což bylo stejně jako na konci předchozího roku (ale méně než za celý rok 2024: kdy šlo o 4,7 %). Kupní síla zaměstnaneckých výdělků sice meziročně svižně rostla pátý kvartál v řadě, ale hlubší propady z let 2022 (−9,4 %) i 2023 (−3,2 %) zatím zdaleka nedohnala (současná 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>průměrná mzda se reálně nacházela stále pouze na úrovni z konce roku 2018).</w:t>
            </w:r>
            <w:r>
              <w:rPr>
                <w:rStyle w:val="normaltextrun"/>
                <w:rFonts w:eastAsia="MS Gothic" w:cs="Arial"/>
                <w:szCs w:val="20"/>
                <w:lang w:eastAsia="en-US"/>
              </w:rPr>
              <w:t xml:space="preserve"> Pozitivní je, že alespoň k minimálnímu navýšení reálné mzdy došlo v 1. čtvrtletí 2025 ve všech hlavních odvětvích ekonomiky.</w:t>
            </w:r>
          </w:p>
        </w:tc>
      </w:tr>
      <w:tr w:rsidR="000C004E" w14:paraId="0CCAC924" w14:textId="77777777" w:rsidTr="000C004E">
        <w:trPr>
          <w:trHeight w:val="132"/>
        </w:trPr>
        <w:tc>
          <w:tcPr>
            <w:tcW w:w="1761" w:type="dxa"/>
          </w:tcPr>
          <w:p w14:paraId="5A2CB0E4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t xml:space="preserve">Pokračoval dynamický mzdový růst v oblasti </w:t>
            </w:r>
            <w:r>
              <w:rPr>
                <w:color w:val="0D0D0D" w:themeColor="text1" w:themeTint="F2"/>
                <w:spacing w:val="-4"/>
                <w:lang w:eastAsia="en-US"/>
              </w:rPr>
              <w:t>nemovitostí. V absolutním</w:t>
            </w:r>
            <w:r>
              <w:rPr>
                <w:color w:val="0D0D0D" w:themeColor="text1" w:themeTint="F2"/>
                <w:spacing w:val="0"/>
                <w:lang w:eastAsia="en-US"/>
              </w:rPr>
              <w:t xml:space="preserve"> vyjádření si však nejvíce polepšili zaměstnanci v oblasti ICT.</w:t>
            </w:r>
          </w:p>
          <w:p w14:paraId="7F8B029A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12EFBDBE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124ED5CD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756CE0A7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6CF355EF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4E34A7FC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551D599E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6203F1E4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t>Stavebnictví vykázalo svižný růst mezd druhý rok v řadě.</w:t>
            </w:r>
          </w:p>
          <w:p w14:paraId="4C639C75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</w:tc>
        <w:tc>
          <w:tcPr>
            <w:tcW w:w="198" w:type="dxa"/>
          </w:tcPr>
          <w:p w14:paraId="24760C2C" w14:textId="77777777" w:rsidR="000C004E" w:rsidRDefault="000C004E">
            <w:pPr>
              <w:pStyle w:val="Textpoznpodarou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5FBDBB64" w14:textId="77777777" w:rsidR="000C004E" w:rsidRDefault="000C004E">
            <w:pPr>
              <w:spacing w:after="200"/>
              <w:rPr>
                <w:rStyle w:val="normaltextrun"/>
                <w:rFonts w:eastAsia="MS Gothic" w:cs="Arial"/>
                <w:spacing w:val="-6"/>
                <w:szCs w:val="20"/>
              </w:rPr>
            </w:pP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>Souhrnný růst průměrné mzdy zakrývá tradičně velmi různorodý vývoj na úrovni jednotlivých oborů, podniků či organizací.</w:t>
            </w:r>
            <w:r>
              <w:rPr>
                <w:rStyle w:val="normaltextrun"/>
                <w:rFonts w:eastAsia="MS Gothic" w:cs="Arial"/>
                <w:spacing w:val="-6"/>
                <w:lang w:eastAsia="en-US"/>
              </w:rPr>
              <w:t xml:space="preserve">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>V 1. čtvrtletí 2025 r</w:t>
            </w:r>
            <w:r>
              <w:rPr>
                <w:rStyle w:val="normaltextrun"/>
                <w:rFonts w:cs="Arial"/>
                <w:color w:val="000000"/>
                <w:lang w:eastAsia="en-US"/>
              </w:rPr>
              <w:t xml:space="preserve">ostly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>průměrné mzdy n</w:t>
            </w:r>
            <w:r>
              <w:rPr>
                <w:rStyle w:val="normaltextrun"/>
                <w:rFonts w:cs="Arial"/>
                <w:color w:val="000000"/>
                <w:lang w:eastAsia="en-US"/>
              </w:rPr>
              <w:t xml:space="preserve">ejrychleji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 xml:space="preserve">v malém odvětví činnosti v oblasti nemovitostí (+12,4 %) a navázaly na dvouciferný růst z loňského roku. Díky tomu se zde mzdová výše poprvé po dlouhé době dostala nad úroveň celé ekonomiky. Svižně rostly výdělky i v profesních, vědeckých a technických činnostech (+10,9 %), což je zároveň odvětví s poměrně vysokou mzdovou úrovní (61,6 tis. korun měsíčně). Mzdové tempo zde postupně 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 xml:space="preserve">zrychlovalo a bylo doprovázeno také nadprůměrným růstem zaměstnanosti. Pokračující zotavování příjezdového cestovního ruchu i navyšování hranice minimální mzdy se promítly do 9,2% růstu mezd v ubytování, stravování a pohostinství. Přestože se v tomto odvětví mzdy navyšovaly relativně svižně i loni, jejich současná úroveň dosahuje pouze 60 % hodnoty v národním hospodářství. V dlouhodobě rozvíjejícím se odvětví informačních a komunikačních činností se mzdy zvýšily o 8,8 % a potvrdily tak jeho výsadní postavení (výše výdělků zde převyšovala úroveň celé ekonomiky již skoro dvojnásobně).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 xml:space="preserve">Mimo terciární sféru rostly mzdy dynamicky již pouze ve stavebnictví (+10,3 %), kde výdělky rostly nadprůměrně i po celý loňský rok. Jejich tempo odráželo zlepšenou ekonomickou situaci podniků a zároveň bylo i reakcí na 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>problém s chronickým nedostatkem zejména kvalifikované pracovní síly.</w:t>
            </w:r>
          </w:p>
        </w:tc>
      </w:tr>
      <w:tr w:rsidR="000C004E" w14:paraId="584F1A23" w14:textId="77777777" w:rsidTr="000C004E">
        <w:trPr>
          <w:trHeight w:val="132"/>
        </w:trPr>
        <w:tc>
          <w:tcPr>
            <w:tcW w:w="1761" w:type="dxa"/>
          </w:tcPr>
          <w:p w14:paraId="5A932D70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t>Ve většině významnějších odvětví průmyslu probíhal slabší mzdový růst současně s redukcí zaměstnaneckých míst.</w:t>
            </w:r>
          </w:p>
          <w:p w14:paraId="5B4306D7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356A4830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49602A5C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0945EBDC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5A7601A1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7C296BDB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5C1B9FC0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</w:p>
          <w:p w14:paraId="2ACC77DF" w14:textId="77777777" w:rsidR="000C004E" w:rsidRDefault="000C004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t xml:space="preserve">Podprůměrný mzdový růst přetrvával v obchodu i v odvětvích s významnou rolí státu. </w:t>
            </w:r>
          </w:p>
        </w:tc>
        <w:tc>
          <w:tcPr>
            <w:tcW w:w="198" w:type="dxa"/>
          </w:tcPr>
          <w:p w14:paraId="011F67CE" w14:textId="77777777" w:rsidR="000C004E" w:rsidRDefault="000C004E">
            <w:pPr>
              <w:pStyle w:val="Textpoznpodarou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2CDDE962" w14:textId="77777777" w:rsidR="000C004E" w:rsidRDefault="000C004E">
            <w:pPr>
              <w:spacing w:after="200"/>
              <w:rPr>
                <w:rFonts w:cs="Arial"/>
                <w:color w:val="000000"/>
                <w:lang w:eastAsia="en-US"/>
              </w:rPr>
            </w:pP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>Výrazně podprůměrný mzdový růst (okolo 3 %) byl zaznamenán ve dvou jinak dosti odlišných poměrně malých průmyslových odvětvích. Zatímco v prosperující energetice úzce souvisel s vysokou loňskou základnou (ovlivněnou výplatou mimořádných odměn), v dlouhodobě útlumové těžbě a dobývání odrážel stále obtížnější hospodářskou situaci podniků, jež se podepsala i na silném úbytku pracovních míst. Klesající zaměstnanost postihla i téměř všechny nosné obory zpracovatelského průmyslu a rovněž mzdový růst v nich patřil ke slabším (vyjma pozvolna se zotavující výroby stavebních materiálů). Podobně na tom bylo i odvětví zemědělství, lesnictví a rybářství, jež se tradičně vyznačuje nízkou mzdovou úrovní (průměrné výdělky zde letos nedosáhly ani tří čtvrtin výše národního hospodářství). Slabší mzdový růst se nevyhýbá ani některým významným odvětvím služeb. V obchodu se letos výdělky zvýšily jen o 5,8 %, a přestože podprůměrně rostly i v předchozích dvou letech, aktuální mzdová úroveň v tomto odvětví (44,7 tis. korun) v</w:t>
            </w:r>
            <w:r>
              <w:rPr>
                <w:rStyle w:val="normaltextrun"/>
                <w:rFonts w:eastAsia="MS Gothic" w:cs="Arial"/>
                <w:spacing w:val="-6"/>
                <w:lang w:eastAsia="en-US"/>
              </w:rPr>
              <w:t xml:space="preserve">ýznamně nezaostává 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 xml:space="preserve">za výší celé ekonomiky. Nižší mzdová tempa jsou patrná i v některých odvětvích veřejných služeb (zejména ve zdravotní 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br/>
              <w:t xml:space="preserve">a sociální péči, veřejně správě, obraně a sociálním zabezpečení). Výjimkou jsou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 xml:space="preserve">kulturní, zábavní a rekreační činnosti, kde sice mzdy letos vzrostly o rovných 10 % (i 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 xml:space="preserve">  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>díky plošnému navýšení tarifů o 1400 korun v platové sféře), avšak výše výdělků se stále nacházela o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> </w:t>
            </w:r>
            <w:r>
              <w:rPr>
                <w:rStyle w:val="normaltextrun"/>
                <w:rFonts w:cs="Arial"/>
                <w:color w:val="000000"/>
                <w:szCs w:val="20"/>
                <w:lang w:eastAsia="en-US"/>
              </w:rPr>
              <w:t>více než desetinu pod úrovní celé ekonomiky. O</w:t>
            </w:r>
            <w:r>
              <w:rPr>
                <w:rStyle w:val="normaltextrun"/>
                <w:rFonts w:cs="Arial"/>
                <w:color w:val="000000"/>
                <w:lang w:eastAsia="en-US"/>
              </w:rPr>
              <w:t xml:space="preserve">dvětví s významnou rolí </w:t>
            </w:r>
            <w:r>
              <w:rPr>
                <w:rStyle w:val="normaltextrun"/>
                <w:rFonts w:cs="Arial"/>
                <w:color w:val="000000"/>
                <w:lang w:eastAsia="en-US"/>
              </w:rPr>
              <w:lastRenderedPageBreak/>
              <w:t>státu</w:t>
            </w:r>
            <w:r>
              <w:rPr>
                <w:rStyle w:val="Znakapoznpodarou"/>
                <w:color w:val="000000"/>
                <w:lang w:eastAsia="en-US"/>
              </w:rPr>
              <w:footnoteReference w:id="23"/>
            </w:r>
            <w:r>
              <w:rPr>
                <w:rStyle w:val="normaltextrun"/>
                <w:rFonts w:cs="Arial"/>
                <w:color w:val="000000"/>
                <w:lang w:eastAsia="en-US"/>
              </w:rPr>
              <w:t xml:space="preserve"> vykázala letos v úhrnu růst výdělků o 5,7 % a mzdové tempo zde za celou ekonomikou zaostává nepřetržitě od konce roku 2022.</w:t>
            </w:r>
          </w:p>
        </w:tc>
      </w:tr>
      <w:tr w:rsidR="000C004E" w14:paraId="206FBEC4" w14:textId="77777777" w:rsidTr="000C004E">
        <w:trPr>
          <w:trHeight w:val="132"/>
        </w:trPr>
        <w:tc>
          <w:tcPr>
            <w:tcW w:w="1761" w:type="dxa"/>
            <w:hideMark/>
          </w:tcPr>
          <w:p w14:paraId="6DAA8545" w14:textId="77777777" w:rsidR="000C004E" w:rsidRDefault="000C004E">
            <w:pPr>
              <w:pStyle w:val="Marginlie"/>
              <w:rPr>
                <w:color w:val="0D0D0D" w:themeColor="text1" w:themeTint="F2"/>
                <w:spacing w:val="-4"/>
                <w:lang w:eastAsia="en-US"/>
              </w:rPr>
            </w:pPr>
            <w:r>
              <w:rPr>
                <w:color w:val="0D0D0D" w:themeColor="text1" w:themeTint="F2"/>
                <w:spacing w:val="0"/>
                <w:lang w:eastAsia="en-US"/>
              </w:rPr>
              <w:lastRenderedPageBreak/>
              <w:t>Mzdový medián rostl letos pomaleji než průměrná mzda. Mzdová diferenciace se neprohlubovala.</w:t>
            </w:r>
          </w:p>
        </w:tc>
        <w:tc>
          <w:tcPr>
            <w:tcW w:w="198" w:type="dxa"/>
          </w:tcPr>
          <w:p w14:paraId="41C7946A" w14:textId="77777777" w:rsidR="000C004E" w:rsidRDefault="000C004E">
            <w:pPr>
              <w:pStyle w:val="Textpoznpodarou"/>
              <w:jc w:val="both"/>
              <w:rPr>
                <w:color w:val="0D0D0D" w:themeColor="text1" w:themeTint="F2"/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20957329" w14:textId="77777777" w:rsidR="000C004E" w:rsidRDefault="000C004E" w:rsidP="0024414D">
            <w:pPr>
              <w:rPr>
                <w:rStyle w:val="normaltextrun"/>
                <w:rFonts w:eastAsia="MS Gothic" w:cs="Arial"/>
                <w:spacing w:val="-6"/>
                <w:szCs w:val="20"/>
              </w:rPr>
            </w:pP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>Medián mezd (38 385 Kč) vzrostl proti stejnému období předchozího roku o 5,3 %, u mužů dosáhl 41 677 korun, u žen byl 35 226 korun (mzdový růst byl u obou pohlaví srovnatelný). Osmdesát procent zaměstnanců pobíralo mzdu mezi 21 136 koruna</w:t>
            </w:r>
            <w:r>
              <w:rPr>
                <w:rStyle w:val="normaltextrun"/>
                <w:rFonts w:eastAsia="MS Gothic" w:cs="Arial"/>
                <w:spacing w:val="-6"/>
                <w:lang w:eastAsia="en-US"/>
              </w:rPr>
              <w:t>mi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 xml:space="preserve"> a 73 611 koruna</w:t>
            </w:r>
            <w:r>
              <w:rPr>
                <w:rStyle w:val="normaltextrun"/>
                <w:rFonts w:eastAsia="MS Gothic" w:cs="Arial"/>
                <w:spacing w:val="-6"/>
                <w:lang w:eastAsia="en-US"/>
              </w:rPr>
              <w:t>mi</w:t>
            </w:r>
            <w:r>
              <w:rPr>
                <w:rStyle w:val="normaltextrun"/>
                <w:rFonts w:eastAsia="MS Gothic" w:cs="Arial"/>
                <w:spacing w:val="-6"/>
                <w:szCs w:val="20"/>
                <w:lang w:eastAsia="en-US"/>
              </w:rPr>
              <w:t>. Mzdy v horním i spodním decilu rostly procentuálně podobným tempem, celkové mzdové diference se tak meziročně nezměnily.</w:t>
            </w:r>
          </w:p>
        </w:tc>
      </w:tr>
      <w:tr w:rsidR="000C004E" w14:paraId="613523F0" w14:textId="77777777" w:rsidTr="000C004E">
        <w:trPr>
          <w:trHeight w:val="336"/>
        </w:trPr>
        <w:tc>
          <w:tcPr>
            <w:tcW w:w="1761" w:type="dxa"/>
            <w:vMerge w:val="restart"/>
          </w:tcPr>
          <w:p w14:paraId="79F63AFE" w14:textId="77777777" w:rsidR="000C004E" w:rsidRDefault="000C004E">
            <w:pPr>
              <w:pStyle w:val="Marginlie"/>
              <w:rPr>
                <w:spacing w:val="-4"/>
              </w:rPr>
            </w:pPr>
          </w:p>
        </w:tc>
        <w:tc>
          <w:tcPr>
            <w:tcW w:w="198" w:type="dxa"/>
            <w:vMerge w:val="restart"/>
          </w:tcPr>
          <w:p w14:paraId="764221A6" w14:textId="77777777" w:rsidR="000C004E" w:rsidRDefault="000C004E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715" w:type="dxa"/>
            <w:hideMark/>
          </w:tcPr>
          <w:p w14:paraId="6211D56A" w14:textId="77777777" w:rsidR="000C004E" w:rsidRDefault="000C004E">
            <w:pPr>
              <w:spacing w:after="0"/>
              <w:rPr>
                <w:rFonts w:cs="Arial"/>
                <w:b/>
                <w:color w:val="0D0D0D" w:themeColor="text1" w:themeTint="F2"/>
                <w:spacing w:val="-4"/>
                <w:szCs w:val="20"/>
                <w:lang w:eastAsia="en-US"/>
              </w:rPr>
            </w:pPr>
            <w:r>
              <w:rPr>
                <w:rFonts w:cs="Arial"/>
                <w:b/>
                <w:color w:val="0D0D0D" w:themeColor="text1" w:themeTint="F2"/>
                <w:spacing w:val="-4"/>
                <w:szCs w:val="20"/>
                <w:lang w:eastAsia="en-US"/>
              </w:rPr>
              <w:t xml:space="preserve">Graf č. 15 Průměrná nominální i reálná mzda a mzdový medián </w:t>
            </w:r>
            <w:r>
              <w:rPr>
                <w:rFonts w:cs="Arial"/>
                <w:color w:val="0D0D0D" w:themeColor="text1" w:themeTint="F2"/>
                <w:spacing w:val="-4"/>
                <w:szCs w:val="20"/>
                <w:lang w:eastAsia="en-US"/>
              </w:rPr>
              <w:t>(meziroční změna, v %)</w:t>
            </w:r>
          </w:p>
        </w:tc>
      </w:tr>
      <w:tr w:rsidR="000C004E" w14:paraId="526A1BD4" w14:textId="77777777" w:rsidTr="000C004E">
        <w:trPr>
          <w:trHeight w:val="1935"/>
        </w:trPr>
        <w:tc>
          <w:tcPr>
            <w:tcW w:w="0" w:type="auto"/>
            <w:vMerge/>
            <w:vAlign w:val="center"/>
            <w:hideMark/>
          </w:tcPr>
          <w:p w14:paraId="4EB0A59F" w14:textId="77777777" w:rsidR="000C004E" w:rsidRDefault="000C004E">
            <w:pPr>
              <w:spacing w:after="0" w:line="240" w:lineRule="auto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CEB321" w14:textId="77777777" w:rsidR="000C004E" w:rsidRDefault="000C004E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71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AE82F" w14:textId="71DA786E" w:rsidR="000C004E" w:rsidRDefault="000C004E">
            <w:pPr>
              <w:spacing w:after="0"/>
              <w:rPr>
                <w:rFonts w:cs="Arial"/>
                <w:b/>
                <w:color w:val="0D0D0D" w:themeColor="text1" w:themeTint="F2"/>
                <w:spacing w:val="-4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91862A" wp14:editId="4E641DDD">
                  <wp:extent cx="4810125" cy="3752850"/>
                  <wp:effectExtent l="0" t="0" r="0" b="0"/>
                  <wp:docPr id="14" name="Graf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0C004E" w14:paraId="3C154F9B" w14:textId="77777777" w:rsidTr="000C004E">
        <w:trPr>
          <w:trHeight w:val="475"/>
        </w:trPr>
        <w:tc>
          <w:tcPr>
            <w:tcW w:w="0" w:type="auto"/>
            <w:vMerge/>
            <w:vAlign w:val="center"/>
            <w:hideMark/>
          </w:tcPr>
          <w:p w14:paraId="4BBA7C2A" w14:textId="77777777" w:rsidR="000C004E" w:rsidRDefault="000C004E">
            <w:pPr>
              <w:spacing w:after="0" w:line="240" w:lineRule="auto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3A4387" w14:textId="77777777" w:rsidR="000C004E" w:rsidRDefault="000C004E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715" w:type="dxa"/>
            <w:hideMark/>
          </w:tcPr>
          <w:p w14:paraId="723D7DF0" w14:textId="77777777" w:rsidR="000C004E" w:rsidRDefault="000C004E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  <w:lang w:eastAsia="en-US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  <w:lang w:eastAsia="en-US"/>
              </w:rPr>
              <w:t>*Zahrnuje odvětví s významnou rolí vládního sektoru: Veřejná správa a obrana, povinné sociální zabezpečení; Vzdělávání; Zdravotní a sociální péče; Kulturní, zábavní a rekreační činnosti.                                                                                                                Zdroj: ČSÚ</w:t>
            </w:r>
          </w:p>
        </w:tc>
      </w:tr>
    </w:tbl>
    <w:p w14:paraId="60A272AC" w14:textId="77777777" w:rsidR="000C004E" w:rsidRDefault="000C004E" w:rsidP="000C004E">
      <w:pPr>
        <w:pStyle w:val="Nadpis1"/>
      </w:pPr>
    </w:p>
    <w:p w14:paraId="2143296F" w14:textId="1754FC9B" w:rsidR="00A50D73" w:rsidRPr="00A04CEF" w:rsidRDefault="00A50D73" w:rsidP="003B7AFA">
      <w:pPr>
        <w:pStyle w:val="Nadpis1"/>
        <w:rPr>
          <w:sz w:val="2"/>
          <w:szCs w:val="2"/>
        </w:rPr>
      </w:pPr>
    </w:p>
    <w:sectPr w:rsidR="00A50D73" w:rsidRPr="00A04CEF" w:rsidSect="0024414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EF3C" w14:textId="77777777" w:rsidR="00A04CEF" w:rsidRDefault="00A04CEF" w:rsidP="00E71A58">
      <w:r>
        <w:separator/>
      </w:r>
    </w:p>
  </w:endnote>
  <w:endnote w:type="continuationSeparator" w:id="0">
    <w:p w14:paraId="70B7E2B6" w14:textId="77777777" w:rsidR="00A04CEF" w:rsidRDefault="00A04CE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040078C5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E13FE2">
      <w:rPr>
        <w:szCs w:val="16"/>
      </w:rPr>
      <w:t>36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08195641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čtvrtletí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E13FE2">
      <w:rPr>
        <w:rStyle w:val="ZpatChar"/>
        <w:szCs w:val="16"/>
      </w:rPr>
      <w:t>33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D8F6" w14:textId="77777777" w:rsidR="00A04CEF" w:rsidRDefault="00A04CEF" w:rsidP="00EA4302">
      <w:pPr>
        <w:spacing w:after="0"/>
      </w:pPr>
      <w:r>
        <w:separator/>
      </w:r>
    </w:p>
  </w:footnote>
  <w:footnote w:type="continuationSeparator" w:id="0">
    <w:p w14:paraId="70CDBF0C" w14:textId="77777777" w:rsidR="00A04CEF" w:rsidRDefault="00A04CEF" w:rsidP="00E71A58">
      <w:r>
        <w:continuationSeparator/>
      </w:r>
    </w:p>
  </w:footnote>
  <w:footnote w:id="1">
    <w:p w14:paraId="2BC947C1" w14:textId="77777777" w:rsidR="000C004E" w:rsidRDefault="000C004E" w:rsidP="000C004E">
      <w:pPr>
        <w:pStyle w:val="Textpoznpodarou"/>
        <w:jc w:val="both"/>
        <w:rPr>
          <w:color w:val="0D0D0D" w:themeColor="text1" w:themeTint="F2"/>
          <w:spacing w:val="-2"/>
          <w:sz w:val="16"/>
          <w:szCs w:val="16"/>
        </w:rPr>
      </w:pPr>
      <w:r>
        <w:rPr>
          <w:rStyle w:val="Znakapoznpodarou"/>
          <w:color w:val="0D0D0D" w:themeColor="text1" w:themeTint="F2"/>
          <w:spacing w:val="-2"/>
        </w:rPr>
        <w:footnoteRef/>
      </w:r>
      <w:r>
        <w:rPr>
          <w:color w:val="0D0D0D" w:themeColor="text1" w:themeTint="F2"/>
          <w:spacing w:val="-2"/>
          <w:sz w:val="16"/>
          <w:szCs w:val="16"/>
        </w:rPr>
        <w:t xml:space="preserve"> Údaje o zaměstnanosti vycházejí z pojetí národních účtů. Jsou vyjádřeny ve fyzických osobách a očištěny o sezónní vlivy. Na rozdíl od údajů z podnikové statistiky či z </w:t>
      </w:r>
      <w:r>
        <w:rPr>
          <w:sz w:val="16"/>
          <w:szCs w:val="16"/>
        </w:rPr>
        <w:t>výběrového šetření pracovních sil (VŠPS) zahrnují např. i odhad vlivu šedé ekonomiky.</w:t>
      </w:r>
    </w:p>
  </w:footnote>
  <w:footnote w:id="2">
    <w:p w14:paraId="63D27A06" w14:textId="77777777" w:rsidR="000C004E" w:rsidRDefault="000C004E" w:rsidP="000C004E">
      <w:pPr>
        <w:pStyle w:val="Textpoznpodarou"/>
        <w:rPr>
          <w:spacing w:val="-3"/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V Unii (i eurozóně) na rozdíl od Česka aktuální tempo růstu zaměstnanosti zpomalilo. Podobně jako v tuzemsku zde dochází </w:t>
      </w:r>
      <w:r>
        <w:rPr>
          <w:sz w:val="16"/>
          <w:szCs w:val="16"/>
        </w:rPr>
        <w:br/>
        <w:t xml:space="preserve">k rozšiřování pracovních míst téměř výhradně jen ve službách, relativně nejvíce v oblasti nemovitostí (+3,7 %), peněžnictví </w:t>
      </w:r>
      <w:r>
        <w:rPr>
          <w:sz w:val="16"/>
          <w:szCs w:val="16"/>
        </w:rPr>
        <w:br/>
        <w:t>a pojišťovnictví (+1,7 %) a také v odvětvích s významnou rolí státu (+1,4 %). Pracovníků naopak ubývá ve zpracovatelském průmyslu (</w:t>
      </w:r>
      <w:r>
        <w:rPr>
          <w:spacing w:val="-3"/>
          <w:sz w:val="16"/>
          <w:szCs w:val="16"/>
        </w:rPr>
        <w:t xml:space="preserve">−1,1 %) a v primárním sektoru (−4,5 %). Z jednotlivých států vzrostl celkový počet pracovníků nejvíce na Maltě (+3,6 %), v Irsku (+3,3 %) </w:t>
      </w:r>
      <w:r>
        <w:rPr>
          <w:spacing w:val="-3"/>
          <w:sz w:val="16"/>
          <w:szCs w:val="16"/>
        </w:rPr>
        <w:br/>
        <w:t xml:space="preserve">a Chorvatsku (+2,8 %) a z významných ekonomik hlavně ve Španělsku (+2,2 %) a v Itálii (+1,5 %). K poklesu naopak došlo v deseti členských státech – především Rumunsku (−4,5 %), Lotyšsku (−1,5 %), Estonsku (−1,1 %) a Polsku (−0,8 %). Ve Francii zaměstnanost stagnovala, stejně jako v Německu, kde však v samotném zpracovatelském průmyslu došlo letos k úbytku o rovná 2 % (za celý loňský rok </w:t>
      </w:r>
      <w:r>
        <w:rPr>
          <w:spacing w:val="-3"/>
          <w:sz w:val="16"/>
          <w:szCs w:val="16"/>
        </w:rPr>
        <w:br/>
        <w:t>o 1 %).</w:t>
      </w:r>
    </w:p>
  </w:footnote>
  <w:footnote w:id="3">
    <w:p w14:paraId="1CA019E3" w14:textId="77777777" w:rsidR="000C004E" w:rsidRDefault="000C004E" w:rsidP="000C004E">
      <w:pPr>
        <w:pStyle w:val="Textpoznpodarou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Pro zjednodušení </w:t>
      </w:r>
      <w:r>
        <w:rPr>
          <w:spacing w:val="-2"/>
          <w:sz w:val="16"/>
          <w:szCs w:val="16"/>
        </w:rPr>
        <w:t>zahrnují odvětví Veřejná správa a obrana, Vzdělávání, Zdravotní a sociální péče.</w:t>
      </w:r>
    </w:p>
  </w:footnote>
  <w:footnote w:id="4">
    <w:p w14:paraId="450DEDE9" w14:textId="77777777" w:rsidR="000C004E" w:rsidRDefault="000C004E" w:rsidP="000C004E">
      <w:pPr>
        <w:pStyle w:val="Textpoznpodarou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Ty zahrnují vedle kulturních, zábavních a rekreačních činností např. různé služby pro domácnosti (opravy výrobků, kadeřnické </w:t>
      </w:r>
      <w:r>
        <w:rPr>
          <w:sz w:val="16"/>
          <w:szCs w:val="16"/>
        </w:rPr>
        <w:br/>
        <w:t xml:space="preserve">a kosmetické činnosti aj.). Zaměstnanost v této sekci (tvořená z více než třetiny drobnými podnikateli), citelně postižené v období protipandemických restrikcí, ovšem stále mírně zaostávala za úrovní z vrcholu poslední konjunktury. </w:t>
      </w:r>
    </w:p>
  </w:footnote>
  <w:footnote w:id="5">
    <w:p w14:paraId="426CD252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Oprávnění k zaměstnání (pracovní povolení, zaměstnanecké či modré karty) nepotřebovaly na konci 1. čtvrtletí 2025 skoro čtyři pětiny veškerých občanů Ukrajiny (resp. 68 % mužů a 89 % žen) působících v ČR v zaměstnaneckém postavení.</w:t>
      </w:r>
    </w:p>
  </w:footnote>
  <w:footnote w:id="6">
    <w:p w14:paraId="63CD62FD" w14:textId="77777777" w:rsidR="000C004E" w:rsidRDefault="000C004E" w:rsidP="000C004E">
      <w:pPr>
        <w:pStyle w:val="Textpoznpodarou"/>
        <w:rPr>
          <w:color w:val="0D0D0D" w:themeColor="text1" w:themeTint="F2"/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Od 1. července 2024 nově nepotřebují v Česku pracovní povolení ani zaměstnanecké karty cizinci z některých ekonomicky vyspělých </w:t>
      </w:r>
      <w:r>
        <w:rPr>
          <w:color w:val="0D0D0D" w:themeColor="text1" w:themeTint="F2"/>
          <w:sz w:val="16"/>
          <w:szCs w:val="16"/>
        </w:rPr>
        <w:t xml:space="preserve">zemí mimo EU (USA, Velká Británie, Kanada, Austrálie, Nový Zéland, Japonsko, Jižní Korea, Izrael a Singapur). Letos na konci března pracovalo z těchto zemí v Česku v zaměstnaneckém postavení 9,5 tis. osob.   </w:t>
      </w:r>
    </w:p>
  </w:footnote>
  <w:footnote w:id="7">
    <w:p w14:paraId="595B5D86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  <w:color w:val="0D0D0D" w:themeColor="text1" w:themeTint="F2"/>
        </w:rPr>
        <w:footnoteRef/>
      </w:r>
      <w:r>
        <w:rPr>
          <w:color w:val="0D0D0D" w:themeColor="text1" w:themeTint="F2"/>
          <w:sz w:val="16"/>
          <w:szCs w:val="16"/>
        </w:rPr>
        <w:t xml:space="preserve"> Vedle toho evidovalo MPO ve stejném </w:t>
      </w:r>
      <w:r>
        <w:rPr>
          <w:sz w:val="16"/>
          <w:szCs w:val="16"/>
        </w:rPr>
        <w:t xml:space="preserve">období 132 tis. </w:t>
      </w:r>
      <w:r>
        <w:rPr>
          <w:color w:val="0D0D0D" w:themeColor="text1" w:themeTint="F2"/>
          <w:sz w:val="16"/>
          <w:szCs w:val="16"/>
        </w:rPr>
        <w:t>cizích státních příslušníků s živnostenským oprávněním v Česku (meziročně o 11 % více). Na tomto růstu se skoro ze dvou třetin podíleli Ukrajinci, jichž v Česku podnikalo 43 tis., s odstupem následovali Slováci (26 tis.) a Vietnamci (21 tis.).</w:t>
      </w:r>
    </w:p>
  </w:footnote>
  <w:footnote w:id="8">
    <w:p w14:paraId="211FC0D0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  <w:color w:val="0D0D0D" w:themeColor="text1" w:themeTint="F2"/>
        </w:rPr>
        <w:footnoteRef/>
      </w:r>
      <w:r>
        <w:rPr>
          <w:color w:val="0D0D0D" w:themeColor="text1" w:themeTint="F2"/>
          <w:sz w:val="16"/>
          <w:szCs w:val="16"/>
        </w:rPr>
        <w:t xml:space="preserve"> Z pohledu krajů vzrostl meziročně počet cizinců nejvíce v Praze (+14,3 %) a Olomouckém kraji (+10,6 %), klesl naopak zejména v Karlovarském kraji (</w:t>
      </w:r>
      <w:r>
        <w:rPr>
          <w:sz w:val="16"/>
          <w:szCs w:val="16"/>
        </w:rPr>
        <w:t>−</w:t>
      </w:r>
      <w:r>
        <w:rPr>
          <w:color w:val="0D0D0D" w:themeColor="text1" w:themeTint="F2"/>
          <w:sz w:val="16"/>
          <w:szCs w:val="16"/>
        </w:rPr>
        <w:t>4,3 %). V dubnu 2025 tak připadla celá třetina všech v Česku zaměstnaných cizinců (v evidenci úřadů práce) na Prahu a spolu se Středočeským, Plzeňským a Jihomoravským krajem pak dokonce 70 %.</w:t>
      </w:r>
    </w:p>
  </w:footnote>
  <w:footnote w:id="9">
    <w:p w14:paraId="5A34AAF3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Jedná se o údaje v novém modelu sezónního očištění – pomocí trendcyklu. Inovovaný model očištění lépe odráží změny charakteru trhu práce a sezónnosti. Obdobně je očištěna i měsíční míra nezaměstnanosti.</w:t>
      </w:r>
    </w:p>
  </w:footnote>
  <w:footnote w:id="10">
    <w:p w14:paraId="318F1FBE" w14:textId="77777777" w:rsidR="000C004E" w:rsidRDefault="000C004E" w:rsidP="000C004E">
      <w:pPr>
        <w:pStyle w:val="Textpoznpodarou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</w:t>
      </w:r>
      <w:r>
        <w:rPr>
          <w:color w:val="0D0D0D" w:themeColor="text1" w:themeTint="F2"/>
          <w:sz w:val="16"/>
          <w:szCs w:val="16"/>
        </w:rPr>
        <w:t>Dle údajů z VŠPS pracovalo letos v 1. čtvrtletí v Česku na zkrácený úvazek 500 tis. osob, meziročně o 5,8 % více. K růstu přispěly hlavně ženy, z nichž tuto formu práce využívalo celkově již 14,6 % všech zaměstnaných (nejvíce pak ve věku 30 až 44 let). Mezi pracujícími muži ji ale preferovalo jen 5,2 % (většinou na sklonku pracovní kariéry). I přes aktuální navýšení zůstává zastoupení těchto úvazků na tuzemském pracovním trhu relativně nízké. Podíl takto zaměstnaných osob byl na konci roku 2024 v Česku (9,3 %) ve srovnání s hodnotou v EU pouze poloviční (podobné relace platí pro muže i ženy). Na druhou stranu v rámci států, jež do Unie vstoupily až po roce 2000, měly oproti Česku vyšší podíl jen Estonsko (15,2 %) a Malta (11,2 %). Ovšem v sousedním Německu i Rakousku využívala tyto úvazky skoro třetina všech pracovníků.</w:t>
      </w:r>
    </w:p>
  </w:footnote>
  <w:footnote w:id="11">
    <w:p w14:paraId="5AC19257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Není-li uvedeno jinak, jsou dále použity sezónně očištěné údaje.</w:t>
      </w:r>
    </w:p>
  </w:footnote>
  <w:footnote w:id="12">
    <w:p w14:paraId="4F17F709" w14:textId="77777777" w:rsidR="000C004E" w:rsidRDefault="000C004E" w:rsidP="000C004E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>
        <w:rPr>
          <w:rStyle w:val="Znakapoznpodarou"/>
          <w:color w:val="0D0D0D" w:themeColor="text1" w:themeTint="F2"/>
          <w:spacing w:val="-2"/>
        </w:rPr>
        <w:footnoteRef/>
      </w:r>
      <w:r>
        <w:rPr>
          <w:color w:val="0D0D0D" w:themeColor="text1" w:themeTint="F2"/>
          <w:spacing w:val="-2"/>
          <w:sz w:val="16"/>
          <w:szCs w:val="16"/>
        </w:rPr>
        <w:t xml:space="preserve"> Převažující negativní očekávání zaměstnanosti vyjádřily podniky v 60 % zpracovatelských průmyslových oborů. Nejhorší vyhlídky měly hutnictví a slévárenství a s odstupem také elektrotechnický, elektronický, kovodělný a strojírenský průmysl a také malé obory oděvnictví </w:t>
      </w:r>
      <w:r>
        <w:rPr>
          <w:color w:val="0D0D0D" w:themeColor="text1" w:themeTint="F2"/>
          <w:spacing w:val="-2"/>
          <w:sz w:val="16"/>
          <w:szCs w:val="16"/>
        </w:rPr>
        <w:br/>
        <w:t>a textilní výroby. Naopak pozitivní perspektivy přetrvávaly především ve výrobě kolejových dopravních prostředků, v menší míře v potravinářství, výrobě nápojů a farmacii.</w:t>
      </w:r>
    </w:p>
    <w:p w14:paraId="656CEF88" w14:textId="77777777" w:rsidR="000C004E" w:rsidRDefault="000C004E" w:rsidP="000C004E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>
        <w:rPr>
          <w:color w:val="0D0D0D" w:themeColor="text1" w:themeTint="F2"/>
          <w:spacing w:val="-2"/>
          <w:sz w:val="16"/>
          <w:szCs w:val="16"/>
        </w:rPr>
        <w:t xml:space="preserve">Ve službách převažovala negativní očekávání ve třetině dílčích odvětví. Nejvíce byla patrná v telekomunikacích, ve veterinárních činnostech, reklamě, vydavatelských činnostech, vodní dopravě, pojišťovnictví a některých administrativních a podpůrných činnostech. Naopak optimismus převládal v programování, informačních činnostech, vědě a výzkumu, pracovních agenturách, ubytování a také ve skladování a vedlejších činnostech v dopravě. </w:t>
      </w:r>
    </w:p>
  </w:footnote>
  <w:footnote w:id="13">
    <w:p w14:paraId="1F2E1764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  <w:color w:val="0D0D0D" w:themeColor="text1" w:themeTint="F2"/>
        </w:rPr>
        <w:footnoteRef/>
      </w:r>
      <w:r>
        <w:rPr>
          <w:color w:val="0D0D0D" w:themeColor="text1" w:themeTint="F2"/>
          <w:sz w:val="16"/>
          <w:szCs w:val="16"/>
        </w:rPr>
        <w:t xml:space="preserve"> Podniky mohly uvést více bariér současně.</w:t>
      </w:r>
    </w:p>
  </w:footnote>
  <w:footnote w:id="14">
    <w:p w14:paraId="464408C8" w14:textId="77777777" w:rsidR="000C004E" w:rsidRDefault="000C004E" w:rsidP="000C004E">
      <w:pPr>
        <w:pStyle w:val="Textpoznpodarou"/>
        <w:rPr>
          <w:spacing w:val="-3"/>
          <w:sz w:val="16"/>
          <w:szCs w:val="16"/>
        </w:rPr>
      </w:pPr>
      <w:r>
        <w:rPr>
          <w:rStyle w:val="Znakapoznpodarou"/>
          <w:spacing w:val="-3"/>
        </w:rPr>
        <w:footnoteRef/>
      </w:r>
      <w:r>
        <w:rPr>
          <w:spacing w:val="-3"/>
          <w:sz w:val="16"/>
          <w:szCs w:val="16"/>
        </w:rPr>
        <w:t xml:space="preserve"> Není-li uvedeno jinak, vycházejí všechny údaje o mírách nezaměstnanosti z VŠPS (dle metodiky ILO) a jsou očištěny o sezónní vlivy.</w:t>
      </w:r>
    </w:p>
  </w:footnote>
  <w:footnote w:id="15">
    <w:p w14:paraId="3B11B600" w14:textId="77777777" w:rsidR="000C004E" w:rsidRDefault="000C004E" w:rsidP="000C004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color w:val="0D0D0D" w:themeColor="text1" w:themeTint="F2"/>
          <w:spacing w:val="-2"/>
          <w:sz w:val="16"/>
          <w:szCs w:val="16"/>
        </w:rPr>
      </w:pPr>
      <w:r>
        <w:rPr>
          <w:rStyle w:val="Znakapoznpodarou"/>
          <w:color w:val="0D0D0D" w:themeColor="text1" w:themeTint="F2"/>
        </w:rPr>
        <w:footnoteRef/>
      </w:r>
      <w:r>
        <w:rPr>
          <w:color w:val="0D0D0D" w:themeColor="text1" w:themeTint="F2"/>
          <w:sz w:val="16"/>
          <w:szCs w:val="16"/>
        </w:rPr>
        <w:t xml:space="preserve"> </w:t>
      </w:r>
      <w:r>
        <w:rPr>
          <w:rFonts w:ascii="Arial" w:eastAsia="Calibri" w:hAnsi="Arial"/>
          <w:color w:val="0D0D0D" w:themeColor="text1" w:themeTint="F2"/>
          <w:spacing w:val="-3"/>
          <w:sz w:val="16"/>
          <w:szCs w:val="16"/>
        </w:rPr>
        <w:t xml:space="preserve">Nízká </w:t>
      </w:r>
      <w:r>
        <w:rPr>
          <w:rFonts w:ascii="Arial" w:eastAsia="Calibri" w:hAnsi="Arial"/>
          <w:color w:val="0D0D0D" w:themeColor="text1" w:themeTint="F2"/>
          <w:spacing w:val="-2"/>
          <w:sz w:val="16"/>
          <w:szCs w:val="16"/>
        </w:rPr>
        <w:t xml:space="preserve">nezaměstnanost přetrvává rovněž v EU – letos v dubnu dosáhla ve skupině 15 až 74letých 5,9 % (v eurozóně 6,2 %). Meziměsíčně ani meziročně se téměř nezměnila, k mírnému zlepšení ale došlo u žen (na 6,1 %). Celková nezaměstnanost v EU je v dostupné časové řadě od roku 2000 nejnižší a proti počátku roku 2008 je příznivější zhruba o 1 p. b. (v EU i eurozóně). Míra nezaměstnanosti v Česku byla nadále nepřetržitě již osm let nejnižší v Unii – aktuálně spolu s Maltou (2,7 %) a těsně před Polskem (3,3 %), Bulharskem (3,3 %) a Německem (3,6 %). Výsadní postavení mělo Česko tradičně díky mužům. Ale i u žen, kde nezaměstnanost tradičně více kolísá, dosáhla aktuálně lehce nižší úrovně než v tuzemsku jen Malta (2,7 %). Nejvyšší nezaměstnanost v Unii mělo i přes mírné meziroční snížení stále Španělsko (10,9 %) následované Finskem (9,1 %), Švédskem (8,5 %), Estonskem a Řeckem (shodně 8,3 %). Oproti dubnu 2024 byla aktuálně v rámci EU celková nezaměstnanost vyšší ve 12 členských státech. Největší zhoršení nastalo v Dánsku (+1,0 p. b.), Belgii, Lotyšsku a Finsku (shodně +0,8). Naopak k nejvýznamnějšímu poklesu došlo v Řecku (–2,5 p. b.), na Kypru (–1,4), v Litvě (–1,0), Bulharsku (–0,9), Itálii (–0,8) a také ve Španělsku (–0,7). </w:t>
      </w:r>
      <w:r>
        <w:rPr>
          <w:rFonts w:ascii="Arial" w:eastAsia="Calibri" w:hAnsi="Arial"/>
          <w:color w:val="0D0D0D" w:themeColor="text1" w:themeTint="F2"/>
          <w:spacing w:val="-3"/>
          <w:sz w:val="16"/>
          <w:szCs w:val="16"/>
        </w:rPr>
        <w:t>Příznivé postavení má Česko i v nezaměstnanosti mladých, neboť dlouhodobě patří do třetiny zemí Unie s nejnižší nezaměstnaností osob do 25 let. Ta letos v dubnu dosahovala 11 % (v EU 15 %). Nejlepší pozici drželo Německo (6,8 %) před Maltou, Nizozemskem, Bulharskem a Rakouskem. Naopak více než pětina pracovní síly mladých neměla zaměstnání ve Španělsku, Řecku, Rumunsku, ale i ve Švédsku, Finsku a Lucembursku. Meziročně se zlepšila pozice Slovenska (z 21 % na 15 %).</w:t>
      </w:r>
    </w:p>
  </w:footnote>
  <w:footnote w:id="16">
    <w:p w14:paraId="317FF392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Pouze sedmina z tohoto počtu byla ovšem schopna nastoupit bezprostředně do práce. Významnou část pracovních rezerv totiž tvoří studenti a ženy na rodičovské dovolené.</w:t>
      </w:r>
    </w:p>
  </w:footnote>
  <w:footnote w:id="17">
    <w:p w14:paraId="14AFEC27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</w:t>
      </w:r>
      <w:r>
        <w:rPr>
          <w:rStyle w:val="normaltextrun"/>
          <w:rFonts w:cs="Arial"/>
          <w:sz w:val="16"/>
          <w:szCs w:val="16"/>
        </w:rPr>
        <w:t xml:space="preserve">Muži trpěli nejvyšší nezaměstnaností v okresu Karviná (9,3 %), ženy na Mostecku (10,7 %). Více než 6% celkovou nezaměstnanost vykázalo dvanáct okresů (rozprostřených do </w:t>
      </w:r>
      <w:r>
        <w:rPr>
          <w:rStyle w:val="normaltextrun"/>
          <w:rFonts w:eastAsia="MS Gothic" w:cs="Arial"/>
          <w:color w:val="0D0D0D" w:themeColor="text1" w:themeTint="F2"/>
          <w:sz w:val="16"/>
          <w:szCs w:val="16"/>
        </w:rPr>
        <w:t>pěti různých krajů – Karlovarský, Ústecký, Jihomoravský, Olomoucký a Moravskoslezský).</w:t>
      </w:r>
    </w:p>
  </w:footnote>
  <w:footnote w:id="18">
    <w:p w14:paraId="3C034BEA" w14:textId="77777777" w:rsidR="000C004E" w:rsidRDefault="000C004E" w:rsidP="000C004E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</w:t>
      </w:r>
      <w:r>
        <w:rPr>
          <w:rStyle w:val="eop"/>
          <w:rFonts w:cs="Arial"/>
          <w:sz w:val="16"/>
          <w:szCs w:val="16"/>
        </w:rPr>
        <w:t xml:space="preserve">Dle experimentální statistiky ČSÚ (šetření u podniků prováděná od roku 2020) byla v 1. čtvrtletí 2025 nabídka tuzemských firem odhadnuta na 103 tis. volných míst (jedná se jen o místa v pracovním poměru, nejde o přechodná zaměstnání, např. různé typy dohod). Počet míst se meziročně mírně snížil o 4 % (loni naopak rostl ve všech kvartálech). Na současném poklesu nabídky se podílely hlavně primární sektor ekonomiky, většina průmyslu, stavebnictví a také administrativní a podpůrné činnosti. V absolutním vyjádření naopak nejvíce rostla nabídka míst ve vzdělávání, profesních, vědeckých a technických činnostech a též v ubytování, stravování a pohostinství. I přes více než dva roky trvající pokles nabídky se aktuálně stále nejvíce volných pozic nacházelo v průmyslu (27 tis.), těsně následovaném odvětvími s významnou rolí státu (26 tis.) a dále obchodem (11 tis.). </w:t>
      </w:r>
    </w:p>
  </w:footnote>
  <w:footnote w:id="19">
    <w:p w14:paraId="65842F3D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Výjimku tvoří pracovní místa, na jejichž obsazení probíhá řízení o vydání zaměstnanecké karty, modré karty nebo povolení k</w:t>
      </w:r>
      <w:r>
        <w:rPr>
          <w:rStyle w:val="normaltextrun"/>
          <w:rFonts w:cs="Arial"/>
          <w:sz w:val="16"/>
          <w:szCs w:val="16"/>
        </w:rPr>
        <w:t> </w:t>
      </w:r>
      <w:r>
        <w:rPr>
          <w:sz w:val="16"/>
          <w:szCs w:val="16"/>
        </w:rPr>
        <w:t>zaměstnání cizince. V těchto případech setrvává pracovní místo v evidenci až do ukončení příslušného správního řízení.</w:t>
      </w:r>
    </w:p>
  </w:footnote>
  <w:footnote w:id="20">
    <w:p w14:paraId="1B153232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U </w:t>
      </w:r>
      <w:r>
        <w:rPr>
          <w:color w:val="0D0D0D" w:themeColor="text1" w:themeTint="F2"/>
          <w:spacing w:val="-6"/>
          <w:sz w:val="16"/>
          <w:szCs w:val="16"/>
        </w:rPr>
        <w:t>téměř tří čtvrtin volných pracovních míst postačovalo uchazečům pouze základní vzdělání. Naopak více než třetina všech registrovaných uchazečů o práci disponuje alespoň maturitním vzděláním.</w:t>
      </w:r>
    </w:p>
  </w:footnote>
  <w:footnote w:id="21">
    <w:p w14:paraId="17336562" w14:textId="77777777" w:rsidR="000C004E" w:rsidRDefault="000C004E" w:rsidP="000C004E">
      <w:pPr>
        <w:pStyle w:val="Textpoznpodarou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Minimální mzda byla loni stanovena novým mechanismem valorizace (počítá se s jejím postupným nárůstem až na cílovou úroveň 47 % průměrné mzdy, kterou by měla mít v roce 2029). Od ledna 2025 se tak tato mzda zvýšila o 10 % na 20 800 Kč. Na druhou stranu institut zaručených mezd byl zásadně zjednodušen a je nově využíván již pouze v platové sféře.</w:t>
      </w:r>
    </w:p>
  </w:footnote>
  <w:footnote w:id="22">
    <w:p w14:paraId="29C52370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Např. v roce 2023 působilo v Česku v nejkvalifikovanějších třídách zaměstnanosti (vedoucí a řídící pracovníci, specialisté, techničtí </w:t>
      </w:r>
      <w:r>
        <w:rPr>
          <w:sz w:val="16"/>
          <w:szCs w:val="16"/>
        </w:rPr>
        <w:br/>
        <w:t xml:space="preserve">a odborní pracovníci) pouze 13 % ze všech cizinců ze států mimo EU (resp. 9 % z Ukrajinců), 24 % ze všech cizinců ze zemí EU, ale </w:t>
      </w:r>
      <w:r>
        <w:rPr>
          <w:sz w:val="16"/>
          <w:szCs w:val="16"/>
        </w:rPr>
        <w:br/>
        <w:t>44 % z veškerých zaměstnanců s českým občanstvím.</w:t>
      </w:r>
    </w:p>
  </w:footnote>
  <w:footnote w:id="23">
    <w:p w14:paraId="0AED5A6E" w14:textId="77777777" w:rsidR="000C004E" w:rsidRDefault="000C004E" w:rsidP="000C004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Ty zahrnují Veřejnou správu, obranu a sociální zabezpečení, Vzdělávání, Zdravotní a sociální péči a Kulturní, zábavní a rekreační činnosti.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A04CEF" w:rsidRPr="00C27E4F" w:rsidRDefault="00A04CE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A04CEF" w:rsidRPr="006F5416" w:rsidRDefault="00A04CE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6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9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1B2D"/>
    <w:multiLevelType w:val="hybridMultilevel"/>
    <w:tmpl w:val="E4A2DC0E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3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24"/>
  </w:num>
  <w:num w:numId="19">
    <w:abstractNumId w:val="37"/>
  </w:num>
  <w:num w:numId="20">
    <w:abstractNumId w:val="42"/>
  </w:num>
  <w:num w:numId="21">
    <w:abstractNumId w:val="32"/>
  </w:num>
  <w:num w:numId="22">
    <w:abstractNumId w:val="22"/>
  </w:num>
  <w:num w:numId="23">
    <w:abstractNumId w:val="20"/>
  </w:num>
  <w:num w:numId="24">
    <w:abstractNumId w:val="21"/>
  </w:num>
  <w:num w:numId="25">
    <w:abstractNumId w:val="40"/>
  </w:num>
  <w:num w:numId="26">
    <w:abstractNumId w:val="41"/>
  </w:num>
  <w:num w:numId="27">
    <w:abstractNumId w:val="42"/>
  </w:num>
  <w:num w:numId="28">
    <w:abstractNumId w:val="13"/>
  </w:num>
  <w:num w:numId="29">
    <w:abstractNumId w:val="26"/>
  </w:num>
  <w:num w:numId="30">
    <w:abstractNumId w:val="25"/>
  </w:num>
  <w:num w:numId="31">
    <w:abstractNumId w:val="10"/>
  </w:num>
  <w:num w:numId="32">
    <w:abstractNumId w:val="27"/>
  </w:num>
  <w:num w:numId="33">
    <w:abstractNumId w:val="12"/>
  </w:num>
  <w:num w:numId="34">
    <w:abstractNumId w:val="44"/>
  </w:num>
  <w:num w:numId="35">
    <w:abstractNumId w:val="11"/>
  </w:num>
  <w:num w:numId="36">
    <w:abstractNumId w:val="36"/>
  </w:num>
  <w:num w:numId="37">
    <w:abstractNumId w:val="29"/>
  </w:num>
  <w:num w:numId="38">
    <w:abstractNumId w:val="28"/>
  </w:num>
  <w:num w:numId="39">
    <w:abstractNumId w:val="38"/>
  </w:num>
  <w:num w:numId="40">
    <w:abstractNumId w:val="43"/>
  </w:num>
  <w:num w:numId="41">
    <w:abstractNumId w:val="39"/>
  </w:num>
  <w:num w:numId="42">
    <w:abstractNumId w:val="31"/>
  </w:num>
  <w:num w:numId="43">
    <w:abstractNumId w:val="19"/>
  </w:num>
  <w:num w:numId="44">
    <w:abstractNumId w:val="14"/>
  </w:num>
  <w:num w:numId="45">
    <w:abstractNumId w:val="35"/>
  </w:num>
  <w:num w:numId="46">
    <w:abstractNumId w:val="16"/>
  </w:num>
  <w:num w:numId="47">
    <w:abstractNumId w:val="42"/>
  </w:num>
  <w:num w:numId="48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9697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5637"/>
    <w:rsid w:val="000E6FBD"/>
    <w:rsid w:val="00100F5C"/>
    <w:rsid w:val="00101CDA"/>
    <w:rsid w:val="00102C41"/>
    <w:rsid w:val="00104C4C"/>
    <w:rsid w:val="00117623"/>
    <w:rsid w:val="0012192F"/>
    <w:rsid w:val="001224E5"/>
    <w:rsid w:val="00124940"/>
    <w:rsid w:val="00125D69"/>
    <w:rsid w:val="001405FA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14D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D0E59"/>
    <w:rsid w:val="002E02A1"/>
    <w:rsid w:val="002E42AC"/>
    <w:rsid w:val="002E4E4C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CD0"/>
    <w:rsid w:val="004C5B81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90711"/>
    <w:rsid w:val="00790764"/>
    <w:rsid w:val="0079124F"/>
    <w:rsid w:val="0079453C"/>
    <w:rsid w:val="00794677"/>
    <w:rsid w:val="00797445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721DB"/>
    <w:rsid w:val="0097239B"/>
    <w:rsid w:val="00974923"/>
    <w:rsid w:val="009808F7"/>
    <w:rsid w:val="00980D3D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3447"/>
    <w:rsid w:val="00A23E43"/>
    <w:rsid w:val="00A25216"/>
    <w:rsid w:val="00A30F65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6C2B"/>
    <w:rsid w:val="00BB46F3"/>
    <w:rsid w:val="00BB4CB1"/>
    <w:rsid w:val="00BB4F98"/>
    <w:rsid w:val="00BC5C12"/>
    <w:rsid w:val="00BC7154"/>
    <w:rsid w:val="00BC731E"/>
    <w:rsid w:val="00BD366B"/>
    <w:rsid w:val="00BD6D50"/>
    <w:rsid w:val="00BE18B9"/>
    <w:rsid w:val="00BE2495"/>
    <w:rsid w:val="00BF1578"/>
    <w:rsid w:val="00BF723F"/>
    <w:rsid w:val="00C21F94"/>
    <w:rsid w:val="00C27913"/>
    <w:rsid w:val="00C27E4F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3FE2"/>
    <w:rsid w:val="00E17262"/>
    <w:rsid w:val="00E253A2"/>
    <w:rsid w:val="00E3309D"/>
    <w:rsid w:val="00E43C1C"/>
    <w:rsid w:val="00E47EBA"/>
    <w:rsid w:val="00E50156"/>
    <w:rsid w:val="00E51643"/>
    <w:rsid w:val="00E53470"/>
    <w:rsid w:val="00E53874"/>
    <w:rsid w:val="00E539F6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47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Trh%20pr&#225;ce\Grafy-TRH%20PR&#193;CE%201q-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Trh%20pr&#225;ce\Grafy-TRH%20PR&#193;CE%201q-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Trh%20pr&#225;ce\Grafy-TRH%20PR&#193;CE%201q-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88731014312048E-2"/>
          <c:y val="1.4522051060224651E-2"/>
          <c:w val="0.84495121574960907"/>
          <c:h val="0.6755713073945954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'Trh práce 1-SNÚ'!$AC$7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7DBB2D"/>
            </a:solidFill>
            <a:ln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1-SNÚ'!$AC$36:$AC$69</c:f>
              <c:numCache>
                <c:formatCode>#\ ##0.0</c:formatCode>
                <c:ptCount val="34"/>
                <c:pt idx="0">
                  <c:v>0.11362815565462964</c:v>
                </c:pt>
                <c:pt idx="1">
                  <c:v>5.0071347365045656E-2</c:v>
                </c:pt>
                <c:pt idx="2">
                  <c:v>4.1044524794336977E-2</c:v>
                </c:pt>
                <c:pt idx="3">
                  <c:v>-6.8207996146105745E-2</c:v>
                </c:pt>
                <c:pt idx="4">
                  <c:v>1.1563918372028041E-2</c:v>
                </c:pt>
                <c:pt idx="5">
                  <c:v>9.9469652773378076E-3</c:v>
                </c:pt>
                <c:pt idx="6">
                  <c:v>-4.5877079510242644E-3</c:v>
                </c:pt>
                <c:pt idx="7">
                  <c:v>6.1002100013741969E-2</c:v>
                </c:pt>
                <c:pt idx="8">
                  <c:v>-7.7206500491187602E-2</c:v>
                </c:pt>
                <c:pt idx="9">
                  <c:v>-0.12546310619157755</c:v>
                </c:pt>
                <c:pt idx="10">
                  <c:v>-0.15916772896693915</c:v>
                </c:pt>
                <c:pt idx="11">
                  <c:v>-0.17729355041451639</c:v>
                </c:pt>
                <c:pt idx="12">
                  <c:v>-0.22963797478861914</c:v>
                </c:pt>
                <c:pt idx="13">
                  <c:v>-0.16486981249577076</c:v>
                </c:pt>
                <c:pt idx="14">
                  <c:v>-7.1458262303198058E-2</c:v>
                </c:pt>
                <c:pt idx="15">
                  <c:v>-7.1155713762608958E-2</c:v>
                </c:pt>
                <c:pt idx="16">
                  <c:v>1.988648589111628E-2</c:v>
                </c:pt>
                <c:pt idx="17">
                  <c:v>-4.5264025753272527E-2</c:v>
                </c:pt>
                <c:pt idx="18">
                  <c:v>-5.6861720003765062E-2</c:v>
                </c:pt>
                <c:pt idx="19">
                  <c:v>-7.103915889635871E-4</c:v>
                </c:pt>
                <c:pt idx="20">
                  <c:v>0.1001903961167062</c:v>
                </c:pt>
                <c:pt idx="21">
                  <c:v>0.19187936731668201</c:v>
                </c:pt>
                <c:pt idx="22">
                  <c:v>0.16694191816358248</c:v>
                </c:pt>
                <c:pt idx="23">
                  <c:v>8.0972483290481317E-2</c:v>
                </c:pt>
                <c:pt idx="24">
                  <c:v>2.6983862251070734E-2</c:v>
                </c:pt>
                <c:pt idx="25">
                  <c:v>1.5720339649167119E-3</c:v>
                </c:pt>
                <c:pt idx="26">
                  <c:v>-7.4409908857209078E-3</c:v>
                </c:pt>
                <c:pt idx="27">
                  <c:v>2.8532291098131043E-2</c:v>
                </c:pt>
                <c:pt idx="28">
                  <c:v>5.1710353470813208E-2</c:v>
                </c:pt>
                <c:pt idx="29">
                  <c:v>4.5731331942630953E-2</c:v>
                </c:pt>
                <c:pt idx="30">
                  <c:v>-1.9597614213169266E-2</c:v>
                </c:pt>
                <c:pt idx="31">
                  <c:v>1.4498178550444683E-2</c:v>
                </c:pt>
                <c:pt idx="32">
                  <c:v>7.8175998844946595E-3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F7-48AE-A343-816C62C8A475}"/>
            </c:ext>
          </c:extLst>
        </c:ser>
        <c:ser>
          <c:idx val="1"/>
          <c:order val="1"/>
          <c:tx>
            <c:strRef>
              <c:f>'Trh práce 1-SNÚ'!$AD$7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solidFill>
              <a:srgbClr val="A6CDE8"/>
            </a:solidFill>
            <a:ln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1-SNÚ'!$AD$36:$AD$69</c:f>
              <c:numCache>
                <c:formatCode>#\ ##0.0</c:formatCode>
                <c:ptCount val="34"/>
                <c:pt idx="0">
                  <c:v>0.34123025002420737</c:v>
                </c:pt>
                <c:pt idx="1">
                  <c:v>0.52235302041005405</c:v>
                </c:pt>
                <c:pt idx="2">
                  <c:v>0.6007043202184712</c:v>
                </c:pt>
                <c:pt idx="3">
                  <c:v>0.58624629993025279</c:v>
                </c:pt>
                <c:pt idx="4">
                  <c:v>0.11964573015131148</c:v>
                </c:pt>
                <c:pt idx="5">
                  <c:v>7.6152907170797243E-2</c:v>
                </c:pt>
                <c:pt idx="6">
                  <c:v>-0.12298441683462999</c:v>
                </c:pt>
                <c:pt idx="7">
                  <c:v>-0.10363777422981803</c:v>
                </c:pt>
                <c:pt idx="8">
                  <c:v>-4.3879683818856575E-2</c:v>
                </c:pt>
                <c:pt idx="9">
                  <c:v>-0.13090182754073737</c:v>
                </c:pt>
                <c:pt idx="10">
                  <c:v>-0.222700438793799</c:v>
                </c:pt>
                <c:pt idx="11">
                  <c:v>-0.5875860652367344</c:v>
                </c:pt>
                <c:pt idx="12">
                  <c:v>-1.0288745963154016</c:v>
                </c:pt>
                <c:pt idx="13">
                  <c:v>-1.3602085728947291</c:v>
                </c:pt>
                <c:pt idx="14">
                  <c:v>-1.3450219745832801</c:v>
                </c:pt>
                <c:pt idx="15">
                  <c:v>-1.0779931429042369</c:v>
                </c:pt>
                <c:pt idx="16">
                  <c:v>-0.34893294500656458</c:v>
                </c:pt>
                <c:pt idx="17">
                  <c:v>2.32270870065563E-3</c:v>
                </c:pt>
                <c:pt idx="18">
                  <c:v>0.30744821432919089</c:v>
                </c:pt>
                <c:pt idx="19">
                  <c:v>0.30287641394325915</c:v>
                </c:pt>
                <c:pt idx="20">
                  <c:v>-3.0965857946131374E-2</c:v>
                </c:pt>
                <c:pt idx="21">
                  <c:v>0.16543682902296636</c:v>
                </c:pt>
                <c:pt idx="22">
                  <c:v>-2.5206250094264231E-2</c:v>
                </c:pt>
                <c:pt idx="23">
                  <c:v>-8.6847696031558105E-2</c:v>
                </c:pt>
                <c:pt idx="24">
                  <c:v>0.20649178400959525</c:v>
                </c:pt>
                <c:pt idx="25">
                  <c:v>-2.3355933193048291E-2</c:v>
                </c:pt>
                <c:pt idx="26">
                  <c:v>-0.23908389810703257</c:v>
                </c:pt>
                <c:pt idx="27">
                  <c:v>-0.18167614037140023</c:v>
                </c:pt>
                <c:pt idx="28">
                  <c:v>-0.56719163916873283</c:v>
                </c:pt>
                <c:pt idx="29">
                  <c:v>-0.66004724155549699</c:v>
                </c:pt>
                <c:pt idx="30">
                  <c:v>-0.39451230447202923</c:v>
                </c:pt>
                <c:pt idx="31">
                  <c:v>-0.39793977545619524</c:v>
                </c:pt>
                <c:pt idx="32">
                  <c:v>-8.8780605247281097E-2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F7-48AE-A343-816C62C8A475}"/>
            </c:ext>
          </c:extLst>
        </c:ser>
        <c:ser>
          <c:idx val="2"/>
          <c:order val="2"/>
          <c:tx>
            <c:strRef>
              <c:f>'Trh práce 1-SNÚ'!$AE$7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48AEE7"/>
            </a:solidFill>
            <a:ln w="19050"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1-SNÚ'!$AE$36:$AE$69</c:f>
              <c:numCache>
                <c:formatCode>#\ ##0.0</c:formatCode>
                <c:ptCount val="34"/>
                <c:pt idx="0">
                  <c:v>-2.522295323322548E-2</c:v>
                </c:pt>
                <c:pt idx="1">
                  <c:v>-4.955475341057251E-3</c:v>
                </c:pt>
                <c:pt idx="2">
                  <c:v>4.3264182079252173E-2</c:v>
                </c:pt>
                <c:pt idx="3">
                  <c:v>-9.7203529235831032E-2</c:v>
                </c:pt>
                <c:pt idx="4">
                  <c:v>5.0774905955341509E-2</c:v>
                </c:pt>
                <c:pt idx="5">
                  <c:v>9.1527209015807957E-3</c:v>
                </c:pt>
                <c:pt idx="6">
                  <c:v>-5.7910411840798107E-3</c:v>
                </c:pt>
                <c:pt idx="7">
                  <c:v>5.1320718963795246E-2</c:v>
                </c:pt>
                <c:pt idx="8">
                  <c:v>-4.7853409991260497E-2</c:v>
                </c:pt>
                <c:pt idx="9">
                  <c:v>2.6839717342942881E-2</c:v>
                </c:pt>
                <c:pt idx="10">
                  <c:v>4.1303727040787566E-2</c:v>
                </c:pt>
                <c:pt idx="11">
                  <c:v>5.3863451406236225E-2</c:v>
                </c:pt>
                <c:pt idx="12">
                  <c:v>-5.219809701293044E-2</c:v>
                </c:pt>
                <c:pt idx="13">
                  <c:v>-0.28539533059612732</c:v>
                </c:pt>
                <c:pt idx="14">
                  <c:v>-0.16438202614531755</c:v>
                </c:pt>
                <c:pt idx="15">
                  <c:v>-8.379854260961106E-2</c:v>
                </c:pt>
                <c:pt idx="16">
                  <c:v>0.10062675606296018</c:v>
                </c:pt>
                <c:pt idx="17">
                  <c:v>0.31345049895046107</c:v>
                </c:pt>
                <c:pt idx="18">
                  <c:v>0.17250227801546797</c:v>
                </c:pt>
                <c:pt idx="19">
                  <c:v>0.23625320276207945</c:v>
                </c:pt>
                <c:pt idx="20">
                  <c:v>0.12256523305435475</c:v>
                </c:pt>
                <c:pt idx="21">
                  <c:v>0.14558592922631924</c:v>
                </c:pt>
                <c:pt idx="22">
                  <c:v>0.1425086346017527</c:v>
                </c:pt>
                <c:pt idx="23">
                  <c:v>0.1263359047432184</c:v>
                </c:pt>
                <c:pt idx="24">
                  <c:v>0.27042481713564304</c:v>
                </c:pt>
                <c:pt idx="25">
                  <c:v>0.23488807492463867</c:v>
                </c:pt>
                <c:pt idx="26">
                  <c:v>0.19670016358962225</c:v>
                </c:pt>
                <c:pt idx="27">
                  <c:v>9.2659876591769372E-2</c:v>
                </c:pt>
                <c:pt idx="28">
                  <c:v>-9.4069627171328066E-2</c:v>
                </c:pt>
                <c:pt idx="29">
                  <c:v>-6.1061511233521E-2</c:v>
                </c:pt>
                <c:pt idx="30">
                  <c:v>1.6943770621802592E-2</c:v>
                </c:pt>
                <c:pt idx="31">
                  <c:v>7.1990316254957429E-2</c:v>
                </c:pt>
                <c:pt idx="32">
                  <c:v>0.17956339877212196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F7-48AE-A343-816C62C8A475}"/>
            </c:ext>
          </c:extLst>
        </c:ser>
        <c:ser>
          <c:idx val="3"/>
          <c:order val="3"/>
          <c:tx>
            <c:strRef>
              <c:f>'Trh práce 1-SNÚ'!$AF$7</c:f>
              <c:strCache>
                <c:ptCount val="1"/>
                <c:pt idx="0">
                  <c:v>Obchod, doprava, ubytování a pohost.</c:v>
                </c:pt>
              </c:strCache>
            </c:strRef>
          </c:tx>
          <c:spPr>
            <a:solidFill>
              <a:srgbClr val="FDDEB3"/>
            </a:solidFill>
            <a:ln w="19050"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1-SNÚ'!$AF$36:$AF$69</c:f>
              <c:numCache>
                <c:formatCode>#\ ##0.0</c:formatCode>
                <c:ptCount val="34"/>
                <c:pt idx="0">
                  <c:v>0.15973256369708291</c:v>
                </c:pt>
                <c:pt idx="1">
                  <c:v>-1.5191688883395588E-2</c:v>
                </c:pt>
                <c:pt idx="2">
                  <c:v>0.35531738037577776</c:v>
                </c:pt>
                <c:pt idx="3">
                  <c:v>0.17142372253177482</c:v>
                </c:pt>
                <c:pt idx="4">
                  <c:v>0.11459482327617278</c:v>
                </c:pt>
                <c:pt idx="5">
                  <c:v>0.34360524541678317</c:v>
                </c:pt>
                <c:pt idx="6">
                  <c:v>0.13954905087091021</c:v>
                </c:pt>
                <c:pt idx="7">
                  <c:v>0.16123729177746221</c:v>
                </c:pt>
                <c:pt idx="8">
                  <c:v>9.5669331999762464E-2</c:v>
                </c:pt>
                <c:pt idx="9">
                  <c:v>-0.18752413199774384</c:v>
                </c:pt>
                <c:pt idx="10">
                  <c:v>-0.32173233019841657</c:v>
                </c:pt>
                <c:pt idx="11">
                  <c:v>-0.34416791851901818</c:v>
                </c:pt>
                <c:pt idx="12">
                  <c:v>-0.17007381394220211</c:v>
                </c:pt>
                <c:pt idx="13">
                  <c:v>-0.68801691905386031</c:v>
                </c:pt>
                <c:pt idx="14">
                  <c:v>-0.5805213183815886</c:v>
                </c:pt>
                <c:pt idx="15">
                  <c:v>-1.024799611162776</c:v>
                </c:pt>
                <c:pt idx="16">
                  <c:v>-0.89384919901442583</c:v>
                </c:pt>
                <c:pt idx="17">
                  <c:v>-0.27162254639898481</c:v>
                </c:pt>
                <c:pt idx="18">
                  <c:v>0.18479100442221555</c:v>
                </c:pt>
                <c:pt idx="19">
                  <c:v>0.62815896259788329</c:v>
                </c:pt>
                <c:pt idx="20">
                  <c:v>6.9644543642100654E-2</c:v>
                </c:pt>
                <c:pt idx="21">
                  <c:v>0.38341680525887634</c:v>
                </c:pt>
                <c:pt idx="22">
                  <c:v>-5.4710948222554075E-2</c:v>
                </c:pt>
                <c:pt idx="23">
                  <c:v>-0.15716194082380397</c:v>
                </c:pt>
                <c:pt idx="24">
                  <c:v>0.2259118446485929</c:v>
                </c:pt>
                <c:pt idx="25">
                  <c:v>0.16575600984842043</c:v>
                </c:pt>
                <c:pt idx="26">
                  <c:v>0.26144426267819387</c:v>
                </c:pt>
                <c:pt idx="27">
                  <c:v>0.30554029079020223</c:v>
                </c:pt>
                <c:pt idx="28">
                  <c:v>0.34271148528675127</c:v>
                </c:pt>
                <c:pt idx="29">
                  <c:v>0.38114380541336057</c:v>
                </c:pt>
                <c:pt idx="30">
                  <c:v>0.21822759993622859</c:v>
                </c:pt>
                <c:pt idx="31">
                  <c:v>-4.0231518483970538E-2</c:v>
                </c:pt>
                <c:pt idx="32">
                  <c:v>0.20760277127945437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F7-48AE-A343-816C62C8A475}"/>
            </c:ext>
          </c:extLst>
        </c:ser>
        <c:ser>
          <c:idx val="4"/>
          <c:order val="4"/>
          <c:tx>
            <c:strRef>
              <c:f>'Trh práce 1-SNÚ'!$AG$7</c:f>
              <c:strCache>
                <c:ptCount val="1"/>
                <c:pt idx="0">
                  <c:v>Informační a komunikač. čin.</c:v>
                </c:pt>
              </c:strCache>
            </c:strRef>
          </c:tx>
          <c:spPr>
            <a:solidFill>
              <a:srgbClr val="F8A124"/>
            </a:solidFill>
            <a:ln w="19050"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1-SNÚ'!$AG$36:$AG$69</c:f>
              <c:numCache>
                <c:formatCode>#\ ##0.0</c:formatCode>
                <c:ptCount val="34"/>
                <c:pt idx="0">
                  <c:v>0.10306256214490077</c:v>
                </c:pt>
                <c:pt idx="1">
                  <c:v>0.113076676701345</c:v>
                </c:pt>
                <c:pt idx="2">
                  <c:v>0.14247903571964249</c:v>
                </c:pt>
                <c:pt idx="3">
                  <c:v>0.13951722056886845</c:v>
                </c:pt>
                <c:pt idx="4">
                  <c:v>0.13227299733915818</c:v>
                </c:pt>
                <c:pt idx="5">
                  <c:v>0.14892082045443958</c:v>
                </c:pt>
                <c:pt idx="6">
                  <c:v>0.10555488703709108</c:v>
                </c:pt>
                <c:pt idx="7">
                  <c:v>0.12454203777844085</c:v>
                </c:pt>
                <c:pt idx="8">
                  <c:v>0.1256784621979638</c:v>
                </c:pt>
                <c:pt idx="9">
                  <c:v>7.6458736775003838E-2</c:v>
                </c:pt>
                <c:pt idx="10">
                  <c:v>0.11512037432787062</c:v>
                </c:pt>
                <c:pt idx="11">
                  <c:v>0.12022992158448997</c:v>
                </c:pt>
                <c:pt idx="12">
                  <c:v>9.8320126142908748E-2</c:v>
                </c:pt>
                <c:pt idx="13">
                  <c:v>5.3757438014449162E-2</c:v>
                </c:pt>
                <c:pt idx="14">
                  <c:v>7.7959563030390977E-2</c:v>
                </c:pt>
                <c:pt idx="15">
                  <c:v>5.8793836667762431E-2</c:v>
                </c:pt>
                <c:pt idx="16">
                  <c:v>2.8455305359929017E-2</c:v>
                </c:pt>
                <c:pt idx="17">
                  <c:v>8.2292993386038724E-2</c:v>
                </c:pt>
                <c:pt idx="18">
                  <c:v>6.4760246180956965E-2</c:v>
                </c:pt>
                <c:pt idx="19">
                  <c:v>-2.2214136984618119E-2</c:v>
                </c:pt>
                <c:pt idx="20">
                  <c:v>0.19577982320442494</c:v>
                </c:pt>
                <c:pt idx="21">
                  <c:v>0.1773093767482338</c:v>
                </c:pt>
                <c:pt idx="22">
                  <c:v>0.17446420222312728</c:v>
                </c:pt>
                <c:pt idx="23">
                  <c:v>0.25679575689123113</c:v>
                </c:pt>
                <c:pt idx="24">
                  <c:v>0.14193473725055147</c:v>
                </c:pt>
                <c:pt idx="25">
                  <c:v>6.7279310760423566E-2</c:v>
                </c:pt>
                <c:pt idx="26">
                  <c:v>2.942743631689625E-2</c:v>
                </c:pt>
                <c:pt idx="27">
                  <c:v>1.8012526927700279E-2</c:v>
                </c:pt>
                <c:pt idx="28">
                  <c:v>5.1356428140861686E-2</c:v>
                </c:pt>
                <c:pt idx="29">
                  <c:v>2.0588356728828187E-2</c:v>
                </c:pt>
                <c:pt idx="30">
                  <c:v>9.4276401707291541E-3</c:v>
                </c:pt>
                <c:pt idx="31">
                  <c:v>-0.11798773439262143</c:v>
                </c:pt>
                <c:pt idx="32">
                  <c:v>2.1131659545261097E-2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F7-48AE-A343-816C62C8A475}"/>
            </c:ext>
          </c:extLst>
        </c:ser>
        <c:ser>
          <c:idx val="5"/>
          <c:order val="5"/>
          <c:tx>
            <c:strRef>
              <c:f>'Trh práce 1-SNÚ'!$AH$7</c:f>
              <c:strCache>
                <c:ptCount val="1"/>
                <c:pt idx="0">
                  <c:v>Profesní, vědec., techn. a admin. čin.</c:v>
                </c:pt>
              </c:strCache>
            </c:strRef>
          </c:tx>
          <c:spPr>
            <a:solidFill>
              <a:srgbClr val="E8C0BE"/>
            </a:solidFill>
            <a:ln w="19050"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1-SNÚ'!$AH$36:$AH$69</c:f>
              <c:numCache>
                <c:formatCode>#\ ##0.0</c:formatCode>
                <c:ptCount val="34"/>
                <c:pt idx="0">
                  <c:v>0.29841078105477886</c:v>
                </c:pt>
                <c:pt idx="1">
                  <c:v>0.23426579179886092</c:v>
                </c:pt>
                <c:pt idx="2">
                  <c:v>0.20577753829291368</c:v>
                </c:pt>
                <c:pt idx="3">
                  <c:v>5.6773405997204894E-2</c:v>
                </c:pt>
                <c:pt idx="4">
                  <c:v>0.10777799783190666</c:v>
                </c:pt>
                <c:pt idx="5">
                  <c:v>0.10518064804667848</c:v>
                </c:pt>
                <c:pt idx="6">
                  <c:v>9.8748533437620648E-2</c:v>
                </c:pt>
                <c:pt idx="7">
                  <c:v>0.22141224467237378</c:v>
                </c:pt>
                <c:pt idx="8">
                  <c:v>3.724431087059718E-2</c:v>
                </c:pt>
                <c:pt idx="9">
                  <c:v>2.5573165795878261E-2</c:v>
                </c:pt>
                <c:pt idx="10">
                  <c:v>2.2396959985967045E-2</c:v>
                </c:pt>
                <c:pt idx="11">
                  <c:v>-0.18724759065711963</c:v>
                </c:pt>
                <c:pt idx="12">
                  <c:v>-0.19133070373579164</c:v>
                </c:pt>
                <c:pt idx="13">
                  <c:v>-0.3504112611767094</c:v>
                </c:pt>
                <c:pt idx="14">
                  <c:v>-0.52251402310016892</c:v>
                </c:pt>
                <c:pt idx="15">
                  <c:v>-0.24405342203916677</c:v>
                </c:pt>
                <c:pt idx="16">
                  <c:v>-0.10997283570482894</c:v>
                </c:pt>
                <c:pt idx="17">
                  <c:v>0.14882612029903389</c:v>
                </c:pt>
                <c:pt idx="18">
                  <c:v>0.28609151976270597</c:v>
                </c:pt>
                <c:pt idx="19">
                  <c:v>0.12335853943489318</c:v>
                </c:pt>
                <c:pt idx="20">
                  <c:v>0.16279030253185092</c:v>
                </c:pt>
                <c:pt idx="21">
                  <c:v>0.11160194861751378</c:v>
                </c:pt>
                <c:pt idx="22">
                  <c:v>0.16264347012955688</c:v>
                </c:pt>
                <c:pt idx="23">
                  <c:v>0.22346522307166092</c:v>
                </c:pt>
                <c:pt idx="24">
                  <c:v>0.24935962964601949</c:v>
                </c:pt>
                <c:pt idx="25">
                  <c:v>0.2471274822229188</c:v>
                </c:pt>
                <c:pt idx="26">
                  <c:v>0.29077821921009361</c:v>
                </c:pt>
                <c:pt idx="27">
                  <c:v>0.28952707961070101</c:v>
                </c:pt>
                <c:pt idx="28">
                  <c:v>0.16679196865189538</c:v>
                </c:pt>
                <c:pt idx="29">
                  <c:v>6.0320922861980417E-2</c:v>
                </c:pt>
                <c:pt idx="30">
                  <c:v>8.0431874999882177E-2</c:v>
                </c:pt>
                <c:pt idx="31">
                  <c:v>2.3007979003966565E-2</c:v>
                </c:pt>
                <c:pt idx="32">
                  <c:v>0.15885882900677389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F7-48AE-A343-816C62C8A475}"/>
            </c:ext>
          </c:extLst>
        </c:ser>
        <c:ser>
          <c:idx val="6"/>
          <c:order val="6"/>
          <c:tx>
            <c:strRef>
              <c:f>'Trh práce 1-SNÚ'!$AI$7</c:f>
              <c:strCache>
                <c:ptCount val="1"/>
                <c:pt idx="0">
                  <c:v>Veř.spr.,obrana, vzděl.,zdrav.a soc.péče</c:v>
                </c:pt>
              </c:strCache>
            </c:strRef>
          </c:tx>
          <c:spPr>
            <a:solidFill>
              <a:srgbClr val="D58D8B"/>
            </a:solidFill>
            <a:ln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1-SNÚ'!$AI$36:$AI$69</c:f>
              <c:numCache>
                <c:formatCode>#\ ##0.0</c:formatCode>
                <c:ptCount val="34"/>
                <c:pt idx="0">
                  <c:v>0.25543763072520886</c:v>
                </c:pt>
                <c:pt idx="1">
                  <c:v>0.32021171933565312</c:v>
                </c:pt>
                <c:pt idx="2">
                  <c:v>0.40612074323310393</c:v>
                </c:pt>
                <c:pt idx="3">
                  <c:v>0.45188510919558089</c:v>
                </c:pt>
                <c:pt idx="4">
                  <c:v>0.60669746453968465</c:v>
                </c:pt>
                <c:pt idx="5">
                  <c:v>0.67766064774410706</c:v>
                </c:pt>
                <c:pt idx="6">
                  <c:v>0.54779865226677038</c:v>
                </c:pt>
                <c:pt idx="7">
                  <c:v>0.53702526690063701</c:v>
                </c:pt>
                <c:pt idx="8">
                  <c:v>0.28440258119756973</c:v>
                </c:pt>
                <c:pt idx="9">
                  <c:v>0.27707677667843045</c:v>
                </c:pt>
                <c:pt idx="10">
                  <c:v>0.33524516272328342</c:v>
                </c:pt>
                <c:pt idx="11">
                  <c:v>0.37920241903644225</c:v>
                </c:pt>
                <c:pt idx="12">
                  <c:v>0.39000877571158382</c:v>
                </c:pt>
                <c:pt idx="13">
                  <c:v>0.31581562839071159</c:v>
                </c:pt>
                <c:pt idx="14">
                  <c:v>0.4292913488797877</c:v>
                </c:pt>
                <c:pt idx="15">
                  <c:v>0.43905266815196531</c:v>
                </c:pt>
                <c:pt idx="16">
                  <c:v>0.48013825373146052</c:v>
                </c:pt>
                <c:pt idx="17">
                  <c:v>0.61638162295910981</c:v>
                </c:pt>
                <c:pt idx="18">
                  <c:v>0.58629302803612371</c:v>
                </c:pt>
                <c:pt idx="19">
                  <c:v>0.47863113300738547</c:v>
                </c:pt>
                <c:pt idx="20">
                  <c:v>0.23949857455870413</c:v>
                </c:pt>
                <c:pt idx="21">
                  <c:v>0.19858498227191301</c:v>
                </c:pt>
                <c:pt idx="22">
                  <c:v>0.21793885646200037</c:v>
                </c:pt>
                <c:pt idx="23">
                  <c:v>0.27781094092662112</c:v>
                </c:pt>
                <c:pt idx="24">
                  <c:v>0.47869409452407552</c:v>
                </c:pt>
                <c:pt idx="25">
                  <c:v>0.43457381784917815</c:v>
                </c:pt>
                <c:pt idx="26">
                  <c:v>0.2684926384669295</c:v>
                </c:pt>
                <c:pt idx="27">
                  <c:v>0.25836017617148521</c:v>
                </c:pt>
                <c:pt idx="28">
                  <c:v>0.31972496648884663</c:v>
                </c:pt>
                <c:pt idx="29">
                  <c:v>0.29247686263066441</c:v>
                </c:pt>
                <c:pt idx="30">
                  <c:v>0.42578415046661211</c:v>
                </c:pt>
                <c:pt idx="31">
                  <c:v>0.51948716494048597</c:v>
                </c:pt>
                <c:pt idx="32">
                  <c:v>0.3708067745688215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F7-48AE-A343-816C62C8A475}"/>
            </c:ext>
          </c:extLst>
        </c:ser>
        <c:ser>
          <c:idx val="7"/>
          <c:order val="7"/>
          <c:tx>
            <c:strRef>
              <c:f>'Trh práce 1-SNÚ'!$AJ$7</c:f>
              <c:strCache>
                <c:ptCount val="1"/>
                <c:pt idx="0">
                  <c:v>Ostatní odvětví*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</c:spPr>
          <c:invertIfNegative val="0"/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1-SNÚ'!$AJ$36:$AJ$69</c:f>
              <c:numCache>
                <c:formatCode>#\ ##0.0</c:formatCode>
                <c:ptCount val="34"/>
                <c:pt idx="0">
                  <c:v>-7.8204602142011373E-2</c:v>
                </c:pt>
                <c:pt idx="1">
                  <c:v>-4.3087762424945671E-2</c:v>
                </c:pt>
                <c:pt idx="2">
                  <c:v>-2.4186610414937963E-2</c:v>
                </c:pt>
                <c:pt idx="3">
                  <c:v>-3.215383918742503E-2</c:v>
                </c:pt>
                <c:pt idx="4">
                  <c:v>0.16045174095835293</c:v>
                </c:pt>
                <c:pt idx="5">
                  <c:v>0.15856521644577473</c:v>
                </c:pt>
                <c:pt idx="6">
                  <c:v>-1.9178123401822754E-2</c:v>
                </c:pt>
                <c:pt idx="7">
                  <c:v>-1.4963843331568139E-2</c:v>
                </c:pt>
                <c:pt idx="8">
                  <c:v>-0.11518182702557608</c:v>
                </c:pt>
                <c:pt idx="9">
                  <c:v>-3.7866166105623093E-2</c:v>
                </c:pt>
                <c:pt idx="10">
                  <c:v>9.4440514607494364E-2</c:v>
                </c:pt>
                <c:pt idx="11">
                  <c:v>7.8646220757913818E-2</c:v>
                </c:pt>
                <c:pt idx="12">
                  <c:v>-0.19809850857772601</c:v>
                </c:pt>
                <c:pt idx="13">
                  <c:v>-0.41738438003451656</c:v>
                </c:pt>
                <c:pt idx="14">
                  <c:v>-0.37552484458995661</c:v>
                </c:pt>
                <c:pt idx="15">
                  <c:v>-0.44219932777610815</c:v>
                </c:pt>
                <c:pt idx="16">
                  <c:v>2.3886532147575315E-2</c:v>
                </c:pt>
                <c:pt idx="17">
                  <c:v>0.20574208143493422</c:v>
                </c:pt>
                <c:pt idx="18">
                  <c:v>0.14351545379237532</c:v>
                </c:pt>
                <c:pt idx="19">
                  <c:v>0.21300227805302802</c:v>
                </c:pt>
                <c:pt idx="20">
                  <c:v>0.10114495400653761</c:v>
                </c:pt>
                <c:pt idx="21">
                  <c:v>0.12974320154172242</c:v>
                </c:pt>
                <c:pt idx="22">
                  <c:v>5.4560125484518086E-2</c:v>
                </c:pt>
                <c:pt idx="23">
                  <c:v>5.7942402577863039E-2</c:v>
                </c:pt>
                <c:pt idx="24">
                  <c:v>-8.6700075978387789E-2</c:v>
                </c:pt>
                <c:pt idx="25">
                  <c:v>-4.7722459649257365E-2</c:v>
                </c:pt>
                <c:pt idx="26">
                  <c:v>-5.881748071979391E-2</c:v>
                </c:pt>
                <c:pt idx="27">
                  <c:v>-2.7112216361092401E-2</c:v>
                </c:pt>
                <c:pt idx="28">
                  <c:v>4.4156424997580948E-2</c:v>
                </c:pt>
                <c:pt idx="29">
                  <c:v>0.14876132132077546</c:v>
                </c:pt>
                <c:pt idx="30">
                  <c:v>0.10913734518859322</c:v>
                </c:pt>
                <c:pt idx="31">
                  <c:v>0.14907909683392032</c:v>
                </c:pt>
                <c:pt idx="32">
                  <c:v>0.22007235145726872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7F7-48AE-A343-816C62C8A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"/>
        <c:overlap val="100"/>
        <c:axId val="101898496"/>
        <c:axId val="101781504"/>
      </c:barChart>
      <c:lineChart>
        <c:grouping val="standard"/>
        <c:varyColors val="0"/>
        <c:ser>
          <c:idx val="8"/>
          <c:order val="8"/>
          <c:tx>
            <c:strRef>
              <c:f>'Trh práce 1-SNÚ'!$AK$7</c:f>
              <c:strCache>
                <c:ptCount val="1"/>
                <c:pt idx="0">
                  <c:v>Zaměstnanost celkem</c:v>
                </c:pt>
              </c:strCache>
            </c:strRef>
          </c:tx>
          <c:spPr>
            <a:ln w="19050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1-SNÚ'!$AK$36:$AK$69</c:f>
              <c:numCache>
                <c:formatCode>#\ ##0.0</c:formatCode>
                <c:ptCount val="34"/>
                <c:pt idx="0">
                  <c:v>1.1680743879255715</c:v>
                </c:pt>
                <c:pt idx="1">
                  <c:v>1.1767436289615603</c:v>
                </c:pt>
                <c:pt idx="2">
                  <c:v>1.7705211142985604</c:v>
                </c:pt>
                <c:pt idx="3">
                  <c:v>1.2082803936543201</c:v>
                </c:pt>
                <c:pt idx="4">
                  <c:v>1.3037795784239563</c:v>
                </c:pt>
                <c:pt idx="5">
                  <c:v>1.5291851714574989</c:v>
                </c:pt>
                <c:pt idx="6">
                  <c:v>0.73910983424083554</c:v>
                </c:pt>
                <c:pt idx="7">
                  <c:v>1.0379380425450648</c:v>
                </c:pt>
                <c:pt idx="8">
                  <c:v>0.25887326493901242</c:v>
                </c:pt>
                <c:pt idx="9">
                  <c:v>-7.5806835243426463E-2</c:v>
                </c:pt>
                <c:pt idx="10">
                  <c:v>-9.5093759273751743E-2</c:v>
                </c:pt>
                <c:pt idx="11">
                  <c:v>-0.66435311204230629</c:v>
                </c:pt>
                <c:pt idx="12">
                  <c:v>-1.3818847925181785</c:v>
                </c:pt>
                <c:pt idx="13">
                  <c:v>-2.8967132098465527</c:v>
                </c:pt>
                <c:pt idx="14">
                  <c:v>-2.5521715371933311</c:v>
                </c:pt>
                <c:pt idx="15">
                  <c:v>-2.4461532554347798</c:v>
                </c:pt>
                <c:pt idx="16">
                  <c:v>-0.69976164653277806</c:v>
                </c:pt>
                <c:pt idx="17">
                  <c:v>1.0521294535779759</c:v>
                </c:pt>
                <c:pt idx="18">
                  <c:v>1.6885400245352713</c:v>
                </c:pt>
                <c:pt idx="19">
                  <c:v>1.9593560012249469</c:v>
                </c:pt>
                <c:pt idx="20">
                  <c:v>0.96064796916854789</c:v>
                </c:pt>
                <c:pt idx="21">
                  <c:v>1.5035584400042268</c:v>
                </c:pt>
                <c:pt idx="22">
                  <c:v>0.83914000874771943</c:v>
                </c:pt>
                <c:pt idx="23">
                  <c:v>0.77931307464571375</c:v>
                </c:pt>
                <c:pt idx="24">
                  <c:v>1.5131006934871607</c:v>
                </c:pt>
                <c:pt idx="25">
                  <c:v>1.0801183367281908</c:v>
                </c:pt>
                <c:pt idx="26">
                  <c:v>0.74150035054918817</c:v>
                </c:pt>
                <c:pt idx="27">
                  <c:v>0.78384388445749664</c:v>
                </c:pt>
                <c:pt idx="28">
                  <c:v>0.31519036069668971</c:v>
                </c:pt>
                <c:pt idx="29">
                  <c:v>0.22791384810922466</c:v>
                </c:pt>
                <c:pt idx="30">
                  <c:v>0.44584246269864991</c:v>
                </c:pt>
                <c:pt idx="31">
                  <c:v>0.22190370725098774</c:v>
                </c:pt>
                <c:pt idx="32">
                  <c:v>1.0770727792669135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7F7-48AE-A343-816C62C8A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898496"/>
        <c:axId val="101781504"/>
      </c:lineChart>
      <c:lineChart>
        <c:grouping val="standard"/>
        <c:varyColors val="0"/>
        <c:ser>
          <c:idx val="9"/>
          <c:order val="9"/>
          <c:tx>
            <c:strRef>
              <c:f>'Trh práce 1-SNÚ'!$AL$7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1-SNÚ'!$AL$36:$AL$69</c:f>
              <c:numCache>
                <c:formatCode>General</c:formatCode>
                <c:ptCount val="3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7F7-48AE-A343-816C62C8A475}"/>
            </c:ext>
          </c:extLst>
        </c:ser>
        <c:ser>
          <c:idx val="10"/>
          <c:order val="10"/>
          <c:tx>
            <c:strRef>
              <c:f>'Trh práce 1-SNÚ'!$AM$7</c:f>
              <c:strCache>
                <c:ptCount val="1"/>
                <c:pt idx="0">
                  <c:v>Očekávání zaměstnanosti (průmysl)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1-SNÚ'!$AM$36:$AM$69</c:f>
              <c:numCache>
                <c:formatCode>#\ ##0.0</c:formatCode>
                <c:ptCount val="34"/>
                <c:pt idx="0">
                  <c:v>11.1</c:v>
                </c:pt>
                <c:pt idx="1">
                  <c:v>5.7</c:v>
                </c:pt>
                <c:pt idx="2">
                  <c:v>8.1999999999999993</c:v>
                </c:pt>
                <c:pt idx="3">
                  <c:v>7.3</c:v>
                </c:pt>
                <c:pt idx="4">
                  <c:v>9.8000000000000007</c:v>
                </c:pt>
                <c:pt idx="5">
                  <c:v>9.4</c:v>
                </c:pt>
                <c:pt idx="6">
                  <c:v>6.2</c:v>
                </c:pt>
                <c:pt idx="7">
                  <c:v>6.3</c:v>
                </c:pt>
                <c:pt idx="8">
                  <c:v>2.5</c:v>
                </c:pt>
                <c:pt idx="9">
                  <c:v>2.6</c:v>
                </c:pt>
                <c:pt idx="10">
                  <c:v>0.5</c:v>
                </c:pt>
                <c:pt idx="11">
                  <c:v>-2.8</c:v>
                </c:pt>
                <c:pt idx="12">
                  <c:v>2.9</c:v>
                </c:pt>
                <c:pt idx="13">
                  <c:v>-19</c:v>
                </c:pt>
                <c:pt idx="14">
                  <c:v>-10.9</c:v>
                </c:pt>
                <c:pt idx="15">
                  <c:v>-3.5</c:v>
                </c:pt>
                <c:pt idx="16">
                  <c:v>4.4000000000000004</c:v>
                </c:pt>
                <c:pt idx="17">
                  <c:v>8.6</c:v>
                </c:pt>
                <c:pt idx="18">
                  <c:v>4.7</c:v>
                </c:pt>
                <c:pt idx="19">
                  <c:v>1.8</c:v>
                </c:pt>
                <c:pt idx="20">
                  <c:v>11.2</c:v>
                </c:pt>
                <c:pt idx="21">
                  <c:v>2.2999999999999998</c:v>
                </c:pt>
                <c:pt idx="22">
                  <c:v>2.1</c:v>
                </c:pt>
                <c:pt idx="23">
                  <c:v>-9.9</c:v>
                </c:pt>
                <c:pt idx="24">
                  <c:v>-13.6</c:v>
                </c:pt>
                <c:pt idx="25">
                  <c:v>-5.8</c:v>
                </c:pt>
                <c:pt idx="26">
                  <c:v>-4.3</c:v>
                </c:pt>
                <c:pt idx="27">
                  <c:v>-8.3000000000000007</c:v>
                </c:pt>
                <c:pt idx="28">
                  <c:v>-6</c:v>
                </c:pt>
                <c:pt idx="29">
                  <c:v>-9.6</c:v>
                </c:pt>
                <c:pt idx="30">
                  <c:v>-10.7</c:v>
                </c:pt>
                <c:pt idx="31">
                  <c:v>-13.2</c:v>
                </c:pt>
                <c:pt idx="32">
                  <c:v>-13</c:v>
                </c:pt>
                <c:pt idx="33">
                  <c:v>-11.9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7F7-48AE-A343-816C62C8A475}"/>
            </c:ext>
          </c:extLst>
        </c:ser>
        <c:ser>
          <c:idx val="11"/>
          <c:order val="11"/>
          <c:tx>
            <c:strRef>
              <c:f>'Trh práce 1-SNÚ'!$AN$7</c:f>
              <c:strCache>
                <c:ptCount val="1"/>
                <c:pt idx="0">
                  <c:v>Očekávání zaměstnanosti (stavebnictví)</c:v>
                </c:pt>
              </c:strCache>
            </c:strRef>
          </c:tx>
          <c:spPr>
            <a:ln w="15875">
              <a:solidFill>
                <a:srgbClr val="00B0F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1-SNÚ'!$AN$36:$AN$69</c:f>
              <c:numCache>
                <c:formatCode>#\ ##0.0</c:formatCode>
                <c:ptCount val="34"/>
                <c:pt idx="0">
                  <c:v>-7.4</c:v>
                </c:pt>
                <c:pt idx="1">
                  <c:v>-11.8</c:v>
                </c:pt>
                <c:pt idx="2">
                  <c:v>-6</c:v>
                </c:pt>
                <c:pt idx="3">
                  <c:v>-3.6</c:v>
                </c:pt>
                <c:pt idx="4">
                  <c:v>4.4000000000000004</c:v>
                </c:pt>
                <c:pt idx="5">
                  <c:v>6</c:v>
                </c:pt>
                <c:pt idx="6">
                  <c:v>9.1999999999999993</c:v>
                </c:pt>
                <c:pt idx="7">
                  <c:v>8.4</c:v>
                </c:pt>
                <c:pt idx="8">
                  <c:v>6.5</c:v>
                </c:pt>
                <c:pt idx="9">
                  <c:v>10.4</c:v>
                </c:pt>
                <c:pt idx="10">
                  <c:v>4.3</c:v>
                </c:pt>
                <c:pt idx="11">
                  <c:v>9.1</c:v>
                </c:pt>
                <c:pt idx="12">
                  <c:v>5.6</c:v>
                </c:pt>
                <c:pt idx="13">
                  <c:v>-3.1</c:v>
                </c:pt>
                <c:pt idx="14">
                  <c:v>1.9</c:v>
                </c:pt>
                <c:pt idx="15">
                  <c:v>-3.6</c:v>
                </c:pt>
                <c:pt idx="16">
                  <c:v>3.4</c:v>
                </c:pt>
                <c:pt idx="17">
                  <c:v>5.6</c:v>
                </c:pt>
                <c:pt idx="18">
                  <c:v>4.8</c:v>
                </c:pt>
                <c:pt idx="19">
                  <c:v>6</c:v>
                </c:pt>
                <c:pt idx="20">
                  <c:v>9.3000000000000007</c:v>
                </c:pt>
                <c:pt idx="21">
                  <c:v>9.1</c:v>
                </c:pt>
                <c:pt idx="22">
                  <c:v>2.2000000000000002</c:v>
                </c:pt>
                <c:pt idx="23">
                  <c:v>-3.4</c:v>
                </c:pt>
                <c:pt idx="24">
                  <c:v>-12.7</c:v>
                </c:pt>
                <c:pt idx="25">
                  <c:v>-11.8</c:v>
                </c:pt>
                <c:pt idx="26">
                  <c:v>-7.3</c:v>
                </c:pt>
                <c:pt idx="27">
                  <c:v>-2.5</c:v>
                </c:pt>
                <c:pt idx="28">
                  <c:v>-0.2</c:v>
                </c:pt>
                <c:pt idx="29">
                  <c:v>-8</c:v>
                </c:pt>
                <c:pt idx="30">
                  <c:v>-5.6</c:v>
                </c:pt>
                <c:pt idx="31">
                  <c:v>7.2</c:v>
                </c:pt>
                <c:pt idx="32">
                  <c:v>2.6</c:v>
                </c:pt>
                <c:pt idx="33">
                  <c:v>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D7F7-48AE-A343-816C62C8A475}"/>
            </c:ext>
          </c:extLst>
        </c:ser>
        <c:ser>
          <c:idx val="12"/>
          <c:order val="12"/>
          <c:tx>
            <c:strRef>
              <c:f>'Trh práce 1-SNÚ'!$AO$7</c:f>
              <c:strCache>
                <c:ptCount val="1"/>
                <c:pt idx="0">
                  <c:v>Očekávání zaměstnanosti (obchod)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1-SNÚ'!$AO$36:$AO$69</c:f>
              <c:numCache>
                <c:formatCode>#\ ##0.0</c:formatCode>
                <c:ptCount val="34"/>
                <c:pt idx="0">
                  <c:v>14.7</c:v>
                </c:pt>
                <c:pt idx="1">
                  <c:v>17</c:v>
                </c:pt>
                <c:pt idx="2">
                  <c:v>19</c:v>
                </c:pt>
                <c:pt idx="3">
                  <c:v>14.9</c:v>
                </c:pt>
                <c:pt idx="4">
                  <c:v>30.1</c:v>
                </c:pt>
                <c:pt idx="5">
                  <c:v>32.5</c:v>
                </c:pt>
                <c:pt idx="6">
                  <c:v>27.5</c:v>
                </c:pt>
                <c:pt idx="7">
                  <c:v>14.7</c:v>
                </c:pt>
                <c:pt idx="8">
                  <c:v>12.2</c:v>
                </c:pt>
                <c:pt idx="9">
                  <c:v>15.8</c:v>
                </c:pt>
                <c:pt idx="10">
                  <c:v>14.1</c:v>
                </c:pt>
                <c:pt idx="11">
                  <c:v>12.3</c:v>
                </c:pt>
                <c:pt idx="12">
                  <c:v>11.7</c:v>
                </c:pt>
                <c:pt idx="13">
                  <c:v>-5.9</c:v>
                </c:pt>
                <c:pt idx="14">
                  <c:v>-3.1</c:v>
                </c:pt>
                <c:pt idx="15">
                  <c:v>-0.2</c:v>
                </c:pt>
                <c:pt idx="16">
                  <c:v>6</c:v>
                </c:pt>
                <c:pt idx="17">
                  <c:v>13.2</c:v>
                </c:pt>
                <c:pt idx="18">
                  <c:v>11.4</c:v>
                </c:pt>
                <c:pt idx="19">
                  <c:v>8.5</c:v>
                </c:pt>
                <c:pt idx="20">
                  <c:v>10.5</c:v>
                </c:pt>
                <c:pt idx="21">
                  <c:v>3.2</c:v>
                </c:pt>
                <c:pt idx="22">
                  <c:v>5.9</c:v>
                </c:pt>
                <c:pt idx="23">
                  <c:v>12.5</c:v>
                </c:pt>
                <c:pt idx="24">
                  <c:v>11.3</c:v>
                </c:pt>
                <c:pt idx="25">
                  <c:v>9.1999999999999993</c:v>
                </c:pt>
                <c:pt idx="26">
                  <c:v>11.7</c:v>
                </c:pt>
                <c:pt idx="27">
                  <c:v>10.4</c:v>
                </c:pt>
                <c:pt idx="28">
                  <c:v>6.4</c:v>
                </c:pt>
                <c:pt idx="29">
                  <c:v>9.1999999999999993</c:v>
                </c:pt>
                <c:pt idx="30">
                  <c:v>3</c:v>
                </c:pt>
                <c:pt idx="31">
                  <c:v>7.3</c:v>
                </c:pt>
                <c:pt idx="32">
                  <c:v>4.4000000000000004</c:v>
                </c:pt>
                <c:pt idx="33">
                  <c:v>8.3000000000000007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D7F7-48AE-A343-816C62C8A475}"/>
            </c:ext>
          </c:extLst>
        </c:ser>
        <c:ser>
          <c:idx val="13"/>
          <c:order val="13"/>
          <c:tx>
            <c:strRef>
              <c:f>'Trh práce 1-SNÚ'!$AP$7</c:f>
              <c:strCache>
                <c:ptCount val="1"/>
                <c:pt idx="0">
                  <c:v>Očekávání zaměstnanosti (vybr. služby)</c:v>
                </c:pt>
              </c:strCache>
            </c:strRef>
          </c:tx>
          <c:spPr>
            <a:ln w="15875"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1-SNÚ'!$AA$36:$AB$69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1-SNÚ'!$AP$36:$AP$69</c:f>
              <c:numCache>
                <c:formatCode>#\ ##0.0</c:formatCode>
                <c:ptCount val="34"/>
                <c:pt idx="0">
                  <c:v>11.1</c:v>
                </c:pt>
                <c:pt idx="1">
                  <c:v>11</c:v>
                </c:pt>
                <c:pt idx="2">
                  <c:v>19.7</c:v>
                </c:pt>
                <c:pt idx="3">
                  <c:v>3.1</c:v>
                </c:pt>
                <c:pt idx="4">
                  <c:v>15.7</c:v>
                </c:pt>
                <c:pt idx="5">
                  <c:v>10.5</c:v>
                </c:pt>
                <c:pt idx="6">
                  <c:v>9.5</c:v>
                </c:pt>
                <c:pt idx="7">
                  <c:v>-7.6</c:v>
                </c:pt>
                <c:pt idx="8">
                  <c:v>-6.5</c:v>
                </c:pt>
                <c:pt idx="9">
                  <c:v>-1.1000000000000001</c:v>
                </c:pt>
                <c:pt idx="10">
                  <c:v>-4.5999999999999996</c:v>
                </c:pt>
                <c:pt idx="11">
                  <c:v>-15.4</c:v>
                </c:pt>
                <c:pt idx="12">
                  <c:v>-20.5</c:v>
                </c:pt>
                <c:pt idx="13">
                  <c:v>-32.299999999999997</c:v>
                </c:pt>
                <c:pt idx="14">
                  <c:v>-28.6</c:v>
                </c:pt>
                <c:pt idx="15">
                  <c:v>-30.1</c:v>
                </c:pt>
                <c:pt idx="16">
                  <c:v>-27</c:v>
                </c:pt>
                <c:pt idx="17">
                  <c:v>-27.7</c:v>
                </c:pt>
                <c:pt idx="18">
                  <c:v>-12.1</c:v>
                </c:pt>
                <c:pt idx="19">
                  <c:v>-15.8</c:v>
                </c:pt>
                <c:pt idx="20">
                  <c:v>-6.8</c:v>
                </c:pt>
                <c:pt idx="21">
                  <c:v>-3.5</c:v>
                </c:pt>
                <c:pt idx="22">
                  <c:v>-6.1</c:v>
                </c:pt>
                <c:pt idx="23">
                  <c:v>-6.4</c:v>
                </c:pt>
                <c:pt idx="24">
                  <c:v>-10.7</c:v>
                </c:pt>
                <c:pt idx="25">
                  <c:v>-16.7</c:v>
                </c:pt>
                <c:pt idx="26">
                  <c:v>-14.5</c:v>
                </c:pt>
                <c:pt idx="27">
                  <c:v>-15.2</c:v>
                </c:pt>
                <c:pt idx="28">
                  <c:v>-23.7</c:v>
                </c:pt>
                <c:pt idx="29">
                  <c:v>-16</c:v>
                </c:pt>
                <c:pt idx="30">
                  <c:v>-15.7</c:v>
                </c:pt>
                <c:pt idx="31">
                  <c:v>-6.6</c:v>
                </c:pt>
                <c:pt idx="32">
                  <c:v>-14.3</c:v>
                </c:pt>
                <c:pt idx="33">
                  <c:v>-4.5999999999999996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7F7-48AE-A343-816C62C8A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2941824"/>
        <c:axId val="332936832"/>
      </c:lineChart>
      <c:catAx>
        <c:axId val="10189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781504"/>
        <c:crosses val="autoZero"/>
        <c:auto val="1"/>
        <c:lblAlgn val="ctr"/>
        <c:lblOffset val="10"/>
        <c:noMultiLvlLbl val="0"/>
      </c:catAx>
      <c:valAx>
        <c:axId val="101781504"/>
        <c:scaling>
          <c:orientation val="minMax"/>
          <c:max val="2.5"/>
          <c:min val="-4.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Příspěvek k růstu zaměstnanosti</a:t>
                </a:r>
              </a:p>
            </c:rich>
          </c:tx>
          <c:layout/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1898496"/>
        <c:crosses val="autoZero"/>
        <c:crossBetween val="between"/>
        <c:majorUnit val="0.5"/>
      </c:valAx>
      <c:valAx>
        <c:axId val="332936832"/>
        <c:scaling>
          <c:orientation val="minMax"/>
          <c:max val="100"/>
          <c:min val="-4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Očekávání vývoje zaměstnanosti</a:t>
                </a:r>
              </a:p>
            </c:rich>
          </c:tx>
          <c:layout/>
          <c:overlay val="0"/>
        </c:title>
        <c:numFmt formatCode="#,##0" sourceLinked="0"/>
        <c:majorTickMark val="out"/>
        <c:minorTickMark val="none"/>
        <c:tickLblPos val="nextTo"/>
        <c:crossAx val="332941824"/>
        <c:crosses val="max"/>
        <c:crossBetween val="between"/>
        <c:majorUnit val="10"/>
      </c:valAx>
      <c:catAx>
        <c:axId val="332941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32936832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1.5472441370721637E-2"/>
          <c:y val="0.77992823117070742"/>
          <c:w val="0.96005692595618608"/>
          <c:h val="0.21194618315349945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036417007492182E-2"/>
          <c:y val="1.6081916099773243E-2"/>
          <c:w val="0.84656372322027451"/>
          <c:h val="0.764940823491389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'Trh práce-2b'!$A$32</c:f>
              <c:strCache>
                <c:ptCount val="1"/>
                <c:pt idx="0">
                  <c:v>Míra nezaměstnanosti mužů</c:v>
                </c:pt>
              </c:strCache>
            </c:strRef>
          </c:tx>
          <c:spPr>
            <a:solidFill>
              <a:srgbClr val="BCBCBC"/>
            </a:solidFill>
          </c:spPr>
          <c:invertIfNegative val="0"/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práce-2b'!$J$32:$AQ$32</c:f>
              <c:numCache>
                <c:formatCode>0.0</c:formatCode>
                <c:ptCount val="34"/>
                <c:pt idx="0">
                  <c:v>2.763206305395407</c:v>
                </c:pt>
                <c:pt idx="1">
                  <c:v>2.4585014115170591</c:v>
                </c:pt>
                <c:pt idx="2">
                  <c:v>2.2547524548925577</c:v>
                </c:pt>
                <c:pt idx="3">
                  <c:v>2.0532680067569822</c:v>
                </c:pt>
                <c:pt idx="4">
                  <c:v>1.909648418719561</c:v>
                </c:pt>
                <c:pt idx="5">
                  <c:v>1.8546930375988848</c:v>
                </c:pt>
                <c:pt idx="6">
                  <c:v>1.8449134595183281</c:v>
                </c:pt>
                <c:pt idx="7">
                  <c:v>1.7028868880833434</c:v>
                </c:pt>
                <c:pt idx="8">
                  <c:v>1.7865638454209218</c:v>
                </c:pt>
                <c:pt idx="9">
                  <c:v>1.713311624139833</c:v>
                </c:pt>
                <c:pt idx="10">
                  <c:v>1.7294432560287263</c:v>
                </c:pt>
                <c:pt idx="11">
                  <c:v>1.8486615623011389</c:v>
                </c:pt>
                <c:pt idx="12">
                  <c:v>1.8614832804963142</c:v>
                </c:pt>
                <c:pt idx="13">
                  <c:v>2.2519788566894552</c:v>
                </c:pt>
                <c:pt idx="14">
                  <c:v>2.4969357917730375</c:v>
                </c:pt>
                <c:pt idx="15">
                  <c:v>2.5329815276072494</c:v>
                </c:pt>
                <c:pt idx="16">
                  <c:v>2.6718903225321511</c:v>
                </c:pt>
                <c:pt idx="17">
                  <c:v>2.5533946737692066</c:v>
                </c:pt>
                <c:pt idx="18">
                  <c:v>2.2643191397653895</c:v>
                </c:pt>
                <c:pt idx="19">
                  <c:v>1.9965612532990378</c:v>
                </c:pt>
                <c:pt idx="20">
                  <c:v>1.9672534939774866</c:v>
                </c:pt>
                <c:pt idx="21">
                  <c:v>1.9073419395492437</c:v>
                </c:pt>
                <c:pt idx="22">
                  <c:v>1.9401857822758819</c:v>
                </c:pt>
                <c:pt idx="23">
                  <c:v>2.0804963417213975</c:v>
                </c:pt>
                <c:pt idx="24">
                  <c:v>2.1835985877578543</c:v>
                </c:pt>
                <c:pt idx="25">
                  <c:v>2.2401843840101665</c:v>
                </c:pt>
                <c:pt idx="26">
                  <c:v>2.3342024889871653</c:v>
                </c:pt>
                <c:pt idx="27">
                  <c:v>2.4417720020115543</c:v>
                </c:pt>
                <c:pt idx="28">
                  <c:v>2.3802559256179809</c:v>
                </c:pt>
                <c:pt idx="29">
                  <c:v>2.3817541140510383</c:v>
                </c:pt>
                <c:pt idx="30">
                  <c:v>2.3440663920696863</c:v>
                </c:pt>
                <c:pt idx="31">
                  <c:v>2.326318694813573</c:v>
                </c:pt>
                <c:pt idx="32">
                  <c:v>2.2662304409616412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AD-4189-8E7F-7BA02D1CD915}"/>
            </c:ext>
          </c:extLst>
        </c:ser>
        <c:ser>
          <c:idx val="1"/>
          <c:order val="1"/>
          <c:tx>
            <c:strRef>
              <c:f>'Trh práce-2b'!$A$33</c:f>
              <c:strCache>
                <c:ptCount val="1"/>
                <c:pt idx="0">
                  <c:v>Míra nezaměstnanosti žen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práce-2b'!$J$33:$AQ$33</c:f>
              <c:numCache>
                <c:formatCode>0.0</c:formatCode>
                <c:ptCount val="34"/>
                <c:pt idx="0">
                  <c:v>4.2630089169155054</c:v>
                </c:pt>
                <c:pt idx="1">
                  <c:v>3.8622956233740813</c:v>
                </c:pt>
                <c:pt idx="2">
                  <c:v>3.4001336878359751</c:v>
                </c:pt>
                <c:pt idx="3">
                  <c:v>3.1287789174697296</c:v>
                </c:pt>
                <c:pt idx="4">
                  <c:v>2.9291971253983866</c:v>
                </c:pt>
                <c:pt idx="5">
                  <c:v>2.8146781016021873</c:v>
                </c:pt>
                <c:pt idx="6">
                  <c:v>2.8242955798123783</c:v>
                </c:pt>
                <c:pt idx="7">
                  <c:v>2.6581966479412604</c:v>
                </c:pt>
                <c:pt idx="8">
                  <c:v>2.3665182229428541</c:v>
                </c:pt>
                <c:pt idx="9">
                  <c:v>2.4242530495835406</c:v>
                </c:pt>
                <c:pt idx="10">
                  <c:v>2.5381028986588849</c:v>
                </c:pt>
                <c:pt idx="11">
                  <c:v>2.4002140012446467</c:v>
                </c:pt>
                <c:pt idx="12">
                  <c:v>2.1576918991109082</c:v>
                </c:pt>
                <c:pt idx="13">
                  <c:v>2.8456852335541996</c:v>
                </c:pt>
                <c:pt idx="14">
                  <c:v>3.3814044832765124</c:v>
                </c:pt>
                <c:pt idx="15">
                  <c:v>3.8590998321191492</c:v>
                </c:pt>
                <c:pt idx="16">
                  <c:v>4.0905179496708532</c:v>
                </c:pt>
                <c:pt idx="17">
                  <c:v>3.7925967628483455</c:v>
                </c:pt>
                <c:pt idx="18">
                  <c:v>3.2534690926460996</c:v>
                </c:pt>
                <c:pt idx="19">
                  <c:v>2.869131341742591</c:v>
                </c:pt>
                <c:pt idx="20">
                  <c:v>2.9762107297241873</c:v>
                </c:pt>
                <c:pt idx="21">
                  <c:v>3.1055491184358348</c:v>
                </c:pt>
                <c:pt idx="22">
                  <c:v>2.9257083681489369</c:v>
                </c:pt>
                <c:pt idx="23">
                  <c:v>2.8418457535717443</c:v>
                </c:pt>
                <c:pt idx="24">
                  <c:v>3.0283898607727306</c:v>
                </c:pt>
                <c:pt idx="25">
                  <c:v>3.1646467945396459</c:v>
                </c:pt>
                <c:pt idx="26">
                  <c:v>3.218240441609499</c:v>
                </c:pt>
                <c:pt idx="27">
                  <c:v>3.3098818755740429</c:v>
                </c:pt>
                <c:pt idx="28">
                  <c:v>3.4362323805198365</c:v>
                </c:pt>
                <c:pt idx="29">
                  <c:v>3.2679857262132934</c:v>
                </c:pt>
                <c:pt idx="30">
                  <c:v>3.2546529485614308</c:v>
                </c:pt>
                <c:pt idx="31">
                  <c:v>3.2828350378253197</c:v>
                </c:pt>
                <c:pt idx="32">
                  <c:v>3.2110991489866265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AD-4189-8E7F-7BA02D1CD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axId val="100654464"/>
        <c:axId val="101647488"/>
      </c:barChart>
      <c:lineChart>
        <c:grouping val="standard"/>
        <c:varyColors val="0"/>
        <c:ser>
          <c:idx val="4"/>
          <c:order val="2"/>
          <c:tx>
            <c:strRef>
              <c:f>'Trh práce-2b'!$A$34</c:f>
              <c:strCache>
                <c:ptCount val="1"/>
                <c:pt idx="0">
                  <c:v>VPM pro vyučené a SŠ bez mat.</c:v>
                </c:pt>
              </c:strCache>
            </c:strRef>
          </c:tx>
          <c:spPr>
            <a:ln w="19050">
              <a:noFill/>
              <a:prstDash val="sysDash"/>
            </a:ln>
          </c:spPr>
          <c:marker>
            <c:symbol val="circle"/>
            <c:size val="4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práce-2b'!$J$34:$AQ$34</c:f>
              <c:numCache>
                <c:formatCode>0.0</c:formatCode>
                <c:ptCount val="34"/>
                <c:pt idx="0">
                  <c:v>31.84</c:v>
                </c:pt>
                <c:pt idx="1">
                  <c:v>38.021999999999998</c:v>
                </c:pt>
                <c:pt idx="2">
                  <c:v>36.262</c:v>
                </c:pt>
                <c:pt idx="3">
                  <c:v>29.895</c:v>
                </c:pt>
                <c:pt idx="4">
                  <c:v>32.848999999999997</c:v>
                </c:pt>
                <c:pt idx="5">
                  <c:v>39.597999999999999</c:v>
                </c:pt>
                <c:pt idx="6">
                  <c:v>36.892000000000003</c:v>
                </c:pt>
                <c:pt idx="7">
                  <c:v>30.317</c:v>
                </c:pt>
                <c:pt idx="8">
                  <c:v>31.245000000000001</c:v>
                </c:pt>
                <c:pt idx="9">
                  <c:v>30.555</c:v>
                </c:pt>
                <c:pt idx="10">
                  <c:v>27.914999999999999</c:v>
                </c:pt>
                <c:pt idx="11">
                  <c:v>22.228000000000002</c:v>
                </c:pt>
                <c:pt idx="12">
                  <c:v>22.292000000000002</c:v>
                </c:pt>
                <c:pt idx="13">
                  <c:v>21.922000000000001</c:v>
                </c:pt>
                <c:pt idx="14">
                  <c:v>23.152999999999999</c:v>
                </c:pt>
                <c:pt idx="15">
                  <c:v>20.832999999999998</c:v>
                </c:pt>
                <c:pt idx="16">
                  <c:v>21.22</c:v>
                </c:pt>
                <c:pt idx="17">
                  <c:v>28</c:v>
                </c:pt>
                <c:pt idx="18">
                  <c:v>28.465</c:v>
                </c:pt>
                <c:pt idx="19">
                  <c:v>22.591000000000001</c:v>
                </c:pt>
                <c:pt idx="20">
                  <c:v>26.402999999999999</c:v>
                </c:pt>
                <c:pt idx="21">
                  <c:v>24.98</c:v>
                </c:pt>
                <c:pt idx="22">
                  <c:v>20.081</c:v>
                </c:pt>
                <c:pt idx="23">
                  <c:v>16.219000000000001</c:v>
                </c:pt>
                <c:pt idx="24">
                  <c:v>18.276</c:v>
                </c:pt>
                <c:pt idx="25">
                  <c:v>19.419</c:v>
                </c:pt>
                <c:pt idx="26">
                  <c:v>17.792000000000002</c:v>
                </c:pt>
                <c:pt idx="27">
                  <c:v>14.455</c:v>
                </c:pt>
                <c:pt idx="28">
                  <c:v>14.478</c:v>
                </c:pt>
                <c:pt idx="29">
                  <c:v>15.478</c:v>
                </c:pt>
                <c:pt idx="30">
                  <c:v>15.435</c:v>
                </c:pt>
                <c:pt idx="31">
                  <c:v>14.093</c:v>
                </c:pt>
                <c:pt idx="32">
                  <c:v>12.814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0AD-4189-8E7F-7BA02D1CD915}"/>
            </c:ext>
          </c:extLst>
        </c:ser>
        <c:ser>
          <c:idx val="5"/>
          <c:order val="3"/>
          <c:tx>
            <c:strRef>
              <c:f>'Trh práce-2b'!$A$35</c:f>
              <c:strCache>
                <c:ptCount val="1"/>
                <c:pt idx="0">
                  <c:v>VPM pro SŠ s mat., VOŠ a VŠ</c:v>
                </c:pt>
              </c:strCache>
            </c:strRef>
          </c:tx>
          <c:spPr>
            <a:ln w="19050">
              <a:noFill/>
              <a:prstDash val="dash"/>
            </a:ln>
          </c:spPr>
          <c:marker>
            <c:symbol val="dash"/>
            <c:size val="7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práce-2b'!$J$35:$AQ$35</c:f>
              <c:numCache>
                <c:formatCode>0.0</c:formatCode>
                <c:ptCount val="34"/>
                <c:pt idx="0">
                  <c:v>15.456</c:v>
                </c:pt>
                <c:pt idx="1">
                  <c:v>18.981000000000002</c:v>
                </c:pt>
                <c:pt idx="2">
                  <c:v>17.684999999999999</c:v>
                </c:pt>
                <c:pt idx="3">
                  <c:v>16.105</c:v>
                </c:pt>
                <c:pt idx="4">
                  <c:v>18.106999999999999</c:v>
                </c:pt>
                <c:pt idx="5">
                  <c:v>20.411000000000001</c:v>
                </c:pt>
                <c:pt idx="6">
                  <c:v>18.263000000000002</c:v>
                </c:pt>
                <c:pt idx="7">
                  <c:v>16.600000000000001</c:v>
                </c:pt>
                <c:pt idx="8">
                  <c:v>17.779</c:v>
                </c:pt>
                <c:pt idx="9">
                  <c:v>19.105</c:v>
                </c:pt>
                <c:pt idx="10">
                  <c:v>18.321000000000002</c:v>
                </c:pt>
                <c:pt idx="11">
                  <c:v>16.137</c:v>
                </c:pt>
                <c:pt idx="12">
                  <c:v>17.05</c:v>
                </c:pt>
                <c:pt idx="13">
                  <c:v>17.387</c:v>
                </c:pt>
                <c:pt idx="14">
                  <c:v>15.683</c:v>
                </c:pt>
                <c:pt idx="15">
                  <c:v>14.997</c:v>
                </c:pt>
                <c:pt idx="16">
                  <c:v>16.512</c:v>
                </c:pt>
                <c:pt idx="17">
                  <c:v>19.815999999999999</c:v>
                </c:pt>
                <c:pt idx="18">
                  <c:v>19.486999999999998</c:v>
                </c:pt>
                <c:pt idx="19">
                  <c:v>18.061</c:v>
                </c:pt>
                <c:pt idx="20">
                  <c:v>21.087</c:v>
                </c:pt>
                <c:pt idx="21">
                  <c:v>21.347999999999999</c:v>
                </c:pt>
                <c:pt idx="22">
                  <c:v>18.567</c:v>
                </c:pt>
                <c:pt idx="23">
                  <c:v>16.672999999999998</c:v>
                </c:pt>
                <c:pt idx="24">
                  <c:v>18.158000000000001</c:v>
                </c:pt>
                <c:pt idx="25">
                  <c:v>18.765000000000001</c:v>
                </c:pt>
                <c:pt idx="26">
                  <c:v>17.125</c:v>
                </c:pt>
                <c:pt idx="27">
                  <c:v>15.332000000000001</c:v>
                </c:pt>
                <c:pt idx="28">
                  <c:v>16.600000000000001</c:v>
                </c:pt>
                <c:pt idx="29">
                  <c:v>15.853999999999999</c:v>
                </c:pt>
                <c:pt idx="30">
                  <c:v>14.837999999999999</c:v>
                </c:pt>
                <c:pt idx="31">
                  <c:v>13.59</c:v>
                </c:pt>
                <c:pt idx="32">
                  <c:v>10.319000000000001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0AD-4189-8E7F-7BA02D1CD915}"/>
            </c:ext>
          </c:extLst>
        </c:ser>
        <c:ser>
          <c:idx val="6"/>
          <c:order val="4"/>
          <c:tx>
            <c:strRef>
              <c:f>'Trh práce-2b'!$A$36</c:f>
              <c:strCache>
                <c:ptCount val="1"/>
                <c:pt idx="0">
                  <c:v>Pracující cizinci (Ukrajinci)</c:v>
                </c:pt>
              </c:strCache>
            </c:strRef>
          </c:tx>
          <c:spPr>
            <a:ln w="15875">
              <a:solidFill>
                <a:srgbClr val="FFC000"/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práce-2b'!$J$36:$AQ$36</c:f>
              <c:numCache>
                <c:formatCode>#,##0</c:formatCode>
                <c:ptCount val="34"/>
                <c:pt idx="0">
                  <c:v>59.363</c:v>
                </c:pt>
                <c:pt idx="1">
                  <c:v>69.864000000000004</c:v>
                </c:pt>
                <c:pt idx="2">
                  <c:v>76.724000000000004</c:v>
                </c:pt>
                <c:pt idx="3">
                  <c:v>81.688999999999993</c:v>
                </c:pt>
                <c:pt idx="4">
                  <c:v>97.317999999999998</c:v>
                </c:pt>
                <c:pt idx="5">
                  <c:v>115.39100000000001</c:v>
                </c:pt>
                <c:pt idx="6">
                  <c:v>134.202</c:v>
                </c:pt>
                <c:pt idx="7">
                  <c:v>121.08499999999999</c:v>
                </c:pt>
                <c:pt idx="8">
                  <c:v>146.08500000000001</c:v>
                </c:pt>
                <c:pt idx="9">
                  <c:v>152.69800000000001</c:v>
                </c:pt>
                <c:pt idx="10">
                  <c:v>164.92400000000001</c:v>
                </c:pt>
                <c:pt idx="11">
                  <c:v>144.114</c:v>
                </c:pt>
                <c:pt idx="12">
                  <c:v>169.14699999999999</c:v>
                </c:pt>
                <c:pt idx="13">
                  <c:v>133.08600000000001</c:v>
                </c:pt>
                <c:pt idx="14">
                  <c:v>173.584</c:v>
                </c:pt>
                <c:pt idx="15">
                  <c:v>159.46799999999999</c:v>
                </c:pt>
                <c:pt idx="16">
                  <c:v>186.35599999999999</c:v>
                </c:pt>
                <c:pt idx="17">
                  <c:v>191.58500000000001</c:v>
                </c:pt>
                <c:pt idx="18">
                  <c:v>214.10599999999999</c:v>
                </c:pt>
                <c:pt idx="19">
                  <c:v>195.11600000000001</c:v>
                </c:pt>
                <c:pt idx="20">
                  <c:v>238.024</c:v>
                </c:pt>
                <c:pt idx="21">
                  <c:v>248.58799999999999</c:v>
                </c:pt>
                <c:pt idx="22">
                  <c:v>262.17899999999997</c:v>
                </c:pt>
                <c:pt idx="23">
                  <c:v>269.911</c:v>
                </c:pt>
                <c:pt idx="24">
                  <c:v>261.31299999999999</c:v>
                </c:pt>
                <c:pt idx="25">
                  <c:v>269.04500000000002</c:v>
                </c:pt>
                <c:pt idx="26">
                  <c:v>282.22300000000001</c:v>
                </c:pt>
                <c:pt idx="27">
                  <c:v>285.54500000000002</c:v>
                </c:pt>
                <c:pt idx="28">
                  <c:v>283.649</c:v>
                </c:pt>
                <c:pt idx="29">
                  <c:v>286.25599999999997</c:v>
                </c:pt>
                <c:pt idx="30">
                  <c:v>287.55500000000001</c:v>
                </c:pt>
                <c:pt idx="31">
                  <c:v>283.04500000000002</c:v>
                </c:pt>
                <c:pt idx="32">
                  <c:v>295.10899999999998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0AD-4189-8E7F-7BA02D1CD915}"/>
            </c:ext>
          </c:extLst>
        </c:ser>
        <c:ser>
          <c:idx val="7"/>
          <c:order val="5"/>
          <c:tx>
            <c:strRef>
              <c:f>'Trh práce-2b'!$A$37</c:f>
              <c:strCache>
                <c:ptCount val="1"/>
                <c:pt idx="0">
                  <c:v>Pracující cizinci (Slováci)</c:v>
                </c:pt>
              </c:strCache>
            </c:strRef>
          </c:tx>
          <c:spPr>
            <a:ln w="19050">
              <a:solidFill>
                <a:schemeClr val="accent2">
                  <a:lumMod val="60000"/>
                  <a:lumOff val="40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práce-2b'!$J$37:$AQ$37</c:f>
              <c:numCache>
                <c:formatCode>#,##0</c:formatCode>
                <c:ptCount val="34"/>
                <c:pt idx="0">
                  <c:v>159.88200000000001</c:v>
                </c:pt>
                <c:pt idx="1">
                  <c:v>165.69800000000001</c:v>
                </c:pt>
                <c:pt idx="2">
                  <c:v>170.643</c:v>
                </c:pt>
                <c:pt idx="3">
                  <c:v>177.059</c:v>
                </c:pt>
                <c:pt idx="4">
                  <c:v>180.01900000000001</c:v>
                </c:pt>
                <c:pt idx="5">
                  <c:v>187.33799999999999</c:v>
                </c:pt>
                <c:pt idx="6">
                  <c:v>192.66499999999999</c:v>
                </c:pt>
                <c:pt idx="7">
                  <c:v>191.81800000000001</c:v>
                </c:pt>
                <c:pt idx="8">
                  <c:v>187.18299999999999</c:v>
                </c:pt>
                <c:pt idx="9">
                  <c:v>191.41800000000001</c:v>
                </c:pt>
                <c:pt idx="10">
                  <c:v>199.02799999999999</c:v>
                </c:pt>
                <c:pt idx="11">
                  <c:v>201.952</c:v>
                </c:pt>
                <c:pt idx="12">
                  <c:v>198.05799999999999</c:v>
                </c:pt>
                <c:pt idx="13">
                  <c:v>199.249</c:v>
                </c:pt>
                <c:pt idx="14">
                  <c:v>202.91</c:v>
                </c:pt>
                <c:pt idx="15">
                  <c:v>204.29400000000001</c:v>
                </c:pt>
                <c:pt idx="16">
                  <c:v>201.91800000000001</c:v>
                </c:pt>
                <c:pt idx="17">
                  <c:v>204.476</c:v>
                </c:pt>
                <c:pt idx="18">
                  <c:v>208.249</c:v>
                </c:pt>
                <c:pt idx="19">
                  <c:v>209.273</c:v>
                </c:pt>
                <c:pt idx="20">
                  <c:v>207.86</c:v>
                </c:pt>
                <c:pt idx="21">
                  <c:v>211.31700000000001</c:v>
                </c:pt>
                <c:pt idx="22">
                  <c:v>212.55099999999999</c:v>
                </c:pt>
                <c:pt idx="23">
                  <c:v>213.447</c:v>
                </c:pt>
                <c:pt idx="24">
                  <c:v>209.79599999999999</c:v>
                </c:pt>
                <c:pt idx="25">
                  <c:v>212.12299999999999</c:v>
                </c:pt>
                <c:pt idx="26">
                  <c:v>215.20599999999999</c:v>
                </c:pt>
                <c:pt idx="27">
                  <c:v>216.239</c:v>
                </c:pt>
                <c:pt idx="28">
                  <c:v>213.9</c:v>
                </c:pt>
                <c:pt idx="29">
                  <c:v>216.68</c:v>
                </c:pt>
                <c:pt idx="30">
                  <c:v>211.666</c:v>
                </c:pt>
                <c:pt idx="31">
                  <c:v>208.589</c:v>
                </c:pt>
                <c:pt idx="32">
                  <c:v>215.74700000000001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0AD-4189-8E7F-7BA02D1CD915}"/>
            </c:ext>
          </c:extLst>
        </c:ser>
        <c:ser>
          <c:idx val="2"/>
          <c:order val="6"/>
          <c:tx>
            <c:strRef>
              <c:f>'Trh práce-2b'!$A$38</c:f>
              <c:strCache>
                <c:ptCount val="1"/>
                <c:pt idx="0">
                  <c:v>Pracující cizinci (občané ostat. zemí)</c:v>
                </c:pt>
              </c:strCache>
            </c:strRef>
          </c:tx>
          <c:spPr>
            <a:ln w="19050">
              <a:solidFill>
                <a:srgbClr val="D4A97E"/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práce-2b'!$J$38:$AQ$38</c:f>
              <c:numCache>
                <c:formatCode>#,##0</c:formatCode>
                <c:ptCount val="34"/>
                <c:pt idx="0">
                  <c:v>173.614</c:v>
                </c:pt>
                <c:pt idx="1">
                  <c:v>187.52799999999999</c:v>
                </c:pt>
                <c:pt idx="2">
                  <c:v>199.11799999999999</c:v>
                </c:pt>
                <c:pt idx="3">
                  <c:v>213.59899999999999</c:v>
                </c:pt>
                <c:pt idx="4">
                  <c:v>228.61600000000001</c:v>
                </c:pt>
                <c:pt idx="5">
                  <c:v>244.029</c:v>
                </c:pt>
                <c:pt idx="6">
                  <c:v>258.82100000000003</c:v>
                </c:pt>
                <c:pt idx="7">
                  <c:v>255.77199999999999</c:v>
                </c:pt>
                <c:pt idx="8">
                  <c:v>255.12200000000001</c:v>
                </c:pt>
                <c:pt idx="9">
                  <c:v>262.36599999999999</c:v>
                </c:pt>
                <c:pt idx="10">
                  <c:v>277.37400000000002</c:v>
                </c:pt>
                <c:pt idx="11">
                  <c:v>275.80399999999997</c:v>
                </c:pt>
                <c:pt idx="12">
                  <c:v>277.709</c:v>
                </c:pt>
                <c:pt idx="13">
                  <c:v>270.178</c:v>
                </c:pt>
                <c:pt idx="14">
                  <c:v>278.71699999999998</c:v>
                </c:pt>
                <c:pt idx="15">
                  <c:v>280.40199999999999</c:v>
                </c:pt>
                <c:pt idx="16">
                  <c:v>281.459</c:v>
                </c:pt>
                <c:pt idx="17">
                  <c:v>285.55</c:v>
                </c:pt>
                <c:pt idx="18">
                  <c:v>297.53500000000003</c:v>
                </c:pt>
                <c:pt idx="19">
                  <c:v>297.44099999999997</c:v>
                </c:pt>
                <c:pt idx="20">
                  <c:v>300.39299999999997</c:v>
                </c:pt>
                <c:pt idx="21">
                  <c:v>307.61</c:v>
                </c:pt>
                <c:pt idx="22">
                  <c:v>310.33499999999998</c:v>
                </c:pt>
                <c:pt idx="23">
                  <c:v>309.93200000000002</c:v>
                </c:pt>
                <c:pt idx="24">
                  <c:v>308.2</c:v>
                </c:pt>
                <c:pt idx="25">
                  <c:v>314.923</c:v>
                </c:pt>
                <c:pt idx="26">
                  <c:v>320.48399999999998</c:v>
                </c:pt>
                <c:pt idx="27">
                  <c:v>322.161</c:v>
                </c:pt>
                <c:pt idx="28">
                  <c:v>320.39100000000002</c:v>
                </c:pt>
                <c:pt idx="29">
                  <c:v>324.68299999999999</c:v>
                </c:pt>
                <c:pt idx="30">
                  <c:v>318.24400000000009</c:v>
                </c:pt>
                <c:pt idx="31">
                  <c:v>315.65299999999996</c:v>
                </c:pt>
                <c:pt idx="32">
                  <c:v>328.18899999999991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0AD-4189-8E7F-7BA02D1CD915}"/>
            </c:ext>
          </c:extLst>
        </c:ser>
        <c:ser>
          <c:idx val="3"/>
          <c:order val="7"/>
          <c:tx>
            <c:strRef>
              <c:f>'Trh práce-2b'!$A$39</c:f>
              <c:strCache>
                <c:ptCount val="1"/>
                <c:pt idx="0">
                  <c:v>Očekávání vývoje nezaměstnanosti</c:v>
                </c:pt>
              </c:strCache>
            </c:strRef>
          </c:tx>
          <c:spPr>
            <a:ln w="15875">
              <a:solidFill>
                <a:schemeClr val="bg2">
                  <a:lumMod val="50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'Trh práce-2b'!$J$30:$AQ$31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práce-2b'!$J$39:$AQ$39</c:f>
              <c:numCache>
                <c:formatCode>0.0</c:formatCode>
                <c:ptCount val="34"/>
                <c:pt idx="0">
                  <c:v>1</c:v>
                </c:pt>
                <c:pt idx="1">
                  <c:v>-3</c:v>
                </c:pt>
                <c:pt idx="2">
                  <c:v>0</c:v>
                </c:pt>
                <c:pt idx="3">
                  <c:v>-1</c:v>
                </c:pt>
                <c:pt idx="4">
                  <c:v>-1</c:v>
                </c:pt>
                <c:pt idx="5">
                  <c:v>-2</c:v>
                </c:pt>
                <c:pt idx="6">
                  <c:v>-2</c:v>
                </c:pt>
                <c:pt idx="7">
                  <c:v>4</c:v>
                </c:pt>
                <c:pt idx="8">
                  <c:v>8</c:v>
                </c:pt>
                <c:pt idx="9">
                  <c:v>8</c:v>
                </c:pt>
                <c:pt idx="10">
                  <c:v>11</c:v>
                </c:pt>
                <c:pt idx="11">
                  <c:v>12</c:v>
                </c:pt>
                <c:pt idx="12">
                  <c:v>18</c:v>
                </c:pt>
                <c:pt idx="13">
                  <c:v>49</c:v>
                </c:pt>
                <c:pt idx="14">
                  <c:v>46</c:v>
                </c:pt>
                <c:pt idx="15">
                  <c:v>60</c:v>
                </c:pt>
                <c:pt idx="16">
                  <c:v>57</c:v>
                </c:pt>
                <c:pt idx="17">
                  <c:v>24</c:v>
                </c:pt>
                <c:pt idx="18">
                  <c:v>16</c:v>
                </c:pt>
                <c:pt idx="19">
                  <c:v>20</c:v>
                </c:pt>
                <c:pt idx="20">
                  <c:v>14</c:v>
                </c:pt>
                <c:pt idx="21">
                  <c:v>20</c:v>
                </c:pt>
                <c:pt idx="22">
                  <c:v>26</c:v>
                </c:pt>
                <c:pt idx="23">
                  <c:v>40</c:v>
                </c:pt>
                <c:pt idx="24">
                  <c:v>35</c:v>
                </c:pt>
                <c:pt idx="25">
                  <c:v>29</c:v>
                </c:pt>
                <c:pt idx="26">
                  <c:v>25</c:v>
                </c:pt>
                <c:pt idx="27">
                  <c:v>17</c:v>
                </c:pt>
                <c:pt idx="28">
                  <c:v>25</c:v>
                </c:pt>
                <c:pt idx="29">
                  <c:v>22</c:v>
                </c:pt>
                <c:pt idx="30">
                  <c:v>24</c:v>
                </c:pt>
                <c:pt idx="31">
                  <c:v>19</c:v>
                </c:pt>
                <c:pt idx="32">
                  <c:v>30</c:v>
                </c:pt>
                <c:pt idx="33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0AD-4189-8E7F-7BA02D1CD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1670576"/>
        <c:axId val="323971328"/>
      </c:lineChart>
      <c:catAx>
        <c:axId val="10065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647488"/>
        <c:crossesAt val="-50"/>
        <c:auto val="1"/>
        <c:lblAlgn val="ctr"/>
        <c:lblOffset val="0"/>
        <c:noMultiLvlLbl val="0"/>
      </c:catAx>
      <c:valAx>
        <c:axId val="101647488"/>
        <c:scaling>
          <c:orientation val="minMax"/>
          <c:max val="7.5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Míra nezaměstnanosti</a:t>
                </a:r>
              </a:p>
            </c:rich>
          </c:tx>
          <c:layout/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0654464"/>
        <c:crosses val="autoZero"/>
        <c:crossBetween val="between"/>
        <c:majorUnit val="0.5"/>
      </c:valAx>
      <c:valAx>
        <c:axId val="323971328"/>
        <c:scaling>
          <c:orientation val="minMax"/>
          <c:max val="350"/>
          <c:min val="-25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Volná</a:t>
                </a:r>
                <a:r>
                  <a:rPr lang="cs-CZ" sz="700" b="0" i="1" baseline="0"/>
                  <a:t> pracovní místa, zaměstnaní cizinci</a:t>
                </a:r>
                <a:endParaRPr lang="cs-CZ" sz="700" b="0" i="1"/>
              </a:p>
            </c:rich>
          </c:tx>
          <c:layout/>
          <c:overlay val="0"/>
        </c:title>
        <c:numFmt formatCode="#,##0" sourceLinked="0"/>
        <c:majorTickMark val="out"/>
        <c:minorTickMark val="none"/>
        <c:tickLblPos val="nextTo"/>
        <c:crossAx val="331670576"/>
        <c:crosses val="max"/>
        <c:crossBetween val="between"/>
        <c:majorUnit val="25"/>
      </c:valAx>
      <c:catAx>
        <c:axId val="331670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3971328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2346890231882358E-2"/>
          <c:y val="0.87065667466923102"/>
          <c:w val="0.85260043993190393"/>
          <c:h val="0.12573975955987693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7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11162452186132E-2"/>
          <c:y val="2.0203894786331125E-2"/>
          <c:w val="0.94100987714831696"/>
          <c:h val="0.76395209750566906"/>
        </c:manualLayout>
      </c:layout>
      <c:barChart>
        <c:barDir val="col"/>
        <c:grouping val="clustered"/>
        <c:varyColors val="0"/>
        <c:ser>
          <c:idx val="4"/>
          <c:order val="1"/>
          <c:tx>
            <c:strRef>
              <c:f>'Trh práce 3'!$D$8</c:f>
              <c:strCache>
                <c:ptCount val="1"/>
                <c:pt idx="0">
                  <c:v>Průměrná mzda celkem (reálně)</c:v>
                </c:pt>
              </c:strCache>
            </c:strRef>
          </c:tx>
          <c:spPr>
            <a:solidFill>
              <a:srgbClr val="DBDBDB"/>
            </a:solidFill>
            <a:ln w="19050">
              <a:noFill/>
            </a:ln>
          </c:spPr>
          <c:invertIfNegative val="0"/>
          <c:cat>
            <c:multiLvlStrRef>
              <c:f>'Trh práce 3'!$A$37:$B$69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3'!$D$37:$D$69</c:f>
              <c:numCache>
                <c:formatCode>#\ ##0.0</c:formatCode>
                <c:ptCount val="33"/>
                <c:pt idx="0">
                  <c:v>2.5999999999999943</c:v>
                </c:pt>
                <c:pt idx="1">
                  <c:v>4.9000000000000057</c:v>
                </c:pt>
                <c:pt idx="2">
                  <c:v>4.0999999999999943</c:v>
                </c:pt>
                <c:pt idx="3">
                  <c:v>5.0999999999999943</c:v>
                </c:pt>
                <c:pt idx="4">
                  <c:v>6.5</c:v>
                </c:pt>
                <c:pt idx="5">
                  <c:v>6.2999999999999972</c:v>
                </c:pt>
                <c:pt idx="6">
                  <c:v>5.9000000000000057</c:v>
                </c:pt>
                <c:pt idx="7">
                  <c:v>4.9000000000000057</c:v>
                </c:pt>
                <c:pt idx="8">
                  <c:v>5.5</c:v>
                </c:pt>
                <c:pt idx="9">
                  <c:v>5.0999999999999943</c:v>
                </c:pt>
                <c:pt idx="10">
                  <c:v>4.7999999999999972</c:v>
                </c:pt>
                <c:pt idx="11">
                  <c:v>4.5</c:v>
                </c:pt>
                <c:pt idx="12">
                  <c:v>1.7999999999999972</c:v>
                </c:pt>
                <c:pt idx="13">
                  <c:v>-2.0999999999999943</c:v>
                </c:pt>
                <c:pt idx="14">
                  <c:v>2</c:v>
                </c:pt>
                <c:pt idx="15">
                  <c:v>4</c:v>
                </c:pt>
                <c:pt idx="16">
                  <c:v>0.79999999999999716</c:v>
                </c:pt>
                <c:pt idx="17">
                  <c:v>8.0999999999999943</c:v>
                </c:pt>
                <c:pt idx="18">
                  <c:v>1.2000000000000028</c:v>
                </c:pt>
                <c:pt idx="19">
                  <c:v>-2.0999999999999943</c:v>
                </c:pt>
                <c:pt idx="20">
                  <c:v>-5.2999999999999972</c:v>
                </c:pt>
                <c:pt idx="21">
                  <c:v>-11.5</c:v>
                </c:pt>
                <c:pt idx="22">
                  <c:v>-11.599999999999994</c:v>
                </c:pt>
                <c:pt idx="23">
                  <c:v>-8.7000000000000028</c:v>
                </c:pt>
                <c:pt idx="24">
                  <c:v>-7</c:v>
                </c:pt>
                <c:pt idx="25">
                  <c:v>-3.0999999999999943</c:v>
                </c:pt>
                <c:pt idx="26">
                  <c:v>-1.0999999999999943</c:v>
                </c:pt>
                <c:pt idx="27">
                  <c:v>-1.2999999999999972</c:v>
                </c:pt>
                <c:pt idx="28">
                  <c:v>5.5999999999999943</c:v>
                </c:pt>
                <c:pt idx="29">
                  <c:v>4.5</c:v>
                </c:pt>
                <c:pt idx="30">
                  <c:v>4.7999999999999972</c:v>
                </c:pt>
                <c:pt idx="31">
                  <c:v>3.9000000000000057</c:v>
                </c:pt>
                <c:pt idx="32">
                  <c:v>3.9000000000000057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31-490E-B252-F5EF2B97F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"/>
        <c:axId val="100688640"/>
        <c:axId val="100690560"/>
      </c:barChart>
      <c:lineChart>
        <c:grouping val="standard"/>
        <c:varyColors val="0"/>
        <c:ser>
          <c:idx val="0"/>
          <c:order val="0"/>
          <c:tx>
            <c:strRef>
              <c:f>'Trh práce 3'!$C$8</c:f>
              <c:strCache>
                <c:ptCount val="1"/>
                <c:pt idx="0">
                  <c:v>Průměrná mzda celkem (nominálně)</c:v>
                </c:pt>
              </c:strCache>
            </c:strRef>
          </c:tx>
          <c:spPr>
            <a:ln w="19050">
              <a:solidFill>
                <a:schemeClr val="tx1">
                  <a:lumMod val="95000"/>
                  <a:lumOff val="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'Trh práce 3'!$A$37:$B$69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3'!$C$37:$C$69</c:f>
              <c:numCache>
                <c:formatCode>#\ ##0.0</c:formatCode>
                <c:ptCount val="33"/>
                <c:pt idx="0">
                  <c:v>5.0999999999999943</c:v>
                </c:pt>
                <c:pt idx="1">
                  <c:v>7.2000000000000028</c:v>
                </c:pt>
                <c:pt idx="2">
                  <c:v>6.7000000000000028</c:v>
                </c:pt>
                <c:pt idx="3">
                  <c:v>7.7999999999999972</c:v>
                </c:pt>
                <c:pt idx="4">
                  <c:v>8.5</c:v>
                </c:pt>
                <c:pt idx="5">
                  <c:v>8.7000000000000028</c:v>
                </c:pt>
                <c:pt idx="6">
                  <c:v>8.4000000000000057</c:v>
                </c:pt>
                <c:pt idx="7">
                  <c:v>7.0999999999999943</c:v>
                </c:pt>
                <c:pt idx="8">
                  <c:v>8.2999999999999972</c:v>
                </c:pt>
                <c:pt idx="9">
                  <c:v>8</c:v>
                </c:pt>
                <c:pt idx="10">
                  <c:v>7.7000000000000028</c:v>
                </c:pt>
                <c:pt idx="11">
                  <c:v>7.5999999999999943</c:v>
                </c:pt>
                <c:pt idx="12">
                  <c:v>5.5</c:v>
                </c:pt>
                <c:pt idx="13">
                  <c:v>0.90000000000000568</c:v>
                </c:pt>
                <c:pt idx="14">
                  <c:v>5.4000000000000057</c:v>
                </c:pt>
                <c:pt idx="15">
                  <c:v>6.7000000000000028</c:v>
                </c:pt>
                <c:pt idx="16">
                  <c:v>3</c:v>
                </c:pt>
                <c:pt idx="17">
                  <c:v>11.200000000000003</c:v>
                </c:pt>
                <c:pt idx="18">
                  <c:v>5.2999999999999972</c:v>
                </c:pt>
                <c:pt idx="19">
                  <c:v>3.9000000000000057</c:v>
                </c:pt>
                <c:pt idx="20">
                  <c:v>5.2999999999999972</c:v>
                </c:pt>
                <c:pt idx="21">
                  <c:v>2.5</c:v>
                </c:pt>
                <c:pt idx="22">
                  <c:v>3.9000000000000057</c:v>
                </c:pt>
                <c:pt idx="23">
                  <c:v>5.5999999999999943</c:v>
                </c:pt>
                <c:pt idx="24">
                  <c:v>8.2999999999999972</c:v>
                </c:pt>
                <c:pt idx="25">
                  <c:v>7.7000000000000028</c:v>
                </c:pt>
                <c:pt idx="26">
                  <c:v>6.7999999999999972</c:v>
                </c:pt>
                <c:pt idx="27">
                  <c:v>6.2000000000000028</c:v>
                </c:pt>
                <c:pt idx="28">
                  <c:v>7.7999999999999972</c:v>
                </c:pt>
                <c:pt idx="29">
                  <c:v>7.0999999999999943</c:v>
                </c:pt>
                <c:pt idx="30">
                  <c:v>7.2000000000000028</c:v>
                </c:pt>
                <c:pt idx="31">
                  <c:v>6.9000000000000057</c:v>
                </c:pt>
                <c:pt idx="32">
                  <c:v>6.7000000000000028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31-490E-B252-F5EF2B97F041}"/>
            </c:ext>
          </c:extLst>
        </c:ser>
        <c:ser>
          <c:idx val="5"/>
          <c:order val="2"/>
          <c:tx>
            <c:strRef>
              <c:f>'Trh práce 3'!$E$8</c:f>
              <c:strCache>
                <c:ptCount val="1"/>
                <c:pt idx="0">
                  <c:v>Prům. mzda v průmyslu (nominálně)</c:v>
                </c:pt>
              </c:strCache>
            </c:strRef>
          </c:tx>
          <c:spPr>
            <a:ln w="19050"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multiLvlStrRef>
              <c:f>'Trh práce 3'!$A$37:$B$69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3'!$E$37:$E$69</c:f>
              <c:numCache>
                <c:formatCode>#\ ##0.0</c:formatCode>
                <c:ptCount val="33"/>
                <c:pt idx="0">
                  <c:v>5.1746586808526445</c:v>
                </c:pt>
                <c:pt idx="1">
                  <c:v>8.0728701553848907</c:v>
                </c:pt>
                <c:pt idx="2">
                  <c:v>6.8272945979441602</c:v>
                </c:pt>
                <c:pt idx="3">
                  <c:v>7.0884454631252538</c:v>
                </c:pt>
                <c:pt idx="4">
                  <c:v>7.9018109790605564</c:v>
                </c:pt>
                <c:pt idx="5">
                  <c:v>8.1936869938853221</c:v>
                </c:pt>
                <c:pt idx="6">
                  <c:v>7.3566042242467802</c:v>
                </c:pt>
                <c:pt idx="7">
                  <c:v>7.6170092222467076</c:v>
                </c:pt>
                <c:pt idx="8">
                  <c:v>7.1985838851373387</c:v>
                </c:pt>
                <c:pt idx="9">
                  <c:v>7.0904869554591556</c:v>
                </c:pt>
                <c:pt idx="10">
                  <c:v>6.753964974732213</c:v>
                </c:pt>
                <c:pt idx="11">
                  <c:v>5.6242870930946793</c:v>
                </c:pt>
                <c:pt idx="12">
                  <c:v>4.8529141948504844</c:v>
                </c:pt>
                <c:pt idx="13">
                  <c:v>-3.4830979888746327</c:v>
                </c:pt>
                <c:pt idx="14">
                  <c:v>2.956413004644503</c:v>
                </c:pt>
                <c:pt idx="15">
                  <c:v>4.0067563825663086</c:v>
                </c:pt>
                <c:pt idx="16">
                  <c:v>1.8985680538948344</c:v>
                </c:pt>
                <c:pt idx="17">
                  <c:v>10.170242950877807</c:v>
                </c:pt>
                <c:pt idx="18">
                  <c:v>4.7656227408114233</c:v>
                </c:pt>
                <c:pt idx="19">
                  <c:v>3.7112962913660397</c:v>
                </c:pt>
                <c:pt idx="20">
                  <c:v>4.9627933600457936</c:v>
                </c:pt>
                <c:pt idx="21">
                  <c:v>5.8242790073776121</c:v>
                </c:pt>
                <c:pt idx="22">
                  <c:v>5.6391288746584252</c:v>
                </c:pt>
                <c:pt idx="23">
                  <c:v>7.3649082274419158</c:v>
                </c:pt>
                <c:pt idx="24">
                  <c:v>10.053443856683202</c:v>
                </c:pt>
                <c:pt idx="25">
                  <c:v>9.2759722151802464</c:v>
                </c:pt>
                <c:pt idx="26">
                  <c:v>8.1338837792642096</c:v>
                </c:pt>
                <c:pt idx="27">
                  <c:v>6.9888102524866156</c:v>
                </c:pt>
                <c:pt idx="28">
                  <c:v>8.7064245187185634</c:v>
                </c:pt>
                <c:pt idx="29">
                  <c:v>8.1452267718362208</c:v>
                </c:pt>
                <c:pt idx="30">
                  <c:v>7.6404494382022534</c:v>
                </c:pt>
                <c:pt idx="31">
                  <c:v>7.3993787293002953</c:v>
                </c:pt>
                <c:pt idx="32">
                  <c:v>5.5749287749287788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E31-490E-B252-F5EF2B97F041}"/>
            </c:ext>
          </c:extLst>
        </c:ser>
        <c:ser>
          <c:idx val="1"/>
          <c:order val="3"/>
          <c:tx>
            <c:strRef>
              <c:f>'Trh práce 3'!$F$8</c:f>
              <c:strCache>
                <c:ptCount val="1"/>
                <c:pt idx="0">
                  <c:v>Prům. mzda v obchodu (nominálně)</c:v>
                </c:pt>
              </c:strCache>
            </c:strRef>
          </c:tx>
          <c:spPr>
            <a:ln w="19050">
              <a:solidFill>
                <a:srgbClr val="0070C0"/>
              </a:solidFill>
              <a:prstDash val="sysDot"/>
            </a:ln>
          </c:spPr>
          <c:marker>
            <c:symbol val="none"/>
          </c:marker>
          <c:cat>
            <c:multiLvlStrRef>
              <c:f>'Trh práce 3'!$A$37:$B$69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3'!$F$37:$F$69</c:f>
              <c:numCache>
                <c:formatCode>#\ ##0.0</c:formatCode>
                <c:ptCount val="33"/>
                <c:pt idx="0">
                  <c:v>5.6231243089559229</c:v>
                </c:pt>
                <c:pt idx="1">
                  <c:v>7.9284684614485457</c:v>
                </c:pt>
                <c:pt idx="2">
                  <c:v>7.693200727526019</c:v>
                </c:pt>
                <c:pt idx="3">
                  <c:v>8.3926754832146457</c:v>
                </c:pt>
                <c:pt idx="4">
                  <c:v>7.2416629280693883</c:v>
                </c:pt>
                <c:pt idx="5">
                  <c:v>7.0392029456356937</c:v>
                </c:pt>
                <c:pt idx="6">
                  <c:v>6.8381903769449082</c:v>
                </c:pt>
                <c:pt idx="7">
                  <c:v>6.6970570490044992</c:v>
                </c:pt>
                <c:pt idx="8">
                  <c:v>9.5345999651385682</c:v>
                </c:pt>
                <c:pt idx="9">
                  <c:v>7.4227708080399282</c:v>
                </c:pt>
                <c:pt idx="10">
                  <c:v>8.1629221041302316</c:v>
                </c:pt>
                <c:pt idx="11">
                  <c:v>6.3018346318170444</c:v>
                </c:pt>
                <c:pt idx="12">
                  <c:v>6.3685550604710528</c:v>
                </c:pt>
                <c:pt idx="13">
                  <c:v>0.91357172008916621</c:v>
                </c:pt>
                <c:pt idx="14">
                  <c:v>4.7389533256631182</c:v>
                </c:pt>
                <c:pt idx="15">
                  <c:v>2.446953129617583</c:v>
                </c:pt>
                <c:pt idx="16">
                  <c:v>2.2321294994165299</c:v>
                </c:pt>
                <c:pt idx="17">
                  <c:v>9.8898705823792881</c:v>
                </c:pt>
                <c:pt idx="18">
                  <c:v>6.6146127126443588</c:v>
                </c:pt>
                <c:pt idx="19">
                  <c:v>8.7059366526279263</c:v>
                </c:pt>
                <c:pt idx="20">
                  <c:v>6.7609096496619543</c:v>
                </c:pt>
                <c:pt idx="21">
                  <c:v>5.6167369702460093</c:v>
                </c:pt>
                <c:pt idx="22">
                  <c:v>3.4585503049205073</c:v>
                </c:pt>
                <c:pt idx="23">
                  <c:v>5.3444432650461664</c:v>
                </c:pt>
                <c:pt idx="24">
                  <c:v>8.2325849165227396</c:v>
                </c:pt>
                <c:pt idx="25">
                  <c:v>6.9557991797785945</c:v>
                </c:pt>
                <c:pt idx="26">
                  <c:v>6.314429521169231</c:v>
                </c:pt>
                <c:pt idx="27">
                  <c:v>5.6073353821351191</c:v>
                </c:pt>
                <c:pt idx="28">
                  <c:v>7.0010131712259493</c:v>
                </c:pt>
                <c:pt idx="29">
                  <c:v>5.8117387599618979</c:v>
                </c:pt>
                <c:pt idx="30">
                  <c:v>6.4735816096610108</c:v>
                </c:pt>
                <c:pt idx="31">
                  <c:v>5.5982253601755616</c:v>
                </c:pt>
                <c:pt idx="32">
                  <c:v>5.7522961840734723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E31-490E-B252-F5EF2B97F041}"/>
            </c:ext>
          </c:extLst>
        </c:ser>
        <c:ser>
          <c:idx val="2"/>
          <c:order val="4"/>
          <c:tx>
            <c:strRef>
              <c:f>'Trh práce 3'!$G$8</c:f>
              <c:strCache>
                <c:ptCount val="1"/>
                <c:pt idx="0">
                  <c:v>Prům. mzda ve veř. službách (nominálně)*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ysDot"/>
            </a:ln>
          </c:spPr>
          <c:marker>
            <c:symbol val="none"/>
          </c:marker>
          <c:cat>
            <c:multiLvlStrRef>
              <c:f>'Trh práce 3'!$A$37:$B$69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3'!$G$37:$G$69</c:f>
              <c:numCache>
                <c:formatCode>#\ ##0.0</c:formatCode>
                <c:ptCount val="33"/>
                <c:pt idx="0">
                  <c:v>5.4566112929362163</c:v>
                </c:pt>
                <c:pt idx="1">
                  <c:v>7.3192456135909225</c:v>
                </c:pt>
                <c:pt idx="2">
                  <c:v>7.9981713137873953</c:v>
                </c:pt>
                <c:pt idx="3">
                  <c:v>10.484072576559427</c:v>
                </c:pt>
                <c:pt idx="4">
                  <c:v>12.179699393983398</c:v>
                </c:pt>
                <c:pt idx="5">
                  <c:v>11.89217733254111</c:v>
                </c:pt>
                <c:pt idx="6">
                  <c:v>11.361326321628667</c:v>
                </c:pt>
                <c:pt idx="7">
                  <c:v>6.1282038917470629</c:v>
                </c:pt>
                <c:pt idx="8">
                  <c:v>9.4162908795776019</c:v>
                </c:pt>
                <c:pt idx="9">
                  <c:v>9.3022383570098555</c:v>
                </c:pt>
                <c:pt idx="10">
                  <c:v>8.3925247282538464</c:v>
                </c:pt>
                <c:pt idx="11">
                  <c:v>11.041060141001239</c:v>
                </c:pt>
                <c:pt idx="12">
                  <c:v>5.2296117021426483</c:v>
                </c:pt>
                <c:pt idx="13">
                  <c:v>4.9937922145909539</c:v>
                </c:pt>
                <c:pt idx="14">
                  <c:v>8.8109946466096574</c:v>
                </c:pt>
                <c:pt idx="15">
                  <c:v>13.948630451066606</c:v>
                </c:pt>
                <c:pt idx="16">
                  <c:v>4.5485385483402752</c:v>
                </c:pt>
                <c:pt idx="17">
                  <c:v>17.785684079315018</c:v>
                </c:pt>
                <c:pt idx="18">
                  <c:v>5.4643357321226631</c:v>
                </c:pt>
                <c:pt idx="19">
                  <c:v>-0.40508430459891542</c:v>
                </c:pt>
                <c:pt idx="20">
                  <c:v>2.3050985414715655</c:v>
                </c:pt>
                <c:pt idx="21">
                  <c:v>-7.0315803873919265</c:v>
                </c:pt>
                <c:pt idx="22">
                  <c:v>0.30518367768182486</c:v>
                </c:pt>
                <c:pt idx="23">
                  <c:v>3.4014494016982155</c:v>
                </c:pt>
                <c:pt idx="24">
                  <c:v>7.9558858004871666</c:v>
                </c:pt>
                <c:pt idx="25">
                  <c:v>6.6185978338731104</c:v>
                </c:pt>
                <c:pt idx="26">
                  <c:v>6.1956460416074748</c:v>
                </c:pt>
                <c:pt idx="27">
                  <c:v>5.4315381637976827</c:v>
                </c:pt>
                <c:pt idx="28">
                  <c:v>4.6593074333078732</c:v>
                </c:pt>
                <c:pt idx="29">
                  <c:v>4.8234690107000802</c:v>
                </c:pt>
                <c:pt idx="30">
                  <c:v>4.8790367578330489</c:v>
                </c:pt>
                <c:pt idx="31">
                  <c:v>3.8213604185032324</c:v>
                </c:pt>
                <c:pt idx="32">
                  <c:v>5.6947315951198334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E31-490E-B252-F5EF2B97F041}"/>
            </c:ext>
          </c:extLst>
        </c:ser>
        <c:ser>
          <c:idx val="3"/>
          <c:order val="5"/>
          <c:tx>
            <c:strRef>
              <c:f>'Trh práce 3'!$H$8</c:f>
              <c:strCache>
                <c:ptCount val="1"/>
                <c:pt idx="0">
                  <c:v>Mediánová mzda celkem (nominálně)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FFFF00"/>
              </a:solidFill>
              <a:ln w="6350">
                <a:solidFill>
                  <a:schemeClr val="bg1">
                    <a:lumMod val="50000"/>
                  </a:schemeClr>
                </a:solidFill>
              </a:ln>
            </c:spPr>
          </c:marker>
          <c:cat>
            <c:multiLvlStrRef>
              <c:f>'Trh práce 3'!$A$37:$B$69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'Trh práce 3'!$H$37:$H$69</c:f>
              <c:numCache>
                <c:formatCode>#\ ##0.0</c:formatCode>
                <c:ptCount val="33"/>
                <c:pt idx="0">
                  <c:v>4.9000000000000057</c:v>
                </c:pt>
                <c:pt idx="1">
                  <c:v>7.7000000000000028</c:v>
                </c:pt>
                <c:pt idx="2">
                  <c:v>7</c:v>
                </c:pt>
                <c:pt idx="3">
                  <c:v>8.9000000000000057</c:v>
                </c:pt>
                <c:pt idx="4">
                  <c:v>8.7000000000000028</c:v>
                </c:pt>
                <c:pt idx="5">
                  <c:v>9.7000000000000028</c:v>
                </c:pt>
                <c:pt idx="6">
                  <c:v>9.2999999999999972</c:v>
                </c:pt>
                <c:pt idx="7">
                  <c:v>6.7000000000000028</c:v>
                </c:pt>
                <c:pt idx="8">
                  <c:v>7.2000000000000028</c:v>
                </c:pt>
                <c:pt idx="9">
                  <c:v>6.4000000000000057</c:v>
                </c:pt>
                <c:pt idx="10">
                  <c:v>7.2999999999999972</c:v>
                </c:pt>
                <c:pt idx="11">
                  <c:v>6.4000000000000057</c:v>
                </c:pt>
                <c:pt idx="12">
                  <c:v>7</c:v>
                </c:pt>
                <c:pt idx="13">
                  <c:v>1.4000000000000057</c:v>
                </c:pt>
                <c:pt idx="14">
                  <c:v>6.7000000000000028</c:v>
                </c:pt>
                <c:pt idx="15">
                  <c:v>6.7000000000000028</c:v>
                </c:pt>
                <c:pt idx="16">
                  <c:v>2.2999999999999972</c:v>
                </c:pt>
                <c:pt idx="17">
                  <c:v>11.099999999999994</c:v>
                </c:pt>
                <c:pt idx="18">
                  <c:v>4.7000000000000028</c:v>
                </c:pt>
                <c:pt idx="19">
                  <c:v>4.5999999999999943</c:v>
                </c:pt>
                <c:pt idx="20">
                  <c:v>4.2999999999999972</c:v>
                </c:pt>
                <c:pt idx="21">
                  <c:v>3.2000000000000028</c:v>
                </c:pt>
                <c:pt idx="22">
                  <c:v>4.2000000000000028</c:v>
                </c:pt>
                <c:pt idx="23">
                  <c:v>6.2999999999999972</c:v>
                </c:pt>
                <c:pt idx="24">
                  <c:v>8.4000000000000057</c:v>
                </c:pt>
                <c:pt idx="25">
                  <c:v>6.5999999999999943</c:v>
                </c:pt>
                <c:pt idx="26">
                  <c:v>8.2000000000000028</c:v>
                </c:pt>
                <c:pt idx="27">
                  <c:v>7.2000000000000028</c:v>
                </c:pt>
                <c:pt idx="28">
                  <c:v>6.0999999999999943</c:v>
                </c:pt>
                <c:pt idx="29">
                  <c:v>6.7000000000000028</c:v>
                </c:pt>
                <c:pt idx="30">
                  <c:v>7.4000000000000057</c:v>
                </c:pt>
                <c:pt idx="31">
                  <c:v>4.0999999999999943</c:v>
                </c:pt>
                <c:pt idx="32">
                  <c:v>5.2999999999999972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E31-490E-B252-F5EF2B97F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88640"/>
        <c:axId val="100690560"/>
      </c:lineChart>
      <c:catAx>
        <c:axId val="10068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100690560"/>
        <c:crosses val="autoZero"/>
        <c:auto val="1"/>
        <c:lblAlgn val="ctr"/>
        <c:lblOffset val="0"/>
        <c:tickMarkSkip val="4"/>
        <c:noMultiLvlLbl val="0"/>
      </c:catAx>
      <c:valAx>
        <c:axId val="100690560"/>
        <c:scaling>
          <c:orientation val="minMax"/>
          <c:max val="18"/>
          <c:min val="-12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0688640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9.1292133366733495E-3"/>
          <c:y val="0.87578174603174608"/>
          <c:w val="0.97744446685490061"/>
          <c:h val="0.11341893424036281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81AD-41B0-431A-9D34-CF6700A12FAC}">
  <ds:schemaRefs>
    <ds:schemaRef ds:uri="http://schemas.openxmlformats.org/package/2006/metadata/core-properties"/>
    <ds:schemaRef ds:uri="http://schemas.microsoft.com/office/2006/documentManagement/types"/>
    <ds:schemaRef ds:uri="b8c0c86d-151e-4fca-b0d5-747e6692fa1d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28D40-814A-4D26-AB0A-AC52E506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2905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6</cp:revision>
  <cp:lastPrinted>2014-07-17T14:07:00Z</cp:lastPrinted>
  <dcterms:created xsi:type="dcterms:W3CDTF">2025-06-16T10:26:00Z</dcterms:created>
  <dcterms:modified xsi:type="dcterms:W3CDTF">2025-06-16T10:38:00Z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