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85069D" w:rsidP="00867569">
      <w:pPr>
        <w:pStyle w:val="Datum"/>
      </w:pPr>
      <w:r>
        <w:t>15</w:t>
      </w:r>
      <w:r w:rsidR="009F2A7A">
        <w:t xml:space="preserve"> </w:t>
      </w:r>
      <w:r>
        <w:t>May</w:t>
      </w:r>
      <w:r w:rsidR="009F2A7A">
        <w:t xml:space="preserve"> 2014</w:t>
      </w:r>
    </w:p>
    <w:p w:rsidR="008B3970" w:rsidRDefault="00C53DE6" w:rsidP="008B3970">
      <w:pPr>
        <w:pStyle w:val="Nzev"/>
      </w:pPr>
      <w:r>
        <w:t>GDP increased</w:t>
      </w:r>
      <w:r w:rsidR="00EC6139">
        <w:t xml:space="preserve"> </w:t>
      </w:r>
      <w:r>
        <w:t>in the Q</w:t>
      </w:r>
      <w:r w:rsidR="00EC6139">
        <w:t>1</w:t>
      </w:r>
      <w:r>
        <w:t xml:space="preserve"> by </w:t>
      </w:r>
      <w:r w:rsidR="00196D1B">
        <w:t>2</w:t>
      </w:r>
      <w:r>
        <w:t>.</w:t>
      </w:r>
      <w:r w:rsidR="00196D1B">
        <w:t>0</w:t>
      </w:r>
      <w:r>
        <w:t>%, y-o-y</w:t>
      </w:r>
    </w:p>
    <w:p w:rsidR="009F2A7A" w:rsidRPr="008B3970" w:rsidRDefault="009F2A7A" w:rsidP="009F2A7A">
      <w:pPr>
        <w:pStyle w:val="Podtitulek"/>
        <w:rPr>
          <w:color w:val="BD1B21"/>
        </w:rPr>
      </w:pPr>
      <w:r>
        <w:t xml:space="preserve">GDP preliminary estimate – the </w:t>
      </w:r>
      <w:r w:rsidR="0021139F">
        <w:t>f</w:t>
      </w:r>
      <w:r w:rsidR="00196D1B">
        <w:t>irst</w:t>
      </w:r>
      <w:r>
        <w:t xml:space="preserve"> quarter of 201</w:t>
      </w:r>
      <w:r w:rsidR="00196D1B">
        <w:t>4</w:t>
      </w:r>
    </w:p>
    <w:p w:rsidR="00196D1B" w:rsidRDefault="009F2A7A" w:rsidP="009F2A7A">
      <w:pPr>
        <w:pStyle w:val="Perex"/>
      </w:pPr>
      <w:r>
        <w:t xml:space="preserve">According to the preliminary estimate, the gross domestic product adjusted for price, seasonal, and calendar effects </w:t>
      </w:r>
      <w:r w:rsidR="0021139F">
        <w:t>in</w:t>
      </w:r>
      <w:r>
        <w:t>creased in the Q</w:t>
      </w:r>
      <w:r w:rsidR="00196D1B">
        <w:t>1 2014</w:t>
      </w:r>
      <w:r>
        <w:t xml:space="preserve"> by </w:t>
      </w:r>
      <w:r w:rsidR="00196D1B">
        <w:t>2</w:t>
      </w:r>
      <w:r w:rsidR="0021139F">
        <w:t>.</w:t>
      </w:r>
      <w:r w:rsidR="00196D1B">
        <w:t>0</w:t>
      </w:r>
      <w:r>
        <w:t>%, year-on-year</w:t>
      </w:r>
      <w:r w:rsidR="00196D1B">
        <w:t xml:space="preserve">. It was mainly </w:t>
      </w:r>
      <w:r w:rsidR="003C5490">
        <w:t>manufacturing</w:t>
      </w:r>
      <w:r w:rsidR="00196D1B">
        <w:t xml:space="preserve">, which contributed to that, as it profited from the last year low comparison basis and increasing domestic and foreign demand. </w:t>
      </w:r>
    </w:p>
    <w:p w:rsidR="008D1A02" w:rsidRDefault="008D1A02" w:rsidP="009F2A7A">
      <w:pPr>
        <w:rPr>
          <w:b/>
          <w:bCs/>
        </w:rPr>
      </w:pPr>
      <w:r>
        <w:t xml:space="preserve">According to </w:t>
      </w:r>
      <w:r w:rsidR="00160CA4">
        <w:t>the</w:t>
      </w:r>
      <w:r>
        <w:t xml:space="preserve"> preliminary estimate, i</w:t>
      </w:r>
      <w:r w:rsidR="009F2A7A" w:rsidRPr="00BC214A">
        <w:t xml:space="preserve">n the </w:t>
      </w:r>
      <w:r w:rsidR="009F2A7A" w:rsidRPr="00012C11">
        <w:rPr>
          <w:b/>
        </w:rPr>
        <w:t>Q</w:t>
      </w:r>
      <w:r>
        <w:rPr>
          <w:b/>
        </w:rPr>
        <w:t>1</w:t>
      </w:r>
      <w:r w:rsidR="009F2A7A" w:rsidRPr="00012C11">
        <w:rPr>
          <w:b/>
        </w:rPr>
        <w:t> 201</w:t>
      </w:r>
      <w:r>
        <w:rPr>
          <w:b/>
        </w:rPr>
        <w:t>4</w:t>
      </w:r>
      <w:r w:rsidR="009F2A7A" w:rsidRPr="00BC214A">
        <w:t xml:space="preserve"> the </w:t>
      </w:r>
      <w:r w:rsidR="009F2A7A" w:rsidRPr="00BC214A">
        <w:rPr>
          <w:b/>
          <w:bCs/>
        </w:rPr>
        <w:t xml:space="preserve">gross domestic product </w:t>
      </w:r>
      <w:r w:rsidR="009F2A7A" w:rsidRPr="00BC214A">
        <w:rPr>
          <w:bCs/>
        </w:rPr>
        <w:t>(GDP)</w:t>
      </w:r>
      <w:r w:rsidR="009F2A7A" w:rsidRPr="00BC214A">
        <w:t xml:space="preserve"> </w:t>
      </w:r>
      <w:r w:rsidR="009F2A7A" w:rsidRPr="00BC214A">
        <w:rPr>
          <w:rFonts w:cs="Arial"/>
          <w:bCs/>
          <w:szCs w:val="20"/>
        </w:rPr>
        <w:t>adjusted for price effects and seasonally adjusted</w:t>
      </w:r>
      <w:r w:rsidR="009F2A7A" w:rsidRPr="00BC214A">
        <w:rPr>
          <w:rStyle w:val="Znakapoznpodarou"/>
          <w:rFonts w:cs="Arial"/>
          <w:szCs w:val="20"/>
        </w:rPr>
        <w:t>/</w:t>
      </w:r>
      <w:r w:rsidR="009F2A7A" w:rsidRPr="00BC214A">
        <w:rPr>
          <w:rStyle w:val="Znakapoznpodarou"/>
          <w:rFonts w:cs="Arial"/>
          <w:bCs/>
          <w:szCs w:val="20"/>
        </w:rPr>
        <w:footnoteReference w:customMarkFollows="1" w:id="1"/>
        <w:t>*</w:t>
      </w:r>
      <w:r w:rsidR="009F2A7A" w:rsidRPr="00BC214A">
        <w:rPr>
          <w:rFonts w:cs="Arial"/>
          <w:bCs/>
          <w:szCs w:val="20"/>
        </w:rPr>
        <w:t xml:space="preserve"> </w:t>
      </w:r>
      <w:r w:rsidR="00387810">
        <w:rPr>
          <w:b/>
          <w:bCs/>
        </w:rPr>
        <w:t>in</w:t>
      </w:r>
      <w:r>
        <w:rPr>
          <w:b/>
          <w:bCs/>
        </w:rPr>
        <w:t xml:space="preserve">creased by 2.0%, year-on-year; compared to the Q4 2013 it remained unchanged. </w:t>
      </w:r>
    </w:p>
    <w:p w:rsidR="009F2A7A" w:rsidRDefault="009F2A7A" w:rsidP="009F2A7A">
      <w:pPr>
        <w:rPr>
          <w:rFonts w:cs="Arial"/>
          <w:szCs w:val="20"/>
        </w:rPr>
      </w:pPr>
    </w:p>
    <w:p w:rsidR="008D1A02" w:rsidRDefault="008D1A02" w:rsidP="001C3661">
      <w:r>
        <w:t xml:space="preserve">It was of key importance for the positive development of the economy and GDP formation that manufacturing </w:t>
      </w:r>
      <w:r w:rsidR="00160CA4">
        <w:t>has</w:t>
      </w:r>
      <w:r>
        <w:t xml:space="preserve"> gradually re</w:t>
      </w:r>
      <w:r w:rsidR="00160CA4">
        <w:t>covered</w:t>
      </w:r>
      <w:r>
        <w:t xml:space="preserve">; moreover, in the </w:t>
      </w:r>
      <w:r w:rsidRPr="008D1A02">
        <w:rPr>
          <w:b/>
        </w:rPr>
        <w:t>y-o-y comparison</w:t>
      </w:r>
      <w:r>
        <w:t xml:space="preserve"> it profited from last year low comparison basis. Successful were especially</w:t>
      </w:r>
      <w:r w:rsidR="008D40DC">
        <w:t xml:space="preserve"> manufacture of</w:t>
      </w:r>
      <w:r>
        <w:t xml:space="preserve"> </w:t>
      </w:r>
      <w:r w:rsidR="008D40DC">
        <w:t xml:space="preserve">transport equipment, rubber and plastic products, and also other industries that were able to flexibly react on increasing domestic and foreign demand. </w:t>
      </w:r>
    </w:p>
    <w:p w:rsidR="008D40DC" w:rsidRPr="008D1A02" w:rsidRDefault="008D40DC" w:rsidP="001C3661">
      <w:r>
        <w:t xml:space="preserve">In the </w:t>
      </w:r>
      <w:r w:rsidRPr="008D40DC">
        <w:rPr>
          <w:b/>
        </w:rPr>
        <w:t>quarter-on-quarter comparison</w:t>
      </w:r>
      <w:r>
        <w:t xml:space="preserve">, </w:t>
      </w:r>
      <w:r w:rsidR="001C3ABE">
        <w:t xml:space="preserve">the GDP did not increase </w:t>
      </w:r>
      <w:r w:rsidR="00F6738A">
        <w:t>due to</w:t>
      </w:r>
      <w:r w:rsidR="001C3ABE">
        <w:t xml:space="preserve"> significant drop in income from </w:t>
      </w:r>
      <w:r w:rsidR="00F6738A">
        <w:t xml:space="preserve">the </w:t>
      </w:r>
      <w:r w:rsidR="001C3ABE">
        <w:t xml:space="preserve">excise tax on tobacco products resulting from stocking up in the end of 2013 on the account of the Q1 and Q2 2014. </w:t>
      </w:r>
    </w:p>
    <w:p w:rsidR="008D1A02" w:rsidRDefault="008D1A02" w:rsidP="001C3661"/>
    <w:p w:rsidR="000A3683" w:rsidRDefault="003B6D1D" w:rsidP="001C3661">
      <w:r>
        <w:t xml:space="preserve">On the expenditure side of the economy, </w:t>
      </w:r>
      <w:r w:rsidR="001F2525">
        <w:t xml:space="preserve">the y-o-y growth of the total demand was contributed to mainly by the </w:t>
      </w:r>
      <w:r w:rsidR="000A3683">
        <w:t>external trade; also final consumption expenditure and fi</w:t>
      </w:r>
      <w:r w:rsidR="001F2525">
        <w:t xml:space="preserve">xed capital </w:t>
      </w:r>
      <w:r w:rsidR="00300620">
        <w:t>formation</w:t>
      </w:r>
      <w:r w:rsidR="001F2525">
        <w:t xml:space="preserve"> </w:t>
      </w:r>
      <w:r w:rsidR="000A3683">
        <w:t xml:space="preserve">increased. On the contrary, total inventories decreased, partially also in relation to gradual sale of stored tobacco products. </w:t>
      </w:r>
    </w:p>
    <w:p w:rsidR="000A3683" w:rsidRDefault="000A3683" w:rsidP="001C3661"/>
    <w:p w:rsidR="009F2A7A" w:rsidRDefault="009F2A7A" w:rsidP="009F2A7A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9F2A7A" w:rsidRDefault="009F2A7A" w:rsidP="009F2A7A">
      <w:pPr>
        <w:rPr>
          <w:rFonts w:cs="Arial"/>
          <w:szCs w:val="20"/>
        </w:rPr>
      </w:pPr>
    </w:p>
    <w:p w:rsidR="003130B6" w:rsidRDefault="003130B6" w:rsidP="003130B6"/>
    <w:p w:rsidR="009F2A7A" w:rsidRPr="002723CC" w:rsidRDefault="009F2A7A" w:rsidP="002723CC">
      <w:pPr>
        <w:pStyle w:val="Poznmky"/>
        <w:tabs>
          <w:tab w:val="left" w:pos="284"/>
        </w:tabs>
        <w:ind w:left="3540" w:hanging="3540"/>
        <w:rPr>
          <w:i/>
          <w:lang w:val="en-GB"/>
        </w:rPr>
      </w:pPr>
      <w:r w:rsidRPr="002723CC">
        <w:rPr>
          <w:i/>
          <w:lang w:val="en-GB"/>
        </w:rPr>
        <w:t>Contact person:</w:t>
      </w:r>
      <w:r w:rsidRPr="002723CC">
        <w:rPr>
          <w:i/>
          <w:lang w:val="en-GB"/>
        </w:rPr>
        <w:tab/>
        <w:t xml:space="preserve">Jan Heller, Director of the Quarterly National Accounts Department, phone number: (+420) 274 052 865, </w:t>
      </w:r>
    </w:p>
    <w:p w:rsidR="009F2A7A" w:rsidRPr="002723CC" w:rsidRDefault="009F2A7A" w:rsidP="009F2A7A">
      <w:pPr>
        <w:tabs>
          <w:tab w:val="left" w:pos="3544"/>
        </w:tabs>
        <w:ind w:left="3540" w:hanging="3540"/>
        <w:rPr>
          <w:i/>
          <w:sz w:val="18"/>
          <w:szCs w:val="18"/>
        </w:rPr>
      </w:pPr>
      <w:r w:rsidRPr="002723CC">
        <w:rPr>
          <w:i/>
          <w:sz w:val="18"/>
          <w:szCs w:val="18"/>
        </w:rPr>
        <w:tab/>
        <w:t xml:space="preserve">e-mail: </w:t>
      </w:r>
      <w:hyperlink r:id="rId7" w:history="1">
        <w:r w:rsidRPr="002723CC">
          <w:rPr>
            <w:rStyle w:val="Hypertextovodkaz"/>
            <w:i/>
            <w:sz w:val="18"/>
            <w:szCs w:val="18"/>
          </w:rPr>
          <w:t>jan.heller@czso.cz</w:t>
        </w:r>
      </w:hyperlink>
    </w:p>
    <w:p w:rsidR="009F2A7A" w:rsidRPr="002723CC" w:rsidRDefault="009F2A7A" w:rsidP="009F2A7A">
      <w:pPr>
        <w:pStyle w:val="Poznamkytexty"/>
        <w:ind w:left="3600" w:hanging="3600"/>
        <w:rPr>
          <w:lang w:val="en-GB"/>
        </w:rPr>
      </w:pPr>
      <w:r w:rsidRPr="002723CC">
        <w:rPr>
          <w:lang w:val="en-GB"/>
        </w:rPr>
        <w:t>Used data sources updated as at:</w:t>
      </w:r>
      <w:r w:rsidRPr="002723CC">
        <w:rPr>
          <w:lang w:val="en-GB"/>
        </w:rPr>
        <w:tab/>
        <w:t xml:space="preserve">12 </w:t>
      </w:r>
      <w:r w:rsidR="00857C00">
        <w:rPr>
          <w:lang w:val="en-GB"/>
        </w:rPr>
        <w:t>Ma</w:t>
      </w:r>
      <w:r w:rsidR="007405FA" w:rsidRPr="002723CC">
        <w:rPr>
          <w:lang w:val="en-GB"/>
        </w:rPr>
        <w:t>y</w:t>
      </w:r>
      <w:r w:rsidRPr="002723CC">
        <w:rPr>
          <w:lang w:val="en-GB"/>
        </w:rPr>
        <w:t xml:space="preserve"> 201</w:t>
      </w:r>
      <w:r w:rsidR="0038701C" w:rsidRPr="002723CC">
        <w:rPr>
          <w:lang w:val="en-GB"/>
        </w:rPr>
        <w:t>4</w:t>
      </w:r>
    </w:p>
    <w:p w:rsidR="009F2A7A" w:rsidRPr="002723CC" w:rsidRDefault="009F2A7A" w:rsidP="009F2A7A">
      <w:pPr>
        <w:pStyle w:val="Poznamkytexty"/>
        <w:ind w:left="3600" w:hanging="3600"/>
        <w:rPr>
          <w:lang w:val="en-GB"/>
        </w:rPr>
      </w:pPr>
      <w:r w:rsidRPr="002723CC">
        <w:rPr>
          <w:lang w:val="en-GB"/>
        </w:rPr>
        <w:t>Related CZSO web page:</w:t>
      </w:r>
      <w:r w:rsidRPr="002723CC">
        <w:rPr>
          <w:lang w:val="en-GB"/>
        </w:rPr>
        <w:tab/>
        <w:t>www.czso.cz/csu/csu.nsf/engkalendar/aktual-hdp</w:t>
      </w:r>
      <w:r w:rsidRPr="002723CC">
        <w:rPr>
          <w:lang w:val="en-GB"/>
        </w:rPr>
        <w:tab/>
      </w:r>
    </w:p>
    <w:p w:rsidR="009F2A7A" w:rsidRPr="002723CC" w:rsidRDefault="009F2A7A" w:rsidP="009F2A7A">
      <w:pPr>
        <w:tabs>
          <w:tab w:val="left" w:pos="3544"/>
        </w:tabs>
        <w:rPr>
          <w:i/>
          <w:sz w:val="18"/>
          <w:szCs w:val="18"/>
        </w:rPr>
      </w:pPr>
      <w:r w:rsidRPr="002723CC">
        <w:rPr>
          <w:i/>
          <w:sz w:val="18"/>
          <w:szCs w:val="18"/>
        </w:rPr>
        <w:t>Next News Release will be published on:</w:t>
      </w:r>
      <w:r w:rsidRPr="002723CC">
        <w:rPr>
          <w:i/>
          <w:sz w:val="18"/>
          <w:szCs w:val="18"/>
        </w:rPr>
        <w:tab/>
      </w:r>
      <w:r w:rsidR="00857C00">
        <w:rPr>
          <w:i/>
          <w:sz w:val="18"/>
          <w:szCs w:val="18"/>
        </w:rPr>
        <w:t>4</w:t>
      </w:r>
      <w:r w:rsidR="0038701C" w:rsidRPr="002723CC">
        <w:rPr>
          <w:i/>
          <w:sz w:val="18"/>
          <w:szCs w:val="18"/>
        </w:rPr>
        <w:t xml:space="preserve"> </w:t>
      </w:r>
      <w:r w:rsidR="00857C00">
        <w:rPr>
          <w:i/>
          <w:sz w:val="18"/>
          <w:szCs w:val="18"/>
        </w:rPr>
        <w:t>June</w:t>
      </w:r>
      <w:r w:rsidR="0038701C" w:rsidRPr="002723CC">
        <w:rPr>
          <w:i/>
          <w:sz w:val="18"/>
          <w:szCs w:val="18"/>
        </w:rPr>
        <w:t xml:space="preserve"> 2014</w:t>
      </w:r>
      <w:r w:rsidRPr="002723CC">
        <w:rPr>
          <w:i/>
          <w:sz w:val="18"/>
          <w:szCs w:val="18"/>
        </w:rPr>
        <w:t xml:space="preserve"> (GDP resources and uses for the Q</w:t>
      </w:r>
      <w:r w:rsidR="00857C00">
        <w:rPr>
          <w:i/>
          <w:sz w:val="18"/>
          <w:szCs w:val="18"/>
        </w:rPr>
        <w:t>1</w:t>
      </w:r>
      <w:r w:rsidRPr="002723CC">
        <w:rPr>
          <w:i/>
          <w:sz w:val="18"/>
          <w:szCs w:val="18"/>
        </w:rPr>
        <w:t> 201</w:t>
      </w:r>
      <w:r w:rsidR="00857C00">
        <w:rPr>
          <w:i/>
          <w:sz w:val="18"/>
          <w:szCs w:val="18"/>
        </w:rPr>
        <w:t>4</w:t>
      </w:r>
      <w:r w:rsidRPr="002723CC">
        <w:rPr>
          <w:i/>
          <w:sz w:val="18"/>
          <w:szCs w:val="18"/>
        </w:rPr>
        <w:t>)</w:t>
      </w:r>
    </w:p>
    <w:p w:rsidR="009F2A7A" w:rsidRDefault="009F2A7A" w:rsidP="009F2A7A"/>
    <w:p w:rsidR="002723CC" w:rsidRPr="002723CC" w:rsidRDefault="002723CC" w:rsidP="009F2A7A"/>
    <w:sectPr w:rsidR="002723CC" w:rsidRPr="002723CC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39B" w:rsidRDefault="0015639B" w:rsidP="00BA6370">
      <w:r>
        <w:separator/>
      </w:r>
    </w:p>
  </w:endnote>
  <w:endnote w:type="continuationSeparator" w:id="0">
    <w:p w:rsidR="0015639B" w:rsidRDefault="0015639B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F4B83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9F2A7A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DE"/>
                  </w:rPr>
                </w:pPr>
                <w:r w:rsidRPr="009F2A7A">
                  <w:rPr>
                    <w:rFonts w:cs="Arial"/>
                    <w:sz w:val="15"/>
                    <w:szCs w:val="15"/>
                    <w:lang w:val="de-DE"/>
                  </w:rPr>
                  <w:t xml:space="preserve">tel: +420 274 052 304, +420 274 052 425, e-mail: </w:t>
                </w:r>
                <w:hyperlink r:id="rId1" w:history="1">
                  <w:r w:rsidRPr="009F2A7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DE"/>
                    </w:rPr>
                    <w:t>infoservis@czso.cz</w:t>
                  </w:r>
                </w:hyperlink>
                <w:r w:rsidRPr="009F2A7A">
                  <w:rPr>
                    <w:rFonts w:cs="Arial"/>
                    <w:sz w:val="15"/>
                    <w:szCs w:val="15"/>
                    <w:lang w:val="de-DE"/>
                  </w:rPr>
                  <w:tab/>
                </w:r>
                <w:r w:rsidR="000F4B83" w:rsidRPr="007E75DE">
                  <w:rPr>
                    <w:rFonts w:cs="Arial"/>
                    <w:szCs w:val="15"/>
                  </w:rPr>
                  <w:fldChar w:fldCharType="begin"/>
                </w:r>
                <w:r w:rsidRPr="009F2A7A">
                  <w:rPr>
                    <w:rFonts w:cs="Arial"/>
                    <w:szCs w:val="15"/>
                    <w:lang w:val="de-DE"/>
                  </w:rPr>
                  <w:instrText xml:space="preserve"> PAGE   \* MERGEFORMAT </w:instrText>
                </w:r>
                <w:r w:rsidR="000F4B83" w:rsidRPr="007E75DE">
                  <w:rPr>
                    <w:rFonts w:cs="Arial"/>
                    <w:szCs w:val="15"/>
                  </w:rPr>
                  <w:fldChar w:fldCharType="separate"/>
                </w:r>
                <w:r w:rsidR="00D7350D">
                  <w:rPr>
                    <w:rFonts w:cs="Arial"/>
                    <w:noProof/>
                    <w:szCs w:val="15"/>
                    <w:lang w:val="de-DE"/>
                  </w:rPr>
                  <w:t>1</w:t>
                </w:r>
                <w:r w:rsidR="000F4B83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0F4B83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39B" w:rsidRDefault="0015639B" w:rsidP="00BA6370">
      <w:r>
        <w:separator/>
      </w:r>
    </w:p>
  </w:footnote>
  <w:footnote w:type="continuationSeparator" w:id="0">
    <w:p w:rsidR="0015639B" w:rsidRDefault="0015639B" w:rsidP="00BA6370">
      <w:r>
        <w:continuationSeparator/>
      </w:r>
    </w:p>
  </w:footnote>
  <w:footnote w:id="1">
    <w:p w:rsidR="009F2A7A" w:rsidRDefault="009F2A7A" w:rsidP="009F2A7A">
      <w:pPr>
        <w:pStyle w:val="Textpoznpodarou"/>
      </w:pPr>
      <w:r w:rsidRPr="009560C5">
        <w:rPr>
          <w:rStyle w:val="Znakapoznpodarou"/>
          <w:rFonts w:eastAsia="Calibri"/>
          <w:sz w:val="18"/>
          <w:szCs w:val="18"/>
        </w:rPr>
        <w:t>*/</w:t>
      </w:r>
      <w:r w:rsidRPr="009560C5">
        <w:rPr>
          <w:sz w:val="18"/>
          <w:szCs w:val="18"/>
        </w:rPr>
        <w:t xml:space="preserve"> </w:t>
      </w:r>
      <w:r w:rsidRPr="004A4F98">
        <w:rPr>
          <w:rFonts w:ascii="Arial" w:hAnsi="Arial" w:cs="Arial"/>
          <w:i/>
          <w:sz w:val="18"/>
          <w:szCs w:val="18"/>
        </w:rPr>
        <w:t xml:space="preserve">Unless otherwise stated, all data presented in this </w:t>
      </w:r>
      <w:r>
        <w:rPr>
          <w:rFonts w:ascii="Arial" w:hAnsi="Arial" w:cs="Arial"/>
          <w:i/>
          <w:sz w:val="18"/>
          <w:szCs w:val="18"/>
        </w:rPr>
        <w:t>N</w:t>
      </w:r>
      <w:r w:rsidRPr="004A4F98">
        <w:rPr>
          <w:rFonts w:ascii="Arial" w:hAnsi="Arial" w:cs="Arial"/>
          <w:i/>
          <w:sz w:val="18"/>
          <w:szCs w:val="18"/>
        </w:rPr>
        <w:t xml:space="preserve">ews </w:t>
      </w:r>
      <w:r>
        <w:rPr>
          <w:rFonts w:ascii="Arial" w:hAnsi="Arial" w:cs="Arial"/>
          <w:i/>
          <w:sz w:val="18"/>
          <w:szCs w:val="18"/>
        </w:rPr>
        <w:t>R</w:t>
      </w:r>
      <w:r w:rsidRPr="004A4F98">
        <w:rPr>
          <w:rFonts w:ascii="Arial" w:hAnsi="Arial" w:cs="Arial"/>
          <w:i/>
          <w:sz w:val="18"/>
          <w:szCs w:val="18"/>
        </w:rPr>
        <w:t>elease are adjusted for price, seasonal</w:t>
      </w:r>
      <w:r>
        <w:rPr>
          <w:rFonts w:ascii="Arial" w:hAnsi="Arial" w:cs="Arial"/>
          <w:i/>
          <w:sz w:val="18"/>
          <w:szCs w:val="18"/>
        </w:rPr>
        <w:t>,</w:t>
      </w:r>
      <w:r w:rsidRPr="004A4F98">
        <w:rPr>
          <w:rFonts w:ascii="Arial" w:hAnsi="Arial" w:cs="Arial"/>
          <w:i/>
          <w:sz w:val="18"/>
          <w:szCs w:val="18"/>
        </w:rPr>
        <w:t xml:space="preserve"> and calendar effects.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F4B83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1331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DE6"/>
    <w:rsid w:val="00043BF4"/>
    <w:rsid w:val="00046A8C"/>
    <w:rsid w:val="000843A5"/>
    <w:rsid w:val="00091722"/>
    <w:rsid w:val="000A3683"/>
    <w:rsid w:val="000B6F63"/>
    <w:rsid w:val="000F4B83"/>
    <w:rsid w:val="00116ED1"/>
    <w:rsid w:val="001216BD"/>
    <w:rsid w:val="0013242C"/>
    <w:rsid w:val="001404AB"/>
    <w:rsid w:val="0015639B"/>
    <w:rsid w:val="00160CA4"/>
    <w:rsid w:val="0017231D"/>
    <w:rsid w:val="00176E26"/>
    <w:rsid w:val="0018061F"/>
    <w:rsid w:val="001810DC"/>
    <w:rsid w:val="00196D1B"/>
    <w:rsid w:val="001B607F"/>
    <w:rsid w:val="001C3661"/>
    <w:rsid w:val="001C3ABE"/>
    <w:rsid w:val="001C42F3"/>
    <w:rsid w:val="001C71FD"/>
    <w:rsid w:val="001D369A"/>
    <w:rsid w:val="001F08B3"/>
    <w:rsid w:val="001F2525"/>
    <w:rsid w:val="002070FB"/>
    <w:rsid w:val="0021139F"/>
    <w:rsid w:val="00213729"/>
    <w:rsid w:val="002406FA"/>
    <w:rsid w:val="002723CC"/>
    <w:rsid w:val="002B2E47"/>
    <w:rsid w:val="002D37F5"/>
    <w:rsid w:val="00300620"/>
    <w:rsid w:val="003130B6"/>
    <w:rsid w:val="003225A8"/>
    <w:rsid w:val="0032398D"/>
    <w:rsid w:val="003301A3"/>
    <w:rsid w:val="0033265E"/>
    <w:rsid w:val="00365C0A"/>
    <w:rsid w:val="0036777B"/>
    <w:rsid w:val="00380178"/>
    <w:rsid w:val="0038282A"/>
    <w:rsid w:val="0038701C"/>
    <w:rsid w:val="00387810"/>
    <w:rsid w:val="00397580"/>
    <w:rsid w:val="00397B78"/>
    <w:rsid w:val="003A45C8"/>
    <w:rsid w:val="003B6D1D"/>
    <w:rsid w:val="003B7F42"/>
    <w:rsid w:val="003C1332"/>
    <w:rsid w:val="003C2DCF"/>
    <w:rsid w:val="003C3372"/>
    <w:rsid w:val="003C5490"/>
    <w:rsid w:val="003C7FE7"/>
    <w:rsid w:val="003D0499"/>
    <w:rsid w:val="003D3576"/>
    <w:rsid w:val="003F526A"/>
    <w:rsid w:val="00405244"/>
    <w:rsid w:val="00436D82"/>
    <w:rsid w:val="004436EE"/>
    <w:rsid w:val="0045547F"/>
    <w:rsid w:val="00477DA1"/>
    <w:rsid w:val="00477EC8"/>
    <w:rsid w:val="004920AD"/>
    <w:rsid w:val="004B1DAB"/>
    <w:rsid w:val="004D05B3"/>
    <w:rsid w:val="004E479E"/>
    <w:rsid w:val="004F78E6"/>
    <w:rsid w:val="00512D99"/>
    <w:rsid w:val="00531DBB"/>
    <w:rsid w:val="00564213"/>
    <w:rsid w:val="0058576C"/>
    <w:rsid w:val="005E56D5"/>
    <w:rsid w:val="005F79FB"/>
    <w:rsid w:val="00604406"/>
    <w:rsid w:val="00605F4A"/>
    <w:rsid w:val="006074CD"/>
    <w:rsid w:val="00607822"/>
    <w:rsid w:val="006103AA"/>
    <w:rsid w:val="00613BBF"/>
    <w:rsid w:val="00615D11"/>
    <w:rsid w:val="00622B80"/>
    <w:rsid w:val="0064139A"/>
    <w:rsid w:val="006D5C60"/>
    <w:rsid w:val="006E024F"/>
    <w:rsid w:val="006E4E81"/>
    <w:rsid w:val="00707F7D"/>
    <w:rsid w:val="0071164D"/>
    <w:rsid w:val="0071513C"/>
    <w:rsid w:val="00717EC5"/>
    <w:rsid w:val="007405FA"/>
    <w:rsid w:val="00755D8B"/>
    <w:rsid w:val="00763787"/>
    <w:rsid w:val="007A0CA5"/>
    <w:rsid w:val="007A57F2"/>
    <w:rsid w:val="007B1333"/>
    <w:rsid w:val="007C2DBC"/>
    <w:rsid w:val="007D4099"/>
    <w:rsid w:val="007E0FBB"/>
    <w:rsid w:val="007E342F"/>
    <w:rsid w:val="007E4A2F"/>
    <w:rsid w:val="007F4AEB"/>
    <w:rsid w:val="007F75B2"/>
    <w:rsid w:val="008043C4"/>
    <w:rsid w:val="00831B1B"/>
    <w:rsid w:val="0085069D"/>
    <w:rsid w:val="00855FB3"/>
    <w:rsid w:val="00857C00"/>
    <w:rsid w:val="00861D0E"/>
    <w:rsid w:val="00867569"/>
    <w:rsid w:val="00885C0D"/>
    <w:rsid w:val="008A1AAE"/>
    <w:rsid w:val="008A750A"/>
    <w:rsid w:val="008B3970"/>
    <w:rsid w:val="008C384C"/>
    <w:rsid w:val="008D0F11"/>
    <w:rsid w:val="008D1A02"/>
    <w:rsid w:val="008D40DC"/>
    <w:rsid w:val="008F73B4"/>
    <w:rsid w:val="009035E8"/>
    <w:rsid w:val="00971143"/>
    <w:rsid w:val="00971374"/>
    <w:rsid w:val="009A1259"/>
    <w:rsid w:val="009B55B1"/>
    <w:rsid w:val="009E39C5"/>
    <w:rsid w:val="009F2A7A"/>
    <w:rsid w:val="00A4343D"/>
    <w:rsid w:val="00A502F1"/>
    <w:rsid w:val="00A70A83"/>
    <w:rsid w:val="00A81EB3"/>
    <w:rsid w:val="00A9179A"/>
    <w:rsid w:val="00AA2618"/>
    <w:rsid w:val="00AC3140"/>
    <w:rsid w:val="00B00C1D"/>
    <w:rsid w:val="00B632CC"/>
    <w:rsid w:val="00BA12F1"/>
    <w:rsid w:val="00BA439F"/>
    <w:rsid w:val="00BA6370"/>
    <w:rsid w:val="00BD4809"/>
    <w:rsid w:val="00BF6738"/>
    <w:rsid w:val="00C269D4"/>
    <w:rsid w:val="00C4160D"/>
    <w:rsid w:val="00C53DE6"/>
    <w:rsid w:val="00C77DD9"/>
    <w:rsid w:val="00C8406E"/>
    <w:rsid w:val="00CB2709"/>
    <w:rsid w:val="00CB6F89"/>
    <w:rsid w:val="00CE228C"/>
    <w:rsid w:val="00CE71D9"/>
    <w:rsid w:val="00CF545B"/>
    <w:rsid w:val="00D209A7"/>
    <w:rsid w:val="00D27D69"/>
    <w:rsid w:val="00D448C2"/>
    <w:rsid w:val="00D633F9"/>
    <w:rsid w:val="00D666C3"/>
    <w:rsid w:val="00D7350D"/>
    <w:rsid w:val="00D811AB"/>
    <w:rsid w:val="00DC160E"/>
    <w:rsid w:val="00DC653B"/>
    <w:rsid w:val="00DF47FE"/>
    <w:rsid w:val="00E0156A"/>
    <w:rsid w:val="00E26704"/>
    <w:rsid w:val="00E31980"/>
    <w:rsid w:val="00E409C8"/>
    <w:rsid w:val="00E6423C"/>
    <w:rsid w:val="00E71483"/>
    <w:rsid w:val="00E93830"/>
    <w:rsid w:val="00E93E0E"/>
    <w:rsid w:val="00EB0BA2"/>
    <w:rsid w:val="00EB1A25"/>
    <w:rsid w:val="00EB1ED3"/>
    <w:rsid w:val="00EC6139"/>
    <w:rsid w:val="00EE70B7"/>
    <w:rsid w:val="00F314B7"/>
    <w:rsid w:val="00F601D3"/>
    <w:rsid w:val="00F6738A"/>
    <w:rsid w:val="00F83C49"/>
    <w:rsid w:val="00FB687C"/>
    <w:rsid w:val="00FE114D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9F2A7A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semiHidden/>
    <w:rsid w:val="009F2A7A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F2A7A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9F2A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.heller@czs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hova\Plocha\Nov&#225;_&#353;ablona_RI_AJ_2013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7EB9-737F-48E6-B60E-70C15336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Nová_šablona_RI_AJ_2013.dotx</Template>
  <TotalTime>0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1997</CharactersWithSpaces>
  <SharedDoc>false</SharedDoc>
  <HLinks>
    <vt:vector size="12" baseType="variant">
      <vt:variant>
        <vt:i4>3211328</vt:i4>
      </vt:variant>
      <vt:variant>
        <vt:i4>0</vt:i4>
      </vt:variant>
      <vt:variant>
        <vt:i4>0</vt:i4>
      </vt:variant>
      <vt:variant>
        <vt:i4>5</vt:i4>
      </vt:variant>
      <vt:variant>
        <vt:lpwstr>mailto:jan.heller@czso.cz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Matoušová</dc:creator>
  <cp:lastModifiedBy>Matoušová Milada, Mgr.</cp:lastModifiedBy>
  <cp:revision>2</cp:revision>
  <cp:lastPrinted>2014-05-14T07:47:00Z</cp:lastPrinted>
  <dcterms:created xsi:type="dcterms:W3CDTF">2014-05-14T08:31:00Z</dcterms:created>
  <dcterms:modified xsi:type="dcterms:W3CDTF">2014-05-14T08:31:00Z</dcterms:modified>
</cp:coreProperties>
</file>