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BC92" w14:textId="06FF747D" w:rsidR="00EF23B5" w:rsidRPr="00584252" w:rsidRDefault="00EF23B5" w:rsidP="00EF23B5">
      <w:pPr>
        <w:pStyle w:val="Nadpis1"/>
      </w:pPr>
      <w:bookmarkStart w:id="0" w:name="_Toc42852407"/>
      <w:bookmarkStart w:id="1" w:name="_Toc444112494"/>
      <w:bookmarkStart w:id="2" w:name="_Toc511215208"/>
      <w:bookmarkStart w:id="3" w:name="_Toc26865017"/>
      <w:r w:rsidRPr="00584252">
        <w:t>1. Shrnutí</w:t>
      </w:r>
      <w:bookmarkEnd w:id="0"/>
    </w:p>
    <w:bookmarkEnd w:id="1"/>
    <w:bookmarkEnd w:id="2"/>
    <w:p w14:paraId="780BEE73" w14:textId="77777777" w:rsidR="00EF23B5" w:rsidRPr="0079420B" w:rsidRDefault="00EF23B5" w:rsidP="00EF23B5">
      <w:pPr>
        <w:pStyle w:val="Normalodrka"/>
        <w:spacing w:after="100"/>
        <w:rPr>
          <w:spacing w:val="-4"/>
        </w:rPr>
      </w:pPr>
      <w:r w:rsidRPr="0079420B">
        <w:rPr>
          <w:spacing w:val="-4"/>
        </w:rPr>
        <w:t xml:space="preserve">Česká ekonomika byla podobně jako </w:t>
      </w:r>
      <w:r>
        <w:rPr>
          <w:spacing w:val="-4"/>
        </w:rPr>
        <w:t>ekonomiky jiných zemí</w:t>
      </w:r>
      <w:r w:rsidRPr="0079420B">
        <w:rPr>
          <w:spacing w:val="-4"/>
        </w:rPr>
        <w:t xml:space="preserve"> v 1.</w:t>
      </w:r>
      <w:r>
        <w:rPr>
          <w:spacing w:val="-4"/>
        </w:rPr>
        <w:t> čtvrtlet</w:t>
      </w:r>
      <w:r w:rsidRPr="0079420B">
        <w:rPr>
          <w:spacing w:val="-4"/>
        </w:rPr>
        <w:t>í výrazně zasažena průběhem nákazy koronavirem. Opatření, která byla proti šíření nákazy zavedena, přispěla k meziročnímu poklesu hrubého domácího produktu (HDP) o</w:t>
      </w:r>
      <w:r>
        <w:rPr>
          <w:spacing w:val="-4"/>
        </w:rPr>
        <w:t> </w:t>
      </w:r>
      <w:r w:rsidRPr="0079420B">
        <w:rPr>
          <w:spacing w:val="-4"/>
        </w:rPr>
        <w:t>2,0</w:t>
      </w:r>
      <w:r>
        <w:rPr>
          <w:spacing w:val="-4"/>
        </w:rPr>
        <w:t> %</w:t>
      </w:r>
      <w:r w:rsidRPr="0079420B">
        <w:rPr>
          <w:rStyle w:val="Znakapoznpodarou"/>
          <w:spacing w:val="-4"/>
          <w:szCs w:val="20"/>
        </w:rPr>
        <w:footnoteReference w:id="1"/>
      </w:r>
      <w:r w:rsidRPr="0079420B">
        <w:rPr>
          <w:spacing w:val="-4"/>
        </w:rPr>
        <w:t xml:space="preserve"> a</w:t>
      </w:r>
      <w:r>
        <w:rPr>
          <w:spacing w:val="-4"/>
        </w:rPr>
        <w:t> </w:t>
      </w:r>
      <w:r w:rsidRPr="0079420B">
        <w:rPr>
          <w:spacing w:val="-4"/>
        </w:rPr>
        <w:t>mezičtvrtletnímu o</w:t>
      </w:r>
      <w:r>
        <w:rPr>
          <w:spacing w:val="-4"/>
        </w:rPr>
        <w:t> </w:t>
      </w:r>
      <w:r w:rsidRPr="0079420B">
        <w:rPr>
          <w:spacing w:val="-4"/>
        </w:rPr>
        <w:t>3,3</w:t>
      </w:r>
      <w:r>
        <w:rPr>
          <w:spacing w:val="-4"/>
        </w:rPr>
        <w:t> %</w:t>
      </w:r>
      <w:r w:rsidRPr="0079420B">
        <w:rPr>
          <w:spacing w:val="-4"/>
        </w:rPr>
        <w:t>. Z pohledu výdajových složek HDP nejhlubší propad nastal u</w:t>
      </w:r>
      <w:r>
        <w:rPr>
          <w:spacing w:val="-4"/>
        </w:rPr>
        <w:t> </w:t>
      </w:r>
      <w:r w:rsidRPr="0079420B">
        <w:rPr>
          <w:spacing w:val="-4"/>
        </w:rPr>
        <w:t>investiční aktivity (meziročně o</w:t>
      </w:r>
      <w:r>
        <w:rPr>
          <w:spacing w:val="-4"/>
        </w:rPr>
        <w:t> </w:t>
      </w:r>
      <w:r w:rsidRPr="0079420B">
        <w:rPr>
          <w:spacing w:val="-4"/>
        </w:rPr>
        <w:t>5,5</w:t>
      </w:r>
      <w:r>
        <w:rPr>
          <w:spacing w:val="-4"/>
        </w:rPr>
        <w:t> %</w:t>
      </w:r>
      <w:r w:rsidRPr="0079420B">
        <w:rPr>
          <w:spacing w:val="-4"/>
        </w:rPr>
        <w:t>, mezičtvrtletně o</w:t>
      </w:r>
      <w:r>
        <w:rPr>
          <w:spacing w:val="-4"/>
        </w:rPr>
        <w:t> </w:t>
      </w:r>
      <w:r w:rsidRPr="0079420B">
        <w:rPr>
          <w:spacing w:val="-4"/>
        </w:rPr>
        <w:t>9,7</w:t>
      </w:r>
      <w:r>
        <w:rPr>
          <w:spacing w:val="-4"/>
        </w:rPr>
        <w:t> %</w:t>
      </w:r>
      <w:r w:rsidRPr="0079420B">
        <w:rPr>
          <w:spacing w:val="-4"/>
        </w:rPr>
        <w:t>), která je tradičně nejcitlivější na negativní šoky. Ve směru poklesu HDP působila i</w:t>
      </w:r>
      <w:r>
        <w:rPr>
          <w:spacing w:val="-4"/>
        </w:rPr>
        <w:t> </w:t>
      </w:r>
      <w:r w:rsidRPr="0079420B">
        <w:rPr>
          <w:spacing w:val="-4"/>
        </w:rPr>
        <w:t>bilance zahraničního obchodu. Domácí spotřeba k růstu HDP přispívala kladně, bylo to však jen kvůli prudkému navýšení spotřeby vládních institucí. Pokles se nevyhnul ani většině zemí EU, které byly podobně jako Česko zasaženy nákazou. Meziroční pokles HDP v Evropské unii činil 2,6</w:t>
      </w:r>
      <w:r>
        <w:rPr>
          <w:spacing w:val="-4"/>
        </w:rPr>
        <w:t> </w:t>
      </w:r>
      <w:r w:rsidRPr="0079420B">
        <w:rPr>
          <w:spacing w:val="-4"/>
        </w:rPr>
        <w:t>%, mezičtvrtletně se H</w:t>
      </w:r>
      <w:r>
        <w:rPr>
          <w:spacing w:val="-4"/>
        </w:rPr>
        <w:t>DP snížil o 3,2 %</w:t>
      </w:r>
      <w:r w:rsidRPr="0079420B">
        <w:rPr>
          <w:spacing w:val="-4"/>
        </w:rPr>
        <w:t>.</w:t>
      </w:r>
    </w:p>
    <w:p w14:paraId="7CC7A191" w14:textId="77777777" w:rsidR="00EF23B5" w:rsidRPr="0079420B" w:rsidRDefault="00EF23B5" w:rsidP="00EF23B5">
      <w:pPr>
        <w:pStyle w:val="Normalodrka"/>
        <w:spacing w:after="100"/>
        <w:rPr>
          <w:spacing w:val="-4"/>
        </w:rPr>
      </w:pPr>
      <w:r w:rsidRPr="0079420B">
        <w:rPr>
          <w:spacing w:val="-4"/>
        </w:rPr>
        <w:t>Hrubá přidaná hodnota meziročně klesla o</w:t>
      </w:r>
      <w:r>
        <w:rPr>
          <w:spacing w:val="-4"/>
        </w:rPr>
        <w:t> </w:t>
      </w:r>
      <w:r w:rsidRPr="0079420B">
        <w:rPr>
          <w:spacing w:val="-4"/>
        </w:rPr>
        <w:t>1,3</w:t>
      </w:r>
      <w:r>
        <w:rPr>
          <w:spacing w:val="-4"/>
        </w:rPr>
        <w:t> %</w:t>
      </w:r>
      <w:r w:rsidRPr="0079420B">
        <w:rPr>
          <w:spacing w:val="-4"/>
        </w:rPr>
        <w:t xml:space="preserve"> a</w:t>
      </w:r>
      <w:r>
        <w:rPr>
          <w:spacing w:val="-4"/>
        </w:rPr>
        <w:t> </w:t>
      </w:r>
      <w:r w:rsidRPr="0079420B">
        <w:rPr>
          <w:spacing w:val="-4"/>
        </w:rPr>
        <w:t>mezičtvrtletně o</w:t>
      </w:r>
      <w:r>
        <w:rPr>
          <w:spacing w:val="-4"/>
        </w:rPr>
        <w:t> </w:t>
      </w:r>
      <w:r w:rsidRPr="0079420B">
        <w:rPr>
          <w:spacing w:val="-4"/>
        </w:rPr>
        <w:t>2,5</w:t>
      </w:r>
      <w:r>
        <w:rPr>
          <w:spacing w:val="-4"/>
        </w:rPr>
        <w:t> %</w:t>
      </w:r>
      <w:r w:rsidRPr="0079420B">
        <w:rPr>
          <w:spacing w:val="-4"/>
        </w:rPr>
        <w:t>. Opatření proti šíření koronaviru přímo zasáhla zejména služby a</w:t>
      </w:r>
      <w:r>
        <w:rPr>
          <w:spacing w:val="-4"/>
        </w:rPr>
        <w:t> </w:t>
      </w:r>
      <w:r w:rsidRPr="0079420B">
        <w:rPr>
          <w:spacing w:val="-4"/>
        </w:rPr>
        <w:t>maloobchod, zároveň některé velké průmyslové podniky přerušily výrobu. Ve zpracovatelském průmyslu tak klesla HPH meziročně o</w:t>
      </w:r>
      <w:r>
        <w:rPr>
          <w:spacing w:val="-4"/>
        </w:rPr>
        <w:t> </w:t>
      </w:r>
      <w:r w:rsidRPr="0079420B">
        <w:rPr>
          <w:spacing w:val="-4"/>
        </w:rPr>
        <w:t>3,4</w:t>
      </w:r>
      <w:r>
        <w:rPr>
          <w:spacing w:val="-4"/>
        </w:rPr>
        <w:t> %</w:t>
      </w:r>
      <w:r w:rsidRPr="0079420B">
        <w:rPr>
          <w:spacing w:val="-4"/>
        </w:rPr>
        <w:t xml:space="preserve"> a</w:t>
      </w:r>
      <w:r>
        <w:rPr>
          <w:spacing w:val="-4"/>
        </w:rPr>
        <w:t> </w:t>
      </w:r>
      <w:r w:rsidRPr="0079420B">
        <w:rPr>
          <w:spacing w:val="-4"/>
        </w:rPr>
        <w:t>mezičtvrtletně o</w:t>
      </w:r>
      <w:r>
        <w:rPr>
          <w:spacing w:val="-4"/>
        </w:rPr>
        <w:t> </w:t>
      </w:r>
      <w:r w:rsidRPr="0079420B">
        <w:rPr>
          <w:spacing w:val="-4"/>
        </w:rPr>
        <w:t>2,9</w:t>
      </w:r>
      <w:r>
        <w:rPr>
          <w:spacing w:val="-4"/>
        </w:rPr>
        <w:t> %</w:t>
      </w:r>
      <w:r w:rsidRPr="0079420B">
        <w:rPr>
          <w:spacing w:val="-4"/>
        </w:rPr>
        <w:t>. Vzhledem k omezením uvaleným na maloobchod a</w:t>
      </w:r>
      <w:r>
        <w:rPr>
          <w:spacing w:val="-4"/>
        </w:rPr>
        <w:t> </w:t>
      </w:r>
      <w:r w:rsidRPr="0079420B">
        <w:rPr>
          <w:spacing w:val="-4"/>
        </w:rPr>
        <w:t>některá odvětví služeb bylo nejvíce zasaženo uskupení obchod, doprava, ubytování a</w:t>
      </w:r>
      <w:r>
        <w:rPr>
          <w:spacing w:val="-4"/>
        </w:rPr>
        <w:t> </w:t>
      </w:r>
      <w:r w:rsidRPr="0079420B">
        <w:rPr>
          <w:spacing w:val="-4"/>
        </w:rPr>
        <w:t>pohostinství, kde meziroční propad HPH činil 4,9</w:t>
      </w:r>
      <w:r>
        <w:rPr>
          <w:spacing w:val="-4"/>
        </w:rPr>
        <w:t> %</w:t>
      </w:r>
      <w:r w:rsidRPr="0079420B">
        <w:rPr>
          <w:spacing w:val="-4"/>
        </w:rPr>
        <w:t xml:space="preserve"> a</w:t>
      </w:r>
      <w:r>
        <w:rPr>
          <w:spacing w:val="-4"/>
        </w:rPr>
        <w:t> </w:t>
      </w:r>
      <w:r w:rsidRPr="0079420B">
        <w:rPr>
          <w:spacing w:val="-4"/>
        </w:rPr>
        <w:t>mezičtvrtletní 5,4</w:t>
      </w:r>
      <w:r>
        <w:rPr>
          <w:spacing w:val="-4"/>
        </w:rPr>
        <w:t> %</w:t>
      </w:r>
      <w:r w:rsidRPr="0079420B">
        <w:rPr>
          <w:spacing w:val="-4"/>
        </w:rPr>
        <w:t>. Naopak meziroční růst si udržely informační a</w:t>
      </w:r>
      <w:r>
        <w:rPr>
          <w:spacing w:val="-4"/>
        </w:rPr>
        <w:t> </w:t>
      </w:r>
      <w:r w:rsidRPr="0079420B">
        <w:rPr>
          <w:spacing w:val="-4"/>
        </w:rPr>
        <w:t>komunikační činnosti (3,8</w:t>
      </w:r>
      <w:r>
        <w:rPr>
          <w:spacing w:val="-4"/>
        </w:rPr>
        <w:t> %</w:t>
      </w:r>
      <w:r w:rsidRPr="0079420B">
        <w:rPr>
          <w:spacing w:val="-4"/>
        </w:rPr>
        <w:t>). Rostla rovněž HPH ve stavebnictví (meziročně o</w:t>
      </w:r>
      <w:r>
        <w:rPr>
          <w:spacing w:val="-4"/>
        </w:rPr>
        <w:t> </w:t>
      </w:r>
      <w:r w:rsidRPr="0079420B">
        <w:rPr>
          <w:spacing w:val="-4"/>
        </w:rPr>
        <w:t>2,5</w:t>
      </w:r>
      <w:r>
        <w:rPr>
          <w:spacing w:val="-4"/>
        </w:rPr>
        <w:t> %</w:t>
      </w:r>
      <w:r w:rsidRPr="0079420B">
        <w:rPr>
          <w:spacing w:val="-4"/>
        </w:rPr>
        <w:t xml:space="preserve"> a</w:t>
      </w:r>
      <w:r>
        <w:rPr>
          <w:spacing w:val="-4"/>
        </w:rPr>
        <w:t> </w:t>
      </w:r>
      <w:r w:rsidRPr="0079420B">
        <w:rPr>
          <w:spacing w:val="-4"/>
        </w:rPr>
        <w:t>mezičtvrtletně o</w:t>
      </w:r>
      <w:r>
        <w:rPr>
          <w:spacing w:val="-4"/>
        </w:rPr>
        <w:t> </w:t>
      </w:r>
      <w:r w:rsidRPr="0079420B">
        <w:rPr>
          <w:spacing w:val="-4"/>
        </w:rPr>
        <w:t>0,7</w:t>
      </w:r>
      <w:r>
        <w:rPr>
          <w:spacing w:val="-4"/>
        </w:rPr>
        <w:t> %</w:t>
      </w:r>
      <w:r w:rsidRPr="0079420B">
        <w:rPr>
          <w:spacing w:val="-4"/>
        </w:rPr>
        <w:t>).</w:t>
      </w:r>
    </w:p>
    <w:p w14:paraId="118E382E" w14:textId="77777777" w:rsidR="00EF23B5" w:rsidRPr="0079420B" w:rsidRDefault="00EF23B5" w:rsidP="00EF23B5">
      <w:pPr>
        <w:pStyle w:val="Normalodrka"/>
        <w:spacing w:after="100"/>
        <w:rPr>
          <w:spacing w:val="-4"/>
        </w:rPr>
      </w:pPr>
      <w:r w:rsidRPr="0079420B">
        <w:rPr>
          <w:spacing w:val="-4"/>
        </w:rPr>
        <w:t>V 1.</w:t>
      </w:r>
      <w:r>
        <w:rPr>
          <w:spacing w:val="-4"/>
        </w:rPr>
        <w:t> čtvrtlet</w:t>
      </w:r>
      <w:r w:rsidRPr="0079420B">
        <w:rPr>
          <w:spacing w:val="-4"/>
        </w:rPr>
        <w:t>í se hodnota vývozu zboží meziročně propadla o</w:t>
      </w:r>
      <w:r>
        <w:rPr>
          <w:spacing w:val="-4"/>
        </w:rPr>
        <w:t> </w:t>
      </w:r>
      <w:r w:rsidRPr="0079420B">
        <w:rPr>
          <w:spacing w:val="-4"/>
        </w:rPr>
        <w:t>40,9</w:t>
      </w:r>
      <w:r>
        <w:rPr>
          <w:spacing w:val="-4"/>
        </w:rPr>
        <w:t> </w:t>
      </w:r>
      <w:r w:rsidRPr="0079420B">
        <w:rPr>
          <w:spacing w:val="-4"/>
        </w:rPr>
        <w:t>mld. korun (4,4</w:t>
      </w:r>
      <w:r>
        <w:rPr>
          <w:spacing w:val="-4"/>
        </w:rPr>
        <w:t> %</w:t>
      </w:r>
      <w:r w:rsidRPr="0079420B">
        <w:rPr>
          <w:spacing w:val="-4"/>
        </w:rPr>
        <w:t xml:space="preserve">). Většina z tohoto poklesu se odehrála v březnu. Nejvíce zasažen byl export motorových vozidel (meziročně </w:t>
      </w:r>
      <w:r>
        <w:rPr>
          <w:spacing w:val="-4"/>
        </w:rPr>
        <w:t>–</w:t>
      </w:r>
      <w:r w:rsidRPr="0079420B">
        <w:rPr>
          <w:spacing w:val="-4"/>
        </w:rPr>
        <w:t>15,1</w:t>
      </w:r>
      <w:r>
        <w:rPr>
          <w:spacing w:val="-4"/>
        </w:rPr>
        <w:t> </w:t>
      </w:r>
      <w:r w:rsidRPr="0079420B">
        <w:rPr>
          <w:spacing w:val="-4"/>
        </w:rPr>
        <w:t xml:space="preserve">mld. korun, </w:t>
      </w:r>
      <w:r>
        <w:rPr>
          <w:spacing w:val="-4"/>
        </w:rPr>
        <w:t>–</w:t>
      </w:r>
      <w:r w:rsidRPr="0079420B">
        <w:rPr>
          <w:spacing w:val="-4"/>
        </w:rPr>
        <w:t>5,9</w:t>
      </w:r>
      <w:r>
        <w:rPr>
          <w:spacing w:val="-4"/>
        </w:rPr>
        <w:t> %</w:t>
      </w:r>
      <w:r w:rsidRPr="0079420B">
        <w:rPr>
          <w:spacing w:val="-4"/>
        </w:rPr>
        <w:t>) a</w:t>
      </w:r>
      <w:r>
        <w:rPr>
          <w:spacing w:val="-4"/>
        </w:rPr>
        <w:t> </w:t>
      </w:r>
      <w:r w:rsidRPr="0079420B">
        <w:rPr>
          <w:spacing w:val="-4"/>
        </w:rPr>
        <w:t>strojů a</w:t>
      </w:r>
      <w:r>
        <w:rPr>
          <w:spacing w:val="-4"/>
        </w:rPr>
        <w:t> </w:t>
      </w:r>
      <w:r w:rsidRPr="0079420B">
        <w:rPr>
          <w:spacing w:val="-4"/>
        </w:rPr>
        <w:t>zařízení (</w:t>
      </w:r>
      <w:r>
        <w:rPr>
          <w:spacing w:val="-4"/>
        </w:rPr>
        <w:t>–</w:t>
      </w:r>
      <w:r w:rsidRPr="0079420B">
        <w:rPr>
          <w:spacing w:val="-4"/>
        </w:rPr>
        <w:t>8,3</w:t>
      </w:r>
      <w:r>
        <w:rPr>
          <w:spacing w:val="-4"/>
        </w:rPr>
        <w:t> </w:t>
      </w:r>
      <w:r w:rsidRPr="0079420B">
        <w:rPr>
          <w:spacing w:val="-4"/>
        </w:rPr>
        <w:t xml:space="preserve">mld., </w:t>
      </w:r>
      <w:r>
        <w:rPr>
          <w:spacing w:val="-4"/>
        </w:rPr>
        <w:t>–</w:t>
      </w:r>
      <w:r w:rsidRPr="0079420B">
        <w:rPr>
          <w:spacing w:val="-4"/>
        </w:rPr>
        <w:t>7,8</w:t>
      </w:r>
      <w:r>
        <w:rPr>
          <w:spacing w:val="-4"/>
        </w:rPr>
        <w:t> %</w:t>
      </w:r>
      <w:r w:rsidRPr="0079420B">
        <w:rPr>
          <w:spacing w:val="-4"/>
        </w:rPr>
        <w:t xml:space="preserve">). Omezení zredukovala zejména vývoz do Evropské </w:t>
      </w:r>
      <w:r>
        <w:rPr>
          <w:spacing w:val="-4"/>
        </w:rPr>
        <w:t>u</w:t>
      </w:r>
      <w:r w:rsidRPr="0079420B">
        <w:rPr>
          <w:spacing w:val="-4"/>
        </w:rPr>
        <w:t>nie. Dovoz zboží také výrazně klesl, a</w:t>
      </w:r>
      <w:r>
        <w:rPr>
          <w:spacing w:val="-4"/>
        </w:rPr>
        <w:t> </w:t>
      </w:r>
      <w:r w:rsidRPr="0079420B">
        <w:rPr>
          <w:spacing w:val="-4"/>
        </w:rPr>
        <w:t>to o</w:t>
      </w:r>
      <w:r>
        <w:rPr>
          <w:spacing w:val="-4"/>
        </w:rPr>
        <w:t> </w:t>
      </w:r>
      <w:r w:rsidRPr="0079420B">
        <w:rPr>
          <w:spacing w:val="-4"/>
        </w:rPr>
        <w:t>33,1</w:t>
      </w:r>
      <w:r>
        <w:rPr>
          <w:spacing w:val="-4"/>
        </w:rPr>
        <w:t> </w:t>
      </w:r>
      <w:r w:rsidRPr="0079420B">
        <w:rPr>
          <w:spacing w:val="-4"/>
        </w:rPr>
        <w:t>mld. Výsledná bilance tak dosáhla přebytku 40,9</w:t>
      </w:r>
      <w:r>
        <w:rPr>
          <w:spacing w:val="-4"/>
        </w:rPr>
        <w:t> </w:t>
      </w:r>
      <w:r w:rsidRPr="0079420B">
        <w:rPr>
          <w:spacing w:val="-4"/>
        </w:rPr>
        <w:t>mld. korun, ten se ale meziročně zhoršil o</w:t>
      </w:r>
      <w:r>
        <w:rPr>
          <w:spacing w:val="-4"/>
        </w:rPr>
        <w:t> </w:t>
      </w:r>
      <w:r w:rsidRPr="0079420B">
        <w:rPr>
          <w:spacing w:val="-4"/>
        </w:rPr>
        <w:t>7,8</w:t>
      </w:r>
      <w:r>
        <w:rPr>
          <w:spacing w:val="-4"/>
        </w:rPr>
        <w:t> </w:t>
      </w:r>
      <w:r w:rsidRPr="0079420B">
        <w:rPr>
          <w:spacing w:val="-4"/>
        </w:rPr>
        <w:t>mld.</w:t>
      </w:r>
    </w:p>
    <w:p w14:paraId="180E03F8" w14:textId="77777777" w:rsidR="00EF23B5" w:rsidRPr="0079420B" w:rsidRDefault="00EF23B5" w:rsidP="00EF23B5">
      <w:pPr>
        <w:pStyle w:val="Normalodrka"/>
        <w:spacing w:after="100"/>
        <w:rPr>
          <w:spacing w:val="-4"/>
        </w:rPr>
      </w:pPr>
      <w:r w:rsidRPr="0079420B">
        <w:rPr>
          <w:spacing w:val="-4"/>
        </w:rPr>
        <w:t>Celková cenová hladina se podle deflátoru HDP v 1.</w:t>
      </w:r>
      <w:r>
        <w:rPr>
          <w:spacing w:val="-4"/>
        </w:rPr>
        <w:t> čtvrtlet</w:t>
      </w:r>
      <w:r w:rsidRPr="0079420B">
        <w:rPr>
          <w:spacing w:val="-4"/>
        </w:rPr>
        <w:t>í meziročně zvýšila o</w:t>
      </w:r>
      <w:r>
        <w:rPr>
          <w:spacing w:val="-4"/>
        </w:rPr>
        <w:t> </w:t>
      </w:r>
      <w:r w:rsidRPr="0079420B">
        <w:rPr>
          <w:spacing w:val="-4"/>
        </w:rPr>
        <w:t>3,6</w:t>
      </w:r>
      <w:r>
        <w:rPr>
          <w:spacing w:val="-4"/>
        </w:rPr>
        <w:t> %</w:t>
      </w:r>
      <w:r w:rsidRPr="0079420B">
        <w:rPr>
          <w:spacing w:val="-4"/>
        </w:rPr>
        <w:t>. Stejného meziročního přírůstku dosáhl také index spotřebitelských cen. Zrychlila dynamika cen potravin a</w:t>
      </w:r>
      <w:r>
        <w:rPr>
          <w:spacing w:val="-4"/>
        </w:rPr>
        <w:t> </w:t>
      </w:r>
      <w:r w:rsidRPr="0079420B">
        <w:rPr>
          <w:spacing w:val="-4"/>
        </w:rPr>
        <w:t>nealkoholických nápojů (6,1</w:t>
      </w:r>
      <w:r>
        <w:rPr>
          <w:spacing w:val="-4"/>
        </w:rPr>
        <w:t> %</w:t>
      </w:r>
      <w:r w:rsidRPr="0079420B">
        <w:rPr>
          <w:spacing w:val="-4"/>
        </w:rPr>
        <w:t>). Naopak mírně zvolnil růst cen bydlení a</w:t>
      </w:r>
      <w:r>
        <w:rPr>
          <w:spacing w:val="-4"/>
        </w:rPr>
        <w:t> </w:t>
      </w:r>
      <w:r w:rsidRPr="0079420B">
        <w:rPr>
          <w:spacing w:val="-4"/>
        </w:rPr>
        <w:t>energií, i</w:t>
      </w:r>
      <w:r>
        <w:rPr>
          <w:spacing w:val="-4"/>
        </w:rPr>
        <w:t> </w:t>
      </w:r>
      <w:r w:rsidRPr="0079420B">
        <w:rPr>
          <w:spacing w:val="-4"/>
        </w:rPr>
        <w:t>když nadále zůstal poměrně silný (4,2</w:t>
      </w:r>
      <w:r>
        <w:rPr>
          <w:spacing w:val="-4"/>
        </w:rPr>
        <w:t> %</w:t>
      </w:r>
      <w:r w:rsidRPr="0079420B">
        <w:rPr>
          <w:spacing w:val="-4"/>
        </w:rPr>
        <w:t xml:space="preserve">). </w:t>
      </w:r>
      <w:r>
        <w:rPr>
          <w:spacing w:val="-4"/>
        </w:rPr>
        <w:t>C</w:t>
      </w:r>
      <w:r w:rsidRPr="0079420B">
        <w:rPr>
          <w:spacing w:val="-4"/>
        </w:rPr>
        <w:t>enov</w:t>
      </w:r>
      <w:r>
        <w:rPr>
          <w:spacing w:val="-4"/>
        </w:rPr>
        <w:t>ý</w:t>
      </w:r>
      <w:r w:rsidRPr="0079420B">
        <w:rPr>
          <w:spacing w:val="-4"/>
        </w:rPr>
        <w:t xml:space="preserve"> vývoj naopak </w:t>
      </w:r>
      <w:r>
        <w:rPr>
          <w:spacing w:val="-4"/>
        </w:rPr>
        <w:t>brzdila</w:t>
      </w:r>
      <w:r w:rsidRPr="0079420B">
        <w:rPr>
          <w:spacing w:val="-4"/>
        </w:rPr>
        <w:t xml:space="preserve"> dynamika cen ropy. Projevovalo se to hlavně zvolněním meziročního přírůstku cen průmyslových výrobců v Česku (1,4</w:t>
      </w:r>
      <w:r>
        <w:rPr>
          <w:spacing w:val="-4"/>
        </w:rPr>
        <w:t> %</w:t>
      </w:r>
      <w:r w:rsidRPr="0079420B">
        <w:rPr>
          <w:spacing w:val="-4"/>
        </w:rPr>
        <w:t>) i</w:t>
      </w:r>
      <w:r>
        <w:rPr>
          <w:spacing w:val="-4"/>
        </w:rPr>
        <w:t> </w:t>
      </w:r>
      <w:r w:rsidRPr="0079420B">
        <w:rPr>
          <w:spacing w:val="-4"/>
        </w:rPr>
        <w:t>poklesem v</w:t>
      </w:r>
      <w:r>
        <w:rPr>
          <w:spacing w:val="-4"/>
        </w:rPr>
        <w:t> </w:t>
      </w:r>
      <w:r w:rsidRPr="0079420B">
        <w:rPr>
          <w:spacing w:val="-4"/>
        </w:rPr>
        <w:t>případě</w:t>
      </w:r>
      <w:r>
        <w:rPr>
          <w:spacing w:val="-4"/>
        </w:rPr>
        <w:t> </w:t>
      </w:r>
      <w:r w:rsidRPr="0079420B">
        <w:rPr>
          <w:spacing w:val="-4"/>
        </w:rPr>
        <w:t>EU.</w:t>
      </w:r>
    </w:p>
    <w:p w14:paraId="6CBB10F7" w14:textId="77777777" w:rsidR="00EF23B5" w:rsidRPr="0079420B" w:rsidRDefault="00EF23B5" w:rsidP="00EF23B5">
      <w:pPr>
        <w:pStyle w:val="Normalodrka"/>
        <w:spacing w:after="100"/>
        <w:rPr>
          <w:spacing w:val="-4"/>
        </w:rPr>
      </w:pPr>
      <w:r w:rsidRPr="0079420B">
        <w:rPr>
          <w:spacing w:val="-4"/>
        </w:rPr>
        <w:t>Nastavení základních měnověpolitických sazeb v průběhu 1.</w:t>
      </w:r>
      <w:r>
        <w:rPr>
          <w:spacing w:val="-4"/>
        </w:rPr>
        <w:t> čtvrtlet</w:t>
      </w:r>
      <w:r w:rsidRPr="0079420B">
        <w:rPr>
          <w:spacing w:val="-4"/>
        </w:rPr>
        <w:t>í prošlo několika změnami. Nejprve byla repo sazba v únoru zvýšena na 2,25</w:t>
      </w:r>
      <w:r>
        <w:rPr>
          <w:spacing w:val="-4"/>
        </w:rPr>
        <w:t> %</w:t>
      </w:r>
      <w:r w:rsidRPr="0079420B">
        <w:rPr>
          <w:spacing w:val="-4"/>
        </w:rPr>
        <w:t>, ale březnová situace vedla k jejímu snížení až na 1,00</w:t>
      </w:r>
      <w:r>
        <w:rPr>
          <w:spacing w:val="-4"/>
        </w:rPr>
        <w:t> %</w:t>
      </w:r>
      <w:r w:rsidRPr="0079420B">
        <w:rPr>
          <w:spacing w:val="-4"/>
        </w:rPr>
        <w:t>. Na celkový vývoj v březnu citlivě reagoval i</w:t>
      </w:r>
      <w:r>
        <w:rPr>
          <w:spacing w:val="-4"/>
        </w:rPr>
        <w:t> </w:t>
      </w:r>
      <w:r w:rsidRPr="0079420B">
        <w:rPr>
          <w:spacing w:val="-4"/>
        </w:rPr>
        <w:t>kurz koruny, která oslabila vůči euru i</w:t>
      </w:r>
      <w:r>
        <w:rPr>
          <w:spacing w:val="-4"/>
        </w:rPr>
        <w:t> </w:t>
      </w:r>
      <w:r w:rsidRPr="0079420B">
        <w:rPr>
          <w:spacing w:val="-4"/>
        </w:rPr>
        <w:t>dolaru.</w:t>
      </w:r>
    </w:p>
    <w:p w14:paraId="5F86C5B2" w14:textId="77777777" w:rsidR="00EF23B5" w:rsidRPr="0079420B" w:rsidRDefault="00EF23B5" w:rsidP="00EF23B5">
      <w:pPr>
        <w:pStyle w:val="Normalodrka"/>
        <w:spacing w:after="100"/>
        <w:rPr>
          <w:spacing w:val="-4"/>
        </w:rPr>
      </w:pPr>
      <w:r w:rsidRPr="0079420B">
        <w:rPr>
          <w:spacing w:val="-4"/>
        </w:rPr>
        <w:t>S výjimkou několika ukazatelů se na domácím trhu práce protipandemická opatření v 1.</w:t>
      </w:r>
      <w:r>
        <w:rPr>
          <w:spacing w:val="-4"/>
        </w:rPr>
        <w:t> čtvrtlet</w:t>
      </w:r>
      <w:r w:rsidRPr="0079420B">
        <w:rPr>
          <w:spacing w:val="-4"/>
        </w:rPr>
        <w:t>í zatím výrazněji neprojevila. Celková zaměstnanost</w:t>
      </w:r>
      <w:r w:rsidRPr="0079420B">
        <w:rPr>
          <w:rStyle w:val="Znakapoznpodarou"/>
          <w:spacing w:val="-4"/>
        </w:rPr>
        <w:footnoteReference w:id="2"/>
      </w:r>
      <w:r w:rsidRPr="0079420B">
        <w:rPr>
          <w:spacing w:val="-4"/>
        </w:rPr>
        <w:t xml:space="preserve"> meziročně klesla o</w:t>
      </w:r>
      <w:r>
        <w:rPr>
          <w:spacing w:val="-4"/>
        </w:rPr>
        <w:t> </w:t>
      </w:r>
      <w:r w:rsidRPr="0079420B">
        <w:rPr>
          <w:spacing w:val="-4"/>
        </w:rPr>
        <w:t>0,5</w:t>
      </w:r>
      <w:r>
        <w:rPr>
          <w:spacing w:val="-4"/>
        </w:rPr>
        <w:t> %</w:t>
      </w:r>
      <w:r w:rsidRPr="0079420B">
        <w:rPr>
          <w:spacing w:val="-4"/>
        </w:rPr>
        <w:t xml:space="preserve"> a</w:t>
      </w:r>
      <w:r>
        <w:rPr>
          <w:spacing w:val="-4"/>
        </w:rPr>
        <w:t> </w:t>
      </w:r>
      <w:r w:rsidRPr="0079420B">
        <w:rPr>
          <w:spacing w:val="-4"/>
        </w:rPr>
        <w:t>mezičtvrtletně se neměnila, čímž pokračovalo mírné ochlazení z předchozího kvartálu. Zaměstnanost klesla zejména ve zpracovatelském průmyslu (o</w:t>
      </w:r>
      <w:r>
        <w:rPr>
          <w:spacing w:val="-4"/>
        </w:rPr>
        <w:t> </w:t>
      </w:r>
      <w:r w:rsidRPr="0079420B">
        <w:rPr>
          <w:spacing w:val="-4"/>
        </w:rPr>
        <w:t>2,6</w:t>
      </w:r>
      <w:r>
        <w:rPr>
          <w:spacing w:val="-4"/>
        </w:rPr>
        <w:t> </w:t>
      </w:r>
      <w:r w:rsidRPr="0079420B">
        <w:rPr>
          <w:spacing w:val="-4"/>
        </w:rPr>
        <w:t>%). Oslabil růst ve službách (0,2</w:t>
      </w:r>
      <w:r>
        <w:rPr>
          <w:spacing w:val="-4"/>
        </w:rPr>
        <w:t> %</w:t>
      </w:r>
      <w:r w:rsidRPr="0079420B">
        <w:rPr>
          <w:spacing w:val="-4"/>
        </w:rPr>
        <w:t>)</w:t>
      </w:r>
      <w:r>
        <w:rPr>
          <w:spacing w:val="-4"/>
        </w:rPr>
        <w:t> </w:t>
      </w:r>
      <w:r w:rsidRPr="0079420B">
        <w:rPr>
          <w:spacing w:val="-4"/>
        </w:rPr>
        <w:t>– na jedné straně se propadla zaměstnanost v profesních, vědeckých, technických a</w:t>
      </w:r>
      <w:r>
        <w:rPr>
          <w:spacing w:val="-4"/>
        </w:rPr>
        <w:t> </w:t>
      </w:r>
      <w:r w:rsidRPr="0079420B">
        <w:rPr>
          <w:spacing w:val="-4"/>
        </w:rPr>
        <w:t>administrativních činnostech (</w:t>
      </w:r>
      <w:r>
        <w:rPr>
          <w:spacing w:val="-4"/>
        </w:rPr>
        <w:t>–</w:t>
      </w:r>
      <w:r w:rsidRPr="0079420B">
        <w:rPr>
          <w:spacing w:val="-4"/>
        </w:rPr>
        <w:t>2,8</w:t>
      </w:r>
      <w:r>
        <w:rPr>
          <w:spacing w:val="-4"/>
        </w:rPr>
        <w:t> %</w:t>
      </w:r>
      <w:r w:rsidRPr="0079420B">
        <w:rPr>
          <w:spacing w:val="-4"/>
        </w:rPr>
        <w:t>) a</w:t>
      </w:r>
      <w:r>
        <w:rPr>
          <w:spacing w:val="-4"/>
        </w:rPr>
        <w:t> </w:t>
      </w:r>
      <w:r w:rsidRPr="0079420B">
        <w:rPr>
          <w:spacing w:val="-4"/>
        </w:rPr>
        <w:t>v obchodě, dopravě, ubytování a</w:t>
      </w:r>
      <w:r>
        <w:rPr>
          <w:spacing w:val="-4"/>
        </w:rPr>
        <w:t> </w:t>
      </w:r>
      <w:r w:rsidRPr="0079420B">
        <w:rPr>
          <w:spacing w:val="-4"/>
        </w:rPr>
        <w:t>pohostinství (</w:t>
      </w:r>
      <w:r>
        <w:rPr>
          <w:spacing w:val="-4"/>
        </w:rPr>
        <w:t>–</w:t>
      </w:r>
      <w:r w:rsidRPr="0079420B">
        <w:rPr>
          <w:spacing w:val="-4"/>
        </w:rPr>
        <w:t>1,3</w:t>
      </w:r>
      <w:r>
        <w:rPr>
          <w:spacing w:val="-4"/>
        </w:rPr>
        <w:t> %</w:t>
      </w:r>
      <w:r w:rsidRPr="0079420B">
        <w:rPr>
          <w:spacing w:val="-4"/>
        </w:rPr>
        <w:t>)</w:t>
      </w:r>
      <w:r>
        <w:rPr>
          <w:spacing w:val="-4"/>
        </w:rPr>
        <w:t>, r</w:t>
      </w:r>
      <w:r w:rsidRPr="0079420B">
        <w:rPr>
          <w:spacing w:val="-4"/>
        </w:rPr>
        <w:t>ozvoj informačních a</w:t>
      </w:r>
      <w:r>
        <w:rPr>
          <w:spacing w:val="-4"/>
        </w:rPr>
        <w:t> </w:t>
      </w:r>
      <w:r w:rsidRPr="0079420B">
        <w:rPr>
          <w:spacing w:val="-4"/>
        </w:rPr>
        <w:t>komunikačních činností ale pokračoval (4,7</w:t>
      </w:r>
      <w:r>
        <w:rPr>
          <w:spacing w:val="-4"/>
        </w:rPr>
        <w:t> %</w:t>
      </w:r>
      <w:r w:rsidRPr="0079420B">
        <w:rPr>
          <w:spacing w:val="-4"/>
        </w:rPr>
        <w:t>). Podíl podniků v průmyslu i</w:t>
      </w:r>
      <w:r>
        <w:rPr>
          <w:spacing w:val="-4"/>
        </w:rPr>
        <w:t> </w:t>
      </w:r>
      <w:r w:rsidRPr="0079420B">
        <w:rPr>
          <w:spacing w:val="-4"/>
        </w:rPr>
        <w:t>ve službách, které považovaly nedostatek pracovníků za významnou bariéru růstu, poklesl. Podstatněji se během 1.</w:t>
      </w:r>
      <w:r>
        <w:rPr>
          <w:spacing w:val="-4"/>
        </w:rPr>
        <w:t> čtvrtlet</w:t>
      </w:r>
      <w:r w:rsidRPr="0079420B">
        <w:rPr>
          <w:spacing w:val="-4"/>
        </w:rPr>
        <w:t>í neměnila ani míra obecné nezaměstnanosti. Meziroční růst průměrné hrubé měsíční mzdy v 1.</w:t>
      </w:r>
      <w:r>
        <w:rPr>
          <w:spacing w:val="-4"/>
        </w:rPr>
        <w:t> </w:t>
      </w:r>
      <w:r w:rsidRPr="0079420B">
        <w:rPr>
          <w:spacing w:val="-4"/>
        </w:rPr>
        <w:t>čtvrtletí dále oslaboval na 5,0</w:t>
      </w:r>
      <w:r>
        <w:rPr>
          <w:spacing w:val="-4"/>
        </w:rPr>
        <w:t> %</w:t>
      </w:r>
      <w:r w:rsidRPr="0079420B">
        <w:rPr>
          <w:spacing w:val="-4"/>
        </w:rPr>
        <w:t>. Důvodem bylo zejména zpomalení ve zpracovatelském průmyslu (4,0</w:t>
      </w:r>
      <w:r>
        <w:rPr>
          <w:spacing w:val="-4"/>
        </w:rPr>
        <w:t> %</w:t>
      </w:r>
      <w:r w:rsidRPr="0079420B">
        <w:rPr>
          <w:spacing w:val="-4"/>
        </w:rPr>
        <w:t>) a</w:t>
      </w:r>
      <w:r>
        <w:rPr>
          <w:spacing w:val="-4"/>
        </w:rPr>
        <w:t> </w:t>
      </w:r>
      <w:r w:rsidRPr="0079420B">
        <w:rPr>
          <w:spacing w:val="-4"/>
        </w:rPr>
        <w:t>v obchodu (4,6</w:t>
      </w:r>
      <w:r>
        <w:rPr>
          <w:spacing w:val="-4"/>
        </w:rPr>
        <w:t> %</w:t>
      </w:r>
      <w:r w:rsidRPr="0079420B">
        <w:rPr>
          <w:spacing w:val="-4"/>
        </w:rPr>
        <w:t xml:space="preserve">), zmírnění mzdové dynamiky se ale týkalo většiny </w:t>
      </w:r>
      <w:r>
        <w:rPr>
          <w:spacing w:val="-4"/>
        </w:rPr>
        <w:t xml:space="preserve">odvětví </w:t>
      </w:r>
      <w:r w:rsidRPr="0079420B">
        <w:rPr>
          <w:spacing w:val="-4"/>
        </w:rPr>
        <w:t>ekonomiky.</w:t>
      </w:r>
    </w:p>
    <w:p w14:paraId="505B2224" w14:textId="77777777" w:rsidR="00EF23B5" w:rsidRPr="0079420B" w:rsidRDefault="00EF23B5" w:rsidP="00EF23B5">
      <w:pPr>
        <w:pStyle w:val="Normalodrka"/>
        <w:spacing w:after="0"/>
        <w:rPr>
          <w:spacing w:val="-4"/>
        </w:rPr>
      </w:pPr>
      <w:r w:rsidRPr="0079420B">
        <w:rPr>
          <w:spacing w:val="-4"/>
        </w:rPr>
        <w:t>V letošním 1.</w:t>
      </w:r>
      <w:r>
        <w:rPr>
          <w:spacing w:val="-4"/>
        </w:rPr>
        <w:t> čtvrtlet</w:t>
      </w:r>
      <w:r w:rsidRPr="0079420B">
        <w:rPr>
          <w:spacing w:val="-4"/>
        </w:rPr>
        <w:t>í dosáhl státní rozpočet schodku 44,7</w:t>
      </w:r>
      <w:r>
        <w:rPr>
          <w:spacing w:val="-4"/>
        </w:rPr>
        <w:t> </w:t>
      </w:r>
      <w:r w:rsidRPr="0079420B">
        <w:rPr>
          <w:spacing w:val="-4"/>
        </w:rPr>
        <w:t>mld. korun. Saldo se tak meziročně prohloubilo o</w:t>
      </w:r>
      <w:r>
        <w:rPr>
          <w:spacing w:val="-4"/>
        </w:rPr>
        <w:t> </w:t>
      </w:r>
      <w:r w:rsidRPr="0079420B">
        <w:rPr>
          <w:spacing w:val="-4"/>
        </w:rPr>
        <w:t>35,5</w:t>
      </w:r>
      <w:r>
        <w:rPr>
          <w:spacing w:val="-4"/>
        </w:rPr>
        <w:t> </w:t>
      </w:r>
      <w:r w:rsidRPr="0079420B">
        <w:rPr>
          <w:spacing w:val="-4"/>
        </w:rPr>
        <w:t>mld. Příjmy rozpočtu meziročně vzrostly o</w:t>
      </w:r>
      <w:r>
        <w:rPr>
          <w:spacing w:val="-4"/>
        </w:rPr>
        <w:t> </w:t>
      </w:r>
      <w:r w:rsidRPr="0079420B">
        <w:rPr>
          <w:spacing w:val="-4"/>
        </w:rPr>
        <w:t>3,6</w:t>
      </w:r>
      <w:r>
        <w:rPr>
          <w:spacing w:val="-4"/>
        </w:rPr>
        <w:t> %</w:t>
      </w:r>
      <w:r w:rsidRPr="0079420B">
        <w:rPr>
          <w:spacing w:val="-4"/>
        </w:rPr>
        <w:t xml:space="preserve"> a</w:t>
      </w:r>
      <w:r>
        <w:rPr>
          <w:spacing w:val="-4"/>
        </w:rPr>
        <w:t> </w:t>
      </w:r>
      <w:r w:rsidRPr="0079420B">
        <w:rPr>
          <w:spacing w:val="-4"/>
        </w:rPr>
        <w:t>zvýšilo se také celostátní daňové inkaso vč</w:t>
      </w:r>
      <w:r>
        <w:rPr>
          <w:spacing w:val="-4"/>
        </w:rPr>
        <w:t>etně</w:t>
      </w:r>
      <w:r w:rsidRPr="0079420B">
        <w:rPr>
          <w:spacing w:val="-4"/>
        </w:rPr>
        <w:t xml:space="preserve"> pojistného</w:t>
      </w:r>
      <w:r>
        <w:rPr>
          <w:spacing w:val="-4"/>
        </w:rPr>
        <w:t xml:space="preserve"> (</w:t>
      </w:r>
      <w:r w:rsidRPr="0079420B">
        <w:rPr>
          <w:spacing w:val="-4"/>
        </w:rPr>
        <w:t>4,6</w:t>
      </w:r>
      <w:r>
        <w:rPr>
          <w:spacing w:val="-4"/>
        </w:rPr>
        <w:t> %</w:t>
      </w:r>
      <w:r w:rsidRPr="0079420B">
        <w:rPr>
          <w:spacing w:val="-4"/>
        </w:rPr>
        <w:t>). Dynamika inkasa ale byla výrazně silnější v lednu a</w:t>
      </w:r>
      <w:r>
        <w:rPr>
          <w:spacing w:val="-4"/>
        </w:rPr>
        <w:t> </w:t>
      </w:r>
      <w:r w:rsidRPr="0079420B">
        <w:rPr>
          <w:spacing w:val="-4"/>
        </w:rPr>
        <w:t>únoru (7,8</w:t>
      </w:r>
      <w:r>
        <w:rPr>
          <w:spacing w:val="-4"/>
        </w:rPr>
        <w:t> %</w:t>
      </w:r>
      <w:r w:rsidRPr="0079420B">
        <w:rPr>
          <w:spacing w:val="-4"/>
        </w:rPr>
        <w:t>). Celkové výdaje se v 1.</w:t>
      </w:r>
      <w:r>
        <w:rPr>
          <w:spacing w:val="-4"/>
        </w:rPr>
        <w:t> čtvrtlet</w:t>
      </w:r>
      <w:r w:rsidRPr="0079420B">
        <w:rPr>
          <w:spacing w:val="-4"/>
        </w:rPr>
        <w:t>í meziročně zvýšily o</w:t>
      </w:r>
      <w:r>
        <w:rPr>
          <w:spacing w:val="-4"/>
        </w:rPr>
        <w:t> </w:t>
      </w:r>
      <w:r w:rsidRPr="0079420B">
        <w:rPr>
          <w:spacing w:val="-4"/>
        </w:rPr>
        <w:t>13,0</w:t>
      </w:r>
      <w:r>
        <w:rPr>
          <w:spacing w:val="-4"/>
        </w:rPr>
        <w:t> %</w:t>
      </w:r>
      <w:r w:rsidRPr="0079420B">
        <w:rPr>
          <w:spacing w:val="-4"/>
        </w:rPr>
        <w:t xml:space="preserve">, z toho v březnu bylo zvýšení více než pětinové. Rozpočtové výdaje </w:t>
      </w:r>
      <w:r>
        <w:rPr>
          <w:spacing w:val="-4"/>
        </w:rPr>
        <w:t>táhly</w:t>
      </w:r>
      <w:r w:rsidRPr="0079420B">
        <w:rPr>
          <w:spacing w:val="-4"/>
        </w:rPr>
        <w:t xml:space="preserve"> vzhůru zejména důchody, ale také posílení transferů na platy zaměstnanců v regionálním školství a</w:t>
      </w:r>
      <w:r>
        <w:rPr>
          <w:spacing w:val="-4"/>
        </w:rPr>
        <w:t> </w:t>
      </w:r>
      <w:r w:rsidRPr="0079420B">
        <w:rPr>
          <w:spacing w:val="-4"/>
        </w:rPr>
        <w:t xml:space="preserve">výdaje na sociální služby. Narostly </w:t>
      </w:r>
      <w:r>
        <w:rPr>
          <w:spacing w:val="-4"/>
        </w:rPr>
        <w:t>rovněž</w:t>
      </w:r>
      <w:r w:rsidRPr="0079420B">
        <w:rPr>
          <w:spacing w:val="-4"/>
        </w:rPr>
        <w:t xml:space="preserve"> investiční výdaje. </w:t>
      </w:r>
      <w:r w:rsidRPr="0079420B">
        <w:rPr>
          <w:rFonts w:cs="Arial"/>
          <w:color w:val="0D0D0D" w:themeColor="text1" w:themeTint="F2"/>
          <w:spacing w:val="-4"/>
        </w:rPr>
        <w:t xml:space="preserve">Stání dluh činil na konci 1. čtvrtletí 1 773 mld. korun. Meziročně </w:t>
      </w:r>
      <w:r w:rsidRPr="0079420B">
        <w:rPr>
          <w:spacing w:val="-4"/>
        </w:rPr>
        <w:t>vzrostl o 8,1 %, nejvíce od počátku roku</w:t>
      </w:r>
      <w:r>
        <w:rPr>
          <w:spacing w:val="-4"/>
        </w:rPr>
        <w:t> </w:t>
      </w:r>
      <w:r w:rsidRPr="0079420B">
        <w:rPr>
          <w:spacing w:val="-4"/>
        </w:rPr>
        <w:t>2017.</w:t>
      </w:r>
    </w:p>
    <w:p w14:paraId="400EECF4" w14:textId="3CAC1181" w:rsidR="00965797" w:rsidRPr="00C41D54" w:rsidRDefault="00965797" w:rsidP="0067514E">
      <w:pPr>
        <w:pStyle w:val="Nadpis11"/>
        <w:rPr>
          <w:b w:val="0"/>
          <w:sz w:val="2"/>
          <w:szCs w:val="2"/>
          <w:highlight w:val="yellow"/>
        </w:rPr>
      </w:pPr>
      <w:bookmarkStart w:id="4" w:name="_GoBack"/>
      <w:bookmarkEnd w:id="3"/>
      <w:bookmarkEnd w:id="4"/>
    </w:p>
    <w:sectPr w:rsidR="00965797" w:rsidRPr="00C41D54" w:rsidSect="00715E34">
      <w:headerReference w:type="even" r:id="rId9"/>
      <w:headerReference w:type="default" r:id="rId10"/>
      <w:footerReference w:type="even" r:id="rId11"/>
      <w:footerReference w:type="default" r:id="rId12"/>
      <w:pgSz w:w="11906" w:h="16838" w:code="9"/>
      <w:pgMar w:top="1134" w:right="1134" w:bottom="1418" w:left="1134" w:header="680" w:footer="73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677C" w14:textId="77777777" w:rsidR="007A4596" w:rsidRDefault="007A4596" w:rsidP="00E71A58">
      <w:r>
        <w:separator/>
      </w:r>
    </w:p>
  </w:endnote>
  <w:endnote w:type="continuationSeparator" w:id="0">
    <w:p w14:paraId="592A0771" w14:textId="77777777" w:rsidR="007A4596" w:rsidRDefault="007A459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39522494" w:rsidR="00441F8B" w:rsidRPr="00932443" w:rsidRDefault="00441F8B"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34"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15E34">
      <w:rPr>
        <w:szCs w:val="16"/>
      </w:rPr>
      <w:t>4</w:t>
    </w:r>
    <w:r w:rsidRPr="00932443">
      <w:rPr>
        <w:szCs w:val="16"/>
      </w:rPr>
      <w:fldChar w:fldCharType="end"/>
    </w:r>
    <w:r w:rsidRPr="00932443">
      <w:rPr>
        <w:szCs w:val="16"/>
      </w:rPr>
      <w:tab/>
    </w:r>
    <w:r>
      <w:rPr>
        <w:szCs w:val="16"/>
      </w:rPr>
      <w:t>1. čtvrtletí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682C3031" w:rsidR="00441F8B" w:rsidRPr="00932443" w:rsidRDefault="00441F8B" w:rsidP="00FA6CB6">
    <w:pPr>
      <w:pStyle w:val="Zpat"/>
      <w:rPr>
        <w:szCs w:val="16"/>
      </w:rPr>
    </w:pPr>
    <w:r w:rsidRPr="00FA6CB6">
      <w:rPr>
        <w:szCs w:val="16"/>
      </w:rPr>
      <w:tab/>
    </w:r>
    <w:r>
      <w:rPr>
        <w:szCs w:val="16"/>
      </w:rPr>
      <w:t xml:space="preserve">1. čtvrtletí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3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15E34">
      <w:rPr>
        <w:rStyle w:val="ZpatChar"/>
        <w:szCs w:val="16"/>
      </w:rPr>
      <w:t>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D414" w14:textId="77777777" w:rsidR="007A4596" w:rsidRDefault="007A4596" w:rsidP="00A21B4D">
      <w:pPr>
        <w:spacing w:after="0"/>
      </w:pPr>
      <w:r>
        <w:separator/>
      </w:r>
    </w:p>
  </w:footnote>
  <w:footnote w:type="continuationSeparator" w:id="0">
    <w:p w14:paraId="10CC4DCC" w14:textId="77777777" w:rsidR="007A4596" w:rsidRDefault="007A4596" w:rsidP="00E71A58">
      <w:r>
        <w:continuationSeparator/>
      </w:r>
    </w:p>
  </w:footnote>
  <w:footnote w:id="1">
    <w:p w14:paraId="5339AF2C" w14:textId="77777777" w:rsidR="00441F8B" w:rsidRDefault="00441F8B" w:rsidP="00EF23B5">
      <w:pPr>
        <w:pStyle w:val="Textpoznpodarou"/>
        <w:rPr>
          <w:spacing w:val="-2"/>
          <w:sz w:val="16"/>
          <w:szCs w:val="16"/>
        </w:rPr>
      </w:pPr>
      <w:r>
        <w:rPr>
          <w:rStyle w:val="Znakapoznpodarou"/>
          <w:spacing w:val="-2"/>
          <w:szCs w:val="16"/>
        </w:rPr>
        <w:footnoteRef/>
      </w:r>
      <w:r>
        <w:rPr>
          <w:spacing w:val="-2"/>
          <w:sz w:val="16"/>
          <w:szCs w:val="16"/>
        </w:rPr>
        <w:t xml:space="preserve"> Data o HDP, hrubé přidané hodnotě a jejich složkách jsou vyjádřena ve stálých cenách a v očištění o sezónní a kalendářní vlivy.</w:t>
      </w:r>
    </w:p>
  </w:footnote>
  <w:footnote w:id="2">
    <w:p w14:paraId="6701FAA2" w14:textId="77777777" w:rsidR="00441F8B" w:rsidRDefault="00441F8B" w:rsidP="00EF23B5">
      <w:pPr>
        <w:pStyle w:val="Textpoznpodarou"/>
        <w:jc w:val="both"/>
        <w:rPr>
          <w:sz w:val="16"/>
          <w:szCs w:val="16"/>
        </w:rPr>
      </w:pPr>
      <w:r>
        <w:rPr>
          <w:rStyle w:val="Znakapoznpodarou"/>
          <w:spacing w:val="-2"/>
          <w:szCs w:val="16"/>
        </w:rPr>
        <w:footnoteRef/>
      </w:r>
      <w:r>
        <w:rPr>
          <w:spacing w:val="-2"/>
          <w:sz w:val="16"/>
          <w:szCs w:val="16"/>
        </w:rPr>
        <w:t xml:space="preserve"> Údaje o zaměstnanosti jsou uvedeny v pojetí národních účtů a očištěny o sezónní vlivy.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441F8B" w:rsidRDefault="00441F8B" w:rsidP="00937AE2">
    <w:pPr>
      <w:pStyle w:val="Zhlav"/>
    </w:pPr>
    <w:r>
      <w:t>Vývoj ekonomiky České republiky</w:t>
    </w:r>
  </w:p>
  <w:p w14:paraId="675E4C41" w14:textId="77777777" w:rsidR="00441F8B" w:rsidRPr="006F5416" w:rsidRDefault="00441F8B" w:rsidP="00937AE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441F8B" w:rsidRDefault="00441F8B" w:rsidP="00937AE2">
    <w:pPr>
      <w:pStyle w:val="Zhlav"/>
    </w:pPr>
    <w:r>
      <w:t>Vývoj ekonomiky České republiky</w:t>
    </w:r>
  </w:p>
  <w:p w14:paraId="0CDCFD48" w14:textId="77777777" w:rsidR="00441F8B" w:rsidRPr="006F5416" w:rsidRDefault="00441F8B" w:rsidP="00937AE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A75"/>
    <w:rsid w:val="00066558"/>
    <w:rsid w:val="00070A87"/>
    <w:rsid w:val="000712B3"/>
    <w:rsid w:val="00072FF5"/>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3241"/>
    <w:rsid w:val="00094A84"/>
    <w:rsid w:val="00095025"/>
    <w:rsid w:val="00095135"/>
    <w:rsid w:val="0009626E"/>
    <w:rsid w:val="00097191"/>
    <w:rsid w:val="000974D1"/>
    <w:rsid w:val="00097784"/>
    <w:rsid w:val="0009799E"/>
    <w:rsid w:val="000A07CB"/>
    <w:rsid w:val="000A0BC0"/>
    <w:rsid w:val="000A1183"/>
    <w:rsid w:val="000A12ED"/>
    <w:rsid w:val="000A212B"/>
    <w:rsid w:val="000A242D"/>
    <w:rsid w:val="000A256D"/>
    <w:rsid w:val="000A3A2C"/>
    <w:rsid w:val="000A3D9E"/>
    <w:rsid w:val="000A4A54"/>
    <w:rsid w:val="000A4ED9"/>
    <w:rsid w:val="000A5DB7"/>
    <w:rsid w:val="000A6D94"/>
    <w:rsid w:val="000A7377"/>
    <w:rsid w:val="000A7FF4"/>
    <w:rsid w:val="000B03CC"/>
    <w:rsid w:val="000B4212"/>
    <w:rsid w:val="000C0EA8"/>
    <w:rsid w:val="000C13A2"/>
    <w:rsid w:val="000C21E7"/>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F5C"/>
    <w:rsid w:val="00101CDA"/>
    <w:rsid w:val="00102037"/>
    <w:rsid w:val="00103DCB"/>
    <w:rsid w:val="00104C4C"/>
    <w:rsid w:val="00105015"/>
    <w:rsid w:val="001055D2"/>
    <w:rsid w:val="001057C2"/>
    <w:rsid w:val="0011038E"/>
    <w:rsid w:val="001125EF"/>
    <w:rsid w:val="00112CAB"/>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B92"/>
    <w:rsid w:val="00167CB9"/>
    <w:rsid w:val="00167DD8"/>
    <w:rsid w:val="001705AD"/>
    <w:rsid w:val="001706D6"/>
    <w:rsid w:val="001714F2"/>
    <w:rsid w:val="00171FEA"/>
    <w:rsid w:val="00175B9F"/>
    <w:rsid w:val="001762F4"/>
    <w:rsid w:val="00181BBC"/>
    <w:rsid w:val="0018385F"/>
    <w:rsid w:val="00184017"/>
    <w:rsid w:val="001847BB"/>
    <w:rsid w:val="00184B08"/>
    <w:rsid w:val="00185010"/>
    <w:rsid w:val="00185C22"/>
    <w:rsid w:val="00186BA9"/>
    <w:rsid w:val="0019196C"/>
    <w:rsid w:val="00192F05"/>
    <w:rsid w:val="00194729"/>
    <w:rsid w:val="00194850"/>
    <w:rsid w:val="00195234"/>
    <w:rsid w:val="00196016"/>
    <w:rsid w:val="00196117"/>
    <w:rsid w:val="00197A70"/>
    <w:rsid w:val="00197C0F"/>
    <w:rsid w:val="001A0487"/>
    <w:rsid w:val="001A1F68"/>
    <w:rsid w:val="001A21FA"/>
    <w:rsid w:val="001A4EF0"/>
    <w:rsid w:val="001A552F"/>
    <w:rsid w:val="001A70B1"/>
    <w:rsid w:val="001B0738"/>
    <w:rsid w:val="001B2CA9"/>
    <w:rsid w:val="001B3110"/>
    <w:rsid w:val="001B3E38"/>
    <w:rsid w:val="001B40F5"/>
    <w:rsid w:val="001B4729"/>
    <w:rsid w:val="001B4F0E"/>
    <w:rsid w:val="001B6310"/>
    <w:rsid w:val="001B6C09"/>
    <w:rsid w:val="001B6E12"/>
    <w:rsid w:val="001C05CD"/>
    <w:rsid w:val="001C0F17"/>
    <w:rsid w:val="001C1B24"/>
    <w:rsid w:val="001C1B66"/>
    <w:rsid w:val="001C31A2"/>
    <w:rsid w:val="001C351D"/>
    <w:rsid w:val="001C4BB8"/>
    <w:rsid w:val="001C4FD0"/>
    <w:rsid w:val="001C5E46"/>
    <w:rsid w:val="001C6B3B"/>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7CE0"/>
    <w:rsid w:val="00200085"/>
    <w:rsid w:val="00203332"/>
    <w:rsid w:val="00203CD5"/>
    <w:rsid w:val="00203D8F"/>
    <w:rsid w:val="00203DA4"/>
    <w:rsid w:val="00204EA6"/>
    <w:rsid w:val="00205186"/>
    <w:rsid w:val="00206516"/>
    <w:rsid w:val="002071D5"/>
    <w:rsid w:val="002111E5"/>
    <w:rsid w:val="002118B9"/>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20C9"/>
    <w:rsid w:val="0023288F"/>
    <w:rsid w:val="0023359B"/>
    <w:rsid w:val="00233603"/>
    <w:rsid w:val="002340EF"/>
    <w:rsid w:val="00234B82"/>
    <w:rsid w:val="00236443"/>
    <w:rsid w:val="00236700"/>
    <w:rsid w:val="00240391"/>
    <w:rsid w:val="00240AF3"/>
    <w:rsid w:val="002418D5"/>
    <w:rsid w:val="00241B06"/>
    <w:rsid w:val="002436BA"/>
    <w:rsid w:val="00244652"/>
    <w:rsid w:val="00244A15"/>
    <w:rsid w:val="002452D9"/>
    <w:rsid w:val="00247319"/>
    <w:rsid w:val="0024799E"/>
    <w:rsid w:val="00247E60"/>
    <w:rsid w:val="00251C53"/>
    <w:rsid w:val="00252AB9"/>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9D8"/>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AA6"/>
    <w:rsid w:val="00311C4D"/>
    <w:rsid w:val="003121AB"/>
    <w:rsid w:val="00315169"/>
    <w:rsid w:val="003153C8"/>
    <w:rsid w:val="00315524"/>
    <w:rsid w:val="0032058C"/>
    <w:rsid w:val="003208D0"/>
    <w:rsid w:val="003209D6"/>
    <w:rsid w:val="003217B9"/>
    <w:rsid w:val="00321924"/>
    <w:rsid w:val="00321EB6"/>
    <w:rsid w:val="003220A5"/>
    <w:rsid w:val="00323A1C"/>
    <w:rsid w:val="00324B59"/>
    <w:rsid w:val="0032656E"/>
    <w:rsid w:val="0032788F"/>
    <w:rsid w:val="00332190"/>
    <w:rsid w:val="00332A98"/>
    <w:rsid w:val="00333973"/>
    <w:rsid w:val="00333CD0"/>
    <w:rsid w:val="0033448D"/>
    <w:rsid w:val="00334AD2"/>
    <w:rsid w:val="00334CB6"/>
    <w:rsid w:val="0033709C"/>
    <w:rsid w:val="003370C5"/>
    <w:rsid w:val="003373C6"/>
    <w:rsid w:val="00340BF3"/>
    <w:rsid w:val="00341D26"/>
    <w:rsid w:val="00341F05"/>
    <w:rsid w:val="0034335E"/>
    <w:rsid w:val="00344668"/>
    <w:rsid w:val="00346234"/>
    <w:rsid w:val="003462D9"/>
    <w:rsid w:val="0034723F"/>
    <w:rsid w:val="00347247"/>
    <w:rsid w:val="003474B6"/>
    <w:rsid w:val="00347DD4"/>
    <w:rsid w:val="00352B43"/>
    <w:rsid w:val="00352C28"/>
    <w:rsid w:val="0036077F"/>
    <w:rsid w:val="00360C86"/>
    <w:rsid w:val="00360F7A"/>
    <w:rsid w:val="00360FBC"/>
    <w:rsid w:val="00361537"/>
    <w:rsid w:val="0036242A"/>
    <w:rsid w:val="00362C23"/>
    <w:rsid w:val="00362E90"/>
    <w:rsid w:val="00364FA0"/>
    <w:rsid w:val="003657F3"/>
    <w:rsid w:val="00365844"/>
    <w:rsid w:val="00367F84"/>
    <w:rsid w:val="003712BC"/>
    <w:rsid w:val="00372164"/>
    <w:rsid w:val="003738BD"/>
    <w:rsid w:val="00374263"/>
    <w:rsid w:val="003746F0"/>
    <w:rsid w:val="00374A20"/>
    <w:rsid w:val="00374E21"/>
    <w:rsid w:val="00377B2E"/>
    <w:rsid w:val="003810F0"/>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1EF8"/>
    <w:rsid w:val="003E2DFB"/>
    <w:rsid w:val="003E4C91"/>
    <w:rsid w:val="003E52D8"/>
    <w:rsid w:val="003E62F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EF1"/>
    <w:rsid w:val="00452E60"/>
    <w:rsid w:val="0045321B"/>
    <w:rsid w:val="00456FE5"/>
    <w:rsid w:val="00457490"/>
    <w:rsid w:val="00457953"/>
    <w:rsid w:val="004604D8"/>
    <w:rsid w:val="00460656"/>
    <w:rsid w:val="00460FB3"/>
    <w:rsid w:val="00463D3C"/>
    <w:rsid w:val="00464851"/>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DE6"/>
    <w:rsid w:val="004E765E"/>
    <w:rsid w:val="004E7815"/>
    <w:rsid w:val="004F06F5"/>
    <w:rsid w:val="004F12A4"/>
    <w:rsid w:val="004F253F"/>
    <w:rsid w:val="004F33A0"/>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3E52"/>
    <w:rsid w:val="00583FFD"/>
    <w:rsid w:val="00584252"/>
    <w:rsid w:val="0058519A"/>
    <w:rsid w:val="005856BD"/>
    <w:rsid w:val="00586BCA"/>
    <w:rsid w:val="00587038"/>
    <w:rsid w:val="00590B28"/>
    <w:rsid w:val="005911BE"/>
    <w:rsid w:val="00591273"/>
    <w:rsid w:val="00591E9E"/>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D7F"/>
    <w:rsid w:val="005F7174"/>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1787"/>
    <w:rsid w:val="0064179B"/>
    <w:rsid w:val="00642489"/>
    <w:rsid w:val="00644055"/>
    <w:rsid w:val="00644137"/>
    <w:rsid w:val="0064478C"/>
    <w:rsid w:val="00645160"/>
    <w:rsid w:val="006451E4"/>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D27"/>
    <w:rsid w:val="00691943"/>
    <w:rsid w:val="00693550"/>
    <w:rsid w:val="00695065"/>
    <w:rsid w:val="00695BEF"/>
    <w:rsid w:val="00696251"/>
    <w:rsid w:val="006966C7"/>
    <w:rsid w:val="006968C1"/>
    <w:rsid w:val="006977F6"/>
    <w:rsid w:val="00697A13"/>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34"/>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77BD"/>
    <w:rsid w:val="00737DEC"/>
    <w:rsid w:val="0074004D"/>
    <w:rsid w:val="00741493"/>
    <w:rsid w:val="007434E5"/>
    <w:rsid w:val="0074499B"/>
    <w:rsid w:val="007450BF"/>
    <w:rsid w:val="007471A1"/>
    <w:rsid w:val="007477BD"/>
    <w:rsid w:val="00747EE9"/>
    <w:rsid w:val="00752180"/>
    <w:rsid w:val="00752323"/>
    <w:rsid w:val="007532B7"/>
    <w:rsid w:val="00753CAB"/>
    <w:rsid w:val="00754A70"/>
    <w:rsid w:val="00754BC9"/>
    <w:rsid w:val="00755202"/>
    <w:rsid w:val="00755D3A"/>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596"/>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A1F"/>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20F3"/>
    <w:rsid w:val="007F2353"/>
    <w:rsid w:val="007F2390"/>
    <w:rsid w:val="007F2CAC"/>
    <w:rsid w:val="007F4740"/>
    <w:rsid w:val="007F595A"/>
    <w:rsid w:val="007F708D"/>
    <w:rsid w:val="008006B3"/>
    <w:rsid w:val="00800B63"/>
    <w:rsid w:val="0080158A"/>
    <w:rsid w:val="00801E13"/>
    <w:rsid w:val="00803008"/>
    <w:rsid w:val="00803069"/>
    <w:rsid w:val="0080346B"/>
    <w:rsid w:val="00804155"/>
    <w:rsid w:val="0080559E"/>
    <w:rsid w:val="00805AF3"/>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F77"/>
    <w:rsid w:val="00834304"/>
    <w:rsid w:val="00834FAA"/>
    <w:rsid w:val="008354FB"/>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6C6"/>
    <w:rsid w:val="0084708F"/>
    <w:rsid w:val="008477C8"/>
    <w:rsid w:val="008478A6"/>
    <w:rsid w:val="008502F6"/>
    <w:rsid w:val="0085114D"/>
    <w:rsid w:val="008520A8"/>
    <w:rsid w:val="00852217"/>
    <w:rsid w:val="00853282"/>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4E02"/>
    <w:rsid w:val="00885D40"/>
    <w:rsid w:val="008873D4"/>
    <w:rsid w:val="00891EDF"/>
    <w:rsid w:val="00892872"/>
    <w:rsid w:val="0089296D"/>
    <w:rsid w:val="00893E85"/>
    <w:rsid w:val="00893EBE"/>
    <w:rsid w:val="00894031"/>
    <w:rsid w:val="00894C5D"/>
    <w:rsid w:val="00895508"/>
    <w:rsid w:val="008967E9"/>
    <w:rsid w:val="00896A5C"/>
    <w:rsid w:val="008972D2"/>
    <w:rsid w:val="0089754C"/>
    <w:rsid w:val="008A0ADD"/>
    <w:rsid w:val="008A0D27"/>
    <w:rsid w:val="008A1C59"/>
    <w:rsid w:val="008A37E2"/>
    <w:rsid w:val="008A388E"/>
    <w:rsid w:val="008A394E"/>
    <w:rsid w:val="008A3CBA"/>
    <w:rsid w:val="008A4B59"/>
    <w:rsid w:val="008A63E1"/>
    <w:rsid w:val="008A66B7"/>
    <w:rsid w:val="008A68BB"/>
    <w:rsid w:val="008A6AA5"/>
    <w:rsid w:val="008A7127"/>
    <w:rsid w:val="008B3537"/>
    <w:rsid w:val="008B3690"/>
    <w:rsid w:val="008B3A80"/>
    <w:rsid w:val="008B3AEC"/>
    <w:rsid w:val="008B3C07"/>
    <w:rsid w:val="008B3F7B"/>
    <w:rsid w:val="008B5324"/>
    <w:rsid w:val="008B6106"/>
    <w:rsid w:val="008B7C02"/>
    <w:rsid w:val="008B7D2B"/>
    <w:rsid w:val="008B7EF9"/>
    <w:rsid w:val="008C0049"/>
    <w:rsid w:val="008C0E88"/>
    <w:rsid w:val="008C1717"/>
    <w:rsid w:val="008C4B50"/>
    <w:rsid w:val="008C5A37"/>
    <w:rsid w:val="008C7569"/>
    <w:rsid w:val="008D033D"/>
    <w:rsid w:val="008D0DBD"/>
    <w:rsid w:val="008D117E"/>
    <w:rsid w:val="008D127E"/>
    <w:rsid w:val="008D1CA8"/>
    <w:rsid w:val="008D1E0A"/>
    <w:rsid w:val="008D1E6A"/>
    <w:rsid w:val="008D2A16"/>
    <w:rsid w:val="008D33F5"/>
    <w:rsid w:val="008D35E4"/>
    <w:rsid w:val="008D6C3A"/>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24D2"/>
    <w:rsid w:val="009628D9"/>
    <w:rsid w:val="009637AE"/>
    <w:rsid w:val="00963A06"/>
    <w:rsid w:val="00964068"/>
    <w:rsid w:val="009640F6"/>
    <w:rsid w:val="0096469D"/>
    <w:rsid w:val="00964776"/>
    <w:rsid w:val="00964A4E"/>
    <w:rsid w:val="00964B35"/>
    <w:rsid w:val="009651C7"/>
    <w:rsid w:val="00965797"/>
    <w:rsid w:val="00965A1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E1"/>
    <w:rsid w:val="00A20FE1"/>
    <w:rsid w:val="00A21B4D"/>
    <w:rsid w:val="00A22073"/>
    <w:rsid w:val="00A223E0"/>
    <w:rsid w:val="00A23E43"/>
    <w:rsid w:val="00A24726"/>
    <w:rsid w:val="00A24DEB"/>
    <w:rsid w:val="00A24ED9"/>
    <w:rsid w:val="00A25216"/>
    <w:rsid w:val="00A2597D"/>
    <w:rsid w:val="00A2628E"/>
    <w:rsid w:val="00A266BF"/>
    <w:rsid w:val="00A2731E"/>
    <w:rsid w:val="00A309AC"/>
    <w:rsid w:val="00A30F65"/>
    <w:rsid w:val="00A3279E"/>
    <w:rsid w:val="00A35900"/>
    <w:rsid w:val="00A40EAC"/>
    <w:rsid w:val="00A418BC"/>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A0E80"/>
    <w:rsid w:val="00AA17CD"/>
    <w:rsid w:val="00AA1D85"/>
    <w:rsid w:val="00AA212F"/>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DD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C7D"/>
    <w:rsid w:val="00B53E56"/>
    <w:rsid w:val="00B55A97"/>
    <w:rsid w:val="00B55F5E"/>
    <w:rsid w:val="00B5642C"/>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E0B"/>
    <w:rsid w:val="00BA201A"/>
    <w:rsid w:val="00BA3787"/>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20FE"/>
    <w:rsid w:val="00CC2E7D"/>
    <w:rsid w:val="00CC612B"/>
    <w:rsid w:val="00CC655F"/>
    <w:rsid w:val="00CC66F9"/>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476"/>
    <w:rsid w:val="00D12C25"/>
    <w:rsid w:val="00D133B4"/>
    <w:rsid w:val="00D13986"/>
    <w:rsid w:val="00D14C5B"/>
    <w:rsid w:val="00D15FED"/>
    <w:rsid w:val="00D16712"/>
    <w:rsid w:val="00D214EF"/>
    <w:rsid w:val="00D215B0"/>
    <w:rsid w:val="00D21D6D"/>
    <w:rsid w:val="00D21D83"/>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544C"/>
    <w:rsid w:val="00DA5F8E"/>
    <w:rsid w:val="00DA6364"/>
    <w:rsid w:val="00DA7114"/>
    <w:rsid w:val="00DA7C0C"/>
    <w:rsid w:val="00DB03DD"/>
    <w:rsid w:val="00DB08A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5287"/>
    <w:rsid w:val="00DD5B36"/>
    <w:rsid w:val="00DE0D8B"/>
    <w:rsid w:val="00DE1237"/>
    <w:rsid w:val="00DE140F"/>
    <w:rsid w:val="00DE2491"/>
    <w:rsid w:val="00DE5CA6"/>
    <w:rsid w:val="00DE7AC8"/>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2191"/>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0F15"/>
    <w:rsid w:val="00E31771"/>
    <w:rsid w:val="00E3186D"/>
    <w:rsid w:val="00E31A3E"/>
    <w:rsid w:val="00E32080"/>
    <w:rsid w:val="00E3309D"/>
    <w:rsid w:val="00E35A53"/>
    <w:rsid w:val="00E3656B"/>
    <w:rsid w:val="00E3724A"/>
    <w:rsid w:val="00E378B1"/>
    <w:rsid w:val="00E417BE"/>
    <w:rsid w:val="00E41CD5"/>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3470"/>
    <w:rsid w:val="00E539F6"/>
    <w:rsid w:val="00E54698"/>
    <w:rsid w:val="00E54FB4"/>
    <w:rsid w:val="00E5539A"/>
    <w:rsid w:val="00E55791"/>
    <w:rsid w:val="00E55E1A"/>
    <w:rsid w:val="00E578A2"/>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7DC"/>
    <w:rsid w:val="00E74A2D"/>
    <w:rsid w:val="00E75C94"/>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F10"/>
    <w:rsid w:val="00ED4D04"/>
    <w:rsid w:val="00ED566D"/>
    <w:rsid w:val="00ED5907"/>
    <w:rsid w:val="00ED5F5B"/>
    <w:rsid w:val="00ED62C6"/>
    <w:rsid w:val="00ED64C1"/>
    <w:rsid w:val="00EE2EB4"/>
    <w:rsid w:val="00EE3446"/>
    <w:rsid w:val="00EE3E78"/>
    <w:rsid w:val="00EE41FD"/>
    <w:rsid w:val="00EE460E"/>
    <w:rsid w:val="00EE4B1B"/>
    <w:rsid w:val="00EE5FBA"/>
    <w:rsid w:val="00EE6E06"/>
    <w:rsid w:val="00EE7179"/>
    <w:rsid w:val="00EF0D90"/>
    <w:rsid w:val="00EF150D"/>
    <w:rsid w:val="00EF1F5A"/>
    <w:rsid w:val="00EF23B5"/>
    <w:rsid w:val="00EF47BF"/>
    <w:rsid w:val="00EF59B1"/>
    <w:rsid w:val="00EF5A13"/>
    <w:rsid w:val="00EF5FF9"/>
    <w:rsid w:val="00EF77D4"/>
    <w:rsid w:val="00EF7CC7"/>
    <w:rsid w:val="00F00853"/>
    <w:rsid w:val="00F00866"/>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525AB"/>
    <w:rsid w:val="00F525EB"/>
    <w:rsid w:val="00F52CB5"/>
    <w:rsid w:val="00F53378"/>
    <w:rsid w:val="00F53A68"/>
    <w:rsid w:val="00F54934"/>
    <w:rsid w:val="00F55A92"/>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82D14"/>
    <w:rsid w:val="00F84E7D"/>
    <w:rsid w:val="00F85066"/>
    <w:rsid w:val="00F87A4D"/>
    <w:rsid w:val="00F93688"/>
    <w:rsid w:val="00F939F3"/>
    <w:rsid w:val="00F93C6E"/>
    <w:rsid w:val="00F93F2C"/>
    <w:rsid w:val="00F9644E"/>
    <w:rsid w:val="00FA0105"/>
    <w:rsid w:val="00FA05A0"/>
    <w:rsid w:val="00FA0AEF"/>
    <w:rsid w:val="00FA17CC"/>
    <w:rsid w:val="00FA1F01"/>
    <w:rsid w:val="00FA26DF"/>
    <w:rsid w:val="00FA32BC"/>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E27C7"/>
    <w:rsid w:val="00FE2C7E"/>
    <w:rsid w:val="00FE2F78"/>
    <w:rsid w:val="00FE3137"/>
    <w:rsid w:val="00FE346B"/>
    <w:rsid w:val="00FE346F"/>
    <w:rsid w:val="00FE48E4"/>
    <w:rsid w:val="00FE634C"/>
    <w:rsid w:val="00FE6E69"/>
    <w:rsid w:val="00FE6F59"/>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8E2A-1EBD-47AC-B418-B07584F72DCE}">
  <ds:schemaRefs>
    <ds:schemaRef ds:uri="http://schemas.openxmlformats.org/officeDocument/2006/bibliography"/>
  </ds:schemaRefs>
</ds:datastoreItem>
</file>

<file path=customXml/itemProps2.xml><?xml version="1.0" encoding="utf-8"?>
<ds:datastoreItem xmlns:ds="http://schemas.openxmlformats.org/officeDocument/2006/customXml" ds:itemID="{402BAA45-658D-478D-A833-C429C953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1</Pages>
  <Words>677</Words>
  <Characters>3760</Characters>
  <Application>Microsoft Office Word</Application>
  <DocSecurity>0</DocSecurity>
  <Lines>63</Lines>
  <Paragraphs>19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4418</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2019-04-08T10:52:00Z</cp:lastPrinted>
  <dcterms:created xsi:type="dcterms:W3CDTF">2020-06-12T09:08:00Z</dcterms:created>
  <dcterms:modified xsi:type="dcterms:W3CDTF">2020-06-12T09:13:00Z</dcterms:modified>
</cp:coreProperties>
</file>