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17" w:rsidRPr="000732DB" w:rsidRDefault="00B85FE0" w:rsidP="00B85FE0">
      <w:pPr>
        <w:pStyle w:val="Nadpis1"/>
        <w:numPr>
          <w:ilvl w:val="0"/>
          <w:numId w:val="2"/>
        </w:numPr>
        <w:jc w:val="both"/>
      </w:pPr>
      <w:bookmarkStart w:id="0" w:name="_Toc436211322"/>
      <w:r>
        <w:t>Hrubý domácí produkt</w:t>
      </w:r>
      <w:bookmarkEnd w:id="0"/>
    </w:p>
    <w:tbl>
      <w:tblPr>
        <w:tblW w:w="5000" w:type="pct"/>
        <w:tblLayout w:type="fixed"/>
        <w:tblLook w:val="00A0"/>
      </w:tblPr>
      <w:tblGrid>
        <w:gridCol w:w="9854"/>
      </w:tblGrid>
      <w:tr w:rsidR="00B85FE0" w:rsidRPr="009D22D9" w:rsidTr="0042164D">
        <w:tc>
          <w:tcPr>
            <w:tcW w:w="5000" w:type="pct"/>
          </w:tcPr>
          <w:p w:rsidR="0042164D" w:rsidRPr="009D22D9" w:rsidRDefault="0042164D" w:rsidP="0042164D">
            <w:pPr>
              <w:pStyle w:val="Textpoznpodarou"/>
              <w:jc w:val="both"/>
              <w:rPr>
                <w:sz w:val="18"/>
                <w:szCs w:val="18"/>
              </w:rPr>
            </w:pPr>
            <w:r w:rsidRPr="009D22D9">
              <w:t>Základním ukazatelem, který se používá k měření výkonnosti ekonomiky, je hrubý domácí produkt. Zachycuje hodnotu zboží a služeb, kterou ekonomika za konkrétní období vytvořila, ale také</w:t>
            </w:r>
            <w:r w:rsidR="000F3D8C" w:rsidRPr="009D22D9">
              <w:t xml:space="preserve"> hodnotu, kterou</w:t>
            </w:r>
            <w:r w:rsidRPr="009D22D9">
              <w:t xml:space="preserve"> zrealizovala</w:t>
            </w:r>
            <w:r w:rsidR="00887715">
              <w:t>, a tím de facto přetvořila</w:t>
            </w:r>
            <w:r w:rsidRPr="009D22D9">
              <w:t xml:space="preserve"> ve finanční prostředky.</w:t>
            </w:r>
          </w:p>
        </w:tc>
      </w:tr>
    </w:tbl>
    <w:p w:rsidR="00BA4E17" w:rsidRPr="0042164D" w:rsidRDefault="00BA4E17" w:rsidP="00BA4E17">
      <w:pPr>
        <w:rPr>
          <w:sz w:val="16"/>
          <w:szCs w:val="16"/>
          <w:lang w:eastAsia="ar-SA"/>
        </w:rPr>
      </w:pPr>
    </w:p>
    <w:p w:rsidR="00B85FE0" w:rsidRPr="00B85FE0" w:rsidRDefault="008D1884" w:rsidP="00B85FE0">
      <w:pPr>
        <w:pStyle w:val="Nadpis2"/>
        <w:numPr>
          <w:ilvl w:val="1"/>
          <w:numId w:val="2"/>
        </w:numPr>
      </w:pPr>
      <w:bookmarkStart w:id="1" w:name="_Toc436211323"/>
      <w:r>
        <w:t>Dlouhodobý vývoj HDP</w:t>
      </w:r>
      <w:r w:rsidR="007963AC">
        <w:rPr>
          <w:rStyle w:val="Znakapoznpodarou"/>
        </w:rPr>
        <w:footnoteReference w:id="1"/>
      </w:r>
      <w:bookmarkEnd w:id="1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B85FE0" w:rsidRPr="009D22D9" w:rsidTr="006D5F64">
        <w:tc>
          <w:tcPr>
            <w:tcW w:w="1054" w:type="pct"/>
          </w:tcPr>
          <w:p w:rsidR="00B85FE0" w:rsidRPr="009D22D9" w:rsidRDefault="00451913" w:rsidP="00451913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>Posledních dvacet pět let bylo z hlediska ekonomického vývoje výjimečných a v jistých ohledech již těžko reprodukovatelných</w:t>
            </w:r>
          </w:p>
        </w:tc>
        <w:tc>
          <w:tcPr>
            <w:tcW w:w="143" w:type="pct"/>
          </w:tcPr>
          <w:p w:rsidR="00B85FE0" w:rsidRPr="009D22D9" w:rsidRDefault="00B85FE0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B85FE0" w:rsidRPr="009D22D9" w:rsidRDefault="00762CC3" w:rsidP="00762CC3">
            <w:pPr>
              <w:pStyle w:val="Textpoznpodarou"/>
              <w:jc w:val="both"/>
            </w:pPr>
            <w:r w:rsidRPr="009D22D9">
              <w:t xml:space="preserve">Přechod </w:t>
            </w:r>
            <w:r w:rsidR="007A5031" w:rsidRPr="009D22D9">
              <w:t>české ekonomiky</w:t>
            </w:r>
            <w:r w:rsidR="00551646" w:rsidRPr="009D22D9">
              <w:rPr>
                <w:rStyle w:val="Znakapoznpodarou"/>
              </w:rPr>
              <w:footnoteReference w:id="2"/>
            </w:r>
            <w:r w:rsidRPr="009D22D9">
              <w:t xml:space="preserve"> od </w:t>
            </w:r>
            <w:r w:rsidR="007A5031" w:rsidRPr="009D22D9">
              <w:t>centrálně plánovaného</w:t>
            </w:r>
            <w:r w:rsidR="008E0248" w:rsidRPr="009D22D9">
              <w:t xml:space="preserve"> systému k tržnímu byl bouřlivý a </w:t>
            </w:r>
            <w:r w:rsidR="00887715">
              <w:t>pro spotřebitele i podnikatele,</w:t>
            </w:r>
            <w:r w:rsidR="00AF0279">
              <w:t xml:space="preserve"> kteří si museli zvykat na „jiný</w:t>
            </w:r>
            <w:r w:rsidR="00887715">
              <w:t xml:space="preserve"> svět“,</w:t>
            </w:r>
            <w:r w:rsidR="008E0248" w:rsidRPr="009D22D9">
              <w:t xml:space="preserve"> obtížný</w:t>
            </w:r>
            <w:r w:rsidRPr="009D22D9">
              <w:t xml:space="preserve">. </w:t>
            </w:r>
            <w:r w:rsidR="008E0248" w:rsidRPr="009D22D9">
              <w:t>A přestože ani</w:t>
            </w:r>
            <w:r w:rsidR="00551646" w:rsidRPr="009D22D9">
              <w:t xml:space="preserve"> v </w:t>
            </w:r>
            <w:r w:rsidR="00C1135C" w:rsidRPr="009D22D9">
              <w:t>pozdějších</w:t>
            </w:r>
            <w:r w:rsidR="00551646" w:rsidRPr="009D22D9">
              <w:t xml:space="preserve"> letech se ekonomika nevyhnula problémům charakteristickým pro</w:t>
            </w:r>
            <w:r w:rsidR="00C1135C" w:rsidRPr="009D22D9">
              <w:t> </w:t>
            </w:r>
            <w:r w:rsidR="00551646" w:rsidRPr="009D22D9">
              <w:t>tržní systém</w:t>
            </w:r>
            <w:r w:rsidR="00C1135C" w:rsidRPr="009D22D9">
              <w:t>y</w:t>
            </w:r>
            <w:r w:rsidR="00551646" w:rsidRPr="009D22D9">
              <w:t xml:space="preserve">, celkově </w:t>
            </w:r>
            <w:r w:rsidR="007A5031" w:rsidRPr="009D22D9">
              <w:t>je možné</w:t>
            </w:r>
            <w:r w:rsidR="00887715">
              <w:t xml:space="preserve"> označit dvacet pět let, které</w:t>
            </w:r>
            <w:r w:rsidR="00C1135C" w:rsidRPr="009D22D9">
              <w:t xml:space="preserve"> </w:t>
            </w:r>
            <w:r w:rsidR="00887715">
              <w:t>uplynuly</w:t>
            </w:r>
            <w:r w:rsidR="00551646" w:rsidRPr="009D22D9">
              <w:t xml:space="preserve"> od</w:t>
            </w:r>
            <w:r w:rsidR="00231764" w:rsidRPr="009D22D9">
              <w:t> </w:t>
            </w:r>
            <w:r w:rsidR="00887715">
              <w:t>roku 1989,</w:t>
            </w:r>
            <w:r w:rsidR="00551646" w:rsidRPr="009D22D9">
              <w:t xml:space="preserve"> za období </w:t>
            </w:r>
            <w:r w:rsidR="00451913" w:rsidRPr="009D22D9">
              <w:t>prosperity.</w:t>
            </w:r>
            <w:r w:rsidR="007A5031" w:rsidRPr="009D22D9">
              <w:t xml:space="preserve"> </w:t>
            </w:r>
            <w:r w:rsidR="00451913" w:rsidRPr="009D22D9">
              <w:t xml:space="preserve">To </w:t>
            </w:r>
            <w:r w:rsidR="007A5031" w:rsidRPr="009D22D9">
              <w:t>se</w:t>
            </w:r>
            <w:r w:rsidR="000D4AE7" w:rsidRPr="009D22D9">
              <w:t xml:space="preserve"> v</w:t>
            </w:r>
            <w:r w:rsidR="006628E9" w:rsidRPr="009D22D9">
              <w:t> jistých ohledech</w:t>
            </w:r>
            <w:r w:rsidR="00451913" w:rsidRPr="009D22D9">
              <w:t xml:space="preserve"> (</w:t>
            </w:r>
            <w:r w:rsidR="001D0BF6" w:rsidRPr="009D22D9">
              <w:t xml:space="preserve">silný </w:t>
            </w:r>
            <w:r w:rsidR="00451913" w:rsidRPr="009D22D9">
              <w:t>příliv zahraničního kapitálu a s</w:t>
            </w:r>
            <w:r w:rsidR="00E07654" w:rsidRPr="009D22D9">
              <w:t xml:space="preserve"> </w:t>
            </w:r>
            <w:r w:rsidR="00451913" w:rsidRPr="009D22D9">
              <w:t>ním spojený intenzivní růst ekonomiky</w:t>
            </w:r>
            <w:r w:rsidR="00E07654" w:rsidRPr="009D22D9">
              <w:t xml:space="preserve"> a také nárůst významu exportu, vstup do EU</w:t>
            </w:r>
            <w:r w:rsidR="00451913" w:rsidRPr="009D22D9">
              <w:t>)</w:t>
            </w:r>
            <w:r w:rsidR="000D4AE7" w:rsidRPr="009D22D9">
              <w:t xml:space="preserve"> již </w:t>
            </w:r>
            <w:r w:rsidR="007A5031" w:rsidRPr="009D22D9">
              <w:t>opakovat nebude</w:t>
            </w:r>
            <w:r w:rsidR="00551646" w:rsidRPr="009D22D9">
              <w:t>.</w:t>
            </w:r>
          </w:p>
          <w:p w:rsidR="00551646" w:rsidRPr="009D22D9" w:rsidRDefault="00551646" w:rsidP="00762CC3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551646" w:rsidRPr="009D22D9" w:rsidTr="006D5F64">
        <w:tc>
          <w:tcPr>
            <w:tcW w:w="1054" w:type="pct"/>
          </w:tcPr>
          <w:p w:rsidR="00551646" w:rsidRPr="009D22D9" w:rsidRDefault="00451913" w:rsidP="00590010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 xml:space="preserve">Přerod ekonomiky z centrálně plánovaného systému v tržní byl spojen s liberalizací cen, která se promítla do skokového </w:t>
            </w:r>
            <w:r w:rsidR="00590010" w:rsidRPr="009D22D9">
              <w:rPr>
                <w:sz w:val="16"/>
                <w:szCs w:val="16"/>
              </w:rPr>
              <w:t>zdražení</w:t>
            </w:r>
            <w:r w:rsidR="005E115A" w:rsidRPr="009D22D9">
              <w:rPr>
                <w:sz w:val="16"/>
                <w:szCs w:val="16"/>
              </w:rPr>
              <w:t xml:space="preserve"> a poklesu kupní síly obyvatelstva</w:t>
            </w:r>
            <w:r w:rsidRPr="009D22D9">
              <w:rPr>
                <w:sz w:val="16"/>
                <w:szCs w:val="16"/>
              </w:rPr>
              <w:t>. HDP</w:t>
            </w:r>
            <w:r w:rsidR="00CF626B">
              <w:rPr>
                <w:sz w:val="16"/>
                <w:szCs w:val="16"/>
              </w:rPr>
              <w:t xml:space="preserve"> se</w:t>
            </w:r>
            <w:r w:rsidRPr="009D22D9">
              <w:rPr>
                <w:sz w:val="16"/>
                <w:szCs w:val="16"/>
              </w:rPr>
              <w:t xml:space="preserve"> během </w:t>
            </w:r>
            <w:r w:rsidR="00CF626B">
              <w:rPr>
                <w:sz w:val="16"/>
                <w:szCs w:val="16"/>
              </w:rPr>
              <w:t>let 1991 a 1992 propadl více než</w:t>
            </w:r>
            <w:r w:rsidRPr="009D22D9">
              <w:rPr>
                <w:sz w:val="16"/>
                <w:szCs w:val="16"/>
              </w:rPr>
              <w:t xml:space="preserve"> o de</w:t>
            </w:r>
            <w:r w:rsidR="00CF626B">
              <w:rPr>
                <w:sz w:val="16"/>
                <w:szCs w:val="16"/>
              </w:rPr>
              <w:t xml:space="preserve">setinu, v roce 1993 se však </w:t>
            </w:r>
            <w:r w:rsidRPr="009D22D9">
              <w:rPr>
                <w:sz w:val="16"/>
                <w:szCs w:val="16"/>
              </w:rPr>
              <w:t>situace</w:t>
            </w:r>
            <w:r w:rsidR="00CF626B">
              <w:rPr>
                <w:sz w:val="16"/>
                <w:szCs w:val="16"/>
              </w:rPr>
              <w:t xml:space="preserve"> již</w:t>
            </w:r>
            <w:r w:rsidRPr="009D22D9">
              <w:rPr>
                <w:sz w:val="16"/>
                <w:szCs w:val="16"/>
              </w:rPr>
              <w:t xml:space="preserve"> stabilizovala…</w:t>
            </w:r>
          </w:p>
        </w:tc>
        <w:tc>
          <w:tcPr>
            <w:tcW w:w="143" w:type="pct"/>
          </w:tcPr>
          <w:p w:rsidR="00551646" w:rsidRPr="009D22D9" w:rsidRDefault="00551646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551646" w:rsidRPr="009D22D9" w:rsidRDefault="00887715" w:rsidP="00EC71E0">
            <w:pPr>
              <w:pStyle w:val="Textpoznpodarou"/>
              <w:jc w:val="both"/>
            </w:pPr>
            <w:r>
              <w:t>Jak je patrné z G</w:t>
            </w:r>
            <w:r w:rsidR="00853EE1" w:rsidRPr="009D22D9">
              <w:t xml:space="preserve">rafu </w:t>
            </w:r>
            <w:r w:rsidR="001E0E16">
              <w:t>č.</w:t>
            </w:r>
            <w:r w:rsidR="00853EE1" w:rsidRPr="009D22D9">
              <w:t xml:space="preserve"> 2,</w:t>
            </w:r>
            <w:r w:rsidR="00EC71E0" w:rsidRPr="009D22D9">
              <w:t xml:space="preserve"> </w:t>
            </w:r>
            <w:r w:rsidR="00720A4E" w:rsidRPr="009D22D9">
              <w:t>jenž</w:t>
            </w:r>
            <w:r w:rsidR="00EC71E0" w:rsidRPr="009D22D9">
              <w:t xml:space="preserve"> zachycuje vývoj HDP v </w:t>
            </w:r>
            <w:r w:rsidR="00460D07" w:rsidRPr="009D22D9">
              <w:t>metodice ESA 1995 v letech 1970–</w:t>
            </w:r>
            <w:r w:rsidR="00EC71E0" w:rsidRPr="009D22D9">
              <w:t>1990,</w:t>
            </w:r>
            <w:r w:rsidR="00853EE1" w:rsidRPr="009D22D9">
              <w:t xml:space="preserve"> </w:t>
            </w:r>
            <w:r w:rsidR="00AD2681" w:rsidRPr="009D22D9">
              <w:t>80.</w:t>
            </w:r>
            <w:r w:rsidR="006D5F64" w:rsidRPr="009D22D9">
              <w:t xml:space="preserve"> léta</w:t>
            </w:r>
            <w:r w:rsidR="00853EE1" w:rsidRPr="009D22D9">
              <w:t xml:space="preserve"> byla </w:t>
            </w:r>
            <w:r w:rsidR="006628E9" w:rsidRPr="009D22D9">
              <w:t>typická</w:t>
            </w:r>
            <w:r w:rsidR="00982EC6" w:rsidRPr="009D22D9">
              <w:t xml:space="preserve"> nízkým</w:t>
            </w:r>
            <w:r w:rsidR="00853EE1" w:rsidRPr="009D22D9">
              <w:t xml:space="preserve"> </w:t>
            </w:r>
            <w:r w:rsidR="00982EC6" w:rsidRPr="009D22D9">
              <w:t>tempem</w:t>
            </w:r>
            <w:r w:rsidR="00853EE1" w:rsidRPr="009D22D9">
              <w:t xml:space="preserve"> růstu</w:t>
            </w:r>
            <w:r w:rsidR="00982EC6" w:rsidRPr="009D22D9">
              <w:t>, které navíc ve</w:t>
            </w:r>
            <w:r w:rsidR="007F4BBB" w:rsidRPr="009D22D9">
              <w:t> </w:t>
            </w:r>
            <w:r w:rsidR="00982EC6" w:rsidRPr="009D22D9">
              <w:t>druhé polovině tohoto desetiletí začalo zpomalovat</w:t>
            </w:r>
            <w:r w:rsidR="00231764" w:rsidRPr="009D22D9">
              <w:t>.</w:t>
            </w:r>
            <w:r w:rsidR="007A5031" w:rsidRPr="009D22D9">
              <w:t xml:space="preserve"> Příčin bylo mnoho, za</w:t>
            </w:r>
            <w:r w:rsidR="007F4BBB" w:rsidRPr="009D22D9">
              <w:t> </w:t>
            </w:r>
            <w:r w:rsidR="007A5031" w:rsidRPr="009D22D9">
              <w:t xml:space="preserve">klíčovou lze </w:t>
            </w:r>
            <w:r w:rsidR="006628E9" w:rsidRPr="009D22D9">
              <w:t xml:space="preserve">ale </w:t>
            </w:r>
            <w:r w:rsidR="007A5031" w:rsidRPr="009D22D9">
              <w:t xml:space="preserve">považovat nedostatečnou konkurenceschopnost domácí </w:t>
            </w:r>
            <w:r w:rsidR="006D5F64" w:rsidRPr="009D22D9">
              <w:t>produkce</w:t>
            </w:r>
            <w:r w:rsidR="007A5031" w:rsidRPr="009D22D9">
              <w:t>.</w:t>
            </w:r>
            <w:r w:rsidR="00231764" w:rsidRPr="009D22D9">
              <w:t xml:space="preserve"> Pokles dynamiky se však </w:t>
            </w:r>
            <w:r w:rsidR="007A5031" w:rsidRPr="009D22D9">
              <w:t xml:space="preserve">nezastavil ani </w:t>
            </w:r>
            <w:r w:rsidR="00231764" w:rsidRPr="009D22D9">
              <w:t xml:space="preserve">s přechodem </w:t>
            </w:r>
            <w:r w:rsidR="00853EE1" w:rsidRPr="009D22D9">
              <w:t xml:space="preserve">k tržnímu systému. Jestliže v roce 1990 </w:t>
            </w:r>
            <w:r w:rsidR="008C079E" w:rsidRPr="009D22D9">
              <w:t>se</w:t>
            </w:r>
            <w:r w:rsidR="00982EC6" w:rsidRPr="009D22D9">
              <w:t> </w:t>
            </w:r>
            <w:r w:rsidR="008C079E" w:rsidRPr="009D22D9">
              <w:t>přírůstek HDP zmenšil na rovné 1 %</w:t>
            </w:r>
            <w:r w:rsidR="00853EE1" w:rsidRPr="009D22D9">
              <w:t xml:space="preserve">, </w:t>
            </w:r>
            <w:r w:rsidR="002068D4" w:rsidRPr="009D22D9">
              <w:t>roky 1991 a 1992</w:t>
            </w:r>
            <w:r w:rsidR="000D4AE7" w:rsidRPr="009D22D9">
              <w:t xml:space="preserve"> </w:t>
            </w:r>
            <w:r w:rsidR="00F07232" w:rsidRPr="009D22D9">
              <w:t>byly pro</w:t>
            </w:r>
            <w:r w:rsidR="00982EC6" w:rsidRPr="009D22D9">
              <w:t> </w:t>
            </w:r>
            <w:r w:rsidR="00F07232" w:rsidRPr="009D22D9">
              <w:t>ekonomiku</w:t>
            </w:r>
            <w:r w:rsidR="002068D4" w:rsidRPr="009D22D9">
              <w:t xml:space="preserve"> doslova</w:t>
            </w:r>
            <w:r w:rsidR="00853EE1" w:rsidRPr="009D22D9">
              <w:t xml:space="preserve"> šokem. HDP</w:t>
            </w:r>
            <w:r w:rsidR="000D4AE7" w:rsidRPr="009D22D9">
              <w:t xml:space="preserve"> v kumulaci</w:t>
            </w:r>
            <w:r w:rsidR="00853EE1" w:rsidRPr="009D22D9">
              <w:t xml:space="preserve"> propadl</w:t>
            </w:r>
            <w:r w:rsidR="00231764" w:rsidRPr="009D22D9">
              <w:t xml:space="preserve"> – </w:t>
            </w:r>
            <w:r w:rsidR="006D5F64" w:rsidRPr="009D22D9">
              <w:t xml:space="preserve">především </w:t>
            </w:r>
            <w:r w:rsidR="00231764" w:rsidRPr="009D22D9">
              <w:t>vlivem liberalizace cen,</w:t>
            </w:r>
            <w:r w:rsidR="00982EC6" w:rsidRPr="009D22D9">
              <w:t> </w:t>
            </w:r>
            <w:r w:rsidR="00F07232" w:rsidRPr="009D22D9">
              <w:t>jíž</w:t>
            </w:r>
            <w:r w:rsidR="00982EC6" w:rsidRPr="009D22D9">
              <w:t> </w:t>
            </w:r>
            <w:r w:rsidR="00F07232" w:rsidRPr="009D22D9">
              <w:t xml:space="preserve">následoval </w:t>
            </w:r>
            <w:r w:rsidR="00EC71E0" w:rsidRPr="009D22D9">
              <w:t xml:space="preserve">dramatický </w:t>
            </w:r>
            <w:r w:rsidR="00231764" w:rsidRPr="009D22D9">
              <w:t>pokles kupní síly obyvatelstva –</w:t>
            </w:r>
            <w:r w:rsidR="000D4AE7" w:rsidRPr="009D22D9">
              <w:t xml:space="preserve"> více </w:t>
            </w:r>
            <w:r w:rsidR="007F4BBB" w:rsidRPr="009D22D9">
              <w:t>než</w:t>
            </w:r>
            <w:r w:rsidR="000D4AE7" w:rsidRPr="009D22D9">
              <w:t xml:space="preserve"> o desetinu (-11,7 %</w:t>
            </w:r>
            <w:r w:rsidR="007A5031" w:rsidRPr="009D22D9">
              <w:t xml:space="preserve">, údaj </w:t>
            </w:r>
            <w:r w:rsidR="00E154CF" w:rsidRPr="009D22D9">
              <w:t xml:space="preserve">již </w:t>
            </w:r>
            <w:r w:rsidR="007A5031" w:rsidRPr="009D22D9">
              <w:t>v</w:t>
            </w:r>
            <w:r w:rsidR="006D5F64" w:rsidRPr="009D22D9">
              <w:t> </w:t>
            </w:r>
            <w:r w:rsidR="007A5031" w:rsidRPr="009D22D9">
              <w:t>metodice v </w:t>
            </w:r>
            <w:proofErr w:type="gramStart"/>
            <w:r w:rsidR="007A5031" w:rsidRPr="009D22D9">
              <w:t>ESA</w:t>
            </w:r>
            <w:proofErr w:type="gramEnd"/>
            <w:r w:rsidR="007A5031" w:rsidRPr="009D22D9">
              <w:t xml:space="preserve"> 2010</w:t>
            </w:r>
            <w:r w:rsidR="000D4AE7" w:rsidRPr="009D22D9">
              <w:t>)</w:t>
            </w:r>
            <w:r w:rsidR="00853EE1" w:rsidRPr="009D22D9">
              <w:t>.</w:t>
            </w:r>
            <w:r w:rsidR="00F07232" w:rsidRPr="009D22D9">
              <w:t xml:space="preserve"> </w:t>
            </w:r>
            <w:r w:rsidR="00F07232" w:rsidRPr="009D22D9">
              <w:rPr>
                <w:spacing w:val="-2"/>
              </w:rPr>
              <w:t>Teprve až v roce 1993 se situace stabilizovala</w:t>
            </w:r>
            <w:r w:rsidR="006D5F64" w:rsidRPr="009D22D9">
              <w:rPr>
                <w:spacing w:val="-2"/>
              </w:rPr>
              <w:t>,</w:t>
            </w:r>
            <w:r w:rsidR="00EC71E0" w:rsidRPr="009D22D9">
              <w:rPr>
                <w:spacing w:val="-2"/>
              </w:rPr>
              <w:t xml:space="preserve"> ekonomika si připsala mírný růst</w:t>
            </w:r>
            <w:r w:rsidR="00F07232" w:rsidRPr="009D22D9">
              <w:rPr>
                <w:spacing w:val="-2"/>
              </w:rPr>
              <w:t xml:space="preserve"> a nutná modernizace</w:t>
            </w:r>
            <w:r w:rsidR="008353A6">
              <w:rPr>
                <w:spacing w:val="-2"/>
              </w:rPr>
              <w:t>,</w:t>
            </w:r>
            <w:r w:rsidR="000D4AE7" w:rsidRPr="009D22D9">
              <w:rPr>
                <w:spacing w:val="-2"/>
              </w:rPr>
              <w:t xml:space="preserve"> jež byla z velké části fin</w:t>
            </w:r>
            <w:r w:rsidR="008353A6">
              <w:rPr>
                <w:spacing w:val="-2"/>
              </w:rPr>
              <w:t>ancována zahraničním kapitálem,</w:t>
            </w:r>
            <w:r w:rsidR="009B20F2" w:rsidRPr="009D22D9">
              <w:rPr>
                <w:spacing w:val="-2"/>
              </w:rPr>
              <w:t xml:space="preserve"> </w:t>
            </w:r>
            <w:r w:rsidR="00F07232" w:rsidRPr="009D22D9">
              <w:rPr>
                <w:spacing w:val="-2"/>
              </w:rPr>
              <w:t xml:space="preserve">mohla </w:t>
            </w:r>
            <w:r w:rsidR="009B20F2" w:rsidRPr="009D22D9">
              <w:rPr>
                <w:spacing w:val="-2"/>
              </w:rPr>
              <w:t>začít nabírat na obrátkách</w:t>
            </w:r>
            <w:r w:rsidR="00731EBB" w:rsidRPr="009D22D9">
              <w:rPr>
                <w:spacing w:val="-2"/>
              </w:rPr>
              <w:t>.</w:t>
            </w:r>
          </w:p>
          <w:p w:rsidR="00EC71E0" w:rsidRPr="009D22D9" w:rsidRDefault="00EC71E0" w:rsidP="00EC71E0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EC71E0" w:rsidRPr="009D22D9" w:rsidTr="006D5F64">
        <w:tc>
          <w:tcPr>
            <w:tcW w:w="1054" w:type="pct"/>
          </w:tcPr>
          <w:p w:rsidR="00EC71E0" w:rsidRPr="009D22D9" w:rsidRDefault="00451913" w:rsidP="00326491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>…a ekonomika nastoupila na trajektorii dlouhodobého růstu. Ten byl ma</w:t>
            </w:r>
            <w:r w:rsidR="00460D07" w:rsidRPr="009D22D9">
              <w:rPr>
                <w:sz w:val="16"/>
                <w:szCs w:val="16"/>
              </w:rPr>
              <w:t>rkantní především v letech 2004–</w:t>
            </w:r>
            <w:r w:rsidRPr="009D22D9">
              <w:rPr>
                <w:sz w:val="16"/>
                <w:szCs w:val="16"/>
              </w:rPr>
              <w:t>2008</w:t>
            </w:r>
            <w:r w:rsidR="00326491" w:rsidRPr="009D22D9">
              <w:rPr>
                <w:sz w:val="16"/>
                <w:szCs w:val="16"/>
              </w:rPr>
              <w:t xml:space="preserve"> (průměrný růst HDP o 5,3 % za rok)</w:t>
            </w:r>
            <w:r w:rsidRPr="009D22D9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</w:tcPr>
          <w:p w:rsidR="00EC71E0" w:rsidRPr="009D22D9" w:rsidRDefault="00EC71E0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41F8C" w:rsidRPr="009D22D9" w:rsidRDefault="00EC71E0" w:rsidP="002A3A36">
            <w:pPr>
              <w:pStyle w:val="Textpoznpodarou"/>
              <w:jc w:val="both"/>
            </w:pPr>
            <w:r w:rsidRPr="009D22D9">
              <w:t xml:space="preserve">Období ohraničené vznikem samostatné </w:t>
            </w:r>
            <w:r w:rsidR="007963AC" w:rsidRPr="009D22D9">
              <w:t>ČR</w:t>
            </w:r>
            <w:r w:rsidR="00731EBB" w:rsidRPr="009D22D9">
              <w:t xml:space="preserve"> a prvotní</w:t>
            </w:r>
            <w:r w:rsidRPr="009D22D9">
              <w:t xml:space="preserve">mi projevy </w:t>
            </w:r>
            <w:r w:rsidR="00841F8C" w:rsidRPr="009D22D9">
              <w:t>hluboké recese v roce 2008</w:t>
            </w:r>
            <w:r w:rsidR="0094185A" w:rsidRPr="009D22D9">
              <w:t xml:space="preserve">, </w:t>
            </w:r>
            <w:r w:rsidR="000D4AE7" w:rsidRPr="009D22D9">
              <w:t>přestože jej</w:t>
            </w:r>
            <w:r w:rsidR="00205DB8" w:rsidRPr="009D22D9">
              <w:t xml:space="preserve"> </w:t>
            </w:r>
            <w:r w:rsidR="006628E9" w:rsidRPr="009D22D9">
              <w:t>negativně</w:t>
            </w:r>
            <w:r w:rsidR="000D4AE7" w:rsidRPr="009D22D9">
              <w:t xml:space="preserve"> poznamenaly </w:t>
            </w:r>
            <w:r w:rsidR="0080246F" w:rsidRPr="009D22D9">
              <w:t xml:space="preserve">dopady </w:t>
            </w:r>
            <w:r w:rsidR="006D5F64" w:rsidRPr="009D22D9">
              <w:t>tzv. měnové krize</w:t>
            </w:r>
            <w:r w:rsidR="005E115A" w:rsidRPr="009D22D9">
              <w:t xml:space="preserve"> z</w:t>
            </w:r>
            <w:r w:rsidR="00205DB8" w:rsidRPr="009D22D9">
              <w:t> druhé poloviny 90. let</w:t>
            </w:r>
            <w:r w:rsidR="000D4AE7" w:rsidRPr="009D22D9">
              <w:t>, bylo obdobím</w:t>
            </w:r>
            <w:r w:rsidR="006628E9" w:rsidRPr="009D22D9">
              <w:t xml:space="preserve"> dlouhodobého</w:t>
            </w:r>
            <w:r w:rsidR="000D4AE7" w:rsidRPr="009D22D9">
              <w:t xml:space="preserve"> </w:t>
            </w:r>
            <w:r w:rsidR="006628E9" w:rsidRPr="009D22D9">
              <w:t>růstu</w:t>
            </w:r>
            <w:r w:rsidR="00982EC6" w:rsidRPr="009D22D9">
              <w:t xml:space="preserve"> (v</w:t>
            </w:r>
            <w:r w:rsidR="00205DB8" w:rsidRPr="009D22D9">
              <w:t> </w:t>
            </w:r>
            <w:r w:rsidR="002068D4" w:rsidRPr="009D22D9">
              <w:t>období</w:t>
            </w:r>
            <w:r w:rsidR="00460D07" w:rsidRPr="009D22D9">
              <w:t xml:space="preserve"> 1993–</w:t>
            </w:r>
            <w:r w:rsidR="00982EC6" w:rsidRPr="009D22D9">
              <w:t xml:space="preserve">2008 </w:t>
            </w:r>
            <w:r w:rsidR="00C1135C" w:rsidRPr="009D22D9">
              <w:t xml:space="preserve">dosahoval </w:t>
            </w:r>
            <w:r w:rsidR="00982EC6" w:rsidRPr="009D22D9">
              <w:t>průměrný růst HDP</w:t>
            </w:r>
            <w:r w:rsidR="00C1135C" w:rsidRPr="009D22D9">
              <w:t xml:space="preserve"> +</w:t>
            </w:r>
            <w:r w:rsidR="00982EC6" w:rsidRPr="009D22D9">
              <w:t xml:space="preserve">3,3 % za rok, bez zahrnutí let 1997 a 1998 </w:t>
            </w:r>
            <w:r w:rsidR="006628E9" w:rsidRPr="009D22D9">
              <w:t>dokonce</w:t>
            </w:r>
            <w:r w:rsidR="00C1135C" w:rsidRPr="009D22D9">
              <w:t xml:space="preserve"> +</w:t>
            </w:r>
            <w:r w:rsidR="00982EC6" w:rsidRPr="009D22D9">
              <w:t>3,9 %)</w:t>
            </w:r>
            <w:r w:rsidR="000D4AE7" w:rsidRPr="009D22D9">
              <w:t>. Především</w:t>
            </w:r>
            <w:r w:rsidR="00982EC6" w:rsidRPr="009D22D9">
              <w:t xml:space="preserve"> </w:t>
            </w:r>
            <w:r w:rsidR="00B059D5" w:rsidRPr="009D22D9">
              <w:t>však</w:t>
            </w:r>
            <w:r w:rsidR="000D4AE7" w:rsidRPr="009D22D9">
              <w:t xml:space="preserve"> </w:t>
            </w:r>
            <w:r w:rsidR="009B20F2" w:rsidRPr="009D22D9">
              <w:t xml:space="preserve">samotné </w:t>
            </w:r>
            <w:r w:rsidR="000D4AE7" w:rsidRPr="009D22D9">
              <w:t>roky</w:t>
            </w:r>
            <w:r w:rsidR="0080246F" w:rsidRPr="009D22D9">
              <w:t xml:space="preserve"> </w:t>
            </w:r>
            <w:r w:rsidR="00D71A60" w:rsidRPr="009D22D9">
              <w:t>2004 až</w:t>
            </w:r>
            <w:r w:rsidR="00205DB8" w:rsidRPr="009D22D9">
              <w:t> </w:t>
            </w:r>
            <w:r w:rsidR="0080246F" w:rsidRPr="009D22D9">
              <w:t>2008, kdy</w:t>
            </w:r>
            <w:r w:rsidR="00D71A60" w:rsidRPr="009D22D9">
              <w:t> </w:t>
            </w:r>
            <w:r w:rsidR="0080246F" w:rsidRPr="009D22D9">
              <w:t xml:space="preserve">česká ekonomika zužitkovávala </w:t>
            </w:r>
            <w:r w:rsidR="006D5F64" w:rsidRPr="009D22D9">
              <w:t xml:space="preserve">nejen </w:t>
            </w:r>
            <w:r w:rsidR="0080246F" w:rsidRPr="009D22D9">
              <w:t>přínosy z</w:t>
            </w:r>
            <w:r w:rsidR="002A3A36" w:rsidRPr="009D22D9">
              <w:t> </w:t>
            </w:r>
            <w:r w:rsidR="0080246F" w:rsidRPr="009D22D9">
              <w:t>pokračujícího</w:t>
            </w:r>
            <w:r w:rsidR="002A3A36" w:rsidRPr="009D22D9">
              <w:t xml:space="preserve"> silného</w:t>
            </w:r>
            <w:r w:rsidR="006D5F64" w:rsidRPr="009D22D9">
              <w:t xml:space="preserve"> </w:t>
            </w:r>
            <w:r w:rsidR="0080246F" w:rsidRPr="009D22D9">
              <w:t>přílivu přímých zahraničních investic</w:t>
            </w:r>
            <w:r w:rsidR="006D5F64" w:rsidRPr="009D22D9">
              <w:t xml:space="preserve">, ale také </w:t>
            </w:r>
            <w:r w:rsidR="000D4AE7" w:rsidRPr="009D22D9">
              <w:t xml:space="preserve">ze </w:t>
            </w:r>
            <w:r w:rsidR="00841F8C" w:rsidRPr="009D22D9">
              <w:t>začlenění do</w:t>
            </w:r>
            <w:r w:rsidR="006D5F64" w:rsidRPr="009D22D9">
              <w:t> </w:t>
            </w:r>
            <w:r w:rsidR="00841F8C" w:rsidRPr="009D22D9">
              <w:t>hospodářského prostoru</w:t>
            </w:r>
            <w:r w:rsidR="000D4AE7" w:rsidRPr="009D22D9">
              <w:t xml:space="preserve"> </w:t>
            </w:r>
            <w:r w:rsidR="00451913" w:rsidRPr="009D22D9">
              <w:t>EU</w:t>
            </w:r>
            <w:r w:rsidR="000D4AE7" w:rsidRPr="009D22D9">
              <w:t xml:space="preserve">, </w:t>
            </w:r>
            <w:r w:rsidR="00841F8C" w:rsidRPr="009D22D9">
              <w:t xml:space="preserve">byly </w:t>
            </w:r>
            <w:r w:rsidR="00B059D5" w:rsidRPr="009D22D9">
              <w:t>periodou jedinečnou</w:t>
            </w:r>
            <w:r w:rsidR="00841F8C" w:rsidRPr="009D22D9">
              <w:t xml:space="preserve"> (</w:t>
            </w:r>
            <w:r w:rsidR="00982EC6" w:rsidRPr="009D22D9">
              <w:t xml:space="preserve">průměrný </w:t>
            </w:r>
            <w:r w:rsidR="00841F8C" w:rsidRPr="009D22D9">
              <w:t>růst HDP o</w:t>
            </w:r>
            <w:r w:rsidR="001F5422" w:rsidRPr="009D22D9">
              <w:t> </w:t>
            </w:r>
            <w:r w:rsidR="00841F8C" w:rsidRPr="009D22D9">
              <w:t>5,3 %</w:t>
            </w:r>
            <w:r w:rsidR="00574B8F" w:rsidRPr="009D22D9">
              <w:t xml:space="preserve"> ročně</w:t>
            </w:r>
            <w:r w:rsidR="00841F8C" w:rsidRPr="009D22D9">
              <w:t>).</w:t>
            </w:r>
          </w:p>
        </w:tc>
      </w:tr>
    </w:tbl>
    <w:p w:rsidR="00EB418E" w:rsidRPr="0042164D" w:rsidRDefault="00EB418E" w:rsidP="00BA4E17">
      <w:pPr>
        <w:rPr>
          <w:sz w:val="18"/>
          <w:szCs w:val="18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4"/>
        <w:gridCol w:w="3863"/>
        <w:gridCol w:w="995"/>
        <w:gridCol w:w="3932"/>
      </w:tblGrid>
      <w:tr w:rsidR="00BA4E17" w:rsidRPr="009D22D9" w:rsidTr="006D5F64">
        <w:tc>
          <w:tcPr>
            <w:tcW w:w="539" w:type="pct"/>
          </w:tcPr>
          <w:p w:rsidR="00BA4E17" w:rsidRPr="009D22D9" w:rsidRDefault="00BA4E17" w:rsidP="00432B88">
            <w:pPr>
              <w:pStyle w:val="Textpoznpodarou"/>
            </w:pPr>
            <w:r w:rsidRPr="009D22D9">
              <w:t>Graf č. 1</w:t>
            </w:r>
          </w:p>
        </w:tc>
        <w:tc>
          <w:tcPr>
            <w:tcW w:w="1961" w:type="pct"/>
          </w:tcPr>
          <w:p w:rsidR="00BA4E17" w:rsidRPr="009D22D9" w:rsidRDefault="00B85FE0" w:rsidP="00B85FE0">
            <w:pPr>
              <w:pStyle w:val="Textpoznpodarou"/>
            </w:pPr>
            <w:r w:rsidRPr="009D22D9">
              <w:rPr>
                <w:b/>
              </w:rPr>
              <w:t>HDP v ČR v letech 1990</w:t>
            </w:r>
            <w:r w:rsidR="00460D07" w:rsidRPr="009D22D9">
              <w:rPr>
                <w:b/>
              </w:rPr>
              <w:t>–</w:t>
            </w:r>
            <w:r w:rsidRPr="009D22D9">
              <w:rPr>
                <w:b/>
              </w:rPr>
              <w:t>2014</w:t>
            </w:r>
            <w:r w:rsidR="00D0393D" w:rsidRPr="009D22D9">
              <w:t xml:space="preserve"> (reálně)</w:t>
            </w:r>
          </w:p>
        </w:tc>
        <w:tc>
          <w:tcPr>
            <w:tcW w:w="504" w:type="pct"/>
          </w:tcPr>
          <w:p w:rsidR="00BA4E17" w:rsidRPr="009D22D9" w:rsidRDefault="00BA4E17" w:rsidP="00432B88">
            <w:pPr>
              <w:pStyle w:val="Textpoznpodarou"/>
            </w:pPr>
            <w:r w:rsidRPr="009D22D9">
              <w:t>Graf č. 2</w:t>
            </w:r>
          </w:p>
        </w:tc>
        <w:tc>
          <w:tcPr>
            <w:tcW w:w="1996" w:type="pct"/>
          </w:tcPr>
          <w:p w:rsidR="00B85FE0" w:rsidRPr="009D22D9" w:rsidRDefault="00B85FE0" w:rsidP="00432B88">
            <w:pPr>
              <w:pStyle w:val="Textpoznpodarou"/>
              <w:rPr>
                <w:b/>
              </w:rPr>
            </w:pPr>
            <w:r w:rsidRPr="009D22D9">
              <w:rPr>
                <w:b/>
              </w:rPr>
              <w:t>HDP v ČR v letech 1970</w:t>
            </w:r>
            <w:r w:rsidR="00460D07" w:rsidRPr="009D22D9">
              <w:rPr>
                <w:b/>
              </w:rPr>
              <w:t>–</w:t>
            </w:r>
            <w:r w:rsidRPr="009D22D9">
              <w:rPr>
                <w:b/>
              </w:rPr>
              <w:t>1990</w:t>
            </w:r>
          </w:p>
          <w:p w:rsidR="00BA4E17" w:rsidRPr="009D22D9" w:rsidRDefault="00B85FE0" w:rsidP="00432B88">
            <w:pPr>
              <w:pStyle w:val="Textpoznpodarou"/>
              <w:rPr>
                <w:spacing w:val="-2"/>
              </w:rPr>
            </w:pPr>
            <w:r w:rsidRPr="009D22D9">
              <w:t>(</w:t>
            </w:r>
            <w:r w:rsidR="00D0393D" w:rsidRPr="009D22D9">
              <w:t xml:space="preserve">reálně, </w:t>
            </w:r>
            <w:r w:rsidRPr="009D22D9">
              <w:t>v metodice ESA 1995)</w:t>
            </w:r>
          </w:p>
        </w:tc>
      </w:tr>
      <w:tr w:rsidR="00BA4E17" w:rsidRPr="009D22D9" w:rsidTr="006D5F64">
        <w:tc>
          <w:tcPr>
            <w:tcW w:w="2500" w:type="pct"/>
            <w:gridSpan w:val="2"/>
          </w:tcPr>
          <w:p w:rsidR="00BA4E17" w:rsidRPr="009D22D9" w:rsidRDefault="00EB418E" w:rsidP="00432B88">
            <w:pPr>
              <w:pStyle w:val="Textpoznpodarou"/>
              <w:jc w:val="both"/>
            </w:pPr>
            <w:r w:rsidRPr="009D22D9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4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</w:tcPr>
          <w:p w:rsidR="00BA4E17" w:rsidRPr="009D22D9" w:rsidRDefault="00EB418E" w:rsidP="00432B88">
            <w:pPr>
              <w:pStyle w:val="Textpoznpodarou"/>
              <w:jc w:val="both"/>
            </w:pPr>
            <w:r w:rsidRPr="009D22D9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52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E17" w:rsidRPr="009D22D9" w:rsidTr="006D5F64">
        <w:tc>
          <w:tcPr>
            <w:tcW w:w="5000" w:type="pct"/>
            <w:gridSpan w:val="4"/>
          </w:tcPr>
          <w:p w:rsidR="00BA4E17" w:rsidRPr="009D22D9" w:rsidRDefault="00BA4E17" w:rsidP="00432B88">
            <w:pPr>
              <w:pStyle w:val="Textpoznpodarou"/>
              <w:jc w:val="right"/>
              <w:rPr>
                <w:sz w:val="18"/>
                <w:szCs w:val="18"/>
              </w:rPr>
            </w:pPr>
            <w:r w:rsidRPr="009D22D9">
              <w:rPr>
                <w:sz w:val="18"/>
                <w:szCs w:val="18"/>
              </w:rPr>
              <w:t xml:space="preserve">Zdroj: ČSÚ, </w:t>
            </w:r>
            <w:r w:rsidR="00B85FE0" w:rsidRPr="009D22D9">
              <w:rPr>
                <w:sz w:val="18"/>
                <w:szCs w:val="18"/>
              </w:rPr>
              <w:t>Vysoká škola ekonomická v Praze</w:t>
            </w:r>
            <w:r w:rsidR="00762CC3" w:rsidRPr="009D22D9">
              <w:rPr>
                <w:rStyle w:val="Znakapoznpodarou"/>
                <w:sz w:val="18"/>
                <w:szCs w:val="18"/>
              </w:rPr>
              <w:footnoteReference w:id="3"/>
            </w:r>
          </w:p>
        </w:tc>
      </w:tr>
    </w:tbl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6D5F64" w:rsidRPr="009D22D9" w:rsidTr="003740C4">
        <w:tc>
          <w:tcPr>
            <w:tcW w:w="1054" w:type="pct"/>
          </w:tcPr>
          <w:p w:rsidR="006D5F64" w:rsidRPr="009D22D9" w:rsidRDefault="00451913" w:rsidP="00326491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lastRenderedPageBreak/>
              <w:t xml:space="preserve">…roky následující </w:t>
            </w:r>
            <w:r w:rsidR="00871262" w:rsidRPr="009D22D9">
              <w:rPr>
                <w:sz w:val="16"/>
                <w:szCs w:val="16"/>
              </w:rPr>
              <w:t>však přinesly dvě recese</w:t>
            </w:r>
            <w:r w:rsidR="00326491" w:rsidRPr="009D22D9">
              <w:rPr>
                <w:sz w:val="16"/>
                <w:szCs w:val="16"/>
              </w:rPr>
              <w:t>, které se promítly do mírného kumulativního snížení celkového výkonu ekonomiky ČR (-0,2 %)</w:t>
            </w:r>
          </w:p>
        </w:tc>
        <w:tc>
          <w:tcPr>
            <w:tcW w:w="143" w:type="pct"/>
          </w:tcPr>
          <w:p w:rsidR="006D5F64" w:rsidRPr="009D22D9" w:rsidRDefault="006D5F64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6D5F64" w:rsidRPr="009D22D9" w:rsidRDefault="00D71A60" w:rsidP="006628E9">
            <w:pPr>
              <w:pStyle w:val="Textpoznpodarou"/>
              <w:jc w:val="both"/>
            </w:pPr>
            <w:r w:rsidRPr="009D22D9">
              <w:t xml:space="preserve">V </w:t>
            </w:r>
            <w:r w:rsidR="001B23F5" w:rsidRPr="009D22D9">
              <w:t>ostrém</w:t>
            </w:r>
            <w:r w:rsidRPr="009D22D9">
              <w:t xml:space="preserve"> kontrastu vůči </w:t>
            </w:r>
            <w:r w:rsidR="00B059D5" w:rsidRPr="009D22D9">
              <w:t xml:space="preserve">konjunkturnímu období </w:t>
            </w:r>
            <w:r w:rsidRPr="009D22D9">
              <w:t xml:space="preserve">se jeví </w:t>
            </w:r>
            <w:r w:rsidR="006628E9" w:rsidRPr="009D22D9">
              <w:t>posledních šest let</w:t>
            </w:r>
            <w:r w:rsidR="003A1F3F" w:rsidRPr="009D22D9">
              <w:t>. V nich</w:t>
            </w:r>
            <w:r w:rsidRPr="009D22D9">
              <w:t xml:space="preserve"> </w:t>
            </w:r>
            <w:r w:rsidR="003A1F3F" w:rsidRPr="009D22D9">
              <w:t>českou ekonomiku sevřela recese hned dvakrát</w:t>
            </w:r>
            <w:r w:rsidR="00911777" w:rsidRPr="009D22D9">
              <w:t>. V roce 2009 na</w:t>
            </w:r>
            <w:r w:rsidR="00731EBB" w:rsidRPr="009D22D9">
              <w:t> </w:t>
            </w:r>
            <w:r w:rsidR="003A1F3F" w:rsidRPr="009D22D9">
              <w:t>ni</w:t>
            </w:r>
            <w:r w:rsidR="00911777" w:rsidRPr="009D22D9">
              <w:t xml:space="preserve"> dopadl plnou silou propad zahraniční poptávky </w:t>
            </w:r>
            <w:r w:rsidR="001B23F5" w:rsidRPr="009D22D9">
              <w:t>(HDP</w:t>
            </w:r>
            <w:r w:rsidR="00731EBB" w:rsidRPr="009D22D9">
              <w:t xml:space="preserve"> klesl</w:t>
            </w:r>
            <w:r w:rsidR="001B23F5" w:rsidRPr="009D22D9">
              <w:t xml:space="preserve"> o</w:t>
            </w:r>
            <w:r w:rsidR="006628E9" w:rsidRPr="009D22D9">
              <w:t> </w:t>
            </w:r>
            <w:r w:rsidR="001B23F5" w:rsidRPr="009D22D9">
              <w:t>4,8</w:t>
            </w:r>
            <w:r w:rsidR="00731EBB" w:rsidRPr="009D22D9">
              <w:t> </w:t>
            </w:r>
            <w:r w:rsidR="001B23F5" w:rsidRPr="009D22D9">
              <w:t>%)</w:t>
            </w:r>
            <w:r w:rsidRPr="009D22D9">
              <w:t xml:space="preserve">, </w:t>
            </w:r>
            <w:r w:rsidR="00911777" w:rsidRPr="009D22D9">
              <w:t xml:space="preserve">v letech </w:t>
            </w:r>
            <w:r w:rsidR="00720508" w:rsidRPr="009D22D9">
              <w:t>2012 a 2013</w:t>
            </w:r>
            <w:r w:rsidR="00731EBB" w:rsidRPr="009D22D9">
              <w:t xml:space="preserve"> se české hospodářství potýkalo</w:t>
            </w:r>
            <w:r w:rsidR="00720508" w:rsidRPr="009D22D9">
              <w:t xml:space="preserve"> naopak</w:t>
            </w:r>
            <w:r w:rsidR="00731EBB" w:rsidRPr="009D22D9">
              <w:t xml:space="preserve"> s poklesem</w:t>
            </w:r>
            <w:r w:rsidR="00720508" w:rsidRPr="009D22D9">
              <w:t xml:space="preserve"> </w:t>
            </w:r>
            <w:r w:rsidR="00731EBB" w:rsidRPr="009D22D9">
              <w:t>poptávky</w:t>
            </w:r>
            <w:r w:rsidR="00720508" w:rsidRPr="009D22D9">
              <w:t xml:space="preserve"> domácí</w:t>
            </w:r>
            <w:r w:rsidRPr="009D22D9">
              <w:t xml:space="preserve"> </w:t>
            </w:r>
            <w:r w:rsidR="001B23F5" w:rsidRPr="009D22D9">
              <w:t xml:space="preserve">(v úhrnu za roky </w:t>
            </w:r>
            <w:r w:rsidRPr="009D22D9">
              <w:t>2012 a 2013</w:t>
            </w:r>
            <w:r w:rsidR="001B23F5" w:rsidRPr="009D22D9">
              <w:t xml:space="preserve"> </w:t>
            </w:r>
            <w:r w:rsidR="00731EBB" w:rsidRPr="009D22D9">
              <w:t>se</w:t>
            </w:r>
            <w:r w:rsidR="00720508" w:rsidRPr="009D22D9">
              <w:t xml:space="preserve"> HDP</w:t>
            </w:r>
            <w:r w:rsidR="00731EBB" w:rsidRPr="009D22D9">
              <w:t xml:space="preserve"> snížil</w:t>
            </w:r>
            <w:r w:rsidR="001B23F5" w:rsidRPr="009D22D9">
              <w:t xml:space="preserve"> o 1,4 %). Tzv. „dvojité </w:t>
            </w:r>
            <w:proofErr w:type="spellStart"/>
            <w:r w:rsidR="001B23F5" w:rsidRPr="009D22D9">
              <w:t>vé</w:t>
            </w:r>
            <w:proofErr w:type="spellEnd"/>
            <w:r w:rsidR="001B23F5" w:rsidRPr="009D22D9">
              <w:t xml:space="preserve">“, jak se dvěma po sobě jdoucím </w:t>
            </w:r>
            <w:r w:rsidR="00720508" w:rsidRPr="009D22D9">
              <w:t>recesím</w:t>
            </w:r>
            <w:r w:rsidR="001B23F5" w:rsidRPr="009D22D9">
              <w:t xml:space="preserve"> </w:t>
            </w:r>
            <w:r w:rsidR="00731EBB" w:rsidRPr="009D22D9">
              <w:t xml:space="preserve">vzhledem ke tvaru křivky vývoje </w:t>
            </w:r>
            <w:r w:rsidR="001B23F5" w:rsidRPr="009D22D9">
              <w:t>říká, se</w:t>
            </w:r>
            <w:r w:rsidR="00B059D5" w:rsidRPr="009D22D9">
              <w:t xml:space="preserve"> tak</w:t>
            </w:r>
            <w:r w:rsidR="001B23F5" w:rsidRPr="009D22D9">
              <w:t xml:space="preserve"> projevilo v tom, že zatímco</w:t>
            </w:r>
            <w:r w:rsidR="00B059D5" w:rsidRPr="009D22D9">
              <w:t xml:space="preserve"> na vrcholu konjunktury</w:t>
            </w:r>
            <w:r w:rsidR="001B23F5" w:rsidRPr="009D22D9">
              <w:t xml:space="preserve"> v roce 2008 </w:t>
            </w:r>
            <w:r w:rsidR="007569E2" w:rsidRPr="009D22D9">
              <w:t xml:space="preserve">dosahoval </w:t>
            </w:r>
            <w:r w:rsidR="001B23F5" w:rsidRPr="009D22D9">
              <w:t>HDP 4 062 mld. korun (v</w:t>
            </w:r>
            <w:r w:rsidR="00B059D5" w:rsidRPr="009D22D9">
              <w:t> </w:t>
            </w:r>
            <w:r w:rsidR="001B23F5" w:rsidRPr="009D22D9">
              <w:t>cenách roku 2010), v</w:t>
            </w:r>
            <w:r w:rsidR="00B059D5" w:rsidRPr="009D22D9">
              <w:t xml:space="preserve"> loňském roce</w:t>
            </w:r>
            <w:r w:rsidR="00720508" w:rsidRPr="009D22D9">
              <w:t xml:space="preserve"> pouze</w:t>
            </w:r>
            <w:r w:rsidR="001B23F5" w:rsidRPr="009D22D9">
              <w:t xml:space="preserve"> 4 053 mld. Výkon české ekonomiky</w:t>
            </w:r>
            <w:r w:rsidR="006628E9" w:rsidRPr="009D22D9">
              <w:t xml:space="preserve"> nejenže</w:t>
            </w:r>
            <w:r w:rsidR="003A1F3F" w:rsidRPr="009D22D9">
              <w:t xml:space="preserve"> během posledních šesti let</w:t>
            </w:r>
            <w:r w:rsidR="004F2C30" w:rsidRPr="009D22D9">
              <w:t xml:space="preserve"> vůbec</w:t>
            </w:r>
            <w:r w:rsidR="007569E2">
              <w:t xml:space="preserve"> nenarostl, dokonce se</w:t>
            </w:r>
            <w:r w:rsidR="001B23F5" w:rsidRPr="009D22D9">
              <w:t xml:space="preserve"> o 0,2 %</w:t>
            </w:r>
            <w:r w:rsidR="003A1F3F" w:rsidRPr="009D22D9">
              <w:t xml:space="preserve"> snížil</w:t>
            </w:r>
            <w:r w:rsidR="001B23F5" w:rsidRPr="009D22D9">
              <w:t>.</w:t>
            </w:r>
          </w:p>
          <w:p w:rsidR="006628E9" w:rsidRPr="009D22D9" w:rsidRDefault="006628E9" w:rsidP="006628E9">
            <w:pPr>
              <w:pStyle w:val="Textpoznpodarou"/>
              <w:jc w:val="both"/>
            </w:pPr>
          </w:p>
        </w:tc>
      </w:tr>
      <w:tr w:rsidR="006628E9" w:rsidRPr="009D22D9" w:rsidTr="003740C4">
        <w:tc>
          <w:tcPr>
            <w:tcW w:w="1054" w:type="pct"/>
          </w:tcPr>
          <w:p w:rsidR="006628E9" w:rsidRPr="009D22D9" w:rsidRDefault="006628E9" w:rsidP="00432B8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" w:type="pct"/>
          </w:tcPr>
          <w:p w:rsidR="006628E9" w:rsidRPr="009D22D9" w:rsidRDefault="006628E9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13E6F" w:rsidRPr="009D22D9" w:rsidRDefault="006628E9" w:rsidP="003777CC">
            <w:pPr>
              <w:pStyle w:val="Textpoznpodarou"/>
              <w:jc w:val="both"/>
            </w:pPr>
            <w:r w:rsidRPr="009D22D9">
              <w:t>Jak si ekonomika</w:t>
            </w:r>
            <w:r w:rsidR="007D4C44" w:rsidRPr="009D22D9">
              <w:t xml:space="preserve"> ČR</w:t>
            </w:r>
            <w:r w:rsidRPr="009D22D9">
              <w:t xml:space="preserve"> vedla v dlouhodobém horizontu v porovnání s ostatními zeměmi</w:t>
            </w:r>
            <w:r w:rsidR="007D4C44" w:rsidRPr="009D22D9">
              <w:t xml:space="preserve"> Evropské unie –</w:t>
            </w:r>
            <w:r w:rsidRPr="009D22D9">
              <w:t xml:space="preserve"> a to jak</w:t>
            </w:r>
            <w:r w:rsidR="002401D9">
              <w:t xml:space="preserve"> s</w:t>
            </w:r>
            <w:r w:rsidRPr="009D22D9">
              <w:t xml:space="preserve"> výkonnostně srovnatelnými, tak</w:t>
            </w:r>
            <w:r w:rsidR="002401D9">
              <w:t xml:space="preserve"> s</w:t>
            </w:r>
            <w:r w:rsidRPr="009D22D9">
              <w:t xml:space="preserve"> </w:t>
            </w:r>
            <w:r w:rsidR="00083BCA" w:rsidRPr="009D22D9">
              <w:t xml:space="preserve">ekonomicky </w:t>
            </w:r>
            <w:r w:rsidR="00720508" w:rsidRPr="009D22D9">
              <w:t>odlišnými</w:t>
            </w:r>
            <w:r w:rsidR="007D4C44" w:rsidRPr="009D22D9">
              <w:t xml:space="preserve"> – a ta</w:t>
            </w:r>
            <w:r w:rsidR="00184831">
              <w:t xml:space="preserve">ké v porovnání s vybranými </w:t>
            </w:r>
            <w:proofErr w:type="spellStart"/>
            <w:r w:rsidR="00184831">
              <w:t>mimo</w:t>
            </w:r>
            <w:r w:rsidR="007D4C44" w:rsidRPr="009D22D9">
              <w:t>unijními</w:t>
            </w:r>
            <w:proofErr w:type="spellEnd"/>
            <w:r w:rsidR="007D4C44" w:rsidRPr="009D22D9">
              <w:t xml:space="preserve"> zeměmi,</w:t>
            </w:r>
            <w:r w:rsidR="00083BCA" w:rsidRPr="009D22D9">
              <w:t xml:space="preserve"> je zřejmé z</w:t>
            </w:r>
            <w:r w:rsidR="007569E2">
              <w:t> G</w:t>
            </w:r>
            <w:r w:rsidR="00083BCA" w:rsidRPr="009D22D9">
              <w:t>rafů</w:t>
            </w:r>
            <w:r w:rsidR="007569E2">
              <w:t xml:space="preserve"> č.</w:t>
            </w:r>
            <w:r w:rsidR="00083BCA" w:rsidRPr="009D22D9">
              <w:t xml:space="preserve"> </w:t>
            </w:r>
            <w:r w:rsidR="00731EBB" w:rsidRPr="009D22D9">
              <w:t>3 a 4.</w:t>
            </w:r>
          </w:p>
        </w:tc>
      </w:tr>
    </w:tbl>
    <w:p w:rsidR="001D35AD" w:rsidRPr="00CB51C7" w:rsidRDefault="001D35AD" w:rsidP="0094185A">
      <w:pPr>
        <w:rPr>
          <w:szCs w:val="20"/>
          <w:lang w:eastAsia="ar-SA"/>
        </w:rPr>
      </w:pPr>
    </w:p>
    <w:p w:rsidR="00D0393D" w:rsidRPr="009D22D9" w:rsidRDefault="00D0393D" w:rsidP="00D0393D">
      <w:pPr>
        <w:rPr>
          <w:spacing w:val="-2"/>
          <w:szCs w:val="20"/>
          <w:lang w:eastAsia="ar-SA"/>
        </w:rPr>
      </w:pPr>
      <w:r w:rsidRPr="009D22D9">
        <w:rPr>
          <w:spacing w:val="-2"/>
          <w:szCs w:val="20"/>
          <w:lang w:eastAsia="ar-SA"/>
        </w:rPr>
        <w:t xml:space="preserve">Graf č. 3: </w:t>
      </w:r>
      <w:r w:rsidRPr="009D22D9">
        <w:rPr>
          <w:b/>
          <w:spacing w:val="-2"/>
          <w:szCs w:val="20"/>
          <w:lang w:eastAsia="ar-SA"/>
        </w:rPr>
        <w:t>Ku</w:t>
      </w:r>
      <w:r w:rsidR="003777CC" w:rsidRPr="009D22D9">
        <w:rPr>
          <w:b/>
          <w:spacing w:val="-2"/>
          <w:szCs w:val="20"/>
          <w:lang w:eastAsia="ar-SA"/>
        </w:rPr>
        <w:t xml:space="preserve">mulativní změna HDP </w:t>
      </w:r>
      <w:r w:rsidR="00184831">
        <w:rPr>
          <w:b/>
          <w:spacing w:val="-2"/>
          <w:szCs w:val="20"/>
          <w:lang w:eastAsia="ar-SA"/>
        </w:rPr>
        <w:t xml:space="preserve">v zemích EU a ve vybraných </w:t>
      </w:r>
      <w:proofErr w:type="spellStart"/>
      <w:r w:rsidR="00184831">
        <w:rPr>
          <w:b/>
          <w:spacing w:val="-2"/>
          <w:szCs w:val="20"/>
          <w:lang w:eastAsia="ar-SA"/>
        </w:rPr>
        <w:t>mimo</w:t>
      </w:r>
      <w:r w:rsidR="003777CC" w:rsidRPr="009D22D9">
        <w:rPr>
          <w:b/>
          <w:spacing w:val="-2"/>
          <w:szCs w:val="20"/>
          <w:lang w:eastAsia="ar-SA"/>
        </w:rPr>
        <w:t>unijních</w:t>
      </w:r>
      <w:proofErr w:type="spellEnd"/>
      <w:r w:rsidR="003777CC" w:rsidRPr="009D22D9">
        <w:rPr>
          <w:b/>
          <w:spacing w:val="-2"/>
          <w:szCs w:val="20"/>
          <w:lang w:eastAsia="ar-SA"/>
        </w:rPr>
        <w:t xml:space="preserve"> zemích</w:t>
      </w:r>
      <w:r w:rsidRPr="009D22D9">
        <w:rPr>
          <w:b/>
          <w:spacing w:val="-2"/>
          <w:szCs w:val="20"/>
          <w:lang w:eastAsia="ar-SA"/>
        </w:rPr>
        <w:t>*</w:t>
      </w:r>
      <w:r w:rsidRPr="009D22D9">
        <w:rPr>
          <w:spacing w:val="-2"/>
          <w:szCs w:val="20"/>
          <w:lang w:eastAsia="ar-SA"/>
        </w:rPr>
        <w:t xml:space="preserve"> (v %, reálně)</w:t>
      </w:r>
    </w:p>
    <w:p w:rsidR="00D0393D" w:rsidRDefault="001D35AD" w:rsidP="00D0393D">
      <w:pPr>
        <w:rPr>
          <w:noProof/>
          <w:sz w:val="18"/>
          <w:szCs w:val="18"/>
        </w:rPr>
      </w:pPr>
      <w:r w:rsidRPr="001D35AD">
        <w:rPr>
          <w:noProof/>
          <w:sz w:val="18"/>
          <w:szCs w:val="18"/>
        </w:rPr>
        <w:drawing>
          <wp:inline distT="0" distB="0" distL="0" distR="0">
            <wp:extent cx="6071870" cy="2359660"/>
            <wp:effectExtent l="19050" t="0" r="5080" b="0"/>
            <wp:docPr id="1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6912"/>
        <w:gridCol w:w="2942"/>
      </w:tblGrid>
      <w:tr w:rsidR="00D0393D" w:rsidRPr="009D22D9" w:rsidTr="007B224F">
        <w:tc>
          <w:tcPr>
            <w:tcW w:w="3507" w:type="pct"/>
          </w:tcPr>
          <w:p w:rsidR="00D0393D" w:rsidRPr="009D22D9" w:rsidRDefault="00D0393D" w:rsidP="003777CC">
            <w:pPr>
              <w:pStyle w:val="Textpoznpodarou"/>
              <w:rPr>
                <w:sz w:val="18"/>
                <w:szCs w:val="18"/>
              </w:rPr>
            </w:pPr>
            <w:r w:rsidRPr="009D22D9">
              <w:rPr>
                <w:sz w:val="18"/>
                <w:szCs w:val="18"/>
              </w:rPr>
              <w:t>*Pozn.: Kum</w:t>
            </w:r>
            <w:r w:rsidR="00460D07" w:rsidRPr="009D22D9">
              <w:rPr>
                <w:sz w:val="18"/>
                <w:szCs w:val="18"/>
              </w:rPr>
              <w:t>ulativní změna HDP za roky 1996–</w:t>
            </w:r>
            <w:r w:rsidRPr="009D22D9">
              <w:rPr>
                <w:sz w:val="18"/>
                <w:szCs w:val="18"/>
              </w:rPr>
              <w:t xml:space="preserve">2014 nedostupná za </w:t>
            </w:r>
            <w:r w:rsidR="003777CC" w:rsidRPr="009D22D9">
              <w:rPr>
                <w:sz w:val="18"/>
                <w:szCs w:val="18"/>
              </w:rPr>
              <w:t>Slovensko, Bulharsko, Lucembursko a Maltu.</w:t>
            </w:r>
          </w:p>
        </w:tc>
        <w:tc>
          <w:tcPr>
            <w:tcW w:w="1493" w:type="pct"/>
          </w:tcPr>
          <w:p w:rsidR="00D0393D" w:rsidRPr="009D22D9" w:rsidRDefault="00D0393D" w:rsidP="00D0393D">
            <w:pPr>
              <w:tabs>
                <w:tab w:val="left" w:pos="2820"/>
              </w:tabs>
              <w:jc w:val="right"/>
              <w:rPr>
                <w:sz w:val="18"/>
                <w:szCs w:val="18"/>
              </w:rPr>
            </w:pPr>
            <w:r w:rsidRPr="009D22D9">
              <w:rPr>
                <w:sz w:val="18"/>
                <w:szCs w:val="18"/>
                <w:lang w:eastAsia="ar-SA"/>
              </w:rPr>
              <w:t xml:space="preserve">Zdroj: </w:t>
            </w:r>
            <w:proofErr w:type="spellStart"/>
            <w:r w:rsidRPr="009D22D9">
              <w:rPr>
                <w:sz w:val="18"/>
                <w:szCs w:val="18"/>
                <w:lang w:eastAsia="ar-SA"/>
              </w:rPr>
              <w:t>Eurostat</w:t>
            </w:r>
            <w:proofErr w:type="spellEnd"/>
            <w:r w:rsidRPr="009D22D9">
              <w:rPr>
                <w:sz w:val="18"/>
                <w:szCs w:val="18"/>
                <w:lang w:eastAsia="ar-SA"/>
              </w:rPr>
              <w:t>, vlastní výpočty</w:t>
            </w:r>
          </w:p>
        </w:tc>
      </w:tr>
    </w:tbl>
    <w:p w:rsidR="00D0393D" w:rsidRPr="003777CC" w:rsidRDefault="00D0393D" w:rsidP="00D0393D">
      <w:pPr>
        <w:tabs>
          <w:tab w:val="left" w:pos="2820"/>
        </w:tabs>
        <w:jc w:val="right"/>
        <w:rPr>
          <w:color w:val="FF0000"/>
          <w:szCs w:val="20"/>
          <w:lang w:eastAsia="ar-SA"/>
        </w:rPr>
      </w:pPr>
    </w:p>
    <w:p w:rsidR="006B55DC" w:rsidRPr="009D22D9" w:rsidRDefault="006B55DC" w:rsidP="006B55DC">
      <w:pPr>
        <w:rPr>
          <w:spacing w:val="-2"/>
          <w:szCs w:val="20"/>
          <w:lang w:eastAsia="ar-SA"/>
        </w:rPr>
      </w:pPr>
      <w:r w:rsidRPr="009D22D9">
        <w:rPr>
          <w:spacing w:val="-2"/>
          <w:szCs w:val="20"/>
          <w:lang w:eastAsia="ar-SA"/>
        </w:rPr>
        <w:t xml:space="preserve">Graf č. 4: </w:t>
      </w:r>
      <w:r w:rsidRPr="009D22D9">
        <w:rPr>
          <w:b/>
          <w:spacing w:val="-2"/>
          <w:szCs w:val="20"/>
          <w:lang w:eastAsia="ar-SA"/>
        </w:rPr>
        <w:t>Kumulativní změna HDP v zemích EU</w:t>
      </w:r>
      <w:r w:rsidR="003777CC" w:rsidRPr="009D22D9">
        <w:rPr>
          <w:b/>
          <w:spacing w:val="-2"/>
          <w:szCs w:val="20"/>
          <w:lang w:eastAsia="ar-SA"/>
        </w:rPr>
        <w:t xml:space="preserve"> a ve</w:t>
      </w:r>
      <w:r w:rsidR="00184831">
        <w:rPr>
          <w:b/>
          <w:spacing w:val="-2"/>
          <w:szCs w:val="20"/>
          <w:lang w:eastAsia="ar-SA"/>
        </w:rPr>
        <w:t xml:space="preserve"> vybraných </w:t>
      </w:r>
      <w:proofErr w:type="spellStart"/>
      <w:r w:rsidR="00184831">
        <w:rPr>
          <w:b/>
          <w:spacing w:val="-2"/>
          <w:szCs w:val="20"/>
          <w:lang w:eastAsia="ar-SA"/>
        </w:rPr>
        <w:t>mimo</w:t>
      </w:r>
      <w:r w:rsidRPr="009D22D9">
        <w:rPr>
          <w:b/>
          <w:spacing w:val="-2"/>
          <w:szCs w:val="20"/>
          <w:lang w:eastAsia="ar-SA"/>
        </w:rPr>
        <w:t>unijních</w:t>
      </w:r>
      <w:proofErr w:type="spellEnd"/>
      <w:r w:rsidRPr="009D22D9">
        <w:rPr>
          <w:b/>
          <w:spacing w:val="-2"/>
          <w:szCs w:val="20"/>
          <w:lang w:eastAsia="ar-SA"/>
        </w:rPr>
        <w:t xml:space="preserve"> zemích</w:t>
      </w:r>
      <w:r w:rsidRPr="009D22D9">
        <w:rPr>
          <w:spacing w:val="-2"/>
          <w:szCs w:val="20"/>
          <w:lang w:eastAsia="ar-SA"/>
        </w:rPr>
        <w:t xml:space="preserve"> (v %, reálně)</w:t>
      </w:r>
    </w:p>
    <w:p w:rsidR="00D0393D" w:rsidRDefault="001D35AD" w:rsidP="00813E6F">
      <w:pPr>
        <w:tabs>
          <w:tab w:val="left" w:pos="2820"/>
        </w:tabs>
        <w:rPr>
          <w:noProof/>
          <w:sz w:val="18"/>
          <w:szCs w:val="18"/>
        </w:rPr>
      </w:pPr>
      <w:r w:rsidRPr="001D35AD">
        <w:rPr>
          <w:noProof/>
          <w:sz w:val="18"/>
          <w:szCs w:val="18"/>
        </w:rPr>
        <w:drawing>
          <wp:inline distT="0" distB="0" distL="0" distR="0">
            <wp:extent cx="6071870" cy="2365375"/>
            <wp:effectExtent l="19050" t="0" r="5080" b="0"/>
            <wp:docPr id="3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4503"/>
        <w:gridCol w:w="5351"/>
      </w:tblGrid>
      <w:tr w:rsidR="00813E6F" w:rsidRPr="009D22D9" w:rsidTr="003777CC">
        <w:tc>
          <w:tcPr>
            <w:tcW w:w="2285" w:type="pct"/>
          </w:tcPr>
          <w:p w:rsidR="00813E6F" w:rsidRPr="009D22D9" w:rsidRDefault="00813E6F" w:rsidP="006B55DC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pct"/>
          </w:tcPr>
          <w:p w:rsidR="00813E6F" w:rsidRPr="009D22D9" w:rsidRDefault="00813E6F" w:rsidP="00432B88">
            <w:pPr>
              <w:tabs>
                <w:tab w:val="left" w:pos="2820"/>
              </w:tabs>
              <w:jc w:val="right"/>
              <w:rPr>
                <w:sz w:val="18"/>
                <w:szCs w:val="18"/>
              </w:rPr>
            </w:pPr>
            <w:r w:rsidRPr="009D22D9">
              <w:rPr>
                <w:sz w:val="18"/>
                <w:szCs w:val="18"/>
                <w:lang w:eastAsia="ar-SA"/>
              </w:rPr>
              <w:t xml:space="preserve">Zdroj: </w:t>
            </w:r>
            <w:proofErr w:type="spellStart"/>
            <w:r w:rsidRPr="009D22D9">
              <w:rPr>
                <w:sz w:val="18"/>
                <w:szCs w:val="18"/>
                <w:lang w:eastAsia="ar-SA"/>
              </w:rPr>
              <w:t>Eurostat</w:t>
            </w:r>
            <w:proofErr w:type="spellEnd"/>
            <w:r w:rsidRPr="009D22D9">
              <w:rPr>
                <w:sz w:val="18"/>
                <w:szCs w:val="18"/>
                <w:lang w:eastAsia="ar-SA"/>
              </w:rPr>
              <w:t>, vlastní výpočty</w:t>
            </w:r>
          </w:p>
        </w:tc>
      </w:tr>
    </w:tbl>
    <w:p w:rsidR="001D35AD" w:rsidRPr="00CB51C7" w:rsidRDefault="001D35AD" w:rsidP="003740C4">
      <w:pPr>
        <w:rPr>
          <w:sz w:val="18"/>
          <w:szCs w:val="18"/>
          <w:lang w:eastAsia="ar-SA"/>
        </w:rPr>
      </w:pPr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3740C4" w:rsidRPr="009D22D9" w:rsidTr="00663E0C">
        <w:tc>
          <w:tcPr>
            <w:tcW w:w="1054" w:type="pct"/>
          </w:tcPr>
          <w:p w:rsidR="003740C4" w:rsidRPr="009D22D9" w:rsidRDefault="0028523A" w:rsidP="007569E2">
            <w:pPr>
              <w:spacing w:line="240" w:lineRule="auto"/>
              <w:rPr>
                <w:spacing w:val="-2"/>
                <w:sz w:val="16"/>
                <w:szCs w:val="16"/>
              </w:rPr>
            </w:pPr>
            <w:r w:rsidRPr="009D22D9">
              <w:rPr>
                <w:spacing w:val="-2"/>
                <w:sz w:val="16"/>
                <w:szCs w:val="16"/>
              </w:rPr>
              <w:t>Č</w:t>
            </w:r>
            <w:r w:rsidR="007D4C44" w:rsidRPr="009D22D9">
              <w:rPr>
                <w:spacing w:val="-2"/>
                <w:sz w:val="16"/>
                <w:szCs w:val="16"/>
              </w:rPr>
              <w:t>eskou ekonomiku</w:t>
            </w:r>
            <w:r w:rsidRPr="009D22D9">
              <w:rPr>
                <w:spacing w:val="-2"/>
                <w:sz w:val="16"/>
                <w:szCs w:val="16"/>
              </w:rPr>
              <w:t xml:space="preserve"> předehnalo</w:t>
            </w:r>
            <w:r w:rsidR="007D4C44" w:rsidRPr="009D22D9">
              <w:rPr>
                <w:spacing w:val="-2"/>
                <w:sz w:val="16"/>
                <w:szCs w:val="16"/>
              </w:rPr>
              <w:t xml:space="preserve"> </w:t>
            </w:r>
            <w:r w:rsidR="00A77C8C" w:rsidRPr="009D22D9">
              <w:rPr>
                <w:spacing w:val="-2"/>
                <w:sz w:val="16"/>
                <w:szCs w:val="16"/>
              </w:rPr>
              <w:t xml:space="preserve">v nárůstu HDP za roky </w:t>
            </w:r>
            <w:r w:rsidR="00460D07" w:rsidRPr="009D22D9">
              <w:rPr>
                <w:spacing w:val="-2"/>
                <w:sz w:val="16"/>
                <w:szCs w:val="16"/>
              </w:rPr>
              <w:t>1996–</w:t>
            </w:r>
            <w:r w:rsidR="007D4C44" w:rsidRPr="009D22D9">
              <w:rPr>
                <w:spacing w:val="-2"/>
                <w:sz w:val="16"/>
                <w:szCs w:val="16"/>
              </w:rPr>
              <w:t>2014 ze</w:t>
            </w:r>
            <w:r w:rsidRPr="009D22D9">
              <w:rPr>
                <w:spacing w:val="-2"/>
                <w:sz w:val="16"/>
                <w:szCs w:val="16"/>
              </w:rPr>
              <w:t> </w:t>
            </w:r>
            <w:r w:rsidR="007D4C44" w:rsidRPr="009D22D9">
              <w:rPr>
                <w:spacing w:val="-2"/>
                <w:sz w:val="16"/>
                <w:szCs w:val="16"/>
              </w:rPr>
              <w:t xml:space="preserve">zemí Unie </w:t>
            </w:r>
            <w:r w:rsidR="00116AA7" w:rsidRPr="009D22D9">
              <w:rPr>
                <w:spacing w:val="-2"/>
                <w:sz w:val="16"/>
                <w:szCs w:val="16"/>
              </w:rPr>
              <w:t>po</w:t>
            </w:r>
            <w:r w:rsidR="00D068F8" w:rsidRPr="009D22D9">
              <w:rPr>
                <w:spacing w:val="-2"/>
                <w:sz w:val="16"/>
                <w:szCs w:val="16"/>
              </w:rPr>
              <w:t>u</w:t>
            </w:r>
            <w:r w:rsidR="00116AA7" w:rsidRPr="009D22D9">
              <w:rPr>
                <w:spacing w:val="-2"/>
                <w:sz w:val="16"/>
                <w:szCs w:val="16"/>
              </w:rPr>
              <w:t>ze</w:t>
            </w:r>
            <w:r w:rsidRPr="009D22D9">
              <w:rPr>
                <w:spacing w:val="-2"/>
                <w:sz w:val="16"/>
                <w:szCs w:val="16"/>
              </w:rPr>
              <w:t xml:space="preserve"> </w:t>
            </w:r>
            <w:r w:rsidR="00085988" w:rsidRPr="009D22D9">
              <w:rPr>
                <w:spacing w:val="-2"/>
                <w:sz w:val="16"/>
                <w:szCs w:val="16"/>
              </w:rPr>
              <w:t>osm</w:t>
            </w:r>
            <w:r w:rsidR="007D4C44" w:rsidRPr="009D22D9">
              <w:rPr>
                <w:spacing w:val="-2"/>
                <w:sz w:val="16"/>
                <w:szCs w:val="16"/>
              </w:rPr>
              <w:t xml:space="preserve"> členů. Její pozice </w:t>
            </w:r>
            <w:r w:rsidR="007569E2">
              <w:rPr>
                <w:spacing w:val="-2"/>
                <w:sz w:val="16"/>
                <w:szCs w:val="16"/>
              </w:rPr>
              <w:t xml:space="preserve">však </w:t>
            </w:r>
            <w:r w:rsidR="007D4C44" w:rsidRPr="009D22D9">
              <w:rPr>
                <w:spacing w:val="-2"/>
                <w:sz w:val="16"/>
                <w:szCs w:val="16"/>
              </w:rPr>
              <w:t>byla ve</w:t>
            </w:r>
            <w:r w:rsidRPr="009D22D9">
              <w:rPr>
                <w:spacing w:val="-2"/>
                <w:sz w:val="16"/>
                <w:szCs w:val="16"/>
              </w:rPr>
              <w:t> </w:t>
            </w:r>
            <w:r w:rsidR="007D4C44" w:rsidRPr="009D22D9">
              <w:rPr>
                <w:spacing w:val="-2"/>
                <w:sz w:val="16"/>
                <w:szCs w:val="16"/>
              </w:rPr>
              <w:t xml:space="preserve">skutečnosti zřejmě horší, neboť </w:t>
            </w:r>
            <w:r w:rsidR="00590010" w:rsidRPr="009D22D9">
              <w:rPr>
                <w:spacing w:val="-2"/>
                <w:sz w:val="16"/>
                <w:szCs w:val="16"/>
              </w:rPr>
              <w:t xml:space="preserve">za </w:t>
            </w:r>
            <w:r w:rsidR="00085988" w:rsidRPr="009D22D9">
              <w:rPr>
                <w:spacing w:val="-2"/>
                <w:sz w:val="16"/>
                <w:szCs w:val="16"/>
              </w:rPr>
              <w:t>tři konvergující země</w:t>
            </w:r>
            <w:r w:rsidR="004F2C30" w:rsidRPr="009D22D9">
              <w:rPr>
                <w:spacing w:val="-2"/>
                <w:sz w:val="16"/>
                <w:szCs w:val="16"/>
              </w:rPr>
              <w:t xml:space="preserve"> a také</w:t>
            </w:r>
            <w:r w:rsidR="00590010" w:rsidRPr="009D22D9">
              <w:rPr>
                <w:spacing w:val="-2"/>
                <w:sz w:val="16"/>
                <w:szCs w:val="16"/>
              </w:rPr>
              <w:t xml:space="preserve"> </w:t>
            </w:r>
            <w:r w:rsidR="00590010" w:rsidRPr="009D22D9">
              <w:rPr>
                <w:spacing w:val="-2"/>
                <w:sz w:val="16"/>
                <w:szCs w:val="16"/>
              </w:rPr>
              <w:lastRenderedPageBreak/>
              <w:t>za Lucembursko</w:t>
            </w:r>
            <w:r w:rsidR="004F2C30" w:rsidRPr="009D22D9">
              <w:rPr>
                <w:spacing w:val="-2"/>
                <w:sz w:val="16"/>
                <w:szCs w:val="16"/>
              </w:rPr>
              <w:t xml:space="preserve"> </w:t>
            </w:r>
            <w:r w:rsidR="00116AA7" w:rsidRPr="009D22D9">
              <w:rPr>
                <w:spacing w:val="-2"/>
                <w:sz w:val="16"/>
                <w:szCs w:val="16"/>
              </w:rPr>
              <w:t xml:space="preserve">nejsou </w:t>
            </w:r>
            <w:r w:rsidR="004F2C30" w:rsidRPr="009D22D9">
              <w:rPr>
                <w:spacing w:val="-2"/>
                <w:sz w:val="16"/>
                <w:szCs w:val="16"/>
              </w:rPr>
              <w:t xml:space="preserve">výsledky </w:t>
            </w:r>
            <w:r w:rsidR="00116AA7" w:rsidRPr="009D22D9">
              <w:rPr>
                <w:spacing w:val="-2"/>
                <w:sz w:val="16"/>
                <w:szCs w:val="16"/>
              </w:rPr>
              <w:t xml:space="preserve">k dispozici </w:t>
            </w:r>
          </w:p>
        </w:tc>
        <w:tc>
          <w:tcPr>
            <w:tcW w:w="143" w:type="pct"/>
          </w:tcPr>
          <w:p w:rsidR="003740C4" w:rsidRPr="009D22D9" w:rsidRDefault="003740C4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3740C4" w:rsidRPr="009D22D9" w:rsidRDefault="003740C4" w:rsidP="00CB51C7">
            <w:pPr>
              <w:pStyle w:val="Textpoznpodarou"/>
              <w:jc w:val="both"/>
              <w:rPr>
                <w:spacing w:val="-2"/>
              </w:rPr>
            </w:pPr>
            <w:r w:rsidRPr="009D22D9">
              <w:rPr>
                <w:spacing w:val="-2"/>
              </w:rPr>
              <w:t xml:space="preserve">V kumulaci </w:t>
            </w:r>
            <w:r w:rsidR="00C66735" w:rsidRPr="009D22D9">
              <w:rPr>
                <w:spacing w:val="-2"/>
              </w:rPr>
              <w:t>za roky 1996</w:t>
            </w:r>
            <w:r w:rsidR="00460D07" w:rsidRPr="009D22D9">
              <w:rPr>
                <w:spacing w:val="-2"/>
              </w:rPr>
              <w:t>–</w:t>
            </w:r>
            <w:r w:rsidRPr="009D22D9">
              <w:rPr>
                <w:spacing w:val="-2"/>
              </w:rPr>
              <w:t xml:space="preserve">2014, za které jsou mezinárodně srovnatelné údaje </w:t>
            </w:r>
            <w:r w:rsidR="00F60F7A" w:rsidRPr="009D22D9">
              <w:rPr>
                <w:spacing w:val="-2"/>
              </w:rPr>
              <w:t>za</w:t>
            </w:r>
            <w:r w:rsidR="0074465D" w:rsidRPr="009D22D9">
              <w:rPr>
                <w:spacing w:val="-2"/>
              </w:rPr>
              <w:t> </w:t>
            </w:r>
            <w:r w:rsidR="00F60F7A" w:rsidRPr="009D22D9">
              <w:rPr>
                <w:spacing w:val="-2"/>
              </w:rPr>
              <w:t xml:space="preserve">většinu zemí </w:t>
            </w:r>
            <w:r w:rsidR="007D4C44" w:rsidRPr="009D22D9">
              <w:rPr>
                <w:spacing w:val="-2"/>
              </w:rPr>
              <w:t>EU</w:t>
            </w:r>
            <w:r w:rsidR="00F60F7A" w:rsidRPr="009D22D9">
              <w:rPr>
                <w:spacing w:val="-2"/>
              </w:rPr>
              <w:t xml:space="preserve"> </w:t>
            </w:r>
            <w:r w:rsidRPr="009D22D9">
              <w:rPr>
                <w:spacing w:val="-2"/>
              </w:rPr>
              <w:t xml:space="preserve">k dispozici, narostl </w:t>
            </w:r>
            <w:r w:rsidR="00CB51C7" w:rsidRPr="009D22D9">
              <w:rPr>
                <w:spacing w:val="-2"/>
              </w:rPr>
              <w:t>český</w:t>
            </w:r>
            <w:r w:rsidRPr="009D22D9">
              <w:rPr>
                <w:spacing w:val="-2"/>
              </w:rPr>
              <w:t xml:space="preserve"> HDP více než </w:t>
            </w:r>
            <w:r w:rsidR="00CB51C7" w:rsidRPr="009D22D9">
              <w:rPr>
                <w:spacing w:val="-2"/>
              </w:rPr>
              <w:t>o</w:t>
            </w:r>
            <w:r w:rsidRPr="009D22D9">
              <w:rPr>
                <w:spacing w:val="-2"/>
              </w:rPr>
              <w:t xml:space="preserve"> polovinu (+53,1 %). </w:t>
            </w:r>
            <w:r w:rsidR="008E0248" w:rsidRPr="009D22D9">
              <w:rPr>
                <w:spacing w:val="-2"/>
              </w:rPr>
              <w:t>Ekonomice</w:t>
            </w:r>
            <w:r w:rsidRPr="009D22D9">
              <w:rPr>
                <w:spacing w:val="-2"/>
              </w:rPr>
              <w:t xml:space="preserve"> </w:t>
            </w:r>
            <w:r w:rsidR="00A77C8C" w:rsidRPr="009D22D9">
              <w:rPr>
                <w:spacing w:val="-2"/>
              </w:rPr>
              <w:t xml:space="preserve">připadlo </w:t>
            </w:r>
            <w:r w:rsidRPr="009D22D9">
              <w:rPr>
                <w:spacing w:val="-2"/>
              </w:rPr>
              <w:t xml:space="preserve">v tomto ohledu v žebříčku </w:t>
            </w:r>
            <w:r w:rsidR="00C66735" w:rsidRPr="009D22D9">
              <w:rPr>
                <w:spacing w:val="-2"/>
              </w:rPr>
              <w:t xml:space="preserve">zemí </w:t>
            </w:r>
            <w:r w:rsidRPr="009D22D9">
              <w:rPr>
                <w:spacing w:val="-2"/>
              </w:rPr>
              <w:t>U</w:t>
            </w:r>
            <w:r w:rsidR="00C66735" w:rsidRPr="009D22D9">
              <w:rPr>
                <w:spacing w:val="-2"/>
              </w:rPr>
              <w:t>nie</w:t>
            </w:r>
            <w:r w:rsidRPr="009D22D9">
              <w:rPr>
                <w:spacing w:val="-2"/>
              </w:rPr>
              <w:t xml:space="preserve"> místo </w:t>
            </w:r>
            <w:r w:rsidR="00085988" w:rsidRPr="009D22D9">
              <w:rPr>
                <w:spacing w:val="-2"/>
              </w:rPr>
              <w:t>deváté</w:t>
            </w:r>
            <w:r w:rsidR="00F60F7A" w:rsidRPr="009D22D9">
              <w:rPr>
                <w:spacing w:val="-2"/>
              </w:rPr>
              <w:t>,</w:t>
            </w:r>
            <w:r w:rsidR="00C66735" w:rsidRPr="009D22D9">
              <w:rPr>
                <w:spacing w:val="-2"/>
              </w:rPr>
              <w:t xml:space="preserve"> </w:t>
            </w:r>
            <w:r w:rsidR="00085988" w:rsidRPr="009D22D9">
              <w:rPr>
                <w:spacing w:val="-2"/>
              </w:rPr>
              <w:t>tedy</w:t>
            </w:r>
            <w:r w:rsidR="00C66735" w:rsidRPr="009D22D9">
              <w:rPr>
                <w:spacing w:val="-2"/>
              </w:rPr>
              <w:t xml:space="preserve"> nadprůměrné.</w:t>
            </w:r>
            <w:r w:rsidR="00F60F7A" w:rsidRPr="009D22D9">
              <w:rPr>
                <w:spacing w:val="-2"/>
              </w:rPr>
              <w:t xml:space="preserve"> </w:t>
            </w:r>
            <w:r w:rsidR="00C66735" w:rsidRPr="009D22D9">
              <w:rPr>
                <w:spacing w:val="-2"/>
              </w:rPr>
              <w:t>J</w:t>
            </w:r>
            <w:r w:rsidR="00F60F7A" w:rsidRPr="009D22D9">
              <w:rPr>
                <w:spacing w:val="-2"/>
              </w:rPr>
              <w:t>elikož ale nejsou</w:t>
            </w:r>
            <w:r w:rsidR="00C66735" w:rsidRPr="009D22D9">
              <w:rPr>
                <w:spacing w:val="-2"/>
              </w:rPr>
              <w:t xml:space="preserve"> za </w:t>
            </w:r>
            <w:r w:rsidR="00116AA7" w:rsidRPr="009D22D9">
              <w:rPr>
                <w:spacing w:val="-2"/>
              </w:rPr>
              <w:t>uvedený</w:t>
            </w:r>
            <w:r w:rsidR="00C66735" w:rsidRPr="009D22D9">
              <w:rPr>
                <w:spacing w:val="-2"/>
              </w:rPr>
              <w:t xml:space="preserve"> časový úsek</w:t>
            </w:r>
            <w:r w:rsidR="00F60F7A" w:rsidRPr="009D22D9">
              <w:rPr>
                <w:spacing w:val="-2"/>
              </w:rPr>
              <w:t xml:space="preserve"> dostupné údaje za </w:t>
            </w:r>
            <w:r w:rsidR="00085988" w:rsidRPr="009D22D9">
              <w:rPr>
                <w:spacing w:val="-2"/>
              </w:rPr>
              <w:t>čtyři</w:t>
            </w:r>
            <w:r w:rsidR="00F60F7A" w:rsidRPr="009D22D9">
              <w:rPr>
                <w:spacing w:val="-2"/>
              </w:rPr>
              <w:t xml:space="preserve"> </w:t>
            </w:r>
            <w:r w:rsidR="00085988" w:rsidRPr="009D22D9">
              <w:rPr>
                <w:spacing w:val="-2"/>
              </w:rPr>
              <w:t>členské</w:t>
            </w:r>
            <w:r w:rsidR="00CB51C7" w:rsidRPr="009D22D9">
              <w:rPr>
                <w:spacing w:val="-2"/>
              </w:rPr>
              <w:t xml:space="preserve"> </w:t>
            </w:r>
            <w:r w:rsidR="00085988" w:rsidRPr="009D22D9">
              <w:rPr>
                <w:spacing w:val="-2"/>
              </w:rPr>
              <w:t>země</w:t>
            </w:r>
            <w:r w:rsidR="00F60F7A" w:rsidRPr="009D22D9">
              <w:rPr>
                <w:spacing w:val="-2"/>
              </w:rPr>
              <w:t xml:space="preserve"> (</w:t>
            </w:r>
            <w:r w:rsidR="00B94E3A" w:rsidRPr="009D22D9">
              <w:rPr>
                <w:spacing w:val="-2"/>
              </w:rPr>
              <w:t xml:space="preserve">o které se jedná, </w:t>
            </w:r>
            <w:r w:rsidR="00F60F7A" w:rsidRPr="009D22D9">
              <w:rPr>
                <w:spacing w:val="-2"/>
              </w:rPr>
              <w:t xml:space="preserve">viz </w:t>
            </w:r>
            <w:r w:rsidR="001A7550" w:rsidRPr="009D22D9">
              <w:rPr>
                <w:spacing w:val="-2"/>
              </w:rPr>
              <w:t xml:space="preserve">poznámka </w:t>
            </w:r>
            <w:r w:rsidR="00C66735" w:rsidRPr="009D22D9">
              <w:rPr>
                <w:spacing w:val="-2"/>
              </w:rPr>
              <w:t xml:space="preserve">pod </w:t>
            </w:r>
            <w:r w:rsidR="007569E2">
              <w:rPr>
                <w:spacing w:val="-2"/>
              </w:rPr>
              <w:t>G</w:t>
            </w:r>
            <w:r w:rsidR="00F60F7A" w:rsidRPr="009D22D9">
              <w:rPr>
                <w:spacing w:val="-2"/>
              </w:rPr>
              <w:t>raf</w:t>
            </w:r>
            <w:r w:rsidR="00C66735" w:rsidRPr="009D22D9">
              <w:rPr>
                <w:spacing w:val="-2"/>
              </w:rPr>
              <w:t>em</w:t>
            </w:r>
            <w:r w:rsidR="00F60F7A" w:rsidRPr="009D22D9">
              <w:rPr>
                <w:spacing w:val="-2"/>
              </w:rPr>
              <w:t xml:space="preserve"> </w:t>
            </w:r>
            <w:r w:rsidR="007569E2">
              <w:rPr>
                <w:spacing w:val="-2"/>
              </w:rPr>
              <w:t xml:space="preserve">č. </w:t>
            </w:r>
            <w:r w:rsidR="00F60F7A" w:rsidRPr="009D22D9">
              <w:rPr>
                <w:spacing w:val="-2"/>
              </w:rPr>
              <w:t>3) a</w:t>
            </w:r>
            <w:r w:rsidR="00085988" w:rsidRPr="009D22D9">
              <w:rPr>
                <w:spacing w:val="-2"/>
              </w:rPr>
              <w:t xml:space="preserve"> přitom hned</w:t>
            </w:r>
            <w:r w:rsidR="001A7550" w:rsidRPr="009D22D9">
              <w:rPr>
                <w:spacing w:val="-2"/>
              </w:rPr>
              <w:t> </w:t>
            </w:r>
            <w:r w:rsidR="00085988" w:rsidRPr="009D22D9">
              <w:rPr>
                <w:spacing w:val="-2"/>
              </w:rPr>
              <w:t>tři</w:t>
            </w:r>
            <w:r w:rsidR="00F60F7A" w:rsidRPr="009D22D9">
              <w:rPr>
                <w:spacing w:val="-2"/>
              </w:rPr>
              <w:t xml:space="preserve"> z nich </w:t>
            </w:r>
            <w:r w:rsidR="007D4C44" w:rsidRPr="009D22D9">
              <w:rPr>
                <w:spacing w:val="-2"/>
              </w:rPr>
              <w:t>tuzemskou ekonomiku</w:t>
            </w:r>
            <w:r w:rsidR="00F60F7A" w:rsidRPr="009D22D9">
              <w:rPr>
                <w:spacing w:val="-2"/>
              </w:rPr>
              <w:t xml:space="preserve"> </w:t>
            </w:r>
            <w:r w:rsidR="00A77C8C" w:rsidRPr="009D22D9">
              <w:rPr>
                <w:spacing w:val="-2"/>
              </w:rPr>
              <w:t>podle</w:t>
            </w:r>
            <w:r w:rsidR="00CB51C7" w:rsidRPr="009D22D9">
              <w:rPr>
                <w:spacing w:val="-2"/>
              </w:rPr>
              <w:t xml:space="preserve"> </w:t>
            </w:r>
            <w:r w:rsidR="00D80370" w:rsidRPr="009D22D9">
              <w:rPr>
                <w:spacing w:val="-2"/>
              </w:rPr>
              <w:t xml:space="preserve">údajů </w:t>
            </w:r>
            <w:r w:rsidR="00F60F7A" w:rsidRPr="009D22D9">
              <w:rPr>
                <w:spacing w:val="-2"/>
              </w:rPr>
              <w:t>za roky 200</w:t>
            </w:r>
            <w:r w:rsidR="00085988" w:rsidRPr="009D22D9">
              <w:rPr>
                <w:spacing w:val="-2"/>
              </w:rPr>
              <w:t>1</w:t>
            </w:r>
            <w:r w:rsidR="00B94E3A" w:rsidRPr="009D22D9">
              <w:rPr>
                <w:spacing w:val="-2"/>
              </w:rPr>
              <w:t xml:space="preserve"> až </w:t>
            </w:r>
            <w:r w:rsidR="00F60F7A" w:rsidRPr="009D22D9">
              <w:rPr>
                <w:spacing w:val="-2"/>
              </w:rPr>
              <w:t>2014 předehnaly,</w:t>
            </w:r>
            <w:r w:rsidR="00CB51C7" w:rsidRPr="009D22D9">
              <w:rPr>
                <w:spacing w:val="-2"/>
              </w:rPr>
              <w:t xml:space="preserve"> nelze </w:t>
            </w:r>
            <w:r w:rsidR="00CB51C7" w:rsidRPr="009D22D9">
              <w:rPr>
                <w:spacing w:val="-2"/>
              </w:rPr>
              <w:lastRenderedPageBreak/>
              <w:t xml:space="preserve">vyloučit, že </w:t>
            </w:r>
            <w:r w:rsidR="00C66735" w:rsidRPr="009D22D9">
              <w:rPr>
                <w:spacing w:val="-2"/>
              </w:rPr>
              <w:t>výkon</w:t>
            </w:r>
            <w:r w:rsidR="00085988" w:rsidRPr="009D22D9">
              <w:rPr>
                <w:spacing w:val="-2"/>
              </w:rPr>
              <w:t xml:space="preserve"> této „čtyřky“</w:t>
            </w:r>
            <w:r w:rsidR="00C66735" w:rsidRPr="009D22D9">
              <w:rPr>
                <w:spacing w:val="-2"/>
              </w:rPr>
              <w:t xml:space="preserve"> stoupl v úhrnu za</w:t>
            </w:r>
            <w:r w:rsidR="00C413E8" w:rsidRPr="009D22D9">
              <w:rPr>
                <w:spacing w:val="-2"/>
              </w:rPr>
              <w:t xml:space="preserve"> celé období 1996</w:t>
            </w:r>
            <w:r w:rsidR="00460D07" w:rsidRPr="009D22D9">
              <w:rPr>
                <w:spacing w:val="-2"/>
              </w:rPr>
              <w:t>–</w:t>
            </w:r>
            <w:r w:rsidR="00CB51C7" w:rsidRPr="009D22D9">
              <w:rPr>
                <w:spacing w:val="-2"/>
              </w:rPr>
              <w:t>2014</w:t>
            </w:r>
            <w:r w:rsidR="00085988" w:rsidRPr="009D22D9">
              <w:rPr>
                <w:spacing w:val="-2"/>
              </w:rPr>
              <w:t xml:space="preserve"> více než v ČR</w:t>
            </w:r>
            <w:r w:rsidR="00CB51C7" w:rsidRPr="009D22D9">
              <w:rPr>
                <w:spacing w:val="-2"/>
              </w:rPr>
              <w:t>. P</w:t>
            </w:r>
            <w:r w:rsidR="00F60F7A" w:rsidRPr="009D22D9">
              <w:rPr>
                <w:spacing w:val="-2"/>
              </w:rPr>
              <w:t>o</w:t>
            </w:r>
            <w:r w:rsidR="0074465D" w:rsidRPr="009D22D9">
              <w:rPr>
                <w:spacing w:val="-2"/>
              </w:rPr>
              <w:t> </w:t>
            </w:r>
            <w:r w:rsidR="00F60F7A" w:rsidRPr="009D22D9">
              <w:rPr>
                <w:spacing w:val="-2"/>
              </w:rPr>
              <w:t xml:space="preserve">započtení </w:t>
            </w:r>
            <w:r w:rsidR="00C66735" w:rsidRPr="009D22D9">
              <w:rPr>
                <w:spacing w:val="-2"/>
              </w:rPr>
              <w:t>výsledku</w:t>
            </w:r>
            <w:r w:rsidR="00F60F7A" w:rsidRPr="009D22D9">
              <w:rPr>
                <w:spacing w:val="-2"/>
              </w:rPr>
              <w:t xml:space="preserve"> za tyto země by se </w:t>
            </w:r>
            <w:r w:rsidR="0074465D" w:rsidRPr="009D22D9">
              <w:rPr>
                <w:spacing w:val="-2"/>
              </w:rPr>
              <w:t>tedy umístění</w:t>
            </w:r>
            <w:r w:rsidR="001A7550" w:rsidRPr="009D22D9">
              <w:rPr>
                <w:spacing w:val="-2"/>
              </w:rPr>
              <w:t xml:space="preserve"> </w:t>
            </w:r>
            <w:r w:rsidR="007D4C44" w:rsidRPr="009D22D9">
              <w:rPr>
                <w:spacing w:val="-2"/>
              </w:rPr>
              <w:t>českého hospodářství</w:t>
            </w:r>
            <w:r w:rsidR="001A7550" w:rsidRPr="009D22D9">
              <w:rPr>
                <w:spacing w:val="-2"/>
              </w:rPr>
              <w:t xml:space="preserve"> </w:t>
            </w:r>
            <w:r w:rsidR="00CB51C7" w:rsidRPr="009D22D9">
              <w:rPr>
                <w:spacing w:val="-2"/>
              </w:rPr>
              <w:t>s největší pravděpodobností</w:t>
            </w:r>
            <w:r w:rsidR="00F60F7A" w:rsidRPr="009D22D9">
              <w:rPr>
                <w:spacing w:val="-2"/>
              </w:rPr>
              <w:t xml:space="preserve"> zhoršilo</w:t>
            </w:r>
            <w:r w:rsidR="00CB51C7" w:rsidRPr="009D22D9">
              <w:rPr>
                <w:spacing w:val="-2"/>
              </w:rPr>
              <w:t xml:space="preserve">, teoreticky až na </w:t>
            </w:r>
            <w:r w:rsidR="007C7F73" w:rsidRPr="009D22D9">
              <w:rPr>
                <w:spacing w:val="-2"/>
              </w:rPr>
              <w:t>třináctou</w:t>
            </w:r>
            <w:r w:rsidR="00CB51C7" w:rsidRPr="009D22D9">
              <w:rPr>
                <w:spacing w:val="-2"/>
              </w:rPr>
              <w:t xml:space="preserve"> pozici.</w:t>
            </w:r>
          </w:p>
          <w:p w:rsidR="00CB51C7" w:rsidRPr="009D22D9" w:rsidRDefault="00CB51C7" w:rsidP="00CB51C7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28523A" w:rsidRPr="009D22D9" w:rsidTr="00663E0C">
        <w:tc>
          <w:tcPr>
            <w:tcW w:w="1054" w:type="pct"/>
          </w:tcPr>
          <w:p w:rsidR="0028523A" w:rsidRPr="009D22D9" w:rsidRDefault="00DD6E5F" w:rsidP="000C2605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lastRenderedPageBreak/>
              <w:t>Nárůst HDP od druhé poloviny</w:t>
            </w:r>
            <w:r w:rsidR="00EB187F" w:rsidRPr="009D22D9">
              <w:rPr>
                <w:sz w:val="16"/>
                <w:szCs w:val="16"/>
              </w:rPr>
              <w:t xml:space="preserve"> 90. let velmi vysoký </w:t>
            </w:r>
            <w:r w:rsidR="000C2605" w:rsidRPr="009D22D9">
              <w:rPr>
                <w:sz w:val="16"/>
                <w:szCs w:val="16"/>
              </w:rPr>
              <w:t>u pobaltských zemí</w:t>
            </w:r>
            <w:r w:rsidR="00B2446D" w:rsidRPr="009D22D9">
              <w:rPr>
                <w:sz w:val="16"/>
                <w:szCs w:val="16"/>
              </w:rPr>
              <w:t xml:space="preserve"> a</w:t>
            </w:r>
            <w:r w:rsidR="00EB187F" w:rsidRPr="009D22D9">
              <w:rPr>
                <w:sz w:val="16"/>
                <w:szCs w:val="16"/>
              </w:rPr>
              <w:t> Polska</w:t>
            </w:r>
            <w:r w:rsidRPr="009D22D9">
              <w:rPr>
                <w:sz w:val="16"/>
                <w:szCs w:val="16"/>
              </w:rPr>
              <w:t xml:space="preserve">, </w:t>
            </w:r>
            <w:r w:rsidR="000C2605" w:rsidRPr="009D22D9">
              <w:rPr>
                <w:sz w:val="16"/>
                <w:szCs w:val="16"/>
              </w:rPr>
              <w:t>především však</w:t>
            </w:r>
            <w:r w:rsidR="002842DB" w:rsidRPr="009D22D9">
              <w:rPr>
                <w:sz w:val="16"/>
                <w:szCs w:val="16"/>
              </w:rPr>
              <w:t xml:space="preserve"> </w:t>
            </w:r>
            <w:r w:rsidR="00B2446D" w:rsidRPr="009D22D9">
              <w:rPr>
                <w:sz w:val="16"/>
                <w:szCs w:val="16"/>
              </w:rPr>
              <w:t>v</w:t>
            </w:r>
            <w:r w:rsidR="00EB187F" w:rsidRPr="009D22D9">
              <w:rPr>
                <w:sz w:val="16"/>
                <w:szCs w:val="16"/>
              </w:rPr>
              <w:t> případě „keltského tygra“</w:t>
            </w:r>
            <w:r w:rsidRPr="009D22D9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</w:tcPr>
          <w:p w:rsidR="0028523A" w:rsidRPr="009D22D9" w:rsidRDefault="0028523A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0491C" w:rsidRPr="009D22D9" w:rsidRDefault="004C1713" w:rsidP="00CB51C7">
            <w:pPr>
              <w:pStyle w:val="Textpoznpodarou"/>
              <w:jc w:val="both"/>
            </w:pPr>
            <w:r w:rsidRPr="009D22D9">
              <w:t>O</w:t>
            </w:r>
            <w:r w:rsidR="00AD2681" w:rsidRPr="009D22D9">
              <w:t>bdobí od druhé poloviny 90. let</w:t>
            </w:r>
            <w:r w:rsidRPr="009D22D9">
              <w:t xml:space="preserve"> </w:t>
            </w:r>
            <w:r w:rsidR="002229E3" w:rsidRPr="009D22D9">
              <w:t>bylo</w:t>
            </w:r>
            <w:r w:rsidR="0040491C" w:rsidRPr="009D22D9">
              <w:t xml:space="preserve"> možné považovat za příznivé</w:t>
            </w:r>
            <w:r w:rsidR="00F529CE" w:rsidRPr="009D22D9">
              <w:t xml:space="preserve"> nejen pro</w:t>
            </w:r>
            <w:r w:rsidR="007C7F73" w:rsidRPr="009D22D9">
              <w:t> </w:t>
            </w:r>
            <w:r w:rsidR="00F529CE" w:rsidRPr="009D22D9">
              <w:t>země</w:t>
            </w:r>
            <w:r w:rsidR="00CC4BEB" w:rsidRPr="009D22D9">
              <w:t xml:space="preserve"> </w:t>
            </w:r>
            <w:r w:rsidR="00D80370" w:rsidRPr="009D22D9">
              <w:t>relativně</w:t>
            </w:r>
            <w:r w:rsidR="00CC4BEB" w:rsidRPr="009D22D9">
              <w:t xml:space="preserve"> málo </w:t>
            </w:r>
            <w:r w:rsidR="00F529CE" w:rsidRPr="009D22D9">
              <w:t>vyspělé</w:t>
            </w:r>
            <w:r w:rsidR="00E44F01">
              <w:t>,</w:t>
            </w:r>
            <w:r w:rsidR="00CC4BEB" w:rsidRPr="009D22D9">
              <w:t xml:space="preserve"> </w:t>
            </w:r>
            <w:r w:rsidR="00F529CE" w:rsidRPr="009D22D9">
              <w:t>a tedy těžící</w:t>
            </w:r>
            <w:r w:rsidR="0084178C" w:rsidRPr="009D22D9">
              <w:t xml:space="preserve"> z</w:t>
            </w:r>
            <w:r w:rsidR="00D80370" w:rsidRPr="009D22D9">
              <w:t> </w:t>
            </w:r>
            <w:r w:rsidR="0084178C" w:rsidRPr="009D22D9">
              <w:t>nízké</w:t>
            </w:r>
            <w:r w:rsidR="00D80370" w:rsidRPr="009D22D9">
              <w:t xml:space="preserve"> počáteční</w:t>
            </w:r>
            <w:r w:rsidR="0084178C" w:rsidRPr="009D22D9">
              <w:t xml:space="preserve"> základny</w:t>
            </w:r>
            <w:r w:rsidR="00EB187F" w:rsidRPr="009D22D9">
              <w:t xml:space="preserve"> (</w:t>
            </w:r>
            <w:r w:rsidR="007C7F73" w:rsidRPr="009D22D9">
              <w:t>pobaltské republiky</w:t>
            </w:r>
            <w:r w:rsidR="00EB187F" w:rsidRPr="009D22D9">
              <w:t xml:space="preserve"> a Polsko)</w:t>
            </w:r>
            <w:r w:rsidR="00CC4BEB" w:rsidRPr="009D22D9">
              <w:t xml:space="preserve">, ale také </w:t>
            </w:r>
            <w:r w:rsidR="00F529CE" w:rsidRPr="009D22D9">
              <w:t>pro</w:t>
            </w:r>
            <w:r w:rsidR="009019A0" w:rsidRPr="009D22D9">
              <w:t xml:space="preserve"> již</w:t>
            </w:r>
            <w:r w:rsidR="00EB187F" w:rsidRPr="009D22D9">
              <w:t xml:space="preserve"> tehdy</w:t>
            </w:r>
            <w:r w:rsidR="002229E3" w:rsidRPr="009D22D9">
              <w:t xml:space="preserve"> </w:t>
            </w:r>
            <w:r w:rsidR="00B2446D" w:rsidRPr="009D22D9">
              <w:t>ekonomicky rozvinuté</w:t>
            </w:r>
            <w:r w:rsidR="00CC4BEB" w:rsidRPr="009D22D9">
              <w:t xml:space="preserve"> </w:t>
            </w:r>
            <w:r w:rsidR="00F529CE" w:rsidRPr="009D22D9">
              <w:t>Irsko</w:t>
            </w:r>
            <w:r w:rsidR="0040491C" w:rsidRPr="009D22D9">
              <w:t>. Jestliže v</w:t>
            </w:r>
            <w:r w:rsidR="007C7F73" w:rsidRPr="009D22D9">
              <w:t> Litvě, Estonsku, Lotyšsku a v Polsku</w:t>
            </w:r>
            <w:r w:rsidR="0040491C" w:rsidRPr="009D22D9">
              <w:t xml:space="preserve"> </w:t>
            </w:r>
            <w:r w:rsidR="003C326B" w:rsidRPr="009D22D9">
              <w:t>narostl HDP</w:t>
            </w:r>
            <w:r w:rsidR="002229E3" w:rsidRPr="009D22D9">
              <w:t xml:space="preserve"> celkově za tyto roky</w:t>
            </w:r>
            <w:r w:rsidR="007C7F73" w:rsidRPr="009D22D9">
              <w:t xml:space="preserve"> o </w:t>
            </w:r>
            <w:r w:rsidR="000C2605" w:rsidRPr="009D22D9">
              <w:t>125,8</w:t>
            </w:r>
            <w:r w:rsidR="007C7F73" w:rsidRPr="009D22D9">
              <w:t xml:space="preserve"> %, </w:t>
            </w:r>
            <w:r w:rsidR="000C2605" w:rsidRPr="009D22D9">
              <w:t>119,8</w:t>
            </w:r>
            <w:r w:rsidR="007C7F73" w:rsidRPr="009D22D9">
              <w:t xml:space="preserve"> %, 118</w:t>
            </w:r>
            <w:r w:rsidR="000C2605" w:rsidRPr="009D22D9">
              <w:t>,1</w:t>
            </w:r>
            <w:r w:rsidR="007C7F73" w:rsidRPr="009D22D9">
              <w:t xml:space="preserve"> %</w:t>
            </w:r>
            <w:r w:rsidR="000C2605" w:rsidRPr="009D22D9">
              <w:t xml:space="preserve"> a 112,6</w:t>
            </w:r>
            <w:r w:rsidR="007C7F73" w:rsidRPr="009D22D9">
              <w:t xml:space="preserve"> %</w:t>
            </w:r>
            <w:r w:rsidR="0040491C" w:rsidRPr="009D22D9">
              <w:t>, v Irsku</w:t>
            </w:r>
            <w:r w:rsidR="00B00310" w:rsidRPr="009D22D9">
              <w:t xml:space="preserve"> – především díky</w:t>
            </w:r>
            <w:r w:rsidR="002229E3" w:rsidRPr="009D22D9">
              <w:t xml:space="preserve"> mohutnému</w:t>
            </w:r>
            <w:r w:rsidR="00B00310" w:rsidRPr="009D22D9">
              <w:t xml:space="preserve"> růstu koncentrovanému </w:t>
            </w:r>
            <w:r w:rsidR="002229E3" w:rsidRPr="009D22D9">
              <w:t>do</w:t>
            </w:r>
            <w:r w:rsidR="00C5564D" w:rsidRPr="009D22D9">
              <w:t xml:space="preserve"> </w:t>
            </w:r>
            <w:r w:rsidR="00EB187F" w:rsidRPr="009D22D9">
              <w:t xml:space="preserve">první „pětiletky“ tohoto období </w:t>
            </w:r>
            <w:r w:rsidR="00B00310" w:rsidRPr="009D22D9">
              <w:t>–</w:t>
            </w:r>
            <w:r w:rsidR="0040491C" w:rsidRPr="009D22D9">
              <w:t xml:space="preserve"> </w:t>
            </w:r>
            <w:r w:rsidR="000C2605" w:rsidRPr="009D22D9">
              <w:t xml:space="preserve">dokonce </w:t>
            </w:r>
            <w:r w:rsidR="003C326B" w:rsidRPr="009D22D9">
              <w:t>o</w:t>
            </w:r>
            <w:r w:rsidR="007C7F73" w:rsidRPr="009D22D9">
              <w:t xml:space="preserve"> 138</w:t>
            </w:r>
            <w:r w:rsidR="000C2605" w:rsidRPr="009D22D9">
              <w:t>,1</w:t>
            </w:r>
            <w:r w:rsidR="004F2060" w:rsidRPr="009D22D9">
              <w:t xml:space="preserve"> %.</w:t>
            </w:r>
          </w:p>
          <w:p w:rsidR="0028523A" w:rsidRPr="009D22D9" w:rsidRDefault="00A77C8C" w:rsidP="003C326B">
            <w:pPr>
              <w:pStyle w:val="Textpoznpodarou"/>
              <w:jc w:val="both"/>
              <w:rPr>
                <w:sz w:val="16"/>
                <w:szCs w:val="16"/>
              </w:rPr>
            </w:pPr>
            <w:r w:rsidRPr="009D22D9">
              <w:rPr>
                <w:spacing w:val="-2"/>
              </w:rPr>
              <w:t xml:space="preserve"> </w:t>
            </w:r>
          </w:p>
        </w:tc>
      </w:tr>
      <w:tr w:rsidR="00DD6E5F" w:rsidRPr="009D22D9" w:rsidTr="00663E0C">
        <w:tc>
          <w:tcPr>
            <w:tcW w:w="1054" w:type="pct"/>
          </w:tcPr>
          <w:p w:rsidR="00DD6E5F" w:rsidRPr="009D22D9" w:rsidRDefault="00DD6E5F" w:rsidP="000C2605">
            <w:pPr>
              <w:spacing w:line="240" w:lineRule="auto"/>
              <w:rPr>
                <w:spacing w:val="-2"/>
                <w:sz w:val="16"/>
                <w:szCs w:val="16"/>
              </w:rPr>
            </w:pPr>
            <w:r w:rsidRPr="009D22D9">
              <w:rPr>
                <w:spacing w:val="-2"/>
                <w:sz w:val="16"/>
                <w:szCs w:val="16"/>
              </w:rPr>
              <w:t xml:space="preserve">…kumulativní přírůstek HDP </w:t>
            </w:r>
            <w:r w:rsidR="00D80370" w:rsidRPr="009D22D9">
              <w:rPr>
                <w:spacing w:val="-2"/>
                <w:sz w:val="16"/>
                <w:szCs w:val="16"/>
              </w:rPr>
              <w:t>tří</w:t>
            </w:r>
            <w:r w:rsidRPr="009D22D9">
              <w:rPr>
                <w:spacing w:val="-2"/>
                <w:sz w:val="16"/>
                <w:szCs w:val="16"/>
              </w:rPr>
              <w:t xml:space="preserve"> největších ekonomik EU </w:t>
            </w:r>
            <w:r w:rsidR="000C2605" w:rsidRPr="009D22D9">
              <w:rPr>
                <w:spacing w:val="-2"/>
                <w:sz w:val="16"/>
                <w:szCs w:val="16"/>
              </w:rPr>
              <w:t>ale</w:t>
            </w:r>
            <w:r w:rsidRPr="009D22D9">
              <w:rPr>
                <w:spacing w:val="-2"/>
                <w:sz w:val="16"/>
                <w:szCs w:val="16"/>
              </w:rPr>
              <w:t xml:space="preserve"> jen průměrný až podprůměrný</w:t>
            </w:r>
            <w:r w:rsidR="00336297" w:rsidRPr="009D22D9">
              <w:rPr>
                <w:spacing w:val="-2"/>
                <w:sz w:val="16"/>
                <w:szCs w:val="16"/>
              </w:rPr>
              <w:t xml:space="preserve"> a také nižší než v ČR</w:t>
            </w:r>
          </w:p>
        </w:tc>
        <w:tc>
          <w:tcPr>
            <w:tcW w:w="143" w:type="pct"/>
          </w:tcPr>
          <w:p w:rsidR="00DD6E5F" w:rsidRPr="009D22D9" w:rsidRDefault="00DD6E5F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D6E5F" w:rsidRPr="009D22D9" w:rsidRDefault="00DD6E5F" w:rsidP="00CB51C7">
            <w:pPr>
              <w:pStyle w:val="Textpoznpodarou"/>
              <w:jc w:val="both"/>
            </w:pPr>
            <w:r w:rsidRPr="009D22D9">
              <w:t xml:space="preserve">Pro </w:t>
            </w:r>
            <w:r w:rsidR="00D80370" w:rsidRPr="009D22D9">
              <w:t>tři</w:t>
            </w:r>
            <w:r w:rsidRPr="009D22D9">
              <w:t xml:space="preserve"> největší ekonomiky Unie </w:t>
            </w:r>
            <w:r w:rsidR="00EB187F" w:rsidRPr="009D22D9">
              <w:t>byly roky</w:t>
            </w:r>
            <w:r w:rsidR="00947751" w:rsidRPr="009D22D9">
              <w:t xml:space="preserve"> 1996</w:t>
            </w:r>
            <w:r w:rsidR="00EB187F" w:rsidRPr="009D22D9">
              <w:t xml:space="preserve"> až </w:t>
            </w:r>
            <w:r w:rsidR="00947751" w:rsidRPr="009D22D9">
              <w:t>2014 z hlediska vykázaného růstu</w:t>
            </w:r>
            <w:r w:rsidRPr="009D22D9">
              <w:t xml:space="preserve"> </w:t>
            </w:r>
            <w:r w:rsidR="00947751" w:rsidRPr="009D22D9">
              <w:t>pouze</w:t>
            </w:r>
            <w:r w:rsidR="003C326B" w:rsidRPr="009D22D9">
              <w:t xml:space="preserve"> </w:t>
            </w:r>
            <w:r w:rsidRPr="009D22D9">
              <w:t xml:space="preserve">průměrné až podprůměrné. </w:t>
            </w:r>
            <w:r w:rsidR="00947751" w:rsidRPr="009D22D9">
              <w:t xml:space="preserve">V porovnání s Českem </w:t>
            </w:r>
            <w:r w:rsidR="00EA3AB4" w:rsidRPr="009D22D9">
              <w:t>stoupl HDP méně ve Velké Británii (+48,3 %) i ve Francii (+34,3 %)</w:t>
            </w:r>
            <w:r w:rsidR="00E13500">
              <w:t>. Německý růst,</w:t>
            </w:r>
            <w:r w:rsidR="00EA3AB4" w:rsidRPr="009D22D9">
              <w:t xml:space="preserve"> </w:t>
            </w:r>
            <w:r w:rsidR="001C1F79" w:rsidRPr="009D22D9">
              <w:t>který</w:t>
            </w:r>
            <w:r w:rsidR="00EA3AB4" w:rsidRPr="009D22D9">
              <w:t xml:space="preserve"> </w:t>
            </w:r>
            <w:r w:rsidR="001C1F79" w:rsidRPr="009D22D9">
              <w:t>činil</w:t>
            </w:r>
            <w:r w:rsidR="00EA3AB4" w:rsidRPr="009D22D9">
              <w:t xml:space="preserve"> +</w:t>
            </w:r>
            <w:r w:rsidR="000C2605" w:rsidRPr="009D22D9">
              <w:t>27,6</w:t>
            </w:r>
            <w:r w:rsidR="00E13500">
              <w:t> %,</w:t>
            </w:r>
            <w:r w:rsidR="001C1F79" w:rsidRPr="009D22D9">
              <w:t xml:space="preserve"> byl proti </w:t>
            </w:r>
            <w:r w:rsidR="006C0701" w:rsidRPr="009D22D9">
              <w:t>tuzemskému</w:t>
            </w:r>
            <w:r w:rsidR="001C1F79" w:rsidRPr="009D22D9">
              <w:t xml:space="preserve"> dokonce jen poloviční.</w:t>
            </w:r>
          </w:p>
          <w:p w:rsidR="00DD6E5F" w:rsidRPr="009D22D9" w:rsidRDefault="00DD6E5F" w:rsidP="00CB51C7">
            <w:pPr>
              <w:pStyle w:val="Textpoznpodarou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CB51C7" w:rsidRPr="009D22D9" w:rsidTr="00663E0C">
        <w:tc>
          <w:tcPr>
            <w:tcW w:w="1054" w:type="pct"/>
          </w:tcPr>
          <w:p w:rsidR="00CB51C7" w:rsidRPr="009D22D9" w:rsidRDefault="0028523A" w:rsidP="00432B88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>Nadpoloviční většina r</w:t>
            </w:r>
            <w:r w:rsidR="00460D07" w:rsidRPr="009D22D9">
              <w:rPr>
                <w:sz w:val="16"/>
                <w:szCs w:val="16"/>
              </w:rPr>
              <w:t>ůstu české ekonomiky z let 1996–</w:t>
            </w:r>
            <w:r w:rsidRPr="009D22D9">
              <w:rPr>
                <w:sz w:val="16"/>
                <w:szCs w:val="16"/>
              </w:rPr>
              <w:t>2014 se odehrála v pěti letech konjunktury. Pro srovnání, v </w:t>
            </w:r>
            <w:proofErr w:type="spellStart"/>
            <w:r w:rsidRPr="009D22D9">
              <w:rPr>
                <w:sz w:val="16"/>
                <w:szCs w:val="16"/>
              </w:rPr>
              <w:t>eurozóně</w:t>
            </w:r>
            <w:proofErr w:type="spellEnd"/>
            <w:r w:rsidRPr="009D22D9">
              <w:rPr>
                <w:sz w:val="16"/>
                <w:szCs w:val="16"/>
              </w:rPr>
              <w:t xml:space="preserve"> a celé EU se toto období na c</w:t>
            </w:r>
            <w:r w:rsidR="00D068F8" w:rsidRPr="009D22D9">
              <w:rPr>
                <w:sz w:val="16"/>
                <w:szCs w:val="16"/>
              </w:rPr>
              <w:t>elkovém nárůstu HDP podílelo pouze</w:t>
            </w:r>
            <w:r w:rsidRPr="009D22D9">
              <w:rPr>
                <w:sz w:val="16"/>
                <w:szCs w:val="16"/>
              </w:rPr>
              <w:t xml:space="preserve"> třetinou</w:t>
            </w:r>
          </w:p>
        </w:tc>
        <w:tc>
          <w:tcPr>
            <w:tcW w:w="143" w:type="pct"/>
          </w:tcPr>
          <w:p w:rsidR="00CB51C7" w:rsidRPr="009D22D9" w:rsidRDefault="00CB51C7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B94E3A" w:rsidRPr="009D22D9" w:rsidRDefault="00116AA7" w:rsidP="00432B88">
            <w:pPr>
              <w:pStyle w:val="Textpoznpodarou"/>
              <w:jc w:val="both"/>
            </w:pPr>
            <w:r w:rsidRPr="009D22D9">
              <w:t>Během samotného</w:t>
            </w:r>
            <w:r w:rsidR="001A7550" w:rsidRPr="009D22D9">
              <w:t xml:space="preserve"> obd</w:t>
            </w:r>
            <w:r w:rsidR="008E0248" w:rsidRPr="009D22D9">
              <w:t xml:space="preserve">obí konjunktury, tedy let </w:t>
            </w:r>
            <w:r w:rsidR="00460D07" w:rsidRPr="009D22D9">
              <w:t>2004–</w:t>
            </w:r>
            <w:r w:rsidR="001A7550" w:rsidRPr="009D22D9">
              <w:t xml:space="preserve">2008, </w:t>
            </w:r>
            <w:r w:rsidR="000C1910" w:rsidRPr="009D22D9">
              <w:t xml:space="preserve">posílil </w:t>
            </w:r>
            <w:r w:rsidR="001A7550" w:rsidRPr="009D22D9">
              <w:t>HDP</w:t>
            </w:r>
            <w:r w:rsidR="0032486E" w:rsidRPr="009D22D9">
              <w:t xml:space="preserve"> v</w:t>
            </w:r>
            <w:r w:rsidR="00E976D8" w:rsidRPr="009D22D9">
              <w:t> </w:t>
            </w:r>
            <w:r w:rsidR="0032486E" w:rsidRPr="009D22D9">
              <w:t>ČR</w:t>
            </w:r>
            <w:r w:rsidR="00E976D8" w:rsidRPr="009D22D9">
              <w:t xml:space="preserve"> velmi výrazně,</w:t>
            </w:r>
            <w:r w:rsidR="001A7550" w:rsidRPr="009D22D9">
              <w:t xml:space="preserve"> celk</w:t>
            </w:r>
            <w:r w:rsidR="0074465D" w:rsidRPr="009D22D9">
              <w:t>ově</w:t>
            </w:r>
            <w:r w:rsidR="001A7550" w:rsidRPr="009D22D9">
              <w:t xml:space="preserve"> o tři desetiny (+29,4 %). </w:t>
            </w:r>
            <w:r w:rsidR="008E0248" w:rsidRPr="009D22D9">
              <w:t>Z </w:t>
            </w:r>
            <w:r w:rsidR="00D068F8" w:rsidRPr="009D22D9">
              <w:t>toh</w:t>
            </w:r>
            <w:r w:rsidR="008E0248" w:rsidRPr="009D22D9">
              <w:t>o je patrné</w:t>
            </w:r>
            <w:r w:rsidR="001A7550" w:rsidRPr="009D22D9">
              <w:t xml:space="preserve">, jak </w:t>
            </w:r>
            <w:r w:rsidR="007D4C44" w:rsidRPr="009D22D9">
              <w:t>podstat</w:t>
            </w:r>
            <w:r w:rsidR="00720A4E" w:rsidRPr="009D22D9">
              <w:t>né</w:t>
            </w:r>
            <w:r w:rsidR="001A7550" w:rsidRPr="009D22D9">
              <w:t xml:space="preserve"> byly</w:t>
            </w:r>
            <w:r w:rsidR="00E976D8" w:rsidRPr="009D22D9">
              <w:t> </w:t>
            </w:r>
            <w:r w:rsidR="00B94E3A" w:rsidRPr="009D22D9">
              <w:t>uvedené</w:t>
            </w:r>
            <w:r w:rsidR="001A7550" w:rsidRPr="009D22D9">
              <w:t xml:space="preserve"> roky pro</w:t>
            </w:r>
            <w:r w:rsidR="0074465D" w:rsidRPr="009D22D9">
              <w:t xml:space="preserve"> tuzemský</w:t>
            </w:r>
            <w:r w:rsidR="001A7550" w:rsidRPr="009D22D9">
              <w:t xml:space="preserve"> dlouhodobý </w:t>
            </w:r>
            <w:r w:rsidR="00E2670E" w:rsidRPr="009D22D9">
              <w:t>ekonomický roz</w:t>
            </w:r>
            <w:r w:rsidR="00D068F8" w:rsidRPr="009D22D9">
              <w:t>voj</w:t>
            </w:r>
            <w:r w:rsidR="001A7550" w:rsidRPr="009D22D9">
              <w:t xml:space="preserve">. Vždyť právě během těchto pěti let se odehrála </w:t>
            </w:r>
            <w:r w:rsidR="00E2670E" w:rsidRPr="009D22D9">
              <w:t>více než polovina celkového</w:t>
            </w:r>
            <w:r w:rsidR="00F30470" w:rsidRPr="009D22D9">
              <w:t xml:space="preserve"> procentuálního</w:t>
            </w:r>
            <w:r w:rsidR="00C5564D" w:rsidRPr="009D22D9">
              <w:t xml:space="preserve"> růstu od roku 1995.</w:t>
            </w:r>
          </w:p>
          <w:p w:rsidR="00B94E3A" w:rsidRPr="009D22D9" w:rsidRDefault="00B94E3A" w:rsidP="00432B88">
            <w:pPr>
              <w:pStyle w:val="Textpoznpodarou"/>
              <w:jc w:val="both"/>
              <w:rPr>
                <w:sz w:val="16"/>
                <w:szCs w:val="16"/>
              </w:rPr>
            </w:pPr>
          </w:p>
          <w:p w:rsidR="00CB51C7" w:rsidRPr="009D22D9" w:rsidRDefault="001A7550" w:rsidP="00432B88">
            <w:pPr>
              <w:pStyle w:val="Textpoznpodarou"/>
              <w:jc w:val="both"/>
              <w:rPr>
                <w:spacing w:val="-2"/>
              </w:rPr>
            </w:pPr>
            <w:r w:rsidRPr="009D22D9">
              <w:rPr>
                <w:spacing w:val="-2"/>
              </w:rPr>
              <w:t xml:space="preserve">Také z unijního srovnání je </w:t>
            </w:r>
            <w:r w:rsidR="00116AA7" w:rsidRPr="009D22D9">
              <w:rPr>
                <w:spacing w:val="-2"/>
              </w:rPr>
              <w:t>patrné, že české ekonomice se v </w:t>
            </w:r>
            <w:r w:rsidRPr="009D22D9">
              <w:rPr>
                <w:spacing w:val="-2"/>
              </w:rPr>
              <w:t>období</w:t>
            </w:r>
            <w:r w:rsidR="00116AA7" w:rsidRPr="009D22D9">
              <w:rPr>
                <w:spacing w:val="-2"/>
              </w:rPr>
              <w:t xml:space="preserve"> 2004 až 2008</w:t>
            </w:r>
            <w:r w:rsidRPr="009D22D9">
              <w:rPr>
                <w:spacing w:val="-2"/>
              </w:rPr>
              <w:t xml:space="preserve"> velmi dařilo. </w:t>
            </w:r>
            <w:r w:rsidR="00F87A39" w:rsidRPr="009D22D9">
              <w:rPr>
                <w:spacing w:val="-2"/>
              </w:rPr>
              <w:t>E</w:t>
            </w:r>
            <w:r w:rsidRPr="009D22D9">
              <w:rPr>
                <w:spacing w:val="-2"/>
              </w:rPr>
              <w:t>konomiku ČR</w:t>
            </w:r>
            <w:r w:rsidR="008E0248" w:rsidRPr="009D22D9">
              <w:rPr>
                <w:spacing w:val="-2"/>
              </w:rPr>
              <w:t xml:space="preserve"> co do nárůstu HDP</w:t>
            </w:r>
            <w:r w:rsidRPr="009D22D9">
              <w:rPr>
                <w:spacing w:val="-2"/>
              </w:rPr>
              <w:t xml:space="preserve"> </w:t>
            </w:r>
            <w:r w:rsidR="00F87A39" w:rsidRPr="009D22D9">
              <w:rPr>
                <w:spacing w:val="-2"/>
              </w:rPr>
              <w:t xml:space="preserve">předehnalo </w:t>
            </w:r>
            <w:r w:rsidRPr="009D22D9">
              <w:rPr>
                <w:spacing w:val="-2"/>
              </w:rPr>
              <w:t>jen Lotyšsko</w:t>
            </w:r>
            <w:r w:rsidR="00F87A39" w:rsidRPr="009D22D9">
              <w:rPr>
                <w:spacing w:val="-2"/>
              </w:rPr>
              <w:t xml:space="preserve"> (+42,3</w:t>
            </w:r>
            <w:r w:rsidRPr="009D22D9">
              <w:rPr>
                <w:spacing w:val="-2"/>
              </w:rPr>
              <w:t xml:space="preserve"> %), Slovensko (+41,7 %), Rumunsko (41,4 %),</w:t>
            </w:r>
            <w:r w:rsidR="00F87A39" w:rsidRPr="009D22D9">
              <w:rPr>
                <w:spacing w:val="-2"/>
              </w:rPr>
              <w:t xml:space="preserve"> Litva (+40,6 %), Bulharsko (+38,8</w:t>
            </w:r>
            <w:r w:rsidRPr="009D22D9">
              <w:rPr>
                <w:spacing w:val="-2"/>
              </w:rPr>
              <w:t xml:space="preserve"> %) a</w:t>
            </w:r>
            <w:r w:rsidR="00F87A39" w:rsidRPr="009D22D9">
              <w:rPr>
                <w:spacing w:val="-2"/>
              </w:rPr>
              <w:t> </w:t>
            </w:r>
            <w:r w:rsidRPr="009D22D9">
              <w:rPr>
                <w:spacing w:val="-2"/>
              </w:rPr>
              <w:t>Estonsko (</w:t>
            </w:r>
            <w:r w:rsidR="00F87A39" w:rsidRPr="009D22D9">
              <w:rPr>
                <w:spacing w:val="-2"/>
              </w:rPr>
              <w:t>+30,6</w:t>
            </w:r>
            <w:r w:rsidR="00B94E3A" w:rsidRPr="009D22D9">
              <w:rPr>
                <w:spacing w:val="-2"/>
              </w:rPr>
              <w:t xml:space="preserve"> %). Jednalo se o</w:t>
            </w:r>
            <w:r w:rsidR="00336297" w:rsidRPr="009D22D9">
              <w:rPr>
                <w:spacing w:val="-2"/>
              </w:rPr>
              <w:t> </w:t>
            </w:r>
            <w:r w:rsidR="00B94E3A" w:rsidRPr="009D22D9">
              <w:rPr>
                <w:spacing w:val="-2"/>
              </w:rPr>
              <w:t>polovinu z</w:t>
            </w:r>
            <w:r w:rsidR="00116AA7" w:rsidRPr="009D22D9">
              <w:rPr>
                <w:spacing w:val="-2"/>
              </w:rPr>
              <w:t>e souboru</w:t>
            </w:r>
            <w:r w:rsidR="00720A4E" w:rsidRPr="009D22D9">
              <w:rPr>
                <w:spacing w:val="-2"/>
              </w:rPr>
              <w:t xml:space="preserve"> tzv.</w:t>
            </w:r>
            <w:r w:rsidR="0074465D" w:rsidRPr="009D22D9">
              <w:rPr>
                <w:spacing w:val="-2"/>
              </w:rPr>
              <w:t xml:space="preserve"> nových zemí EU</w:t>
            </w:r>
            <w:r w:rsidR="00336297" w:rsidRPr="009D22D9">
              <w:rPr>
                <w:spacing w:val="-2"/>
              </w:rPr>
              <w:t xml:space="preserve"> (těch, které vstoupily do EU v roce 2004 a později)</w:t>
            </w:r>
            <w:r w:rsidR="00FE355D">
              <w:rPr>
                <w:spacing w:val="-2"/>
              </w:rPr>
              <w:t>. V porovnání s</w:t>
            </w:r>
            <w:r w:rsidR="0074465D" w:rsidRPr="009D22D9">
              <w:rPr>
                <w:spacing w:val="-2"/>
              </w:rPr>
              <w:t xml:space="preserve"> druhou</w:t>
            </w:r>
            <w:r w:rsidR="00116AA7" w:rsidRPr="009D22D9">
              <w:rPr>
                <w:spacing w:val="-2"/>
              </w:rPr>
              <w:t xml:space="preserve"> polovinou</w:t>
            </w:r>
            <w:r w:rsidR="0074465D" w:rsidRPr="009D22D9">
              <w:rPr>
                <w:spacing w:val="-2"/>
              </w:rPr>
              <w:t xml:space="preserve"> – Polskem (+28,8 %), Slovinskem (+26,7 %), Kyprem (+23,2 %), Chorvatskem (+21,9 %), Maďarskem</w:t>
            </w:r>
            <w:r w:rsidR="00F87A39" w:rsidRPr="009D22D9">
              <w:rPr>
                <w:spacing w:val="-2"/>
              </w:rPr>
              <w:t xml:space="preserve"> (+15,1</w:t>
            </w:r>
            <w:r w:rsidR="0074465D" w:rsidRPr="009D22D9">
              <w:rPr>
                <w:spacing w:val="-2"/>
              </w:rPr>
              <w:t xml:space="preserve"> %) a</w:t>
            </w:r>
            <w:r w:rsidR="00336297" w:rsidRPr="009D22D9">
              <w:rPr>
                <w:spacing w:val="-2"/>
              </w:rPr>
              <w:t> </w:t>
            </w:r>
            <w:r w:rsidR="0074465D" w:rsidRPr="009D22D9">
              <w:rPr>
                <w:spacing w:val="-2"/>
              </w:rPr>
              <w:t xml:space="preserve">Maltou (+14,1 %) – </w:t>
            </w:r>
            <w:r w:rsidR="00FE355D">
              <w:rPr>
                <w:spacing w:val="-2"/>
              </w:rPr>
              <w:t xml:space="preserve">však </w:t>
            </w:r>
            <w:r w:rsidR="0074465D" w:rsidRPr="009D22D9">
              <w:rPr>
                <w:spacing w:val="-2"/>
              </w:rPr>
              <w:t>byl přírůstek výkonu české ekonomiky</w:t>
            </w:r>
            <w:r w:rsidR="00FE355D">
              <w:rPr>
                <w:spacing w:val="-2"/>
              </w:rPr>
              <w:t xml:space="preserve"> </w:t>
            </w:r>
            <w:r w:rsidR="0074465D" w:rsidRPr="009D22D9">
              <w:rPr>
                <w:spacing w:val="-2"/>
              </w:rPr>
              <w:t>markantnější.</w:t>
            </w:r>
          </w:p>
          <w:p w:rsidR="00CB51C7" w:rsidRPr="009D22D9" w:rsidRDefault="00CB51C7" w:rsidP="00432B88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3740C4" w:rsidRPr="009D22D9" w:rsidTr="00663E0C">
        <w:tc>
          <w:tcPr>
            <w:tcW w:w="1054" w:type="pct"/>
          </w:tcPr>
          <w:p w:rsidR="003740C4" w:rsidRPr="009D22D9" w:rsidRDefault="006839B1" w:rsidP="001F5422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 xml:space="preserve">Příčinou jen průměrného hospodářského </w:t>
            </w:r>
            <w:r w:rsidR="00586620" w:rsidRPr="009D22D9">
              <w:rPr>
                <w:sz w:val="16"/>
                <w:szCs w:val="16"/>
              </w:rPr>
              <w:t xml:space="preserve">vývoje </w:t>
            </w:r>
            <w:r w:rsidR="001F5422" w:rsidRPr="009D22D9">
              <w:rPr>
                <w:sz w:val="16"/>
                <w:szCs w:val="16"/>
              </w:rPr>
              <w:t>v posledních šesti letech</w:t>
            </w:r>
            <w:r w:rsidR="00586620" w:rsidRPr="009D22D9">
              <w:rPr>
                <w:sz w:val="16"/>
                <w:szCs w:val="16"/>
              </w:rPr>
              <w:t xml:space="preserve"> byla</w:t>
            </w:r>
            <w:r w:rsidRPr="009D22D9">
              <w:rPr>
                <w:sz w:val="16"/>
                <w:szCs w:val="16"/>
              </w:rPr>
              <w:t xml:space="preserve"> především zdlouhavá recese</w:t>
            </w:r>
            <w:r w:rsidR="00116AA7" w:rsidRPr="009D22D9">
              <w:rPr>
                <w:sz w:val="16"/>
                <w:szCs w:val="16"/>
              </w:rPr>
              <w:t xml:space="preserve">. </w:t>
            </w:r>
            <w:r w:rsidR="001F5422" w:rsidRPr="009D22D9">
              <w:rPr>
                <w:sz w:val="16"/>
                <w:szCs w:val="16"/>
              </w:rPr>
              <w:t>Poukazují na to</w:t>
            </w:r>
            <w:r w:rsidR="00116AA7" w:rsidRPr="009D22D9">
              <w:rPr>
                <w:sz w:val="16"/>
                <w:szCs w:val="16"/>
              </w:rPr>
              <w:t xml:space="preserve"> </w:t>
            </w:r>
            <w:r w:rsidR="000A5514">
              <w:rPr>
                <w:sz w:val="16"/>
                <w:szCs w:val="16"/>
              </w:rPr>
              <w:t xml:space="preserve">nejen </w:t>
            </w:r>
            <w:r w:rsidR="00116AA7" w:rsidRPr="009D22D9">
              <w:rPr>
                <w:sz w:val="16"/>
                <w:szCs w:val="16"/>
              </w:rPr>
              <w:t>údaje za</w:t>
            </w:r>
            <w:r w:rsidR="00586620" w:rsidRPr="009D22D9">
              <w:rPr>
                <w:sz w:val="16"/>
                <w:szCs w:val="16"/>
              </w:rPr>
              <w:t> </w:t>
            </w:r>
            <w:r w:rsidR="00116AA7" w:rsidRPr="009D22D9">
              <w:rPr>
                <w:sz w:val="16"/>
                <w:szCs w:val="16"/>
              </w:rPr>
              <w:t>jednotlivé země, …</w:t>
            </w:r>
          </w:p>
        </w:tc>
        <w:tc>
          <w:tcPr>
            <w:tcW w:w="143" w:type="pct"/>
          </w:tcPr>
          <w:p w:rsidR="003740C4" w:rsidRPr="009D22D9" w:rsidRDefault="003740C4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CA4BAD" w:rsidRPr="009D22D9" w:rsidRDefault="00460D07" w:rsidP="00432B88">
            <w:pPr>
              <w:pStyle w:val="Textpoznpodarou"/>
              <w:jc w:val="both"/>
            </w:pPr>
            <w:r w:rsidRPr="009D22D9">
              <w:t xml:space="preserve">Pokud se zaměříme na </w:t>
            </w:r>
            <w:r w:rsidR="0032486E" w:rsidRPr="009D22D9">
              <w:t>roky</w:t>
            </w:r>
            <w:r w:rsidR="00B94E3A" w:rsidRPr="009D22D9">
              <w:t xml:space="preserve"> 2009 </w:t>
            </w:r>
            <w:r w:rsidR="0032486E" w:rsidRPr="009D22D9">
              <w:t xml:space="preserve">až </w:t>
            </w:r>
            <w:r w:rsidR="00B94E3A" w:rsidRPr="009D22D9">
              <w:t>2014</w:t>
            </w:r>
            <w:r w:rsidR="003740C4" w:rsidRPr="009D22D9">
              <w:t>, kdy se většina zemí EU potýkala s</w:t>
            </w:r>
            <w:r w:rsidR="0028523A" w:rsidRPr="009D22D9">
              <w:t xml:space="preserve"> přímými a nepřímými </w:t>
            </w:r>
            <w:r w:rsidR="003740C4" w:rsidRPr="009D22D9">
              <w:t xml:space="preserve">důsledky </w:t>
            </w:r>
            <w:r w:rsidR="0028523A" w:rsidRPr="009D22D9">
              <w:t>krize finančního systému</w:t>
            </w:r>
            <w:r w:rsidR="00720A4E" w:rsidRPr="009D22D9">
              <w:t xml:space="preserve"> USA, dluhovými problémy </w:t>
            </w:r>
            <w:proofErr w:type="spellStart"/>
            <w:r w:rsidR="00720A4E" w:rsidRPr="009D22D9">
              <w:t>eurozóny</w:t>
            </w:r>
            <w:proofErr w:type="spellEnd"/>
            <w:r w:rsidR="00720A4E" w:rsidRPr="009D22D9">
              <w:t xml:space="preserve"> a</w:t>
            </w:r>
            <w:r w:rsidR="0034491A" w:rsidRPr="009D22D9">
              <w:t xml:space="preserve"> více či méně</w:t>
            </w:r>
            <w:r w:rsidR="00720A4E" w:rsidRPr="009D22D9">
              <w:t xml:space="preserve"> reálnou hrozbou deflace,</w:t>
            </w:r>
            <w:r w:rsidR="003740C4" w:rsidRPr="009D22D9">
              <w:t xml:space="preserve"> pak se ČR co do </w:t>
            </w:r>
            <w:r w:rsidR="006839B1" w:rsidRPr="009D22D9">
              <w:t xml:space="preserve">celkové </w:t>
            </w:r>
            <w:r w:rsidR="003740C4" w:rsidRPr="009D22D9">
              <w:t>změny HDP propadá mezi</w:t>
            </w:r>
            <w:r w:rsidR="001A7550" w:rsidRPr="009D22D9">
              <w:t xml:space="preserve"> „šedý</w:t>
            </w:r>
            <w:r w:rsidR="003740C4" w:rsidRPr="009D22D9">
              <w:t xml:space="preserve"> průměr</w:t>
            </w:r>
            <w:r w:rsidR="001A7550" w:rsidRPr="009D22D9">
              <w:t>“</w:t>
            </w:r>
            <w:r w:rsidR="003740C4" w:rsidRPr="009D22D9">
              <w:t xml:space="preserve"> (-0,2 %, patnácté místo). Důvodem</w:t>
            </w:r>
            <w:r w:rsidR="0028523A" w:rsidRPr="009D22D9">
              <w:t xml:space="preserve"> </w:t>
            </w:r>
            <w:r w:rsidR="006839B1" w:rsidRPr="009D22D9">
              <w:t>přitom</w:t>
            </w:r>
            <w:r w:rsidR="003740C4" w:rsidRPr="009D22D9">
              <w:t xml:space="preserve"> nebyla ani tak hloubka poklesu v roce 2009 (</w:t>
            </w:r>
            <w:r w:rsidR="00C5564D" w:rsidRPr="009D22D9">
              <w:t>výraznější</w:t>
            </w:r>
            <w:r w:rsidR="003740C4" w:rsidRPr="009D22D9">
              <w:t xml:space="preserve"> </w:t>
            </w:r>
            <w:r w:rsidR="00B94E3A" w:rsidRPr="009D22D9">
              <w:t xml:space="preserve">totiž </w:t>
            </w:r>
            <w:r w:rsidR="003740C4" w:rsidRPr="009D22D9">
              <w:rPr>
                <w:spacing w:val="-4"/>
              </w:rPr>
              <w:t xml:space="preserve">zaznamenalo hned </w:t>
            </w:r>
            <w:r w:rsidR="009D4FC3" w:rsidRPr="009D22D9">
              <w:rPr>
                <w:spacing w:val="-4"/>
              </w:rPr>
              <w:t>patnáct</w:t>
            </w:r>
            <w:r w:rsidR="003740C4" w:rsidRPr="009D22D9">
              <w:rPr>
                <w:spacing w:val="-4"/>
              </w:rPr>
              <w:t xml:space="preserve"> zemí EU, </w:t>
            </w:r>
            <w:r w:rsidR="00F60F7A" w:rsidRPr="009D22D9">
              <w:rPr>
                <w:spacing w:val="-4"/>
              </w:rPr>
              <w:t>rozměr propadu pobaltských zemí byl dokonce</w:t>
            </w:r>
            <w:r w:rsidR="00CA4BAD" w:rsidRPr="009D22D9">
              <w:rPr>
                <w:spacing w:val="-4"/>
              </w:rPr>
              <w:t> </w:t>
            </w:r>
            <w:r w:rsidR="00F60F7A" w:rsidRPr="009D22D9">
              <w:rPr>
                <w:spacing w:val="-4"/>
              </w:rPr>
              <w:t>trojnásobný</w:t>
            </w:r>
            <w:r w:rsidR="003740C4" w:rsidRPr="009D22D9">
              <w:rPr>
                <w:spacing w:val="-4"/>
              </w:rPr>
              <w:t xml:space="preserve">), ale spíše </w:t>
            </w:r>
            <w:r w:rsidR="0034491A" w:rsidRPr="009D22D9">
              <w:rPr>
                <w:spacing w:val="-4"/>
              </w:rPr>
              <w:t>zdlouhavá</w:t>
            </w:r>
            <w:r w:rsidR="003740C4" w:rsidRPr="009D22D9">
              <w:rPr>
                <w:spacing w:val="-4"/>
              </w:rPr>
              <w:t xml:space="preserve"> recese</w:t>
            </w:r>
            <w:r w:rsidR="0034491A" w:rsidRPr="009D22D9">
              <w:rPr>
                <w:spacing w:val="-4"/>
              </w:rPr>
              <w:t xml:space="preserve"> v letech</w:t>
            </w:r>
            <w:r w:rsidR="003740C4" w:rsidRPr="009D22D9">
              <w:rPr>
                <w:spacing w:val="-4"/>
              </w:rPr>
              <w:t xml:space="preserve"> 2012 a 2013. V obou </w:t>
            </w:r>
            <w:r w:rsidR="0034491A" w:rsidRPr="009D22D9">
              <w:rPr>
                <w:spacing w:val="-4"/>
              </w:rPr>
              <w:t>z</w:t>
            </w:r>
            <w:r w:rsidR="006839B1" w:rsidRPr="009D22D9">
              <w:rPr>
                <w:spacing w:val="-4"/>
              </w:rPr>
              <w:t> </w:t>
            </w:r>
            <w:r w:rsidR="0034491A" w:rsidRPr="009D22D9">
              <w:rPr>
                <w:spacing w:val="-4"/>
              </w:rPr>
              <w:t>nich</w:t>
            </w:r>
            <w:r w:rsidR="003740C4" w:rsidRPr="009D22D9">
              <w:rPr>
                <w:spacing w:val="-4"/>
              </w:rPr>
              <w:t xml:space="preserve"> se totiž HDP kromě tuzemska </w:t>
            </w:r>
            <w:r w:rsidR="00336297" w:rsidRPr="009D22D9">
              <w:rPr>
                <w:spacing w:val="-4"/>
              </w:rPr>
              <w:t>snížil</w:t>
            </w:r>
            <w:r w:rsidR="003740C4" w:rsidRPr="009D22D9">
              <w:rPr>
                <w:spacing w:val="-4"/>
              </w:rPr>
              <w:t xml:space="preserve"> už jen v dalších </w:t>
            </w:r>
            <w:r w:rsidR="009D4FC3" w:rsidRPr="009D22D9">
              <w:rPr>
                <w:spacing w:val="-4"/>
              </w:rPr>
              <w:t>deseti</w:t>
            </w:r>
            <w:r w:rsidR="003740C4" w:rsidRPr="009D22D9">
              <w:rPr>
                <w:spacing w:val="-4"/>
              </w:rPr>
              <w:t xml:space="preserve"> zemích</w:t>
            </w:r>
            <w:r w:rsidR="0034491A" w:rsidRPr="009D22D9">
              <w:rPr>
                <w:spacing w:val="-4"/>
              </w:rPr>
              <w:t xml:space="preserve"> Unie.</w:t>
            </w:r>
          </w:p>
          <w:p w:rsidR="003740C4" w:rsidRPr="009D22D9" w:rsidRDefault="003740C4" w:rsidP="00432B88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116AA7" w:rsidRPr="009D22D9" w:rsidTr="00663E0C">
        <w:tc>
          <w:tcPr>
            <w:tcW w:w="1054" w:type="pct"/>
          </w:tcPr>
          <w:p w:rsidR="00116AA7" w:rsidRPr="009D22D9" w:rsidRDefault="00116AA7" w:rsidP="00116AA7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>…ale také</w:t>
            </w:r>
            <w:r w:rsidR="004F2C30" w:rsidRPr="009D22D9">
              <w:rPr>
                <w:sz w:val="16"/>
                <w:szCs w:val="16"/>
              </w:rPr>
              <w:t xml:space="preserve"> data</w:t>
            </w:r>
            <w:r w:rsidRPr="009D22D9">
              <w:rPr>
                <w:sz w:val="16"/>
                <w:szCs w:val="16"/>
              </w:rPr>
              <w:t xml:space="preserve"> za celou </w:t>
            </w:r>
            <w:proofErr w:type="spellStart"/>
            <w:r w:rsidRPr="009D22D9">
              <w:rPr>
                <w:sz w:val="16"/>
                <w:szCs w:val="16"/>
              </w:rPr>
              <w:t>eurozónu</w:t>
            </w:r>
            <w:proofErr w:type="spellEnd"/>
            <w:r w:rsidRPr="009D22D9">
              <w:rPr>
                <w:sz w:val="16"/>
                <w:szCs w:val="16"/>
              </w:rPr>
              <w:t xml:space="preserve"> a EU</w:t>
            </w:r>
          </w:p>
        </w:tc>
        <w:tc>
          <w:tcPr>
            <w:tcW w:w="143" w:type="pct"/>
          </w:tcPr>
          <w:p w:rsidR="00116AA7" w:rsidRPr="009D22D9" w:rsidRDefault="00116AA7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16AA7" w:rsidRPr="009D22D9" w:rsidRDefault="00E2670E" w:rsidP="007C7F73">
            <w:pPr>
              <w:pStyle w:val="Textpoznpodarou"/>
              <w:jc w:val="both"/>
              <w:rPr>
                <w:spacing w:val="-6"/>
              </w:rPr>
            </w:pPr>
            <w:r w:rsidRPr="009D22D9">
              <w:rPr>
                <w:spacing w:val="-6"/>
              </w:rPr>
              <w:t>Ž</w:t>
            </w:r>
            <w:r w:rsidR="00116AA7" w:rsidRPr="009D22D9">
              <w:rPr>
                <w:spacing w:val="-6"/>
              </w:rPr>
              <w:t>e recese v ČR v letech 2012 a 2</w:t>
            </w:r>
            <w:r w:rsidR="008E0248" w:rsidRPr="009D22D9">
              <w:rPr>
                <w:spacing w:val="-6"/>
              </w:rPr>
              <w:t>013 byla v unijním kontextu spíš</w:t>
            </w:r>
            <w:r w:rsidR="00116AA7" w:rsidRPr="009D22D9">
              <w:rPr>
                <w:spacing w:val="-6"/>
              </w:rPr>
              <w:t xml:space="preserve">e mimořádná, dokládají i údaje za celou </w:t>
            </w:r>
            <w:proofErr w:type="spellStart"/>
            <w:r w:rsidR="00116AA7" w:rsidRPr="009D22D9">
              <w:rPr>
                <w:spacing w:val="-6"/>
              </w:rPr>
              <w:t>eurozónu</w:t>
            </w:r>
            <w:proofErr w:type="spellEnd"/>
            <w:r w:rsidR="00116AA7" w:rsidRPr="009D22D9">
              <w:rPr>
                <w:spacing w:val="-6"/>
              </w:rPr>
              <w:t xml:space="preserve"> a EU. Jestliže v ČR se HDP </w:t>
            </w:r>
            <w:r w:rsidR="00663E0C" w:rsidRPr="009D22D9">
              <w:rPr>
                <w:spacing w:val="-6"/>
              </w:rPr>
              <w:t>celkově snížil během let 2012–</w:t>
            </w:r>
            <w:r w:rsidR="00116AA7" w:rsidRPr="009D22D9">
              <w:rPr>
                <w:spacing w:val="-6"/>
              </w:rPr>
              <w:t>2013 o již zmíněných 1,4 %, v </w:t>
            </w:r>
            <w:proofErr w:type="spellStart"/>
            <w:r w:rsidR="00116AA7" w:rsidRPr="009D22D9">
              <w:rPr>
                <w:spacing w:val="-6"/>
              </w:rPr>
              <w:t>eurozóně</w:t>
            </w:r>
            <w:proofErr w:type="spellEnd"/>
            <w:r w:rsidR="009D4FC3" w:rsidRPr="009D22D9">
              <w:rPr>
                <w:spacing w:val="-6"/>
              </w:rPr>
              <w:t xml:space="preserve"> o 1,1</w:t>
            </w:r>
            <w:r w:rsidR="00116AA7" w:rsidRPr="009D22D9">
              <w:rPr>
                <w:spacing w:val="-6"/>
              </w:rPr>
              <w:t xml:space="preserve"> % a v</w:t>
            </w:r>
            <w:r w:rsidR="00663E0C" w:rsidRPr="009D22D9">
              <w:rPr>
                <w:spacing w:val="-6"/>
              </w:rPr>
              <w:t> </w:t>
            </w:r>
            <w:r w:rsidR="00116AA7" w:rsidRPr="009D22D9">
              <w:rPr>
                <w:spacing w:val="-6"/>
              </w:rPr>
              <w:t>EU</w:t>
            </w:r>
            <w:r w:rsidR="00663E0C" w:rsidRPr="009D22D9">
              <w:rPr>
                <w:spacing w:val="-6"/>
              </w:rPr>
              <w:t xml:space="preserve"> </w:t>
            </w:r>
            <w:r w:rsidR="00116AA7" w:rsidRPr="009D22D9">
              <w:rPr>
                <w:spacing w:val="-6"/>
              </w:rPr>
              <w:t>o pouhá</w:t>
            </w:r>
            <w:r w:rsidR="009D4FC3" w:rsidRPr="009D22D9">
              <w:rPr>
                <w:spacing w:val="-6"/>
              </w:rPr>
              <w:t xml:space="preserve"> 0,3</w:t>
            </w:r>
            <w:r w:rsidR="00116AA7" w:rsidRPr="009D22D9">
              <w:rPr>
                <w:spacing w:val="-6"/>
              </w:rPr>
              <w:t xml:space="preserve"> %.</w:t>
            </w:r>
          </w:p>
        </w:tc>
      </w:tr>
    </w:tbl>
    <w:p w:rsidR="00AA44E3" w:rsidRDefault="00AA44E3" w:rsidP="00663E0C">
      <w:pPr>
        <w:rPr>
          <w:sz w:val="16"/>
          <w:szCs w:val="16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3"/>
        <w:gridCol w:w="4245"/>
        <w:gridCol w:w="1001"/>
        <w:gridCol w:w="3925"/>
      </w:tblGrid>
      <w:tr w:rsidR="00663E0C" w:rsidRPr="009D22D9" w:rsidTr="002D2A39">
        <w:tc>
          <w:tcPr>
            <w:tcW w:w="345" w:type="pct"/>
          </w:tcPr>
          <w:p w:rsidR="00663E0C" w:rsidRPr="009D22D9" w:rsidRDefault="00663E0C" w:rsidP="00432B88">
            <w:pPr>
              <w:pStyle w:val="Textpoznpodarou"/>
            </w:pPr>
            <w:r w:rsidRPr="009D22D9">
              <w:t>Graf č. 5</w:t>
            </w:r>
          </w:p>
        </w:tc>
        <w:tc>
          <w:tcPr>
            <w:tcW w:w="2156" w:type="pct"/>
          </w:tcPr>
          <w:p w:rsidR="00663E0C" w:rsidRPr="009D22D9" w:rsidRDefault="002D2A39" w:rsidP="002D2A39">
            <w:pPr>
              <w:pStyle w:val="Textpoznpodarou"/>
              <w:rPr>
                <w:spacing w:val="-6"/>
              </w:rPr>
            </w:pPr>
            <w:r w:rsidRPr="009D22D9">
              <w:rPr>
                <w:b/>
                <w:spacing w:val="-6"/>
              </w:rPr>
              <w:t>Dlouhodobý vývoj HDP v ČR, EU,</w:t>
            </w:r>
            <w:r w:rsidR="007F7B78" w:rsidRPr="009D22D9">
              <w:rPr>
                <w:b/>
                <w:spacing w:val="-6"/>
              </w:rPr>
              <w:t xml:space="preserve"> na Islandu,</w:t>
            </w:r>
            <w:r w:rsidRPr="009D22D9">
              <w:rPr>
                <w:b/>
                <w:spacing w:val="-6"/>
              </w:rPr>
              <w:t xml:space="preserve"> </w:t>
            </w:r>
            <w:r w:rsidR="007F7B78" w:rsidRPr="009D22D9">
              <w:rPr>
                <w:b/>
                <w:spacing w:val="-2"/>
              </w:rPr>
              <w:t xml:space="preserve">v </w:t>
            </w:r>
            <w:r w:rsidRPr="009D22D9">
              <w:rPr>
                <w:b/>
                <w:spacing w:val="-2"/>
              </w:rPr>
              <w:t>Norsku a</w:t>
            </w:r>
            <w:r w:rsidR="00453072" w:rsidRPr="009D22D9">
              <w:rPr>
                <w:b/>
                <w:spacing w:val="-2"/>
              </w:rPr>
              <w:t xml:space="preserve"> ve</w:t>
            </w:r>
            <w:r w:rsidRPr="009D22D9">
              <w:rPr>
                <w:b/>
                <w:spacing w:val="-2"/>
              </w:rPr>
              <w:t xml:space="preserve"> Švýcarsku </w:t>
            </w:r>
            <w:r w:rsidR="00663E0C" w:rsidRPr="009D22D9">
              <w:rPr>
                <w:spacing w:val="-2"/>
              </w:rPr>
              <w:t>(1995=100, reálně)</w:t>
            </w:r>
          </w:p>
        </w:tc>
        <w:tc>
          <w:tcPr>
            <w:tcW w:w="507" w:type="pct"/>
          </w:tcPr>
          <w:p w:rsidR="00663E0C" w:rsidRPr="009D22D9" w:rsidRDefault="00663E0C" w:rsidP="00432B88">
            <w:pPr>
              <w:pStyle w:val="Textpoznpodarou"/>
            </w:pPr>
            <w:r w:rsidRPr="009D22D9">
              <w:t>Graf č. 6</w:t>
            </w:r>
          </w:p>
        </w:tc>
        <w:tc>
          <w:tcPr>
            <w:tcW w:w="1993" w:type="pct"/>
          </w:tcPr>
          <w:p w:rsidR="00663E0C" w:rsidRPr="009D22D9" w:rsidRDefault="00663E0C" w:rsidP="00432B88">
            <w:pPr>
              <w:pStyle w:val="Textpoznpodarou"/>
              <w:rPr>
                <w:b/>
              </w:rPr>
            </w:pPr>
            <w:r w:rsidRPr="009D22D9">
              <w:rPr>
                <w:b/>
              </w:rPr>
              <w:t>HDP v zemích EU v roce 2014</w:t>
            </w:r>
          </w:p>
          <w:p w:rsidR="00663E0C" w:rsidRPr="009D22D9" w:rsidRDefault="00663E0C" w:rsidP="00663E0C">
            <w:pPr>
              <w:pStyle w:val="Textpoznpodarou"/>
              <w:rPr>
                <w:spacing w:val="-2"/>
              </w:rPr>
            </w:pPr>
            <w:r w:rsidRPr="009D22D9">
              <w:t>(y/y v %, reálně)</w:t>
            </w:r>
          </w:p>
        </w:tc>
      </w:tr>
      <w:tr w:rsidR="00663E0C" w:rsidRPr="009D22D9" w:rsidTr="00663E0C">
        <w:tc>
          <w:tcPr>
            <w:tcW w:w="2501" w:type="pct"/>
            <w:gridSpan w:val="2"/>
          </w:tcPr>
          <w:p w:rsidR="00663E0C" w:rsidRPr="009D22D9" w:rsidRDefault="00AA44E3" w:rsidP="00432B88">
            <w:pPr>
              <w:pStyle w:val="Textpoznpodarou"/>
              <w:jc w:val="both"/>
            </w:pPr>
            <w:r w:rsidRPr="009D22D9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6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2"/>
          </w:tcPr>
          <w:p w:rsidR="00663E0C" w:rsidRPr="009D22D9" w:rsidRDefault="002D2A39" w:rsidP="00432B88">
            <w:pPr>
              <w:pStyle w:val="Textpoznpodarou"/>
              <w:jc w:val="both"/>
            </w:pPr>
            <w:r w:rsidRPr="009D22D9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E0C" w:rsidRPr="009D22D9" w:rsidTr="00663E0C">
        <w:tc>
          <w:tcPr>
            <w:tcW w:w="5000" w:type="pct"/>
            <w:gridSpan w:val="4"/>
          </w:tcPr>
          <w:p w:rsidR="00663E0C" w:rsidRPr="009D22D9" w:rsidRDefault="00663E0C" w:rsidP="00663E0C">
            <w:pPr>
              <w:pStyle w:val="Textpoznpodarou"/>
              <w:jc w:val="right"/>
              <w:rPr>
                <w:sz w:val="18"/>
                <w:szCs w:val="18"/>
              </w:rPr>
            </w:pPr>
            <w:r w:rsidRPr="009D22D9">
              <w:rPr>
                <w:sz w:val="18"/>
                <w:szCs w:val="18"/>
              </w:rPr>
              <w:t xml:space="preserve">Zdroj: </w:t>
            </w:r>
            <w:proofErr w:type="spellStart"/>
            <w:r w:rsidRPr="009D22D9">
              <w:rPr>
                <w:sz w:val="18"/>
                <w:szCs w:val="18"/>
              </w:rPr>
              <w:t>Eurostat</w:t>
            </w:r>
            <w:proofErr w:type="spellEnd"/>
            <w:r w:rsidRPr="009D22D9">
              <w:rPr>
                <w:sz w:val="18"/>
                <w:szCs w:val="18"/>
              </w:rPr>
              <w:t>, vlastní výpočty</w:t>
            </w:r>
          </w:p>
        </w:tc>
      </w:tr>
    </w:tbl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40491C" w:rsidRPr="009D22D9" w:rsidTr="00D30FDD">
        <w:tc>
          <w:tcPr>
            <w:tcW w:w="1054" w:type="pct"/>
          </w:tcPr>
          <w:p w:rsidR="0040491C" w:rsidRPr="009D22D9" w:rsidRDefault="00D30FDD" w:rsidP="00D30FDD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lastRenderedPageBreak/>
              <w:t>Island, Norsko a Švýcarsko, i těmto zemím se v letech 2009–2014 dařilo více než ČR</w:t>
            </w:r>
          </w:p>
        </w:tc>
        <w:tc>
          <w:tcPr>
            <w:tcW w:w="143" w:type="pct"/>
          </w:tcPr>
          <w:p w:rsidR="0040491C" w:rsidRPr="009D22D9" w:rsidRDefault="0040491C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30FDD" w:rsidRPr="009D22D9" w:rsidRDefault="00BE4448" w:rsidP="002F4462">
            <w:pPr>
              <w:pStyle w:val="Textpoznpodarou"/>
              <w:jc w:val="both"/>
            </w:pPr>
            <w:r w:rsidRPr="009D22D9">
              <w:t xml:space="preserve">Vývoj ekonomiky ČR v letech </w:t>
            </w:r>
            <w:r w:rsidR="00D30FDD" w:rsidRPr="009D22D9">
              <w:t>2009–</w:t>
            </w:r>
            <w:r w:rsidRPr="009D22D9">
              <w:t xml:space="preserve">2014 </w:t>
            </w:r>
            <w:r w:rsidR="00D30FDD" w:rsidRPr="009D22D9">
              <w:t>zaostával i za vývojem</w:t>
            </w:r>
            <w:r w:rsidRPr="009D22D9">
              <w:t xml:space="preserve"> </w:t>
            </w:r>
            <w:r w:rsidR="00D30FDD" w:rsidRPr="009D22D9">
              <w:t xml:space="preserve">Švýcarska, Norska a Islandu, tedy </w:t>
            </w:r>
            <w:r w:rsidRPr="009D22D9">
              <w:t>ekonomik stojících mimo Evropskou unii</w:t>
            </w:r>
            <w:r w:rsidR="00D30FDD" w:rsidRPr="009D22D9">
              <w:t>. Všechny tyto země totiž během tohoto období rostly, na Islandu se HDP zvýšil mírně (+0,3 %), v Norsku a Švýcarsku ale velmi výrazně (+5,7 %, +7,6 %).</w:t>
            </w:r>
          </w:p>
          <w:p w:rsidR="00D30FDD" w:rsidRPr="009D22D9" w:rsidRDefault="00D30FDD" w:rsidP="002F4462">
            <w:pPr>
              <w:pStyle w:val="Textpoznpodarou"/>
              <w:jc w:val="both"/>
            </w:pPr>
          </w:p>
        </w:tc>
      </w:tr>
      <w:tr w:rsidR="00BE4448" w:rsidRPr="009D22D9" w:rsidTr="00D30FDD">
        <w:tc>
          <w:tcPr>
            <w:tcW w:w="1054" w:type="pct"/>
          </w:tcPr>
          <w:p w:rsidR="00BE4448" w:rsidRPr="009D22D9" w:rsidRDefault="00BE4448" w:rsidP="00432B88">
            <w:pPr>
              <w:spacing w:line="240" w:lineRule="auto"/>
              <w:rPr>
                <w:sz w:val="16"/>
                <w:szCs w:val="16"/>
              </w:rPr>
            </w:pPr>
            <w:r w:rsidRPr="009D22D9">
              <w:rPr>
                <w:sz w:val="16"/>
                <w:szCs w:val="16"/>
              </w:rPr>
              <w:t>Přestože byl růst české ekonomiky v roce 2014 v porovnání s jednotlivými zeměmi EU jen průměrný, výsledek za EU jako celek převyšoval</w:t>
            </w:r>
          </w:p>
        </w:tc>
        <w:tc>
          <w:tcPr>
            <w:tcW w:w="143" w:type="pct"/>
          </w:tcPr>
          <w:p w:rsidR="00BE4448" w:rsidRPr="009D22D9" w:rsidRDefault="00BE4448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BE4448" w:rsidRPr="009D22D9" w:rsidRDefault="00BE4448" w:rsidP="000A5514">
            <w:pPr>
              <w:pStyle w:val="Textpoznpodarou"/>
              <w:jc w:val="both"/>
            </w:pPr>
            <w:r w:rsidRPr="009D22D9">
              <w:t xml:space="preserve">Recese, která české hospodářství svírala v letech 2012 a 2013, se v loňském roce </w:t>
            </w:r>
            <w:r w:rsidR="000A5514">
              <w:t>transformovala v růst</w:t>
            </w:r>
            <w:r w:rsidRPr="009D22D9">
              <w:t xml:space="preserve"> o 2,0 %. Přestože v žebříčku zemí EU podle výše přírůstku HDP připadlo České republice jen průměrné místo (čtrnácté), proti výsledku za EU jako celek (+1,4 %) byl vývoj v tuzemsku jednoznačně příznivější. Českou ekonomiku favorizoval především slabší výsledek čtyř z pěti největších ekonomik EU (Německa, Francie, Itálie, Španělska), značný přírůstek HDP ve Velké Británii (+3,0 %) byl totiž mezi velkými zeměmi jen výjimkou.</w:t>
            </w:r>
          </w:p>
        </w:tc>
      </w:tr>
    </w:tbl>
    <w:p w:rsidR="00663E0C" w:rsidRPr="00D14FDB" w:rsidRDefault="00663E0C" w:rsidP="00663E0C">
      <w:pPr>
        <w:rPr>
          <w:sz w:val="18"/>
          <w:szCs w:val="18"/>
          <w:lang w:eastAsia="ar-SA"/>
        </w:rPr>
      </w:pPr>
    </w:p>
    <w:p w:rsidR="00D21FF5" w:rsidRPr="00B85FE0" w:rsidRDefault="00D21FF5" w:rsidP="00D21FF5">
      <w:pPr>
        <w:pStyle w:val="Nadpis2"/>
        <w:numPr>
          <w:ilvl w:val="1"/>
          <w:numId w:val="2"/>
        </w:numPr>
      </w:pPr>
      <w:bookmarkStart w:id="2" w:name="_Toc436211324"/>
      <w:r>
        <w:t xml:space="preserve">Struktura </w:t>
      </w:r>
      <w:r w:rsidR="008D1884">
        <w:t>dlouhodobého</w:t>
      </w:r>
      <w:r>
        <w:t xml:space="preserve"> růstu </w:t>
      </w:r>
      <w:r w:rsidR="008D1884">
        <w:t>HDP</w:t>
      </w:r>
      <w:r w:rsidR="004B16AD">
        <w:rPr>
          <w:rStyle w:val="Znakapoznpodarou"/>
        </w:rPr>
        <w:footnoteReference w:id="4"/>
      </w:r>
      <w:bookmarkEnd w:id="2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D21FF5" w:rsidRPr="004F7A66" w:rsidTr="008D4620">
        <w:tc>
          <w:tcPr>
            <w:tcW w:w="1054" w:type="pct"/>
          </w:tcPr>
          <w:p w:rsidR="00D21FF5" w:rsidRPr="004F7A66" w:rsidRDefault="00D37891" w:rsidP="0086680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Ze složek </w:t>
            </w:r>
            <w:r w:rsidR="00866806" w:rsidRPr="004F7A66">
              <w:rPr>
                <w:sz w:val="16"/>
                <w:szCs w:val="16"/>
              </w:rPr>
              <w:t>HDP</w:t>
            </w:r>
            <w:r w:rsidR="00AE4100" w:rsidRPr="004F7A66">
              <w:rPr>
                <w:sz w:val="16"/>
                <w:szCs w:val="16"/>
              </w:rPr>
              <w:t xml:space="preserve"> mezi roky </w:t>
            </w:r>
            <w:r w:rsidRPr="004F7A66">
              <w:rPr>
                <w:sz w:val="16"/>
                <w:szCs w:val="16"/>
              </w:rPr>
              <w:t>1995 a 2014 nejvíce posílily vzájemné toky zboží a služeb mezi ČR a zahraničím</w:t>
            </w:r>
          </w:p>
        </w:tc>
        <w:tc>
          <w:tcPr>
            <w:tcW w:w="143" w:type="pct"/>
          </w:tcPr>
          <w:p w:rsidR="00D21FF5" w:rsidRPr="004F7A66" w:rsidRDefault="00D21FF5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71BDC" w:rsidRPr="004F7A66" w:rsidRDefault="00D10983" w:rsidP="00D71BDC">
            <w:pPr>
              <w:pStyle w:val="Textpoznpodarou"/>
              <w:jc w:val="both"/>
            </w:pPr>
            <w:r w:rsidRPr="004F7A66">
              <w:t>Pokud se zaměříme pouze na roky 1995 až 2014, a to z toho důvodu, aby bylo možné srovnávat výsledky</w:t>
            </w:r>
            <w:r w:rsidR="00B7016D" w:rsidRPr="004F7A66">
              <w:t xml:space="preserve"> za ČR</w:t>
            </w:r>
            <w:r w:rsidRPr="004F7A66">
              <w:t xml:space="preserve"> s dalšími zeměmi</w:t>
            </w:r>
            <w:r w:rsidR="008D1884" w:rsidRPr="004F7A66">
              <w:t xml:space="preserve"> EU</w:t>
            </w:r>
            <w:r w:rsidRPr="004F7A66">
              <w:t xml:space="preserve"> (za </w:t>
            </w:r>
            <w:r w:rsidR="00D71BDC" w:rsidRPr="004F7A66">
              <w:t>naprostou většinu z</w:t>
            </w:r>
            <w:r w:rsidR="00B7016D" w:rsidRPr="004F7A66">
              <w:t> </w:t>
            </w:r>
            <w:r w:rsidR="00D71BDC" w:rsidRPr="004F7A66">
              <w:t>nich</w:t>
            </w:r>
            <w:r w:rsidRPr="004F7A66">
              <w:t xml:space="preserve"> nejsou</w:t>
            </w:r>
            <w:r w:rsidR="008D1884" w:rsidRPr="004F7A66">
              <w:t> </w:t>
            </w:r>
            <w:r w:rsidRPr="004F7A66">
              <w:t xml:space="preserve">údaje před rokem 1995 dostupné), pak </w:t>
            </w:r>
            <w:r w:rsidR="00B7016D" w:rsidRPr="004F7A66">
              <w:t>není překvapivé</w:t>
            </w:r>
            <w:r w:rsidRPr="004F7A66">
              <w:t>, že</w:t>
            </w:r>
            <w:r w:rsidR="00D71BDC" w:rsidRPr="004F7A66">
              <w:t xml:space="preserve"> mezi těmito roky</w:t>
            </w:r>
            <w:r w:rsidRPr="004F7A66">
              <w:t xml:space="preserve"> </w:t>
            </w:r>
            <w:r w:rsidR="00D71BDC" w:rsidRPr="004F7A66">
              <w:t>ze všech</w:t>
            </w:r>
            <w:r w:rsidR="00F24FCD" w:rsidRPr="004F7A66">
              <w:t xml:space="preserve"> výdajových</w:t>
            </w:r>
            <w:r w:rsidR="00D71BDC" w:rsidRPr="004F7A66">
              <w:t xml:space="preserve"> složek</w:t>
            </w:r>
            <w:r w:rsidR="00AA46D2" w:rsidRPr="004F7A66">
              <w:t xml:space="preserve"> českého</w:t>
            </w:r>
            <w:r w:rsidR="008D1884" w:rsidRPr="004F7A66">
              <w:t> </w:t>
            </w:r>
            <w:r w:rsidR="00F24FCD" w:rsidRPr="004F7A66">
              <w:t>HDP</w:t>
            </w:r>
            <w:r w:rsidR="00D71BDC" w:rsidRPr="004F7A66">
              <w:t xml:space="preserve"> </w:t>
            </w:r>
            <w:r w:rsidRPr="004F7A66">
              <w:t>nejdynamičtěji narostly toky zb</w:t>
            </w:r>
            <w:r w:rsidR="00D71BDC" w:rsidRPr="004F7A66">
              <w:t>oží a</w:t>
            </w:r>
            <w:r w:rsidR="00F24FCD" w:rsidRPr="004F7A66">
              <w:t> </w:t>
            </w:r>
            <w:r w:rsidR="00D71BDC" w:rsidRPr="004F7A66">
              <w:t xml:space="preserve">služeb </w:t>
            </w:r>
            <w:r w:rsidR="00BC4FEF">
              <w:t>do zahraničí a ze zahraničí</w:t>
            </w:r>
            <w:r w:rsidR="00D71BDC" w:rsidRPr="004F7A66">
              <w:t>.</w:t>
            </w:r>
          </w:p>
          <w:p w:rsidR="00D21FF5" w:rsidRPr="004F7A66" w:rsidRDefault="00D21FF5" w:rsidP="00D71BDC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D71BDC" w:rsidRPr="004F7A66" w:rsidTr="008D4620">
        <w:tc>
          <w:tcPr>
            <w:tcW w:w="1054" w:type="pct"/>
          </w:tcPr>
          <w:p w:rsidR="008D4620" w:rsidRPr="004F7A66" w:rsidRDefault="00355E94" w:rsidP="00432B8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V</w:t>
            </w:r>
            <w:r w:rsidR="00D37891" w:rsidRPr="004F7A66">
              <w:rPr>
                <w:sz w:val="16"/>
                <w:szCs w:val="16"/>
              </w:rPr>
              <w:t xml:space="preserve">ývoz zboží </w:t>
            </w:r>
            <w:r w:rsidR="001E30F6" w:rsidRPr="004F7A66">
              <w:rPr>
                <w:sz w:val="16"/>
                <w:szCs w:val="16"/>
              </w:rPr>
              <w:t>narostl na více než šestinásobek</w:t>
            </w:r>
            <w:r w:rsidR="00D37891" w:rsidRPr="004F7A66">
              <w:rPr>
                <w:sz w:val="16"/>
                <w:szCs w:val="16"/>
              </w:rPr>
              <w:t xml:space="preserve">, dovoz zboží </w:t>
            </w:r>
            <w:r w:rsidR="001E30F6" w:rsidRPr="004F7A66">
              <w:rPr>
                <w:sz w:val="16"/>
                <w:szCs w:val="16"/>
              </w:rPr>
              <w:t xml:space="preserve">se </w:t>
            </w:r>
            <w:r w:rsidR="00992F63" w:rsidRPr="004F7A66">
              <w:rPr>
                <w:sz w:val="16"/>
                <w:szCs w:val="16"/>
              </w:rPr>
              <w:t xml:space="preserve">téměř </w:t>
            </w:r>
            <w:r w:rsidR="001E30F6" w:rsidRPr="004F7A66">
              <w:rPr>
                <w:sz w:val="16"/>
                <w:szCs w:val="16"/>
              </w:rPr>
              <w:t>zpětinásobil</w:t>
            </w:r>
            <w:r w:rsidR="00D37891" w:rsidRPr="004F7A66">
              <w:rPr>
                <w:sz w:val="16"/>
                <w:szCs w:val="16"/>
              </w:rPr>
              <w:t>, …</w:t>
            </w:r>
          </w:p>
          <w:p w:rsidR="008D4620" w:rsidRPr="004F7A66" w:rsidRDefault="008D4620" w:rsidP="008D4620">
            <w:pPr>
              <w:rPr>
                <w:sz w:val="16"/>
                <w:szCs w:val="16"/>
              </w:rPr>
            </w:pPr>
          </w:p>
          <w:p w:rsidR="00F06BA0" w:rsidRPr="004F7A66" w:rsidRDefault="00F06BA0" w:rsidP="008D4620">
            <w:pPr>
              <w:rPr>
                <w:sz w:val="16"/>
                <w:szCs w:val="16"/>
              </w:rPr>
            </w:pPr>
          </w:p>
          <w:p w:rsidR="00F06BA0" w:rsidRPr="004F7A66" w:rsidRDefault="00F06BA0" w:rsidP="008D4620">
            <w:pPr>
              <w:rPr>
                <w:sz w:val="14"/>
                <w:szCs w:val="14"/>
              </w:rPr>
            </w:pPr>
          </w:p>
          <w:p w:rsidR="008D4620" w:rsidRPr="004F7A66" w:rsidRDefault="008D4620" w:rsidP="008D4620">
            <w:pPr>
              <w:rPr>
                <w:sz w:val="16"/>
                <w:szCs w:val="16"/>
              </w:rPr>
            </w:pPr>
          </w:p>
          <w:p w:rsidR="00D71BDC" w:rsidRPr="004F7A66" w:rsidRDefault="008D4620" w:rsidP="0086680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…v případě obchodu se službami se jednalo o přírůstky nižší, v porovnání s dalšími složkami </w:t>
            </w:r>
            <w:r w:rsidR="00866806" w:rsidRPr="004F7A66">
              <w:rPr>
                <w:sz w:val="16"/>
                <w:szCs w:val="16"/>
              </w:rPr>
              <w:t>HDP</w:t>
            </w:r>
            <w:r w:rsidR="00D724A1" w:rsidRPr="004F7A66">
              <w:rPr>
                <w:sz w:val="16"/>
                <w:szCs w:val="16"/>
              </w:rPr>
              <w:t xml:space="preserve"> ale</w:t>
            </w:r>
            <w:r w:rsidR="00840EFA">
              <w:rPr>
                <w:sz w:val="16"/>
                <w:szCs w:val="16"/>
              </w:rPr>
              <w:t xml:space="preserve"> byly</w:t>
            </w:r>
            <w:r w:rsidRPr="004F7A66">
              <w:rPr>
                <w:sz w:val="16"/>
                <w:szCs w:val="16"/>
              </w:rPr>
              <w:t xml:space="preserve"> stále </w:t>
            </w:r>
            <w:r w:rsidR="00D724A1" w:rsidRPr="004F7A66">
              <w:rPr>
                <w:sz w:val="16"/>
                <w:szCs w:val="16"/>
              </w:rPr>
              <w:t>značné</w:t>
            </w:r>
          </w:p>
        </w:tc>
        <w:tc>
          <w:tcPr>
            <w:tcW w:w="143" w:type="pct"/>
          </w:tcPr>
          <w:p w:rsidR="00D71BDC" w:rsidRPr="004F7A66" w:rsidRDefault="00D71BDC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71BDC" w:rsidRPr="004F7A66" w:rsidRDefault="00D71BDC" w:rsidP="00D71BDC">
            <w:pPr>
              <w:pStyle w:val="Textpoznpodarou"/>
              <w:jc w:val="both"/>
            </w:pPr>
            <w:r w:rsidRPr="004F7A66">
              <w:t xml:space="preserve">Celkový vývoz </w:t>
            </w:r>
            <w:r w:rsidR="004B16AD" w:rsidRPr="004F7A66">
              <w:t>z ČR se</w:t>
            </w:r>
            <w:r w:rsidRPr="004F7A66">
              <w:t xml:space="preserve"> za posledních </w:t>
            </w:r>
            <w:r w:rsidR="008D4620" w:rsidRPr="004F7A66">
              <w:t>devatenáct</w:t>
            </w:r>
            <w:r w:rsidRPr="004F7A66">
              <w:t xml:space="preserve"> let navýšil o 358 %, dovoz</w:t>
            </w:r>
            <w:r w:rsidR="00F06BA0" w:rsidRPr="004F7A66">
              <w:t xml:space="preserve"> směřující</w:t>
            </w:r>
            <w:r w:rsidRPr="004F7A66">
              <w:t xml:space="preserve"> </w:t>
            </w:r>
            <w:r w:rsidR="004B16AD" w:rsidRPr="004F7A66">
              <w:t>do Česka narostl o </w:t>
            </w:r>
            <w:r w:rsidRPr="004F7A66">
              <w:t>331 %. Na obou stranách zahraničního obchodu přitom šlo především o</w:t>
            </w:r>
            <w:r w:rsidR="004B16AD" w:rsidRPr="004F7A66">
              <w:t> </w:t>
            </w:r>
            <w:r w:rsidRPr="004F7A66">
              <w:t>posilování</w:t>
            </w:r>
            <w:r w:rsidR="004B16AD" w:rsidRPr="004F7A66">
              <w:t> </w:t>
            </w:r>
            <w:r w:rsidRPr="004F7A66">
              <w:t xml:space="preserve">zbožových obchodů. Vývoz zboží </w:t>
            </w:r>
            <w:r w:rsidR="001E30F6" w:rsidRPr="004F7A66">
              <w:t>narostl</w:t>
            </w:r>
            <w:r w:rsidRPr="004F7A66">
              <w:t xml:space="preserve"> vlivem postupně se zvětšující orientace</w:t>
            </w:r>
            <w:r w:rsidR="00D471C1" w:rsidRPr="004F7A66">
              <w:t xml:space="preserve"> české ekonomiky</w:t>
            </w:r>
            <w:r w:rsidRPr="004F7A66">
              <w:t xml:space="preserve"> </w:t>
            </w:r>
            <w:r w:rsidR="00D471C1" w:rsidRPr="004F7A66">
              <w:t>na</w:t>
            </w:r>
            <w:r w:rsidRPr="004F7A66">
              <w:t xml:space="preserve"> zahraniční trhy</w:t>
            </w:r>
            <w:r w:rsidR="001E30F6" w:rsidRPr="004F7A66">
              <w:t xml:space="preserve"> na</w:t>
            </w:r>
            <w:r w:rsidRPr="004F7A66">
              <w:t xml:space="preserve"> více než </w:t>
            </w:r>
            <w:r w:rsidR="001E30F6" w:rsidRPr="004F7A66">
              <w:t>šestinásobek</w:t>
            </w:r>
            <w:r w:rsidR="003102EF">
              <w:t>.</w:t>
            </w:r>
            <w:r w:rsidR="004B16AD" w:rsidRPr="004F7A66">
              <w:t> </w:t>
            </w:r>
            <w:r w:rsidR="003102EF">
              <w:t>D</w:t>
            </w:r>
            <w:r w:rsidRPr="004F7A66">
              <w:t>ovoz</w:t>
            </w:r>
            <w:r w:rsidR="00795B9D" w:rsidRPr="004F7A66">
              <w:t xml:space="preserve"> zboží</w:t>
            </w:r>
            <w:r w:rsidRPr="004F7A66">
              <w:t xml:space="preserve"> </w:t>
            </w:r>
            <w:r w:rsidR="001E30F6" w:rsidRPr="004F7A66">
              <w:t>se</w:t>
            </w:r>
            <w:r w:rsidR="003102EF">
              <w:t xml:space="preserve"> téměř zpětinásobil,</w:t>
            </w:r>
            <w:r w:rsidR="007963AC" w:rsidRPr="004F7A66">
              <w:t xml:space="preserve"> především v důsledku</w:t>
            </w:r>
            <w:r w:rsidR="00D471C1" w:rsidRPr="004F7A66">
              <w:t xml:space="preserve"> vyšších</w:t>
            </w:r>
            <w:r w:rsidR="007963AC" w:rsidRPr="004F7A66">
              <w:t> po</w:t>
            </w:r>
            <w:r w:rsidR="00795B9D" w:rsidRPr="004F7A66">
              <w:t xml:space="preserve">třeb zpracovatelského průmyslu, </w:t>
            </w:r>
            <w:r w:rsidR="007963AC" w:rsidRPr="004F7A66">
              <w:t xml:space="preserve">které </w:t>
            </w:r>
            <w:r w:rsidRPr="004F7A66">
              <w:t>byl</w:t>
            </w:r>
            <w:r w:rsidR="007963AC" w:rsidRPr="004F7A66">
              <w:t>y</w:t>
            </w:r>
            <w:r w:rsidRPr="004F7A66">
              <w:t xml:space="preserve"> mimo jiné odrazem </w:t>
            </w:r>
            <w:r w:rsidR="007963AC" w:rsidRPr="004F7A66">
              <w:t>i </w:t>
            </w:r>
            <w:r w:rsidR="00D471C1" w:rsidRPr="004F7A66">
              <w:t>posilujícího</w:t>
            </w:r>
            <w:r w:rsidR="007963AC" w:rsidRPr="004F7A66">
              <w:t xml:space="preserve"> vývo</w:t>
            </w:r>
            <w:r w:rsidR="00795B9D" w:rsidRPr="004F7A66">
              <w:t>zu zboží</w:t>
            </w:r>
            <w:r w:rsidRPr="004F7A66">
              <w:t>.</w:t>
            </w:r>
          </w:p>
          <w:p w:rsidR="008D4620" w:rsidRPr="004F7A66" w:rsidRDefault="008D4620" w:rsidP="00D71BDC">
            <w:pPr>
              <w:pStyle w:val="Textpoznpodarou"/>
              <w:jc w:val="both"/>
              <w:rPr>
                <w:spacing w:val="-6"/>
                <w:sz w:val="16"/>
                <w:szCs w:val="16"/>
              </w:rPr>
            </w:pPr>
          </w:p>
          <w:p w:rsidR="00D71BDC" w:rsidRPr="004F7A66" w:rsidRDefault="00B7016D" w:rsidP="00992F63">
            <w:pPr>
              <w:pStyle w:val="Textpoznpodarou"/>
              <w:jc w:val="both"/>
              <w:rPr>
                <w:sz w:val="16"/>
                <w:szCs w:val="16"/>
              </w:rPr>
            </w:pPr>
            <w:r w:rsidRPr="004F7A66">
              <w:t>V zahraničním obchodě se službami</w:t>
            </w:r>
            <w:r w:rsidR="008D4620" w:rsidRPr="004F7A66">
              <w:t xml:space="preserve"> šlo v porovnání s</w:t>
            </w:r>
            <w:r w:rsidRPr="004F7A66">
              <w:t>e zbožím o méně významný nárůst</w:t>
            </w:r>
            <w:r w:rsidR="008D4620" w:rsidRPr="004F7A66">
              <w:t xml:space="preserve"> obj</w:t>
            </w:r>
            <w:r w:rsidR="001F687D">
              <w:t>emu vývozu a dovozu, přesto</w:t>
            </w:r>
            <w:r w:rsidR="00F06BA0" w:rsidRPr="004F7A66">
              <w:t xml:space="preserve"> jej bylo možné hodnotit jako</w:t>
            </w:r>
            <w:r w:rsidRPr="004F7A66">
              <w:t xml:space="preserve"> vysoký</w:t>
            </w:r>
            <w:r w:rsidR="00F06BA0" w:rsidRPr="004F7A66">
              <w:t xml:space="preserve"> – byl </w:t>
            </w:r>
            <w:r w:rsidR="008D4620" w:rsidRPr="004F7A66">
              <w:t xml:space="preserve">vyšší než v případě všech ostatních složek </w:t>
            </w:r>
            <w:r w:rsidR="00992F63" w:rsidRPr="004F7A66">
              <w:t>HDP</w:t>
            </w:r>
            <w:r w:rsidR="008D4620" w:rsidRPr="004F7A66">
              <w:t>. Vývoz služeb posílil</w:t>
            </w:r>
            <w:r w:rsidR="00355E94" w:rsidRPr="004F7A66">
              <w:t xml:space="preserve"> celkově</w:t>
            </w:r>
            <w:r w:rsidR="008D4620" w:rsidRPr="004F7A66">
              <w:t xml:space="preserve"> o</w:t>
            </w:r>
            <w:r w:rsidRPr="004F7A66">
              <w:t> </w:t>
            </w:r>
            <w:r w:rsidR="008D4620" w:rsidRPr="004F7A66">
              <w:t>56</w:t>
            </w:r>
            <w:r w:rsidR="00795B9D" w:rsidRPr="004F7A66">
              <w:t>,4</w:t>
            </w:r>
            <w:r w:rsidRPr="004F7A66">
              <w:t> </w:t>
            </w:r>
            <w:r w:rsidR="008D4620" w:rsidRPr="004F7A66">
              <w:t>%, dovoz stoupnul o 179</w:t>
            </w:r>
            <w:r w:rsidR="00795B9D" w:rsidRPr="004F7A66">
              <w:t>,3</w:t>
            </w:r>
            <w:r w:rsidR="008D4620" w:rsidRPr="004F7A66">
              <w:t xml:space="preserve"> %.</w:t>
            </w:r>
          </w:p>
        </w:tc>
      </w:tr>
    </w:tbl>
    <w:p w:rsidR="007566D3" w:rsidRDefault="007566D3" w:rsidP="00663E0C">
      <w:pPr>
        <w:rPr>
          <w:sz w:val="12"/>
          <w:szCs w:val="12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"/>
        <w:gridCol w:w="4233"/>
        <w:gridCol w:w="738"/>
        <w:gridCol w:w="4189"/>
      </w:tblGrid>
      <w:tr w:rsidR="00827233" w:rsidRPr="004F7A66" w:rsidTr="007B224F">
        <w:tc>
          <w:tcPr>
            <w:tcW w:w="351" w:type="pct"/>
          </w:tcPr>
          <w:p w:rsidR="00827233" w:rsidRPr="004F7A66" w:rsidRDefault="00827233" w:rsidP="00432B88">
            <w:pPr>
              <w:pStyle w:val="Textpoznpodarou"/>
            </w:pPr>
            <w:r w:rsidRPr="004F7A66">
              <w:t xml:space="preserve">Graf </w:t>
            </w:r>
            <w:r w:rsidR="00654D86" w:rsidRPr="004F7A66">
              <w:t>č. 7</w:t>
            </w:r>
          </w:p>
        </w:tc>
        <w:tc>
          <w:tcPr>
            <w:tcW w:w="2148" w:type="pct"/>
          </w:tcPr>
          <w:p w:rsidR="00827233" w:rsidRPr="004F7A66" w:rsidRDefault="00654D86" w:rsidP="00D81990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Kumulativní nárůst složek </w:t>
            </w:r>
            <w:r w:rsidR="00866806" w:rsidRPr="004F7A66">
              <w:rPr>
                <w:b/>
              </w:rPr>
              <w:t>HDP</w:t>
            </w:r>
            <w:r w:rsidRPr="004F7A66">
              <w:rPr>
                <w:b/>
              </w:rPr>
              <w:t xml:space="preserve"> v</w:t>
            </w:r>
            <w:r w:rsidR="00D705AB" w:rsidRPr="004F7A66">
              <w:rPr>
                <w:b/>
              </w:rPr>
              <w:t> </w:t>
            </w:r>
            <w:r w:rsidRPr="004F7A66">
              <w:rPr>
                <w:b/>
              </w:rPr>
              <w:t>ČR</w:t>
            </w:r>
            <w:r w:rsidR="00D705AB" w:rsidRPr="004F7A66">
              <w:rPr>
                <w:b/>
              </w:rPr>
              <w:t xml:space="preserve"> a</w:t>
            </w:r>
            <w:r w:rsidR="00866806" w:rsidRPr="004F7A66">
              <w:rPr>
                <w:b/>
              </w:rPr>
              <w:t> </w:t>
            </w:r>
            <w:r w:rsidR="00D705AB" w:rsidRPr="004F7A66">
              <w:rPr>
                <w:b/>
              </w:rPr>
              <w:t>v</w:t>
            </w:r>
            <w:r w:rsidR="00D81990" w:rsidRPr="004F7A66">
              <w:rPr>
                <w:b/>
              </w:rPr>
              <w:t> </w:t>
            </w:r>
            <w:r w:rsidR="00D705AB" w:rsidRPr="004F7A66">
              <w:rPr>
                <w:b/>
              </w:rPr>
              <w:t>EU</w:t>
            </w:r>
            <w:r w:rsidR="00D81990" w:rsidRPr="004F7A66">
              <w:rPr>
                <w:b/>
              </w:rPr>
              <w:t xml:space="preserve"> v letech 1996–</w:t>
            </w:r>
            <w:r w:rsidRPr="004F7A66">
              <w:rPr>
                <w:b/>
              </w:rPr>
              <w:t>2014</w:t>
            </w:r>
            <w:r w:rsidR="00D705AB" w:rsidRPr="004F7A66">
              <w:rPr>
                <w:b/>
              </w:rPr>
              <w:t>*</w:t>
            </w:r>
            <w:r w:rsidR="004B16AD" w:rsidRPr="004F7A66">
              <w:rPr>
                <w:b/>
              </w:rPr>
              <w:t xml:space="preserve"> </w:t>
            </w:r>
            <w:r w:rsidRPr="004F7A66">
              <w:rPr>
                <w:spacing w:val="-2"/>
              </w:rPr>
              <w:t>(v %</w:t>
            </w:r>
            <w:r w:rsidR="00827233" w:rsidRPr="004F7A66">
              <w:rPr>
                <w:spacing w:val="-2"/>
              </w:rPr>
              <w:t>, reálně)</w:t>
            </w:r>
          </w:p>
        </w:tc>
        <w:tc>
          <w:tcPr>
            <w:tcW w:w="373" w:type="pct"/>
          </w:tcPr>
          <w:p w:rsidR="00827233" w:rsidRPr="004F7A66" w:rsidRDefault="00654D86" w:rsidP="00432B88">
            <w:pPr>
              <w:pStyle w:val="Textpoznpodarou"/>
            </w:pPr>
            <w:r w:rsidRPr="004F7A66">
              <w:t>Graf č. 8</w:t>
            </w:r>
          </w:p>
        </w:tc>
        <w:tc>
          <w:tcPr>
            <w:tcW w:w="2128" w:type="pct"/>
          </w:tcPr>
          <w:p w:rsidR="00827233" w:rsidRPr="004F7A66" w:rsidRDefault="00654D86" w:rsidP="00654D86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 xml:space="preserve">Bilance zahraničního obchodu se zbožím a službami v ČR </w:t>
            </w:r>
            <w:r w:rsidR="00827233" w:rsidRPr="004F7A66">
              <w:t>(</w:t>
            </w:r>
            <w:r w:rsidR="00127A56" w:rsidRPr="004F7A66">
              <w:t>v mld. korun, běžné ceny</w:t>
            </w:r>
            <w:r w:rsidR="00827233" w:rsidRPr="004F7A66">
              <w:t>)</w:t>
            </w:r>
          </w:p>
        </w:tc>
      </w:tr>
      <w:tr w:rsidR="00827233" w:rsidRPr="004F7A66" w:rsidTr="007B224F">
        <w:tc>
          <w:tcPr>
            <w:tcW w:w="2499" w:type="pct"/>
            <w:gridSpan w:val="2"/>
          </w:tcPr>
          <w:p w:rsidR="00827233" w:rsidRPr="004F7A66" w:rsidRDefault="007566D3" w:rsidP="00432B8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13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2"/>
          </w:tcPr>
          <w:p w:rsidR="00827233" w:rsidRPr="004F7A66" w:rsidRDefault="007566D3" w:rsidP="00432B8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35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AB" w:rsidRPr="004F7A66" w:rsidTr="007B224F">
        <w:tc>
          <w:tcPr>
            <w:tcW w:w="2499" w:type="pct"/>
            <w:gridSpan w:val="2"/>
          </w:tcPr>
          <w:p w:rsidR="00D705AB" w:rsidRPr="004F7A66" w:rsidRDefault="00D705AB" w:rsidP="00D705AB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</w:t>
            </w:r>
            <w:r w:rsidR="00805AF9" w:rsidRPr="004F7A66">
              <w:rPr>
                <w:sz w:val="18"/>
                <w:szCs w:val="18"/>
              </w:rPr>
              <w:t xml:space="preserve"> NISD</w:t>
            </w:r>
            <w:r w:rsidRPr="004F7A66">
              <w:rPr>
                <w:sz w:val="18"/>
                <w:szCs w:val="18"/>
              </w:rPr>
              <w:t xml:space="preserve"> = Neziskové instituce sloužící domácnostem.</w:t>
            </w:r>
          </w:p>
        </w:tc>
        <w:tc>
          <w:tcPr>
            <w:tcW w:w="2501" w:type="pct"/>
            <w:gridSpan w:val="2"/>
          </w:tcPr>
          <w:p w:rsidR="00D705AB" w:rsidRPr="004F7A66" w:rsidRDefault="00D705AB" w:rsidP="00432B88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Zdroj: </w:t>
            </w:r>
            <w:proofErr w:type="spellStart"/>
            <w:r w:rsidR="002D1A33" w:rsidRPr="004F7A66">
              <w:rPr>
                <w:sz w:val="18"/>
                <w:szCs w:val="18"/>
              </w:rPr>
              <w:t>Eurostat</w:t>
            </w:r>
            <w:proofErr w:type="spellEnd"/>
            <w:r w:rsidR="002D1A33" w:rsidRPr="004F7A66">
              <w:rPr>
                <w:sz w:val="18"/>
                <w:szCs w:val="18"/>
              </w:rPr>
              <w:t xml:space="preserve">, </w:t>
            </w:r>
            <w:r w:rsidR="00755093">
              <w:rPr>
                <w:sz w:val="18"/>
                <w:szCs w:val="18"/>
              </w:rPr>
              <w:t>ČSÚ</w:t>
            </w:r>
            <w:r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827233" w:rsidRPr="00D14FDB" w:rsidRDefault="00827233" w:rsidP="00827233">
      <w:pPr>
        <w:rPr>
          <w:sz w:val="16"/>
          <w:szCs w:val="16"/>
          <w:lang w:eastAsia="ar-SA"/>
        </w:rPr>
      </w:pPr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827233" w:rsidRPr="004F7A66" w:rsidTr="009D22D9">
        <w:tc>
          <w:tcPr>
            <w:tcW w:w="1054" w:type="pct"/>
          </w:tcPr>
          <w:p w:rsidR="00827233" w:rsidRPr="004F7A66" w:rsidRDefault="00201BEC" w:rsidP="004B1AB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Výrazně vyšší </w:t>
            </w:r>
            <w:r w:rsidR="000704B8" w:rsidRPr="004F7A66">
              <w:rPr>
                <w:sz w:val="16"/>
                <w:szCs w:val="16"/>
              </w:rPr>
              <w:t>ná</w:t>
            </w:r>
            <w:r w:rsidRPr="004F7A66">
              <w:rPr>
                <w:sz w:val="16"/>
                <w:szCs w:val="16"/>
              </w:rPr>
              <w:t xml:space="preserve">růst vývozu zboží v porovnání s jeho dovozem </w:t>
            </w:r>
            <w:r w:rsidR="000704B8" w:rsidRPr="004F7A66">
              <w:rPr>
                <w:sz w:val="16"/>
                <w:szCs w:val="16"/>
              </w:rPr>
              <w:t>příznivě ovlivňoval</w:t>
            </w:r>
            <w:r w:rsidRPr="004F7A66">
              <w:rPr>
                <w:sz w:val="16"/>
                <w:szCs w:val="16"/>
              </w:rPr>
              <w:t xml:space="preserve"> </w:t>
            </w:r>
            <w:r w:rsidR="004B1AB4" w:rsidRPr="004F7A66">
              <w:rPr>
                <w:sz w:val="16"/>
                <w:szCs w:val="16"/>
              </w:rPr>
              <w:t>saldo sledované</w:t>
            </w:r>
            <w:r w:rsidRPr="004F7A66">
              <w:rPr>
                <w:sz w:val="16"/>
                <w:szCs w:val="16"/>
              </w:rPr>
              <w:t xml:space="preserve"> v běžných cenách</w:t>
            </w:r>
            <w:r w:rsidR="00591351" w:rsidRPr="004F7A66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</w:tcPr>
          <w:p w:rsidR="00827233" w:rsidRPr="004F7A66" w:rsidRDefault="00827233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27233" w:rsidRPr="004F7A66" w:rsidRDefault="00A01FFC" w:rsidP="00083641">
            <w:pPr>
              <w:pStyle w:val="Textpoznpodarou"/>
              <w:jc w:val="both"/>
            </w:pPr>
            <w:r w:rsidRPr="004F7A66">
              <w:t>Výrazně vyšší nárůst vývozu zboží v porovnání s jeho dovozem</w:t>
            </w:r>
            <w:r w:rsidR="00827233" w:rsidRPr="004F7A66">
              <w:t xml:space="preserve"> </w:t>
            </w:r>
            <w:r w:rsidRPr="004F7A66">
              <w:t>měl příznivý vliv</w:t>
            </w:r>
            <w:r w:rsidR="004B1AB4" w:rsidRPr="004F7A66">
              <w:t xml:space="preserve"> i</w:t>
            </w:r>
            <w:r w:rsidRPr="004F7A66">
              <w:t> na</w:t>
            </w:r>
            <w:r w:rsidR="004B1AB4" w:rsidRPr="004F7A66">
              <w:t xml:space="preserve"> výsledné saldo</w:t>
            </w:r>
            <w:r w:rsidRPr="004F7A66">
              <w:t xml:space="preserve"> zahraničního obchodu se zbožím, které je</w:t>
            </w:r>
            <w:r w:rsidR="004B1AB4" w:rsidRPr="004F7A66">
              <w:t xml:space="preserve"> sledované</w:t>
            </w:r>
            <w:r w:rsidR="007963AC" w:rsidRPr="004F7A66">
              <w:t xml:space="preserve"> v běžných cenách</w:t>
            </w:r>
            <w:r w:rsidR="00827233" w:rsidRPr="004F7A66">
              <w:t>. Jestliže zahraniční obchod se zbožím generoval české ekonomice v letech 1995 až</w:t>
            </w:r>
            <w:r w:rsidR="004B16AD" w:rsidRPr="004F7A66">
              <w:t> </w:t>
            </w:r>
            <w:r w:rsidR="007566D3" w:rsidRPr="004F7A66">
              <w:t>2004</w:t>
            </w:r>
            <w:r w:rsidR="00827233" w:rsidRPr="004F7A66">
              <w:t xml:space="preserve"> pravidelné deficity, po vstupu do Unie vytvářel už </w:t>
            </w:r>
            <w:r w:rsidR="007A4293">
              <w:t>pouze přebytky (výjimkou byl</w:t>
            </w:r>
            <w:r w:rsidR="00827233" w:rsidRPr="004F7A66">
              <w:t xml:space="preserve"> rok 2008, k</w:t>
            </w:r>
            <w:r w:rsidR="007A4293">
              <w:t>dy vysoký růst cen ropy posunul</w:t>
            </w:r>
            <w:r w:rsidR="00827233" w:rsidRPr="004F7A66">
              <w:t xml:space="preserve"> výsledek zahraničního obchodu ve zboží do mimořádného deficitu). Ty přitom </w:t>
            </w:r>
            <w:r w:rsidR="00827233" w:rsidRPr="004F7A66">
              <w:lastRenderedPageBreak/>
              <w:t>dynamicky narůstaly. Zatímco první</w:t>
            </w:r>
            <w:r w:rsidR="004B16AD" w:rsidRPr="004F7A66">
              <w:t> </w:t>
            </w:r>
            <w:r w:rsidR="00827233" w:rsidRPr="004F7A66">
              <w:t>přebytek v r</w:t>
            </w:r>
            <w:r w:rsidR="004B16AD" w:rsidRPr="004F7A66">
              <w:t>oce 2005 dosáhl 19,7 mld. korun</w:t>
            </w:r>
            <w:r w:rsidRPr="004F7A66">
              <w:t xml:space="preserve">, </w:t>
            </w:r>
            <w:r w:rsidR="00827233" w:rsidRPr="004F7A66">
              <w:t>v roce 2013 se jednalo již o</w:t>
            </w:r>
            <w:r w:rsidR="004B16AD" w:rsidRPr="004F7A66">
              <w:t> </w:t>
            </w:r>
            <w:r w:rsidRPr="004F7A66">
              <w:t>167,0 mld. L</w:t>
            </w:r>
            <w:r w:rsidR="00827233" w:rsidRPr="004F7A66">
              <w:t>oni</w:t>
            </w:r>
            <w:r w:rsidR="004B16AD" w:rsidRPr="004F7A66">
              <w:t xml:space="preserve"> poprvé</w:t>
            </w:r>
            <w:r w:rsidR="00827233" w:rsidRPr="004F7A66">
              <w:t xml:space="preserve"> přesáhl dvou set miliardovou hranici (231,8 mld.).</w:t>
            </w:r>
          </w:p>
          <w:p w:rsidR="00F06BA0" w:rsidRPr="004F7A66" w:rsidRDefault="00F06BA0" w:rsidP="00083641">
            <w:pPr>
              <w:pStyle w:val="Textpoznpodarou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27233" w:rsidRPr="004F7A66" w:rsidTr="009D22D9">
        <w:tc>
          <w:tcPr>
            <w:tcW w:w="1054" w:type="pct"/>
          </w:tcPr>
          <w:p w:rsidR="00827233" w:rsidRPr="004F7A66" w:rsidRDefault="000704B8" w:rsidP="000704B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 xml:space="preserve">…v </w:t>
            </w:r>
            <w:r w:rsidR="00C03527">
              <w:rPr>
                <w:sz w:val="16"/>
                <w:szCs w:val="16"/>
              </w:rPr>
              <w:t xml:space="preserve">případě bilance služeb </w:t>
            </w:r>
            <w:r w:rsidR="00355E94" w:rsidRPr="004F7A66">
              <w:rPr>
                <w:sz w:val="16"/>
                <w:szCs w:val="16"/>
              </w:rPr>
              <w:t>– vlivem markantnějšího nárůstu dovozu oproti vývozu –</w:t>
            </w:r>
            <w:r w:rsidRPr="004F7A66">
              <w:rPr>
                <w:sz w:val="16"/>
                <w:szCs w:val="16"/>
              </w:rPr>
              <w:t xml:space="preserve"> </w:t>
            </w:r>
            <w:r w:rsidR="00C03527">
              <w:rPr>
                <w:sz w:val="16"/>
                <w:szCs w:val="16"/>
              </w:rPr>
              <w:t xml:space="preserve">však </w:t>
            </w:r>
            <w:r w:rsidRPr="004F7A66">
              <w:rPr>
                <w:sz w:val="16"/>
                <w:szCs w:val="16"/>
              </w:rPr>
              <w:t>docházelo k opaku</w:t>
            </w:r>
          </w:p>
        </w:tc>
        <w:tc>
          <w:tcPr>
            <w:tcW w:w="143" w:type="pct"/>
          </w:tcPr>
          <w:p w:rsidR="00827233" w:rsidRPr="004F7A66" w:rsidRDefault="00827233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27233" w:rsidRPr="004F7A66" w:rsidRDefault="00083641" w:rsidP="00083641">
            <w:pPr>
              <w:pStyle w:val="Textpoznpodarou"/>
              <w:jc w:val="both"/>
            </w:pPr>
            <w:r w:rsidRPr="004F7A66">
              <w:t xml:space="preserve">Vzájemná relace mezi nárůstem vývozu služeb a jejich dovozem již </w:t>
            </w:r>
            <w:r w:rsidR="00C03527">
              <w:t xml:space="preserve">příliš pozitivní </w:t>
            </w:r>
            <w:r w:rsidRPr="004F7A66">
              <w:t>jako v případě zboží nebyla. Odrazila se i ve vývoji výsledné bilance</w:t>
            </w:r>
            <w:r w:rsidR="00A25DFC" w:rsidRPr="004F7A66">
              <w:t xml:space="preserve"> v</w:t>
            </w:r>
            <w:r w:rsidR="00C03527">
              <w:t> </w:t>
            </w:r>
            <w:r w:rsidR="00A25DFC" w:rsidRPr="004F7A66">
              <w:t>běžných cenách. Jestliže v letech 199</w:t>
            </w:r>
            <w:r w:rsidR="00827233" w:rsidRPr="004F7A66">
              <w:t xml:space="preserve">8–2003 </w:t>
            </w:r>
            <w:r w:rsidRPr="004F7A66">
              <w:t>přesahoval přebytek</w:t>
            </w:r>
            <w:r w:rsidR="000D2D24" w:rsidRPr="004F7A66">
              <w:t xml:space="preserve"> </w:t>
            </w:r>
            <w:r w:rsidRPr="004F7A66">
              <w:t>vždy</w:t>
            </w:r>
            <w:r w:rsidR="00827233" w:rsidRPr="004F7A66">
              <w:t xml:space="preserve"> hranici sta miliard korun, od roku 2004 dále </w:t>
            </w:r>
            <w:r w:rsidRPr="004F7A66">
              <w:t>této hodnoty již nikdy nedosáhl</w:t>
            </w:r>
            <w:r w:rsidR="00827233" w:rsidRPr="004F7A66">
              <w:t>. V roce 2014 činil rozdíl mezi vývozem služeb a jejich dovozem 54,5 mld. a byl tak vůbec nejnižší na</w:t>
            </w:r>
            <w:r w:rsidR="00355E94" w:rsidRPr="004F7A66">
              <w:t> </w:t>
            </w:r>
            <w:r w:rsidR="00827233" w:rsidRPr="004F7A66">
              <w:t>celé sledované časové řadě</w:t>
            </w:r>
            <w:r w:rsidR="000D2D24" w:rsidRPr="004F7A66">
              <w:t xml:space="preserve"> ohraničené roky 1995 a</w:t>
            </w:r>
            <w:r w:rsidR="00827233" w:rsidRPr="004F7A66">
              <w:t xml:space="preserve"> 2014.</w:t>
            </w:r>
          </w:p>
          <w:p w:rsidR="00083641" w:rsidRPr="004F7A66" w:rsidRDefault="00083641" w:rsidP="00083641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083641" w:rsidRPr="004F7A66" w:rsidTr="009D22D9">
        <w:tc>
          <w:tcPr>
            <w:tcW w:w="1054" w:type="pct"/>
          </w:tcPr>
          <w:p w:rsidR="00083641" w:rsidRPr="004F7A66" w:rsidRDefault="00B14456" w:rsidP="00F27FB4">
            <w:pPr>
              <w:spacing w:line="240" w:lineRule="auto"/>
              <w:rPr>
                <w:szCs w:val="20"/>
              </w:rPr>
            </w:pPr>
            <w:r w:rsidRPr="004F7A66">
              <w:rPr>
                <w:sz w:val="16"/>
                <w:szCs w:val="16"/>
              </w:rPr>
              <w:t>Vývoz zboží</w:t>
            </w:r>
            <w:r w:rsidR="00E42DB3" w:rsidRPr="004F7A66">
              <w:rPr>
                <w:sz w:val="16"/>
                <w:szCs w:val="16"/>
              </w:rPr>
              <w:t xml:space="preserve"> a služeb</w:t>
            </w:r>
            <w:r w:rsidR="00562377" w:rsidRPr="004F7A66">
              <w:rPr>
                <w:sz w:val="16"/>
                <w:szCs w:val="16"/>
              </w:rPr>
              <w:t xml:space="preserve"> z ČR stoupnul během let 1996–</w:t>
            </w:r>
            <w:r w:rsidRPr="004F7A66">
              <w:rPr>
                <w:sz w:val="16"/>
                <w:szCs w:val="16"/>
              </w:rPr>
              <w:t xml:space="preserve">2014 </w:t>
            </w:r>
            <w:r w:rsidR="00E42DB3" w:rsidRPr="004F7A66">
              <w:rPr>
                <w:sz w:val="16"/>
                <w:szCs w:val="16"/>
              </w:rPr>
              <w:t>2,5</w:t>
            </w:r>
            <w:r w:rsidRPr="004F7A66">
              <w:rPr>
                <w:sz w:val="16"/>
                <w:szCs w:val="16"/>
              </w:rPr>
              <w:t xml:space="preserve"> krát rychleji než </w:t>
            </w:r>
            <w:r w:rsidR="00483965" w:rsidRPr="004F7A66">
              <w:rPr>
                <w:sz w:val="16"/>
                <w:szCs w:val="16"/>
              </w:rPr>
              <w:t>vývoz</w:t>
            </w:r>
            <w:r w:rsidR="00866806" w:rsidRPr="004F7A66">
              <w:rPr>
                <w:sz w:val="16"/>
                <w:szCs w:val="16"/>
              </w:rPr>
              <w:t xml:space="preserve"> z EU. </w:t>
            </w:r>
            <w:r w:rsidR="00F27FB4">
              <w:rPr>
                <w:sz w:val="16"/>
                <w:szCs w:val="16"/>
              </w:rPr>
              <w:t>Č</w:t>
            </w:r>
            <w:r w:rsidRPr="004F7A66">
              <w:rPr>
                <w:sz w:val="16"/>
                <w:szCs w:val="16"/>
              </w:rPr>
              <w:t xml:space="preserve">eská ekonomika </w:t>
            </w:r>
            <w:r w:rsidR="00F27FB4" w:rsidRPr="004F7A66">
              <w:rPr>
                <w:sz w:val="16"/>
                <w:szCs w:val="16"/>
              </w:rPr>
              <w:t xml:space="preserve">překonala </w:t>
            </w:r>
            <w:r w:rsidRPr="004F7A66">
              <w:rPr>
                <w:sz w:val="16"/>
                <w:szCs w:val="16"/>
              </w:rPr>
              <w:t xml:space="preserve">EU </w:t>
            </w:r>
            <w:r w:rsidR="00F27FB4">
              <w:rPr>
                <w:sz w:val="16"/>
                <w:szCs w:val="16"/>
              </w:rPr>
              <w:t>rovněž v dovozu</w:t>
            </w:r>
            <w:r w:rsidR="00E42DB3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(jeho nárůst byl</w:t>
            </w:r>
            <w:r w:rsidR="00E42DB3" w:rsidRPr="004F7A66">
              <w:rPr>
                <w:sz w:val="16"/>
                <w:szCs w:val="16"/>
              </w:rPr>
              <w:t> vyšší 2,4</w:t>
            </w:r>
            <w:r w:rsidRPr="004F7A66">
              <w:rPr>
                <w:sz w:val="16"/>
                <w:szCs w:val="16"/>
              </w:rPr>
              <w:t> krát)</w:t>
            </w:r>
          </w:p>
        </w:tc>
        <w:tc>
          <w:tcPr>
            <w:tcW w:w="143" w:type="pct"/>
          </w:tcPr>
          <w:p w:rsidR="00083641" w:rsidRPr="004F7A66" w:rsidRDefault="00083641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3C7EDC" w:rsidRPr="004F7A66" w:rsidRDefault="00C03527" w:rsidP="003C7EDC">
            <w:pPr>
              <w:pStyle w:val="Textpoznpodarou"/>
              <w:jc w:val="both"/>
            </w:pPr>
            <w:r>
              <w:t>Jak je patrné z G</w:t>
            </w:r>
            <w:r w:rsidR="002401D9">
              <w:t>rafu č.</w:t>
            </w:r>
            <w:r w:rsidR="00083641" w:rsidRPr="004F7A66">
              <w:t xml:space="preserve"> 7, kumulativní nárůst objemu toků me</w:t>
            </w:r>
            <w:r w:rsidR="00B14456" w:rsidRPr="004F7A66">
              <w:t>zi českou ekonomikou a zahranič</w:t>
            </w:r>
            <w:r w:rsidR="00083641" w:rsidRPr="004F7A66">
              <w:t xml:space="preserve">ím </w:t>
            </w:r>
            <w:r w:rsidR="00B14456" w:rsidRPr="004F7A66">
              <w:t xml:space="preserve">byl </w:t>
            </w:r>
            <w:r w:rsidR="007B37A7" w:rsidRPr="004F7A66">
              <w:t>v letech 1996</w:t>
            </w:r>
            <w:r w:rsidR="00083641" w:rsidRPr="004F7A66">
              <w:t xml:space="preserve"> a</w:t>
            </w:r>
            <w:r w:rsidR="007B37A7" w:rsidRPr="004F7A66">
              <w:t>ž</w:t>
            </w:r>
            <w:r w:rsidR="00083641" w:rsidRPr="004F7A66">
              <w:t xml:space="preserve"> 2014 v </w:t>
            </w:r>
            <w:r w:rsidR="002A3349" w:rsidRPr="004F7A66">
              <w:t>porovnání</w:t>
            </w:r>
            <w:r w:rsidR="00083641" w:rsidRPr="004F7A66">
              <w:t xml:space="preserve"> s jejich </w:t>
            </w:r>
            <w:r w:rsidR="009A1CC5" w:rsidRPr="004F7A66">
              <w:t>navýšením</w:t>
            </w:r>
            <w:r w:rsidR="00083641" w:rsidRPr="004F7A66">
              <w:t xml:space="preserve"> v EU </w:t>
            </w:r>
            <w:r w:rsidR="002A3349" w:rsidRPr="004F7A66">
              <w:t>mohutnější</w:t>
            </w:r>
            <w:r w:rsidR="00083641" w:rsidRPr="004F7A66">
              <w:t xml:space="preserve">, </w:t>
            </w:r>
            <w:r w:rsidR="002A3349" w:rsidRPr="004F7A66">
              <w:t xml:space="preserve">za vývojem v Unii </w:t>
            </w:r>
            <w:r w:rsidR="00083641" w:rsidRPr="004F7A66">
              <w:t xml:space="preserve">zaostával pouze nárůst </w:t>
            </w:r>
            <w:r w:rsidR="002A3349" w:rsidRPr="004F7A66">
              <w:t>vývozu služeb</w:t>
            </w:r>
            <w:r w:rsidR="00E42DB3" w:rsidRPr="004F7A66">
              <w:t xml:space="preserve"> (ČR není v</w:t>
            </w:r>
            <w:r>
              <w:t>ýznamná</w:t>
            </w:r>
            <w:r w:rsidR="00E42DB3" w:rsidRPr="004F7A66">
              <w:t xml:space="preserve"> turistická destinace</w:t>
            </w:r>
            <w:r w:rsidR="0026114F">
              <w:t>,</w:t>
            </w:r>
            <w:r w:rsidR="00E42DB3" w:rsidRPr="004F7A66">
              <w:t xml:space="preserve"> a proto ani v tomto ohledu </w:t>
            </w:r>
            <w:r>
              <w:t>znatelněji neposilovala svoji</w:t>
            </w:r>
            <w:r w:rsidR="00E42DB3" w:rsidRPr="004F7A66">
              <w:t xml:space="preserve"> pozici jako například Řecko, ale ani jako </w:t>
            </w:r>
            <w:r w:rsidR="00833686" w:rsidRPr="004F7A66">
              <w:t>ICT</w:t>
            </w:r>
            <w:r w:rsidR="00E42DB3" w:rsidRPr="004F7A66">
              <w:t xml:space="preserve"> centrum, jako tomu bylo </w:t>
            </w:r>
            <w:r>
              <w:t>kupř.</w:t>
            </w:r>
            <w:r w:rsidR="00E42DB3" w:rsidRPr="004F7A66">
              <w:t xml:space="preserve"> v Irsku)</w:t>
            </w:r>
            <w:r w:rsidR="002A3349" w:rsidRPr="004F7A66">
              <w:t xml:space="preserve">. Zatímco úhrnný nárůst vývozu z ČR byl proti </w:t>
            </w:r>
            <w:r w:rsidR="009A1CC5" w:rsidRPr="004F7A66">
              <w:t>zvýšení vývozu z</w:t>
            </w:r>
            <w:r w:rsidR="00E42DB3" w:rsidRPr="004F7A66">
              <w:t> EU vyšší 2,5</w:t>
            </w:r>
            <w:r w:rsidR="002A3349" w:rsidRPr="004F7A66">
              <w:t xml:space="preserve"> krát</w:t>
            </w:r>
            <w:r w:rsidR="00E42DB3" w:rsidRPr="004F7A66">
              <w:t xml:space="preserve"> (v p</w:t>
            </w:r>
            <w:r w:rsidR="007934B1" w:rsidRPr="004F7A66">
              <w:t>řípadě samotného zboží dokonce 3</w:t>
            </w:r>
            <w:r w:rsidR="00E42DB3" w:rsidRPr="004F7A66">
              <w:t>,9</w:t>
            </w:r>
            <w:r w:rsidR="004B1AB4" w:rsidRPr="004F7A66">
              <w:t> </w:t>
            </w:r>
            <w:r w:rsidR="00E42DB3" w:rsidRPr="004F7A66">
              <w:t>krát)</w:t>
            </w:r>
            <w:r w:rsidR="004B1AB4" w:rsidRPr="004F7A66">
              <w:t xml:space="preserve">, </w:t>
            </w:r>
            <w:r w:rsidR="002A3349" w:rsidRPr="004F7A66">
              <w:t>růst dovozu do Česka byl</w:t>
            </w:r>
            <w:r w:rsidR="00355E94" w:rsidRPr="004F7A66">
              <w:t xml:space="preserve"> proti EU</w:t>
            </w:r>
            <w:r w:rsidR="002A3349" w:rsidRPr="004F7A66">
              <w:t xml:space="preserve"> </w:t>
            </w:r>
            <w:r w:rsidR="001B58B7" w:rsidRPr="004F7A66">
              <w:t xml:space="preserve">vyšší </w:t>
            </w:r>
            <w:r w:rsidR="00E42DB3" w:rsidRPr="004F7A66">
              <w:t>2,4</w:t>
            </w:r>
            <w:r w:rsidR="002A3349" w:rsidRPr="004F7A66">
              <w:t xml:space="preserve"> krát</w:t>
            </w:r>
            <w:r w:rsidR="00E42DB3" w:rsidRPr="004F7A66">
              <w:t xml:space="preserve"> (u</w:t>
            </w:r>
            <w:r w:rsidR="00483965" w:rsidRPr="004F7A66">
              <w:t> </w:t>
            </w:r>
            <w:r w:rsidR="00E42DB3" w:rsidRPr="004F7A66">
              <w:t>zboží 2,7 krát)</w:t>
            </w:r>
            <w:r w:rsidR="002A3349" w:rsidRPr="004F7A66">
              <w:t>.</w:t>
            </w:r>
          </w:p>
          <w:p w:rsidR="00083641" w:rsidRPr="004F7A66" w:rsidRDefault="00083641" w:rsidP="00355E94">
            <w:pPr>
              <w:pStyle w:val="Textpoznpodarou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D912CD" w:rsidRPr="004F7A66" w:rsidTr="009D22D9">
        <w:tc>
          <w:tcPr>
            <w:tcW w:w="1054" w:type="pct"/>
          </w:tcPr>
          <w:p w:rsidR="00D912CD" w:rsidRPr="004F7A66" w:rsidRDefault="00B14456" w:rsidP="00483965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Otevřenost české ekonomiky se za</w:t>
            </w:r>
            <w:r w:rsidR="00483965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posledních devatenáct let zvětšila více</w:t>
            </w:r>
            <w:r w:rsidR="00591351" w:rsidRPr="004F7A66">
              <w:rPr>
                <w:sz w:val="16"/>
                <w:szCs w:val="16"/>
              </w:rPr>
              <w:t>,</w:t>
            </w:r>
            <w:r w:rsidRPr="004F7A66">
              <w:rPr>
                <w:sz w:val="16"/>
                <w:szCs w:val="16"/>
              </w:rPr>
              <w:t xml:space="preserve"> než</w:t>
            </w:r>
            <w:r w:rsidR="00591351" w:rsidRPr="004F7A66">
              <w:rPr>
                <w:sz w:val="16"/>
                <w:szCs w:val="16"/>
              </w:rPr>
              <w:t> odpovídalo průměru za EU</w:t>
            </w:r>
          </w:p>
        </w:tc>
        <w:tc>
          <w:tcPr>
            <w:tcW w:w="143" w:type="pct"/>
          </w:tcPr>
          <w:p w:rsidR="00D912CD" w:rsidRPr="004F7A66" w:rsidRDefault="00D912CD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912CD" w:rsidRPr="004F7A66" w:rsidRDefault="00591351" w:rsidP="00355E94">
            <w:pPr>
              <w:pStyle w:val="Textpoznpodarou"/>
              <w:jc w:val="both"/>
            </w:pPr>
            <w:r w:rsidRPr="004F7A66">
              <w:t>U</w:t>
            </w:r>
            <w:r w:rsidR="00D912CD" w:rsidRPr="004F7A66">
              <w:t>vedené disproporce „hovořící“ o výrazně vyšším nárůstu vzájemných obchodů se zahraničním v případě ČR oproti EU mohou být poněkud relativizová</w:t>
            </w:r>
            <w:r w:rsidRPr="004F7A66">
              <w:t>ny „nízkým“ výchozím rokem 1995.</w:t>
            </w:r>
            <w:r w:rsidR="00D912CD" w:rsidRPr="004F7A66">
              <w:t xml:space="preserve"> </w:t>
            </w:r>
            <w:r w:rsidRPr="004F7A66">
              <w:t xml:space="preserve">I tak ale </w:t>
            </w:r>
            <w:r w:rsidR="00D912CD" w:rsidRPr="004F7A66">
              <w:t>ukazují, že otevřenost české ekonomiky se za posledních devatenáct let zvětšila více</w:t>
            </w:r>
            <w:r w:rsidR="00A25DFC" w:rsidRPr="004F7A66">
              <w:t>,</w:t>
            </w:r>
            <w:r w:rsidR="00D912CD" w:rsidRPr="004F7A66">
              <w:t xml:space="preserve"> než </w:t>
            </w:r>
            <w:r w:rsidR="00A25DFC" w:rsidRPr="004F7A66">
              <w:t>odpovídalo průměru za</w:t>
            </w:r>
            <w:r w:rsidR="00D912CD" w:rsidRPr="004F7A66">
              <w:t xml:space="preserve"> Unii. Komparativní výhoda české ekonomiky spočívala</w:t>
            </w:r>
            <w:r w:rsidR="00483965" w:rsidRPr="004F7A66">
              <w:t xml:space="preserve"> v tomto ohledu</w:t>
            </w:r>
            <w:r w:rsidR="00E42DB3" w:rsidRPr="004F7A66">
              <w:t xml:space="preserve"> především</w:t>
            </w:r>
            <w:r w:rsidR="00D912CD" w:rsidRPr="004F7A66">
              <w:t xml:space="preserve"> v</w:t>
            </w:r>
            <w:r w:rsidR="004B1AB4" w:rsidRPr="004F7A66">
              <w:t> </w:t>
            </w:r>
            <w:r w:rsidR="00D912CD" w:rsidRPr="004F7A66">
              <w:t>přílivu zahraničního kapitálu do zpracovatelského průmyslu, jenž vrcholil na</w:t>
            </w:r>
            <w:r w:rsidR="004B1AB4" w:rsidRPr="004F7A66">
              <w:t> </w:t>
            </w:r>
            <w:r w:rsidR="00D912CD" w:rsidRPr="004F7A66">
              <w:t>přelomu tisíciletí.</w:t>
            </w:r>
          </w:p>
          <w:p w:rsidR="00D912CD" w:rsidRPr="004F7A66" w:rsidRDefault="00D912CD" w:rsidP="00355E94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D912CD" w:rsidRPr="004F7A66" w:rsidTr="009D22D9">
        <w:tc>
          <w:tcPr>
            <w:tcW w:w="1054" w:type="pct"/>
          </w:tcPr>
          <w:p w:rsidR="00D912CD" w:rsidRPr="004F7A66" w:rsidRDefault="00B14456" w:rsidP="0056237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Přestože vzájemné toky zboží a služeb mezi Českem a zahr</w:t>
            </w:r>
            <w:r w:rsidR="009A59F1">
              <w:rPr>
                <w:sz w:val="16"/>
                <w:szCs w:val="16"/>
              </w:rPr>
              <w:t>anič</w:t>
            </w:r>
            <w:r w:rsidRPr="004F7A66">
              <w:rPr>
                <w:sz w:val="16"/>
                <w:szCs w:val="16"/>
              </w:rPr>
              <w:t xml:space="preserve">ím stouply výrazně, </w:t>
            </w:r>
            <w:r w:rsidR="00483965" w:rsidRPr="004F7A66">
              <w:rPr>
                <w:sz w:val="16"/>
                <w:szCs w:val="16"/>
              </w:rPr>
              <w:t>celkový</w:t>
            </w:r>
            <w:r w:rsidR="00562377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 xml:space="preserve">výsledek zahraničního obchodu </w:t>
            </w:r>
            <w:r w:rsidR="008E2611" w:rsidRPr="004F7A66">
              <w:rPr>
                <w:sz w:val="16"/>
                <w:szCs w:val="16"/>
              </w:rPr>
              <w:t>se na</w:t>
            </w:r>
            <w:r w:rsidRPr="004F7A66">
              <w:rPr>
                <w:sz w:val="16"/>
                <w:szCs w:val="16"/>
              </w:rPr>
              <w:t xml:space="preserve"> HDP</w:t>
            </w:r>
            <w:r w:rsidR="00B5023E" w:rsidRPr="004F7A66">
              <w:rPr>
                <w:sz w:val="16"/>
                <w:szCs w:val="16"/>
              </w:rPr>
              <w:t xml:space="preserve"> </w:t>
            </w:r>
            <w:r w:rsidR="008E2611" w:rsidRPr="004F7A66">
              <w:rPr>
                <w:sz w:val="16"/>
                <w:szCs w:val="16"/>
              </w:rPr>
              <w:t xml:space="preserve">podílí </w:t>
            </w:r>
            <w:r w:rsidR="007934B1" w:rsidRPr="004F7A66">
              <w:rPr>
                <w:sz w:val="16"/>
                <w:szCs w:val="16"/>
              </w:rPr>
              <w:t xml:space="preserve">stále </w:t>
            </w:r>
            <w:r w:rsidR="008E2611" w:rsidRPr="004F7A66">
              <w:rPr>
                <w:sz w:val="16"/>
                <w:szCs w:val="16"/>
              </w:rPr>
              <w:t>jen minimálně (v roce 2014 šlo dle údajů v běžných cenách o 6,7 %)</w:t>
            </w:r>
          </w:p>
        </w:tc>
        <w:tc>
          <w:tcPr>
            <w:tcW w:w="143" w:type="pct"/>
          </w:tcPr>
          <w:p w:rsidR="00D912CD" w:rsidRPr="004F7A66" w:rsidRDefault="00D912CD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912CD" w:rsidRPr="004F7A66" w:rsidRDefault="00591351" w:rsidP="00351AC4">
            <w:pPr>
              <w:pStyle w:val="Textpoznpodarou"/>
              <w:jc w:val="both"/>
            </w:pPr>
            <w:r w:rsidRPr="004F7A66">
              <w:t>I když n</w:t>
            </w:r>
            <w:r w:rsidR="00543260" w:rsidRPr="004F7A66">
              <w:t>ejvýrazněj</w:t>
            </w:r>
            <w:r w:rsidR="00D14FDB" w:rsidRPr="004F7A66">
              <w:t>i ros</w:t>
            </w:r>
            <w:r w:rsidR="00925FE2" w:rsidRPr="004F7A66">
              <w:t xml:space="preserve">toucí složky </w:t>
            </w:r>
            <w:r w:rsidR="00866806" w:rsidRPr="004F7A66">
              <w:t>HDP</w:t>
            </w:r>
            <w:r w:rsidR="00925FE2" w:rsidRPr="004F7A66">
              <w:t xml:space="preserve"> mezi roky</w:t>
            </w:r>
            <w:r w:rsidR="00D14FDB" w:rsidRPr="004F7A66">
              <w:t xml:space="preserve"> 1995 a 2014 </w:t>
            </w:r>
            <w:r w:rsidR="00543260" w:rsidRPr="004F7A66">
              <w:t>byly</w:t>
            </w:r>
            <w:r w:rsidR="00D14FDB" w:rsidRPr="004F7A66">
              <w:t xml:space="preserve"> v případě ČR toky </w:t>
            </w:r>
            <w:r w:rsidRPr="004F7A66">
              <w:t xml:space="preserve">zboží a služeb </w:t>
            </w:r>
            <w:r w:rsidR="00351AC4">
              <w:t>do zahraničí a ze zahraničí</w:t>
            </w:r>
            <w:r w:rsidRPr="004F7A66">
              <w:t>,</w:t>
            </w:r>
            <w:r w:rsidRPr="004F7A66">
              <w:rPr>
                <w:lang w:eastAsia="ar-SA"/>
              </w:rPr>
              <w:t xml:space="preserve"> p</w:t>
            </w:r>
            <w:r w:rsidR="00D14FDB" w:rsidRPr="004F7A66">
              <w:rPr>
                <w:lang w:eastAsia="ar-SA"/>
              </w:rPr>
              <w:t>o</w:t>
            </w:r>
            <w:r w:rsidR="006A5B08" w:rsidRPr="004F7A66">
              <w:rPr>
                <w:lang w:eastAsia="ar-SA"/>
              </w:rPr>
              <w:t xml:space="preserve"> jejich</w:t>
            </w:r>
            <w:r w:rsidR="00D14FDB" w:rsidRPr="004F7A66">
              <w:rPr>
                <w:lang w:eastAsia="ar-SA"/>
              </w:rPr>
              <w:t xml:space="preserve"> vzájemné kompenzaci</w:t>
            </w:r>
            <w:r w:rsidR="00543260" w:rsidRPr="004F7A66">
              <w:rPr>
                <w:lang w:eastAsia="ar-SA"/>
              </w:rPr>
              <w:t xml:space="preserve"> – tj.</w:t>
            </w:r>
            <w:r w:rsidR="004B1AB4" w:rsidRPr="004F7A66">
              <w:rPr>
                <w:lang w:eastAsia="ar-SA"/>
              </w:rPr>
              <w:t> </w:t>
            </w:r>
            <w:r w:rsidR="00543260" w:rsidRPr="004F7A66">
              <w:rPr>
                <w:lang w:eastAsia="ar-SA"/>
              </w:rPr>
              <w:t>ve</w:t>
            </w:r>
            <w:r w:rsidR="004B1AB4" w:rsidRPr="004F7A66">
              <w:rPr>
                <w:lang w:eastAsia="ar-SA"/>
              </w:rPr>
              <w:t> </w:t>
            </w:r>
            <w:r w:rsidR="00543260" w:rsidRPr="004F7A66">
              <w:rPr>
                <w:lang w:eastAsia="ar-SA"/>
              </w:rPr>
              <w:t>formě</w:t>
            </w:r>
            <w:r w:rsidR="00D14FDB" w:rsidRPr="004F7A66">
              <w:rPr>
                <w:lang w:eastAsia="ar-SA"/>
              </w:rPr>
              <w:t xml:space="preserve"> </w:t>
            </w:r>
            <w:r w:rsidR="00483965" w:rsidRPr="004F7A66">
              <w:rPr>
                <w:lang w:eastAsia="ar-SA"/>
              </w:rPr>
              <w:t xml:space="preserve">celkového </w:t>
            </w:r>
            <w:r w:rsidR="00D14FDB" w:rsidRPr="004F7A66">
              <w:rPr>
                <w:lang w:eastAsia="ar-SA"/>
              </w:rPr>
              <w:t>výsle</w:t>
            </w:r>
            <w:r w:rsidR="00543260" w:rsidRPr="004F7A66">
              <w:rPr>
                <w:lang w:eastAsia="ar-SA"/>
              </w:rPr>
              <w:t>d</w:t>
            </w:r>
            <w:r w:rsidR="00D14FDB" w:rsidRPr="004F7A66">
              <w:rPr>
                <w:lang w:eastAsia="ar-SA"/>
              </w:rPr>
              <w:t>k</w:t>
            </w:r>
            <w:r w:rsidR="00543260" w:rsidRPr="004F7A66">
              <w:rPr>
                <w:lang w:eastAsia="ar-SA"/>
              </w:rPr>
              <w:t>u</w:t>
            </w:r>
            <w:r w:rsidR="00D14FDB" w:rsidRPr="004F7A66">
              <w:rPr>
                <w:lang w:eastAsia="ar-SA"/>
              </w:rPr>
              <w:t xml:space="preserve"> zahraničního obchodu</w:t>
            </w:r>
            <w:r w:rsidR="00543260" w:rsidRPr="004F7A66">
              <w:rPr>
                <w:lang w:eastAsia="ar-SA"/>
              </w:rPr>
              <w:t xml:space="preserve"> –</w:t>
            </w:r>
            <w:r w:rsidR="00D14FDB" w:rsidRPr="004F7A66">
              <w:rPr>
                <w:lang w:eastAsia="ar-SA"/>
              </w:rPr>
              <w:t xml:space="preserve"> </w:t>
            </w:r>
            <w:r w:rsidR="008E2611" w:rsidRPr="004F7A66">
              <w:rPr>
                <w:lang w:eastAsia="ar-SA"/>
              </w:rPr>
              <w:t>se</w:t>
            </w:r>
            <w:r w:rsidR="002A4142" w:rsidRPr="004F7A66">
              <w:rPr>
                <w:lang w:eastAsia="ar-SA"/>
              </w:rPr>
              <w:t xml:space="preserve"> tyto toky</w:t>
            </w:r>
            <w:r w:rsidR="008E2611" w:rsidRPr="004F7A66">
              <w:rPr>
                <w:lang w:eastAsia="ar-SA"/>
              </w:rPr>
              <w:t xml:space="preserve"> na</w:t>
            </w:r>
            <w:r w:rsidR="009900F2" w:rsidRPr="004F7A66">
              <w:rPr>
                <w:lang w:eastAsia="ar-SA"/>
              </w:rPr>
              <w:t xml:space="preserve"> </w:t>
            </w:r>
            <w:r w:rsidR="008E2611" w:rsidRPr="004F7A66">
              <w:rPr>
                <w:lang w:eastAsia="ar-SA"/>
              </w:rPr>
              <w:t>tuzemském</w:t>
            </w:r>
            <w:r w:rsidR="00D14FDB" w:rsidRPr="004F7A66">
              <w:rPr>
                <w:lang w:eastAsia="ar-SA"/>
              </w:rPr>
              <w:t xml:space="preserve"> HDP</w:t>
            </w:r>
            <w:r w:rsidR="008E2611" w:rsidRPr="004F7A66">
              <w:rPr>
                <w:lang w:eastAsia="ar-SA"/>
              </w:rPr>
              <w:t xml:space="preserve"> podílely</w:t>
            </w:r>
            <w:r w:rsidR="00930C1E" w:rsidRPr="004F7A66">
              <w:rPr>
                <w:lang w:eastAsia="ar-SA"/>
              </w:rPr>
              <w:t xml:space="preserve"> stále</w:t>
            </w:r>
            <w:r w:rsidRPr="004F7A66">
              <w:rPr>
                <w:lang w:eastAsia="ar-SA"/>
              </w:rPr>
              <w:t xml:space="preserve"> </w:t>
            </w:r>
            <w:r w:rsidR="00543260" w:rsidRPr="004F7A66">
              <w:rPr>
                <w:lang w:eastAsia="ar-SA"/>
              </w:rPr>
              <w:t>jen minimálně (v</w:t>
            </w:r>
            <w:r w:rsidR="007D60F2" w:rsidRPr="004F7A66">
              <w:rPr>
                <w:lang w:eastAsia="ar-SA"/>
              </w:rPr>
              <w:t> </w:t>
            </w:r>
            <w:r w:rsidR="00B14456" w:rsidRPr="004F7A66">
              <w:rPr>
                <w:lang w:eastAsia="ar-SA"/>
              </w:rPr>
              <w:t>rekordním</w:t>
            </w:r>
            <w:r w:rsidR="00543260" w:rsidRPr="004F7A66">
              <w:rPr>
                <w:lang w:eastAsia="ar-SA"/>
              </w:rPr>
              <w:t xml:space="preserve"> roce 2014 </w:t>
            </w:r>
            <w:r w:rsidR="006A0589" w:rsidRPr="004F7A66">
              <w:rPr>
                <w:lang w:eastAsia="ar-SA"/>
              </w:rPr>
              <w:t>dosahoval podíl</w:t>
            </w:r>
            <w:r w:rsidR="007934B1" w:rsidRPr="004F7A66">
              <w:rPr>
                <w:lang w:eastAsia="ar-SA"/>
              </w:rPr>
              <w:t xml:space="preserve"> celkového výsledku zahraničního obchodu</w:t>
            </w:r>
            <w:r w:rsidR="006A0589" w:rsidRPr="004F7A66">
              <w:rPr>
                <w:lang w:eastAsia="ar-SA"/>
              </w:rPr>
              <w:t xml:space="preserve"> na HDP v běžných cenách</w:t>
            </w:r>
            <w:r w:rsidR="00543260" w:rsidRPr="004F7A66">
              <w:rPr>
                <w:lang w:eastAsia="ar-SA"/>
              </w:rPr>
              <w:t xml:space="preserve"> 6,7</w:t>
            </w:r>
            <w:r w:rsidR="00D30FDD" w:rsidRPr="004F7A66">
              <w:rPr>
                <w:lang w:eastAsia="ar-SA"/>
              </w:rPr>
              <w:t> </w:t>
            </w:r>
            <w:r w:rsidR="00543260" w:rsidRPr="004F7A66">
              <w:rPr>
                <w:lang w:eastAsia="ar-SA"/>
              </w:rPr>
              <w:t>%)</w:t>
            </w:r>
            <w:r w:rsidR="00D14FDB" w:rsidRPr="004F7A66">
              <w:rPr>
                <w:lang w:eastAsia="ar-SA"/>
              </w:rPr>
              <w:t xml:space="preserve">. Naproti tomu </w:t>
            </w:r>
            <w:r w:rsidR="009900F2" w:rsidRPr="004F7A66">
              <w:rPr>
                <w:lang w:eastAsia="ar-SA"/>
              </w:rPr>
              <w:t>pomaleji</w:t>
            </w:r>
            <w:r w:rsidR="00D14FDB" w:rsidRPr="004F7A66">
              <w:rPr>
                <w:lang w:eastAsia="ar-SA"/>
              </w:rPr>
              <w:t xml:space="preserve"> rostoucí složky </w:t>
            </w:r>
            <w:r w:rsidR="00866806" w:rsidRPr="004F7A66">
              <w:rPr>
                <w:lang w:eastAsia="ar-SA"/>
              </w:rPr>
              <w:t>HDP</w:t>
            </w:r>
            <w:r w:rsidR="004B1AB4" w:rsidRPr="004F7A66">
              <w:rPr>
                <w:lang w:eastAsia="ar-SA"/>
              </w:rPr>
              <w:t xml:space="preserve"> –</w:t>
            </w:r>
            <w:r w:rsidR="00D14FDB" w:rsidRPr="004F7A66">
              <w:rPr>
                <w:lang w:eastAsia="ar-SA"/>
              </w:rPr>
              <w:t xml:space="preserve"> to znamená výdaje n</w:t>
            </w:r>
            <w:r w:rsidR="00E23693" w:rsidRPr="004F7A66">
              <w:rPr>
                <w:lang w:eastAsia="ar-SA"/>
              </w:rPr>
              <w:t xml:space="preserve">a konečnou spotřebu domácností </w:t>
            </w:r>
            <w:r w:rsidR="00543260" w:rsidRPr="004F7A66">
              <w:rPr>
                <w:lang w:eastAsia="ar-SA"/>
              </w:rPr>
              <w:t>vč.</w:t>
            </w:r>
            <w:r w:rsidR="00D14FDB" w:rsidRPr="004F7A66">
              <w:rPr>
                <w:lang w:eastAsia="ar-SA"/>
              </w:rPr>
              <w:t xml:space="preserve"> neziskových institucí sloužících domácnostem</w:t>
            </w:r>
            <w:r w:rsidR="00E23693" w:rsidRPr="004F7A66">
              <w:rPr>
                <w:lang w:eastAsia="ar-SA"/>
              </w:rPr>
              <w:t xml:space="preserve"> (</w:t>
            </w:r>
            <w:r w:rsidR="00805AF9" w:rsidRPr="004F7A66">
              <w:rPr>
                <w:lang w:eastAsia="ar-SA"/>
              </w:rPr>
              <w:t>NISD</w:t>
            </w:r>
            <w:r w:rsidR="00E23693" w:rsidRPr="004F7A66">
              <w:rPr>
                <w:lang w:eastAsia="ar-SA"/>
              </w:rPr>
              <w:t>)</w:t>
            </w:r>
            <w:r w:rsidR="00D14FDB" w:rsidRPr="004F7A66">
              <w:rPr>
                <w:lang w:eastAsia="ar-SA"/>
              </w:rPr>
              <w:t xml:space="preserve">, výdaje na konečnou </w:t>
            </w:r>
            <w:r w:rsidR="00543260" w:rsidRPr="004F7A66">
              <w:rPr>
                <w:lang w:eastAsia="ar-SA"/>
              </w:rPr>
              <w:t>spotřebu vládních institucí,</w:t>
            </w:r>
            <w:r w:rsidR="00D14FDB" w:rsidRPr="004F7A66">
              <w:rPr>
                <w:lang w:eastAsia="ar-SA"/>
              </w:rPr>
              <w:t xml:space="preserve"> t</w:t>
            </w:r>
            <w:r w:rsidR="004B1AB4" w:rsidRPr="004F7A66">
              <w:rPr>
                <w:lang w:eastAsia="ar-SA"/>
              </w:rPr>
              <w:t>vorba hrubého kapitálu –</w:t>
            </w:r>
            <w:r w:rsidR="009900F2" w:rsidRPr="004F7A66">
              <w:rPr>
                <w:lang w:eastAsia="ar-SA"/>
              </w:rPr>
              <w:t xml:space="preserve"> </w:t>
            </w:r>
            <w:r w:rsidR="006A0589" w:rsidRPr="004F7A66">
              <w:rPr>
                <w:lang w:eastAsia="ar-SA"/>
              </w:rPr>
              <w:t>se na něm podílely</w:t>
            </w:r>
            <w:r w:rsidR="00D14FDB" w:rsidRPr="004F7A66">
              <w:rPr>
                <w:lang w:eastAsia="ar-SA"/>
              </w:rPr>
              <w:t xml:space="preserve"> větším dílem</w:t>
            </w:r>
            <w:r w:rsidR="00930C1E" w:rsidRPr="004F7A66">
              <w:rPr>
                <w:lang w:eastAsia="ar-SA"/>
              </w:rPr>
              <w:t>.</w:t>
            </w:r>
          </w:p>
        </w:tc>
      </w:tr>
    </w:tbl>
    <w:p w:rsidR="00F375B2" w:rsidRPr="00D30FDD" w:rsidRDefault="00F375B2" w:rsidP="002D1A33">
      <w:pPr>
        <w:rPr>
          <w:sz w:val="16"/>
          <w:szCs w:val="16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9"/>
        <w:gridCol w:w="4223"/>
        <w:gridCol w:w="729"/>
        <w:gridCol w:w="2677"/>
        <w:gridCol w:w="1526"/>
      </w:tblGrid>
      <w:tr w:rsidR="002D1A33" w:rsidRPr="004F7A66" w:rsidTr="002D1A33">
        <w:tc>
          <w:tcPr>
            <w:tcW w:w="353" w:type="pct"/>
          </w:tcPr>
          <w:p w:rsidR="002D1A33" w:rsidRPr="004F7A66" w:rsidRDefault="002D1A33" w:rsidP="00432B88">
            <w:pPr>
              <w:pStyle w:val="Textpoznpodarou"/>
            </w:pPr>
            <w:r w:rsidRPr="004F7A66">
              <w:t>Graf č. 9</w:t>
            </w:r>
          </w:p>
        </w:tc>
        <w:tc>
          <w:tcPr>
            <w:tcW w:w="2145" w:type="pct"/>
          </w:tcPr>
          <w:p w:rsidR="002D1A33" w:rsidRPr="004F7A66" w:rsidRDefault="00801F6C" w:rsidP="00801F6C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N</w:t>
            </w:r>
            <w:r w:rsidR="002D1A33" w:rsidRPr="004F7A66">
              <w:rPr>
                <w:b/>
              </w:rPr>
              <w:t>árůst výdajů na k</w:t>
            </w:r>
            <w:r w:rsidR="001D7B90" w:rsidRPr="004F7A66">
              <w:rPr>
                <w:b/>
              </w:rPr>
              <w:t>onečnou spotřebu domácností a NISD</w:t>
            </w:r>
            <w:r w:rsidR="002D1A33" w:rsidRPr="004F7A66">
              <w:rPr>
                <w:b/>
              </w:rPr>
              <w:t xml:space="preserve">* v zemích EU </w:t>
            </w:r>
            <w:r w:rsidRPr="004F7A66">
              <w:rPr>
                <w:b/>
              </w:rPr>
              <w:t>mezi roky</w:t>
            </w:r>
            <w:r w:rsidR="007B37A7" w:rsidRPr="004F7A66">
              <w:rPr>
                <w:b/>
              </w:rPr>
              <w:t xml:space="preserve"> 199</w:t>
            </w:r>
            <w:r w:rsidRPr="004F7A66">
              <w:rPr>
                <w:b/>
              </w:rPr>
              <w:t xml:space="preserve">5 a </w:t>
            </w:r>
            <w:r w:rsidR="002D1A33" w:rsidRPr="004F7A66">
              <w:rPr>
                <w:b/>
              </w:rPr>
              <w:t xml:space="preserve">2014** </w:t>
            </w:r>
            <w:r w:rsidR="002D1A33" w:rsidRPr="004F7A66">
              <w:t>(v %, reálně)</w:t>
            </w:r>
          </w:p>
        </w:tc>
        <w:tc>
          <w:tcPr>
            <w:tcW w:w="369" w:type="pct"/>
          </w:tcPr>
          <w:p w:rsidR="002D1A33" w:rsidRPr="004F7A66" w:rsidRDefault="002D1A33" w:rsidP="00432B88">
            <w:pPr>
              <w:pStyle w:val="Textpoznpodarou"/>
            </w:pPr>
            <w:r w:rsidRPr="004F7A66">
              <w:t>Graf č. 10</w:t>
            </w:r>
          </w:p>
        </w:tc>
        <w:tc>
          <w:tcPr>
            <w:tcW w:w="2134" w:type="pct"/>
            <w:gridSpan w:val="2"/>
          </w:tcPr>
          <w:p w:rsidR="002D1A33" w:rsidRPr="004F7A66" w:rsidRDefault="00801F6C" w:rsidP="002D1A33">
            <w:pPr>
              <w:pStyle w:val="Textpoznpodarou"/>
              <w:rPr>
                <w:b/>
                <w:spacing w:val="-6"/>
              </w:rPr>
            </w:pPr>
            <w:r w:rsidRPr="004F7A66">
              <w:rPr>
                <w:b/>
                <w:spacing w:val="-6"/>
              </w:rPr>
              <w:t>Z</w:t>
            </w:r>
            <w:r w:rsidR="00F63876" w:rsidRPr="004F7A66">
              <w:rPr>
                <w:b/>
                <w:spacing w:val="-6"/>
              </w:rPr>
              <w:t>měna</w:t>
            </w:r>
            <w:r w:rsidR="002D1A33" w:rsidRPr="004F7A66">
              <w:rPr>
                <w:b/>
                <w:spacing w:val="-6"/>
              </w:rPr>
              <w:t xml:space="preserve"> tvorby hrubého kapitálu v zemích EU </w:t>
            </w:r>
            <w:r w:rsidRPr="004F7A66">
              <w:rPr>
                <w:b/>
                <w:spacing w:val="-6"/>
              </w:rPr>
              <w:t>mezi roky</w:t>
            </w:r>
            <w:r w:rsidR="007B37A7" w:rsidRPr="004F7A66">
              <w:rPr>
                <w:b/>
                <w:spacing w:val="-6"/>
              </w:rPr>
              <w:t xml:space="preserve"> 199</w:t>
            </w:r>
            <w:r w:rsidRPr="004F7A66">
              <w:rPr>
                <w:b/>
                <w:spacing w:val="-6"/>
              </w:rPr>
              <w:t xml:space="preserve">5 a </w:t>
            </w:r>
            <w:r w:rsidR="002D1A33" w:rsidRPr="004F7A66">
              <w:rPr>
                <w:b/>
                <w:spacing w:val="-6"/>
              </w:rPr>
              <w:t>2014***</w:t>
            </w:r>
          </w:p>
          <w:p w:rsidR="002D1A33" w:rsidRPr="004F7A66" w:rsidRDefault="002D1A33" w:rsidP="002D1A33">
            <w:pPr>
              <w:pStyle w:val="Textpoznpodarou"/>
              <w:rPr>
                <w:spacing w:val="-4"/>
              </w:rPr>
            </w:pPr>
            <w:r w:rsidRPr="004F7A66">
              <w:rPr>
                <w:spacing w:val="-4"/>
              </w:rPr>
              <w:t>(v %, reálně)</w:t>
            </w:r>
          </w:p>
        </w:tc>
      </w:tr>
      <w:tr w:rsidR="002D1A33" w:rsidRPr="004F7A66" w:rsidTr="002D1A33">
        <w:tc>
          <w:tcPr>
            <w:tcW w:w="2497" w:type="pct"/>
            <w:gridSpan w:val="2"/>
          </w:tcPr>
          <w:p w:rsidR="002D1A33" w:rsidRPr="004F7A66" w:rsidRDefault="00F375B2" w:rsidP="00432B8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9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3" w:type="pct"/>
            <w:gridSpan w:val="3"/>
          </w:tcPr>
          <w:p w:rsidR="002D1A33" w:rsidRPr="004F7A66" w:rsidRDefault="00F375B2" w:rsidP="00432B8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7520" cy="2365375"/>
                  <wp:effectExtent l="19050" t="0" r="0" b="0"/>
                  <wp:docPr id="15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A33" w:rsidRPr="004F7A66" w:rsidTr="002D1A33">
        <w:tc>
          <w:tcPr>
            <w:tcW w:w="4227" w:type="pct"/>
            <w:gridSpan w:val="4"/>
          </w:tcPr>
          <w:p w:rsidR="002D1A33" w:rsidRPr="004F7A66" w:rsidRDefault="002D1A33" w:rsidP="00432B88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</w:t>
            </w:r>
            <w:r w:rsidR="00805AF9" w:rsidRPr="004F7A66">
              <w:rPr>
                <w:sz w:val="18"/>
                <w:szCs w:val="18"/>
              </w:rPr>
              <w:t xml:space="preserve"> NISD</w:t>
            </w:r>
            <w:r w:rsidRPr="004F7A66">
              <w:rPr>
                <w:sz w:val="18"/>
                <w:szCs w:val="18"/>
              </w:rPr>
              <w:t xml:space="preserve"> = Neziskové instituce sloužící domácnostem.</w:t>
            </w:r>
          </w:p>
          <w:p w:rsidR="002D1A33" w:rsidRPr="004F7A66" w:rsidRDefault="002D1A33" w:rsidP="00432B88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**Pozn.: Nedostupný údaj za Lucembursko a Maltu. Údaj za Bulharsko odpovídá nárůstu mezi roky 1996 a 2014, v případě Slovenska mezi roky 1997 a 2014.</w:t>
            </w:r>
          </w:p>
          <w:p w:rsidR="002D1A33" w:rsidRPr="004F7A66" w:rsidRDefault="002D1A33" w:rsidP="00F10192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***Pozn.: Nedostupný údaj za Lucembursko a Maltu. Údaj za </w:t>
            </w:r>
            <w:r w:rsidR="00F375B2" w:rsidRPr="004F7A66">
              <w:rPr>
                <w:sz w:val="18"/>
                <w:szCs w:val="18"/>
              </w:rPr>
              <w:t>Slovensko</w:t>
            </w:r>
            <w:r w:rsidR="008F3FF9" w:rsidRPr="004F7A66">
              <w:rPr>
                <w:sz w:val="18"/>
                <w:szCs w:val="18"/>
              </w:rPr>
              <w:t xml:space="preserve"> odpovídá</w:t>
            </w:r>
            <w:r w:rsidR="00F375B2" w:rsidRPr="004F7A66">
              <w:rPr>
                <w:sz w:val="18"/>
                <w:szCs w:val="18"/>
              </w:rPr>
              <w:t xml:space="preserve"> nárůstu mezi roky 1997 a 2014</w:t>
            </w:r>
            <w:r w:rsidRPr="004F7A66">
              <w:rPr>
                <w:sz w:val="18"/>
                <w:szCs w:val="18"/>
              </w:rPr>
              <w:t xml:space="preserve">. Údaj za Bulharsko do grafu nebyl zahrnut z důvodu </w:t>
            </w:r>
            <w:r w:rsidR="00F10192">
              <w:rPr>
                <w:sz w:val="18"/>
                <w:szCs w:val="18"/>
              </w:rPr>
              <w:t>nestandardně vysokého</w:t>
            </w:r>
            <w:r w:rsidRPr="004F7A66">
              <w:rPr>
                <w:sz w:val="18"/>
                <w:szCs w:val="18"/>
              </w:rPr>
              <w:t xml:space="preserve"> kumulativního růstu (o více než 3000 %).</w:t>
            </w:r>
          </w:p>
        </w:tc>
        <w:tc>
          <w:tcPr>
            <w:tcW w:w="773" w:type="pct"/>
          </w:tcPr>
          <w:p w:rsidR="002D1A33" w:rsidRPr="004F7A66" w:rsidRDefault="002D1A33" w:rsidP="00F63876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Zdroj: </w:t>
            </w:r>
            <w:proofErr w:type="spellStart"/>
            <w:r w:rsidRPr="004F7A66">
              <w:rPr>
                <w:sz w:val="18"/>
                <w:szCs w:val="18"/>
              </w:rPr>
              <w:t>Eurostat</w:t>
            </w:r>
            <w:proofErr w:type="spellEnd"/>
            <w:r w:rsidRPr="004F7A66">
              <w:rPr>
                <w:sz w:val="18"/>
                <w:szCs w:val="18"/>
              </w:rPr>
              <w:t>, vlastní výpočty</w:t>
            </w:r>
          </w:p>
        </w:tc>
      </w:tr>
    </w:tbl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9900F2" w:rsidRPr="004F7A66" w:rsidTr="007D60F2">
        <w:tc>
          <w:tcPr>
            <w:tcW w:w="1054" w:type="pct"/>
          </w:tcPr>
          <w:p w:rsidR="009900F2" w:rsidRPr="004F7A66" w:rsidRDefault="00F169BF" w:rsidP="00F169BF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 xml:space="preserve">V porovnání s Unií </w:t>
            </w:r>
            <w:r w:rsidR="007D60F2" w:rsidRPr="004F7A66">
              <w:rPr>
                <w:sz w:val="16"/>
                <w:szCs w:val="16"/>
              </w:rPr>
              <w:t xml:space="preserve">rostly v ČR </w:t>
            </w:r>
            <w:r w:rsidRPr="004F7A66">
              <w:rPr>
                <w:sz w:val="16"/>
                <w:szCs w:val="16"/>
              </w:rPr>
              <w:t>rychleji</w:t>
            </w:r>
            <w:r w:rsidR="007D60F2" w:rsidRPr="004F7A66">
              <w:rPr>
                <w:sz w:val="16"/>
                <w:szCs w:val="16"/>
              </w:rPr>
              <w:t xml:space="preserve"> i výdaje na</w:t>
            </w:r>
            <w:r w:rsidRPr="004F7A66">
              <w:rPr>
                <w:sz w:val="16"/>
                <w:szCs w:val="16"/>
              </w:rPr>
              <w:t> </w:t>
            </w:r>
            <w:r w:rsidR="007D60F2" w:rsidRPr="004F7A66">
              <w:rPr>
                <w:sz w:val="16"/>
                <w:szCs w:val="16"/>
              </w:rPr>
              <w:t>k</w:t>
            </w:r>
            <w:r w:rsidRPr="004F7A66">
              <w:rPr>
                <w:sz w:val="16"/>
                <w:szCs w:val="16"/>
              </w:rPr>
              <w:t>onečnou spotřebu domácností a NISD</w:t>
            </w:r>
            <w:r w:rsidR="00F30470" w:rsidRPr="004F7A66">
              <w:rPr>
                <w:sz w:val="16"/>
                <w:szCs w:val="16"/>
              </w:rPr>
              <w:t>,</w:t>
            </w:r>
            <w:r w:rsidRPr="004F7A66">
              <w:rPr>
                <w:sz w:val="16"/>
                <w:szCs w:val="16"/>
              </w:rPr>
              <w:t xml:space="preserve"> a</w:t>
            </w:r>
            <w:r w:rsidR="00F30470" w:rsidRPr="004F7A66">
              <w:rPr>
                <w:sz w:val="16"/>
                <w:szCs w:val="16"/>
              </w:rPr>
              <w:t>le také</w:t>
            </w:r>
            <w:r w:rsidR="00F10192">
              <w:rPr>
                <w:sz w:val="16"/>
                <w:szCs w:val="16"/>
              </w:rPr>
              <w:t> </w:t>
            </w:r>
            <w:r w:rsidR="007D60F2" w:rsidRPr="004F7A66">
              <w:rPr>
                <w:sz w:val="16"/>
                <w:szCs w:val="16"/>
              </w:rPr>
              <w:t>tvorba hrubého kapitálu</w:t>
            </w:r>
          </w:p>
        </w:tc>
        <w:tc>
          <w:tcPr>
            <w:tcW w:w="143" w:type="pct"/>
          </w:tcPr>
          <w:p w:rsidR="009900F2" w:rsidRPr="004F7A66" w:rsidRDefault="009900F2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9900F2" w:rsidRPr="004F7A66" w:rsidRDefault="009900F2" w:rsidP="00432B88">
            <w:pPr>
              <w:pStyle w:val="Textpoznpodarou"/>
              <w:jc w:val="both"/>
            </w:pPr>
            <w:r w:rsidRPr="004F7A66">
              <w:t xml:space="preserve">Nárůst výdajů na konečnou spotřebu domácností </w:t>
            </w:r>
            <w:r w:rsidR="00543260" w:rsidRPr="004F7A66">
              <w:t xml:space="preserve">a </w:t>
            </w:r>
            <w:r w:rsidR="00805AF9" w:rsidRPr="004F7A66">
              <w:rPr>
                <w:lang w:eastAsia="ar-SA"/>
              </w:rPr>
              <w:t>NISD</w:t>
            </w:r>
            <w:r w:rsidR="00483965" w:rsidRPr="004F7A66">
              <w:rPr>
                <w:lang w:eastAsia="ar-SA"/>
              </w:rPr>
              <w:t xml:space="preserve"> dosáhl za roky 1996 až </w:t>
            </w:r>
            <w:r w:rsidRPr="004F7A66">
              <w:rPr>
                <w:lang w:eastAsia="ar-SA"/>
              </w:rPr>
              <w:t>2014</w:t>
            </w:r>
            <w:r w:rsidR="002A4142" w:rsidRPr="004F7A66">
              <w:rPr>
                <w:lang w:eastAsia="ar-SA"/>
              </w:rPr>
              <w:t xml:space="preserve"> celkově</w:t>
            </w:r>
            <w:r w:rsidRPr="004F7A66">
              <w:rPr>
                <w:lang w:eastAsia="ar-SA"/>
              </w:rPr>
              <w:t xml:space="preserve"> </w:t>
            </w:r>
            <w:r w:rsidR="002A4142" w:rsidRPr="004F7A66">
              <w:rPr>
                <w:lang w:eastAsia="ar-SA"/>
              </w:rPr>
              <w:t>+</w:t>
            </w:r>
            <w:r w:rsidR="00543260" w:rsidRPr="004F7A66">
              <w:rPr>
                <w:lang w:eastAsia="ar-SA"/>
              </w:rPr>
              <w:t xml:space="preserve">53,2 %. </w:t>
            </w:r>
            <w:r w:rsidR="002A4142" w:rsidRPr="004F7A66">
              <w:rPr>
                <w:lang w:eastAsia="ar-SA"/>
              </w:rPr>
              <w:t>Úhrnné</w:t>
            </w:r>
            <w:r w:rsidRPr="004F7A66">
              <w:rPr>
                <w:lang w:eastAsia="ar-SA"/>
              </w:rPr>
              <w:t xml:space="preserve"> navýšení tvorby hrubého kapitálu představovalo rovných </w:t>
            </w:r>
            <w:r w:rsidR="002A4142" w:rsidRPr="004F7A66">
              <w:rPr>
                <w:lang w:eastAsia="ar-SA"/>
              </w:rPr>
              <w:t>+</w:t>
            </w:r>
            <w:r w:rsidRPr="004F7A66">
              <w:rPr>
                <w:lang w:eastAsia="ar-SA"/>
              </w:rPr>
              <w:t>42 %</w:t>
            </w:r>
            <w:r w:rsidR="00543260" w:rsidRPr="004F7A66">
              <w:rPr>
                <w:lang w:eastAsia="ar-SA"/>
              </w:rPr>
              <w:t xml:space="preserve"> (v případě samotných investic, tedy tvorby hrubého fixního kapitálu, šlo o mírně vyšších </w:t>
            </w:r>
            <w:r w:rsidR="002A4142" w:rsidRPr="004F7A66">
              <w:rPr>
                <w:lang w:eastAsia="ar-SA"/>
              </w:rPr>
              <w:t>+</w:t>
            </w:r>
            <w:r w:rsidR="00543260" w:rsidRPr="004F7A66">
              <w:rPr>
                <w:lang w:eastAsia="ar-SA"/>
              </w:rPr>
              <w:t>43,8 %)</w:t>
            </w:r>
            <w:r w:rsidRPr="004F7A66">
              <w:rPr>
                <w:lang w:eastAsia="ar-SA"/>
              </w:rPr>
              <w:t xml:space="preserve">. V obou případech </w:t>
            </w:r>
            <w:r w:rsidR="00543260" w:rsidRPr="004F7A66">
              <w:rPr>
                <w:lang w:eastAsia="ar-SA"/>
              </w:rPr>
              <w:t>se jednalo</w:t>
            </w:r>
            <w:r w:rsidRPr="004F7A66">
              <w:rPr>
                <w:lang w:eastAsia="ar-SA"/>
              </w:rPr>
              <w:t xml:space="preserve"> o vyšší </w:t>
            </w:r>
            <w:r w:rsidR="00543260" w:rsidRPr="004F7A66">
              <w:rPr>
                <w:lang w:eastAsia="ar-SA"/>
              </w:rPr>
              <w:t>ná</w:t>
            </w:r>
            <w:r w:rsidRPr="004F7A66">
              <w:rPr>
                <w:lang w:eastAsia="ar-SA"/>
              </w:rPr>
              <w:t>růsty než</w:t>
            </w:r>
            <w:r w:rsidR="00543260" w:rsidRPr="004F7A66">
              <w:rPr>
                <w:lang w:eastAsia="ar-SA"/>
              </w:rPr>
              <w:t> </w:t>
            </w:r>
            <w:r w:rsidRPr="004F7A66">
              <w:rPr>
                <w:lang w:eastAsia="ar-SA"/>
              </w:rPr>
              <w:t>v </w:t>
            </w:r>
            <w:r w:rsidR="00543260" w:rsidRPr="004F7A66">
              <w:rPr>
                <w:lang w:eastAsia="ar-SA"/>
              </w:rPr>
              <w:t>Unii</w:t>
            </w:r>
            <w:r w:rsidRPr="004F7A66">
              <w:rPr>
                <w:lang w:eastAsia="ar-SA"/>
              </w:rPr>
              <w:t xml:space="preserve"> jako celku.</w:t>
            </w:r>
          </w:p>
          <w:p w:rsidR="009900F2" w:rsidRPr="004F7A66" w:rsidRDefault="009900F2" w:rsidP="00432B88">
            <w:pPr>
              <w:pStyle w:val="Textpoznpodarou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9900F2" w:rsidRPr="004F7A66" w:rsidTr="00E37132">
        <w:trPr>
          <w:trHeight w:val="1575"/>
        </w:trPr>
        <w:tc>
          <w:tcPr>
            <w:tcW w:w="1054" w:type="pct"/>
          </w:tcPr>
          <w:p w:rsidR="009900F2" w:rsidRPr="004F7A66" w:rsidRDefault="007D60F2" w:rsidP="00216DF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Zatímco roky konjunktury </w:t>
            </w:r>
            <w:r w:rsidR="00B5023E" w:rsidRPr="004F7A66">
              <w:rPr>
                <w:sz w:val="16"/>
                <w:szCs w:val="16"/>
              </w:rPr>
              <w:t>ne</w:t>
            </w:r>
            <w:r w:rsidRPr="004F7A66">
              <w:rPr>
                <w:sz w:val="16"/>
                <w:szCs w:val="16"/>
              </w:rPr>
              <w:t>byly pro dlouhodobý nárůst spotřeby domácností a NISD nikterak specifické, pro</w:t>
            </w:r>
            <w:r w:rsidR="00216DF8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růst tvorby hrubého kapitálu byly klíčové, …</w:t>
            </w:r>
          </w:p>
        </w:tc>
        <w:tc>
          <w:tcPr>
            <w:tcW w:w="143" w:type="pct"/>
          </w:tcPr>
          <w:p w:rsidR="009900F2" w:rsidRPr="004F7A66" w:rsidRDefault="009900F2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A4142" w:rsidRPr="004F7A66" w:rsidRDefault="009900F2" w:rsidP="00805AF9">
            <w:pPr>
              <w:pStyle w:val="Textpoznpodarou"/>
              <w:jc w:val="both"/>
            </w:pPr>
            <w:r w:rsidRPr="004F7A66">
              <w:t xml:space="preserve">Co se týče </w:t>
            </w:r>
            <w:r w:rsidR="00543260" w:rsidRPr="004F7A66">
              <w:t>výdajů na konečnou spotřebu</w:t>
            </w:r>
            <w:r w:rsidR="00132DB4" w:rsidRPr="004F7A66">
              <w:t xml:space="preserve"> domácností a</w:t>
            </w:r>
            <w:r w:rsidR="00805AF9" w:rsidRPr="004F7A66">
              <w:t xml:space="preserve"> NISD</w:t>
            </w:r>
            <w:r w:rsidR="00E23693" w:rsidRPr="004F7A66">
              <w:t>, neplatilo, že největší část</w:t>
            </w:r>
            <w:r w:rsidR="00543260" w:rsidRPr="004F7A66">
              <w:t xml:space="preserve"> jejich</w:t>
            </w:r>
            <w:r w:rsidR="00E23693" w:rsidRPr="004F7A66">
              <w:t xml:space="preserve"> nárůstu </w:t>
            </w:r>
            <w:r w:rsidR="00483965" w:rsidRPr="004F7A66">
              <w:t>připadla</w:t>
            </w:r>
            <w:r w:rsidR="00E23693" w:rsidRPr="004F7A66">
              <w:t xml:space="preserve"> </w:t>
            </w:r>
            <w:r w:rsidR="00483965" w:rsidRPr="004F7A66">
              <w:t>na roky</w:t>
            </w:r>
            <w:r w:rsidR="00E23693" w:rsidRPr="004F7A66">
              <w:t xml:space="preserve"> konjunktury</w:t>
            </w:r>
            <w:r w:rsidR="002A4142" w:rsidRPr="004F7A66">
              <w:t xml:space="preserve"> české ekonomiky</w:t>
            </w:r>
            <w:r w:rsidR="00E23693" w:rsidRPr="004F7A66">
              <w:t>. Na celkovém</w:t>
            </w:r>
            <w:r w:rsidR="00F30470" w:rsidRPr="004F7A66">
              <w:t xml:space="preserve"> procentuálním</w:t>
            </w:r>
            <w:r w:rsidR="00E23693" w:rsidRPr="004F7A66">
              <w:t xml:space="preserve"> navýšení</w:t>
            </w:r>
            <w:r w:rsidR="00543260" w:rsidRPr="004F7A66">
              <w:t xml:space="preserve"> spotřeby</w:t>
            </w:r>
            <w:r w:rsidR="00E23693" w:rsidRPr="004F7A66">
              <w:t xml:space="preserve"> se</w:t>
            </w:r>
            <w:r w:rsidR="00543260" w:rsidRPr="004F7A66">
              <w:t xml:space="preserve"> totiž</w:t>
            </w:r>
            <w:r w:rsidR="00E23693" w:rsidRPr="004F7A66">
              <w:t xml:space="preserve"> </w:t>
            </w:r>
            <w:r w:rsidR="00206D91" w:rsidRPr="004F7A66">
              <w:t>léta 2004–</w:t>
            </w:r>
            <w:r w:rsidR="00483965" w:rsidRPr="004F7A66">
              <w:t>2008 podílela</w:t>
            </w:r>
            <w:r w:rsidR="00E23693" w:rsidRPr="004F7A66">
              <w:t xml:space="preserve"> pouze jednou třetinou. Naproti tomu pro úhrnný nárůst tvorby hrubé</w:t>
            </w:r>
            <w:r w:rsidR="00866806" w:rsidRPr="004F7A66">
              <w:t>ho</w:t>
            </w:r>
            <w:r w:rsidR="00E23693" w:rsidRPr="004F7A66">
              <w:t xml:space="preserve"> kapitálu byly tyto roky klíčové –</w:t>
            </w:r>
            <w:r w:rsidR="00C13B08" w:rsidRPr="004F7A66">
              <w:t xml:space="preserve"> </w:t>
            </w:r>
            <w:r w:rsidR="00E23693" w:rsidRPr="004F7A66">
              <w:t xml:space="preserve">tvorba hrubého kapitálu </w:t>
            </w:r>
            <w:r w:rsidR="00C13B08" w:rsidRPr="004F7A66">
              <w:t xml:space="preserve">během nich stoupla </w:t>
            </w:r>
            <w:r w:rsidR="00E23693" w:rsidRPr="004F7A66">
              <w:t>o 43,9 %, tedy</w:t>
            </w:r>
            <w:r w:rsidR="00132DB4" w:rsidRPr="004F7A66">
              <w:t xml:space="preserve"> dokonce</w:t>
            </w:r>
            <w:r w:rsidR="00866806" w:rsidRPr="004F7A66">
              <w:t xml:space="preserve"> více</w:t>
            </w:r>
            <w:r w:rsidR="00562377" w:rsidRPr="004F7A66">
              <w:t xml:space="preserve"> než za celé období 1996–</w:t>
            </w:r>
            <w:r w:rsidR="002B303B" w:rsidRPr="004F7A66">
              <w:t>2014.</w:t>
            </w:r>
          </w:p>
          <w:p w:rsidR="00805AF9" w:rsidRPr="004F7A66" w:rsidRDefault="00805AF9" w:rsidP="00805AF9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2A4142" w:rsidRPr="004F7A66" w:rsidTr="00E37132">
        <w:trPr>
          <w:trHeight w:val="1860"/>
        </w:trPr>
        <w:tc>
          <w:tcPr>
            <w:tcW w:w="1054" w:type="pct"/>
          </w:tcPr>
          <w:p w:rsidR="002A4142" w:rsidRPr="004F7A66" w:rsidRDefault="00AE4100" w:rsidP="007D60F2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…což </w:t>
            </w:r>
            <w:r w:rsidR="007D60F2" w:rsidRPr="004F7A66">
              <w:rPr>
                <w:sz w:val="16"/>
                <w:szCs w:val="16"/>
              </w:rPr>
              <w:t>dokresluje, že spotřeba domácností se v čase vyvíjí poměrně stabilně, nikoliv však tvorba hrubého kapitálu</w:t>
            </w:r>
          </w:p>
        </w:tc>
        <w:tc>
          <w:tcPr>
            <w:tcW w:w="143" w:type="pct"/>
          </w:tcPr>
          <w:p w:rsidR="002A4142" w:rsidRPr="004F7A66" w:rsidRDefault="002A4142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A4142" w:rsidRPr="004F7A66" w:rsidRDefault="002A4142" w:rsidP="00805AF9">
            <w:pPr>
              <w:pStyle w:val="Textpoznpodarou"/>
              <w:jc w:val="both"/>
            </w:pPr>
            <w:r w:rsidRPr="004F7A66">
              <w:t>Uvedené údaje dokreslují, že spotřeba domácností je stabilní složkou poptávky a</w:t>
            </w:r>
            <w:r w:rsidR="000339DC" w:rsidRPr="004F7A66">
              <w:t> </w:t>
            </w:r>
            <w:r w:rsidRPr="004F7A66">
              <w:t xml:space="preserve">její dynamika se v jednotlivých obdobích mění </w:t>
            </w:r>
            <w:r w:rsidR="008A0552" w:rsidRPr="004F7A66">
              <w:t>poměrně</w:t>
            </w:r>
            <w:r w:rsidRPr="004F7A66">
              <w:t xml:space="preserve"> málo</w:t>
            </w:r>
            <w:r w:rsidR="002C1146" w:rsidRPr="004F7A66">
              <w:t xml:space="preserve">. Příčinou je fakt, že </w:t>
            </w:r>
            <w:r w:rsidRPr="004F7A66">
              <w:t xml:space="preserve">velká část spotřeby domácností představuje nákupy zboží a služeb nezbytného </w:t>
            </w:r>
            <w:r w:rsidR="002C1146" w:rsidRPr="004F7A66">
              <w:t>charakteru</w:t>
            </w:r>
            <w:r w:rsidRPr="004F7A66">
              <w:t xml:space="preserve">. </w:t>
            </w:r>
            <w:r w:rsidR="00880224" w:rsidRPr="004F7A66">
              <w:t xml:space="preserve">Tvorba hrubého kapitálu se </w:t>
            </w:r>
            <w:r w:rsidR="008A0552" w:rsidRPr="004F7A66">
              <w:t>ale</w:t>
            </w:r>
            <w:r w:rsidR="00880224" w:rsidRPr="004F7A66">
              <w:t xml:space="preserve"> v průběhu času mění výrazně. J</w:t>
            </w:r>
            <w:r w:rsidRPr="004F7A66">
              <w:t>e</w:t>
            </w:r>
            <w:r w:rsidR="008A0552" w:rsidRPr="004F7A66">
              <w:t xml:space="preserve"> totiž</w:t>
            </w:r>
            <w:r w:rsidRPr="004F7A66">
              <w:t xml:space="preserve"> určována především investicemi nefinančních podniků</w:t>
            </w:r>
            <w:r w:rsidR="00880224" w:rsidRPr="004F7A66">
              <w:t>,</w:t>
            </w:r>
            <w:r w:rsidRPr="004F7A66">
              <w:t xml:space="preserve"> </w:t>
            </w:r>
            <w:r w:rsidR="00880224" w:rsidRPr="004F7A66">
              <w:t>a proto je</w:t>
            </w:r>
            <w:r w:rsidR="008A0552" w:rsidRPr="004F7A66">
              <w:t> </w:t>
            </w:r>
            <w:r w:rsidR="00880224" w:rsidRPr="004F7A66">
              <w:t xml:space="preserve">výrazně </w:t>
            </w:r>
            <w:r w:rsidR="00782D67">
              <w:t>ovlivňována očekáváním manažerů. N</w:t>
            </w:r>
            <w:r w:rsidR="00880224" w:rsidRPr="004F7A66">
              <w:t xml:space="preserve">avíc </w:t>
            </w:r>
            <w:r w:rsidR="003F5795" w:rsidRPr="004F7A66">
              <w:t>velkou váhu v</w:t>
            </w:r>
            <w:r w:rsidR="008A0552" w:rsidRPr="004F7A66">
              <w:t> tvorbě hrubého kapitálu mají také</w:t>
            </w:r>
            <w:r w:rsidR="00C72256" w:rsidRPr="004F7A66">
              <w:t xml:space="preserve"> investice vládních institucí, </w:t>
            </w:r>
            <w:r w:rsidR="00880224" w:rsidRPr="004F7A66">
              <w:t xml:space="preserve">a ty jsou </w:t>
            </w:r>
            <w:r w:rsidR="008A0552" w:rsidRPr="004F7A66">
              <w:t>dány i</w:t>
            </w:r>
            <w:r w:rsidR="00880224" w:rsidRPr="004F7A66">
              <w:t xml:space="preserve"> politickým cyklem</w:t>
            </w:r>
            <w:r w:rsidR="00483965" w:rsidRPr="004F7A66">
              <w:t>.</w:t>
            </w:r>
            <w:r w:rsidR="00880224" w:rsidRPr="004F7A66">
              <w:t xml:space="preserve"> D</w:t>
            </w:r>
            <w:r w:rsidR="00C72256" w:rsidRPr="004F7A66">
              <w:t>ynamika</w:t>
            </w:r>
            <w:r w:rsidR="007D60F2" w:rsidRPr="004F7A66">
              <w:t xml:space="preserve"> </w:t>
            </w:r>
            <w:r w:rsidR="00880224" w:rsidRPr="004F7A66">
              <w:t>tvorby hrubého kapitálu tak kolísá</w:t>
            </w:r>
            <w:r w:rsidR="007D60F2" w:rsidRPr="004F7A66">
              <w:t>.</w:t>
            </w:r>
          </w:p>
          <w:p w:rsidR="002A4142" w:rsidRPr="004F7A66" w:rsidRDefault="002A4142" w:rsidP="00805AF9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805AF9" w:rsidRPr="004F7A66" w:rsidTr="00E37132">
        <w:tc>
          <w:tcPr>
            <w:tcW w:w="1054" w:type="pct"/>
          </w:tcPr>
          <w:p w:rsidR="00805AF9" w:rsidRPr="004F7A66" w:rsidRDefault="007D60F2" w:rsidP="0030332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Výdaje na konečnou spotřebu vládních</w:t>
            </w:r>
            <w:r w:rsidR="00866806" w:rsidRPr="004F7A66">
              <w:rPr>
                <w:sz w:val="16"/>
                <w:szCs w:val="16"/>
              </w:rPr>
              <w:t xml:space="preserve"> institucí</w:t>
            </w:r>
            <w:r w:rsidRPr="004F7A66">
              <w:rPr>
                <w:sz w:val="16"/>
                <w:szCs w:val="16"/>
              </w:rPr>
              <w:t xml:space="preserve"> narostly</w:t>
            </w:r>
            <w:r w:rsidR="00B12812" w:rsidRPr="004F7A66">
              <w:rPr>
                <w:sz w:val="16"/>
                <w:szCs w:val="16"/>
              </w:rPr>
              <w:t xml:space="preserve"> v Česku</w:t>
            </w:r>
            <w:r w:rsidRPr="004F7A66">
              <w:rPr>
                <w:sz w:val="16"/>
                <w:szCs w:val="16"/>
              </w:rPr>
              <w:t xml:space="preserve"> méně než v EU – z hlediska dlouhodobého růstu HD</w:t>
            </w:r>
            <w:r w:rsidR="00303324" w:rsidRPr="004F7A66">
              <w:rPr>
                <w:sz w:val="16"/>
                <w:szCs w:val="16"/>
              </w:rPr>
              <w:t>P negativum, z pohledu zvyšování</w:t>
            </w:r>
            <w:r w:rsidRPr="004F7A66">
              <w:rPr>
                <w:sz w:val="16"/>
                <w:szCs w:val="16"/>
              </w:rPr>
              <w:t xml:space="preserve"> dluhu sektoru</w:t>
            </w:r>
            <w:r w:rsidR="00303324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vládních institucí</w:t>
            </w:r>
            <w:r w:rsidR="00303324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pozitivum</w:t>
            </w:r>
          </w:p>
        </w:tc>
        <w:tc>
          <w:tcPr>
            <w:tcW w:w="143" w:type="pct"/>
          </w:tcPr>
          <w:p w:rsidR="00805AF9" w:rsidRPr="004F7A66" w:rsidRDefault="00805AF9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805AF9" w:rsidRPr="004F7A66" w:rsidRDefault="009B4A4F" w:rsidP="00866806">
            <w:pPr>
              <w:pStyle w:val="Textpoznpodarou"/>
              <w:jc w:val="both"/>
            </w:pPr>
            <w:r w:rsidRPr="004F7A66">
              <w:t>Výdaje na konečnou spotřebu vládních institucí stouply během posledních devatenácti let v České republice zhruba</w:t>
            </w:r>
            <w:r w:rsidR="00E32509" w:rsidRPr="004F7A66">
              <w:t xml:space="preserve"> o</w:t>
            </w:r>
            <w:r w:rsidR="00483965" w:rsidRPr="004F7A66">
              <w:t xml:space="preserve"> čtvrtinu (+26,6 %). Navýšily se tak</w:t>
            </w:r>
            <w:r w:rsidRPr="004F7A66">
              <w:t xml:space="preserve"> nejpomaleji ze všech složek </w:t>
            </w:r>
            <w:r w:rsidR="00866806" w:rsidRPr="004F7A66">
              <w:t>HDP</w:t>
            </w:r>
            <w:r w:rsidRPr="004F7A66">
              <w:t xml:space="preserve">. Jejich </w:t>
            </w:r>
            <w:r w:rsidR="003107D9" w:rsidRPr="004F7A66">
              <w:t>úhrnný ná</w:t>
            </w:r>
            <w:r w:rsidRPr="004F7A66">
              <w:t>růst byl nižší i v porovnání s</w:t>
            </w:r>
            <w:r w:rsidR="003107D9" w:rsidRPr="004F7A66">
              <w:t> vývojem v</w:t>
            </w:r>
            <w:r w:rsidRPr="004F7A66">
              <w:t> EU</w:t>
            </w:r>
            <w:r w:rsidR="00303324" w:rsidRPr="004F7A66">
              <w:t xml:space="preserve"> (+34,5</w:t>
            </w:r>
            <w:r w:rsidRPr="004F7A66">
              <w:t xml:space="preserve"> %). Přestože z </w:t>
            </w:r>
            <w:r w:rsidR="003107D9" w:rsidRPr="004F7A66">
              <w:t>hlediska</w:t>
            </w:r>
            <w:r w:rsidRPr="004F7A66">
              <w:t xml:space="preserve"> </w:t>
            </w:r>
            <w:r w:rsidR="003107D9" w:rsidRPr="004F7A66">
              <w:t>dlouhodobého růstu</w:t>
            </w:r>
            <w:r w:rsidRPr="004F7A66">
              <w:t xml:space="preserve"> HDP </w:t>
            </w:r>
            <w:r w:rsidR="00E32509" w:rsidRPr="004F7A66">
              <w:t>lze hodnotit</w:t>
            </w:r>
            <w:r w:rsidR="00483965" w:rsidRPr="004F7A66">
              <w:t xml:space="preserve"> tento</w:t>
            </w:r>
            <w:r w:rsidR="00E32509" w:rsidRPr="004F7A66">
              <w:t xml:space="preserve"> nízký nárůst výdajů na konečnou spotřebu vládních institucí negativně</w:t>
            </w:r>
            <w:r w:rsidRPr="004F7A66">
              <w:t xml:space="preserve">, </w:t>
            </w:r>
            <w:r w:rsidR="003107D9" w:rsidRPr="004F7A66">
              <w:t>optikou</w:t>
            </w:r>
            <w:r w:rsidRPr="004F7A66">
              <w:t xml:space="preserve"> </w:t>
            </w:r>
            <w:r w:rsidR="0089581D" w:rsidRPr="004F7A66">
              <w:t>dopadu na dynamiku</w:t>
            </w:r>
            <w:r w:rsidRPr="004F7A66">
              <w:t xml:space="preserve"> dluhu vládních institucí </w:t>
            </w:r>
            <w:r w:rsidR="00E32509" w:rsidRPr="004F7A66">
              <w:t>se jednalo o jev pozitivní</w:t>
            </w:r>
            <w:r w:rsidRPr="004F7A66">
              <w:t>. Vždyť právě výdaje na konečnou spotřebu vládních institucí se na</w:t>
            </w:r>
            <w:r w:rsidR="00B12812" w:rsidRPr="004F7A66">
              <w:t> </w:t>
            </w:r>
            <w:r w:rsidRPr="004F7A66">
              <w:t>celkových výdajích tohoto sektoru</w:t>
            </w:r>
            <w:r w:rsidR="003107D9" w:rsidRPr="004F7A66">
              <w:t xml:space="preserve"> </w:t>
            </w:r>
            <w:r w:rsidR="003107D9" w:rsidRPr="00BE114D">
              <w:t>podílejí v ČR</w:t>
            </w:r>
            <w:r w:rsidRPr="00BE114D">
              <w:t xml:space="preserve"> </w:t>
            </w:r>
            <w:r w:rsidR="0089581D" w:rsidRPr="00BE114D">
              <w:t>téměř polovino</w:t>
            </w:r>
            <w:r w:rsidR="00A16DAE" w:rsidRPr="00BE114D">
              <w:t>u (v roce 2014 se jednalo o 46,4</w:t>
            </w:r>
            <w:r w:rsidR="0089581D" w:rsidRPr="00BE114D">
              <w:t xml:space="preserve"> %</w:t>
            </w:r>
            <w:r w:rsidR="00A25DFC" w:rsidRPr="00BE114D">
              <w:t xml:space="preserve">; </w:t>
            </w:r>
            <w:r w:rsidR="00F737CD" w:rsidRPr="00BE114D">
              <w:t xml:space="preserve">z </w:t>
            </w:r>
            <w:r w:rsidR="00A25DFC" w:rsidRPr="00BE114D">
              <w:t>údaj</w:t>
            </w:r>
            <w:r w:rsidR="00F737CD" w:rsidRPr="00BE114D">
              <w:t>ů</w:t>
            </w:r>
            <w:r w:rsidR="00A25DFC" w:rsidRPr="00BE114D">
              <w:t xml:space="preserve"> v běžných cenách</w:t>
            </w:r>
            <w:r w:rsidR="0089581D" w:rsidRPr="00BE114D">
              <w:t>).</w:t>
            </w:r>
          </w:p>
          <w:p w:rsidR="00F24FCD" w:rsidRPr="004F7A66" w:rsidRDefault="00F24FCD" w:rsidP="00866806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F24FCD" w:rsidRPr="004F7A66" w:rsidTr="00E37132">
        <w:tc>
          <w:tcPr>
            <w:tcW w:w="1054" w:type="pct"/>
          </w:tcPr>
          <w:p w:rsidR="00F24FCD" w:rsidRPr="004F7A66" w:rsidRDefault="00B51FEE" w:rsidP="00B51FE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Struktura dlouhodobého růstu ekonomiky ČR a EU odlišná </w:t>
            </w:r>
          </w:p>
        </w:tc>
        <w:tc>
          <w:tcPr>
            <w:tcW w:w="143" w:type="pct"/>
          </w:tcPr>
          <w:p w:rsidR="00F24FCD" w:rsidRPr="004F7A66" w:rsidRDefault="00F24FCD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F24FCD" w:rsidRPr="004F7A66" w:rsidRDefault="00C07FBC" w:rsidP="00F760E0">
            <w:pPr>
              <w:pStyle w:val="Textpoznpodarou"/>
              <w:jc w:val="both"/>
            </w:pPr>
            <w:r>
              <w:t>Představu</w:t>
            </w:r>
            <w:r w:rsidR="00F24FCD" w:rsidRPr="004F7A66">
              <w:t xml:space="preserve"> o tom, jakou silou jednotlivé výdajové složky HDP </w:t>
            </w:r>
            <w:r w:rsidR="006A0589" w:rsidRPr="004F7A66">
              <w:t>přispívaly k</w:t>
            </w:r>
            <w:r w:rsidR="00F760E0">
              <w:t> </w:t>
            </w:r>
            <w:r w:rsidR="00F24FCD" w:rsidRPr="004F7A66">
              <w:t>dlouhodobém</w:t>
            </w:r>
            <w:r w:rsidR="006A0589" w:rsidRPr="004F7A66">
              <w:t>u</w:t>
            </w:r>
            <w:r w:rsidR="00F24FCD" w:rsidRPr="004F7A66">
              <w:t xml:space="preserve"> </w:t>
            </w:r>
            <w:r w:rsidR="0071662B" w:rsidRPr="004F7A66">
              <w:t>ná</w:t>
            </w:r>
            <w:r w:rsidR="00F24FCD" w:rsidRPr="004F7A66">
              <w:t xml:space="preserve">růstu </w:t>
            </w:r>
            <w:r w:rsidR="0071662B" w:rsidRPr="004F7A66">
              <w:t>hrubého domácího produktu</w:t>
            </w:r>
            <w:r w:rsidR="00214494">
              <w:t xml:space="preserve"> v ČR a v EU, si lze udělat z G</w:t>
            </w:r>
            <w:r w:rsidR="00F24FCD" w:rsidRPr="004F7A66">
              <w:t>rafů</w:t>
            </w:r>
            <w:r w:rsidR="00214494">
              <w:t xml:space="preserve"> č.</w:t>
            </w:r>
            <w:r w:rsidR="00F24FCD" w:rsidRPr="004F7A66">
              <w:t xml:space="preserve"> 11 a 12</w:t>
            </w:r>
            <w:r w:rsidR="00E37132" w:rsidRPr="004F7A66">
              <w:t xml:space="preserve">. Lze z nich vyčíst, že </w:t>
            </w:r>
            <w:r w:rsidR="006A0589" w:rsidRPr="004F7A66">
              <w:t>k</w:t>
            </w:r>
            <w:r w:rsidR="00E37132" w:rsidRPr="004F7A66">
              <w:t xml:space="preserve"> </w:t>
            </w:r>
            <w:r w:rsidR="00597D21">
              <w:t>rozvoji ekonomiky ČR</w:t>
            </w:r>
            <w:r w:rsidR="00E37132" w:rsidRPr="004F7A66">
              <w:t xml:space="preserve"> více</w:t>
            </w:r>
            <w:r w:rsidR="001470A5" w:rsidRPr="004F7A66">
              <w:t> </w:t>
            </w:r>
            <w:r w:rsidR="00E37132" w:rsidRPr="004F7A66">
              <w:t>p</w:t>
            </w:r>
            <w:r w:rsidR="006A0589" w:rsidRPr="004F7A66">
              <w:t>řispěl</w:t>
            </w:r>
            <w:r w:rsidR="0071662B" w:rsidRPr="004F7A66">
              <w:t xml:space="preserve"> nejen</w:t>
            </w:r>
            <w:r w:rsidR="00E37132" w:rsidRPr="004F7A66">
              <w:t xml:space="preserve"> </w:t>
            </w:r>
            <w:r w:rsidR="00930C1E" w:rsidRPr="004F7A66">
              <w:t xml:space="preserve">výsledek zahraničního obchodu se zbožím a </w:t>
            </w:r>
            <w:r w:rsidR="00E37132" w:rsidRPr="004F7A66">
              <w:t xml:space="preserve">tvorba hrubého kapitálu, </w:t>
            </w:r>
            <w:r w:rsidR="0071662B" w:rsidRPr="004F7A66">
              <w:t>ale také</w:t>
            </w:r>
            <w:r w:rsidR="00E37132" w:rsidRPr="004F7A66">
              <w:t xml:space="preserve"> výdaje na konečnou spotřebu domácností a NISD. </w:t>
            </w:r>
            <w:r w:rsidR="0071662B" w:rsidRPr="004F7A66">
              <w:t>Výdaje na konečnou spotřebu vládních institucí však více participovaly na růstu HDP v EU a také vývoj výsledku zahraničního obchodu</w:t>
            </w:r>
            <w:r w:rsidR="00D57C05" w:rsidRPr="004F7A66">
              <w:t xml:space="preserve"> se službami</w:t>
            </w:r>
            <w:r w:rsidR="0071662B" w:rsidRPr="004F7A66">
              <w:t xml:space="preserve"> byl v</w:t>
            </w:r>
            <w:r w:rsidR="00A67AD1" w:rsidRPr="004F7A66">
              <w:t> </w:t>
            </w:r>
            <w:r w:rsidR="0071662B" w:rsidRPr="004F7A66">
              <w:t>EU</w:t>
            </w:r>
            <w:r w:rsidR="00A67AD1" w:rsidRPr="004F7A66">
              <w:t xml:space="preserve"> v porovnání s Českem</w:t>
            </w:r>
            <w:r w:rsidR="0071662B" w:rsidRPr="004F7A66">
              <w:t xml:space="preserve"> příznivější – zatímco v EU se jednalo o složku podporující dlouhodobý růst HDP, v případě ekonomiky ČR </w:t>
            </w:r>
            <w:r w:rsidR="00D57C05" w:rsidRPr="004F7A66">
              <w:t>nikoliv</w:t>
            </w:r>
            <w:r w:rsidR="0071662B" w:rsidRPr="004F7A66">
              <w:t>.</w:t>
            </w:r>
          </w:p>
        </w:tc>
      </w:tr>
    </w:tbl>
    <w:p w:rsidR="003978A5" w:rsidRPr="00880224" w:rsidRDefault="003978A5" w:rsidP="00FE3996">
      <w:pPr>
        <w:rPr>
          <w:sz w:val="14"/>
          <w:szCs w:val="14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"/>
        <w:gridCol w:w="4235"/>
        <w:gridCol w:w="728"/>
        <w:gridCol w:w="1403"/>
        <w:gridCol w:w="2798"/>
      </w:tblGrid>
      <w:tr w:rsidR="00F24FCD" w:rsidRPr="004F7A66" w:rsidTr="00453072">
        <w:tc>
          <w:tcPr>
            <w:tcW w:w="349" w:type="pct"/>
          </w:tcPr>
          <w:p w:rsidR="00FE3996" w:rsidRPr="004F7A66" w:rsidRDefault="00FE3996" w:rsidP="00432B88">
            <w:pPr>
              <w:pStyle w:val="Textpoznpodarou"/>
            </w:pPr>
            <w:r w:rsidRPr="004F7A66">
              <w:t>Graf č. 11</w:t>
            </w:r>
          </w:p>
        </w:tc>
        <w:tc>
          <w:tcPr>
            <w:tcW w:w="2150" w:type="pct"/>
          </w:tcPr>
          <w:p w:rsidR="00F24FCD" w:rsidRPr="004F7A66" w:rsidRDefault="00F24FCD" w:rsidP="00F24FCD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Příspěvky výdajových složek* </w:t>
            </w:r>
            <w:r w:rsidRPr="004F7A66">
              <w:rPr>
                <w:b/>
                <w:spacing w:val="-6"/>
              </w:rPr>
              <w:t>ke změně HDP** v ČR v letech 1996</w:t>
            </w:r>
            <w:r w:rsidR="00562377" w:rsidRPr="004F7A66">
              <w:rPr>
                <w:b/>
              </w:rPr>
              <w:t>–</w:t>
            </w:r>
            <w:r w:rsidRPr="004F7A66">
              <w:rPr>
                <w:b/>
                <w:spacing w:val="-6"/>
              </w:rPr>
              <w:t>2014</w:t>
            </w:r>
          </w:p>
          <w:p w:rsidR="00FE3996" w:rsidRPr="004F7A66" w:rsidRDefault="00F24FCD" w:rsidP="00F24FCD">
            <w:pPr>
              <w:pStyle w:val="Textpoznpodarou"/>
              <w:rPr>
                <w:b/>
              </w:rPr>
            </w:pPr>
            <w:r w:rsidRPr="004F7A66">
              <w:t>(y/y</w:t>
            </w:r>
            <w:r w:rsidR="00FE3996" w:rsidRPr="004F7A66">
              <w:t>, reálně</w:t>
            </w:r>
            <w:r w:rsidRPr="004F7A66">
              <w:t>, příspěvky v </w:t>
            </w:r>
            <w:proofErr w:type="spellStart"/>
            <w:r w:rsidRPr="004F7A66">
              <w:t>pb</w:t>
            </w:r>
            <w:proofErr w:type="spellEnd"/>
            <w:r w:rsidRPr="004F7A66">
              <w:t>., HDP v %</w:t>
            </w:r>
            <w:r w:rsidR="00FE3996" w:rsidRPr="004F7A66">
              <w:t>)</w:t>
            </w:r>
          </w:p>
        </w:tc>
        <w:tc>
          <w:tcPr>
            <w:tcW w:w="368" w:type="pct"/>
          </w:tcPr>
          <w:p w:rsidR="00FE3996" w:rsidRPr="004F7A66" w:rsidRDefault="00FE3996" w:rsidP="00432B88">
            <w:pPr>
              <w:pStyle w:val="Textpoznpodarou"/>
            </w:pPr>
            <w:r w:rsidRPr="004F7A66">
              <w:t>Graf č. 12</w:t>
            </w:r>
          </w:p>
        </w:tc>
        <w:tc>
          <w:tcPr>
            <w:tcW w:w="2133" w:type="pct"/>
            <w:gridSpan w:val="2"/>
          </w:tcPr>
          <w:p w:rsidR="00F24FCD" w:rsidRPr="004F7A66" w:rsidRDefault="00F24FCD" w:rsidP="00F24FCD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Příspěvky výdajových složek* </w:t>
            </w:r>
            <w:r w:rsidRPr="004F7A66">
              <w:rPr>
                <w:b/>
                <w:spacing w:val="-6"/>
              </w:rPr>
              <w:t xml:space="preserve">ke změně HDP** v EU v letech </w:t>
            </w:r>
            <w:r w:rsidR="00562377" w:rsidRPr="004F7A66">
              <w:rPr>
                <w:b/>
                <w:spacing w:val="-6"/>
              </w:rPr>
              <w:t>1996</w:t>
            </w:r>
            <w:r w:rsidR="00562377" w:rsidRPr="004F7A66">
              <w:rPr>
                <w:b/>
              </w:rPr>
              <w:t>–</w:t>
            </w:r>
            <w:r w:rsidRPr="004F7A66">
              <w:rPr>
                <w:b/>
                <w:spacing w:val="-6"/>
              </w:rPr>
              <w:t>2014</w:t>
            </w:r>
          </w:p>
          <w:p w:rsidR="00FE3996" w:rsidRPr="004F7A66" w:rsidRDefault="00F24FCD" w:rsidP="00F24FCD">
            <w:pPr>
              <w:pStyle w:val="Textpoznpodarou"/>
              <w:rPr>
                <w:spacing w:val="-2"/>
              </w:rPr>
            </w:pPr>
            <w:r w:rsidRPr="004F7A66">
              <w:t>(y/y, reálně, příspěvky v </w:t>
            </w:r>
            <w:proofErr w:type="spellStart"/>
            <w:r w:rsidRPr="004F7A66">
              <w:t>pb</w:t>
            </w:r>
            <w:proofErr w:type="spellEnd"/>
            <w:r w:rsidRPr="004F7A66">
              <w:t>., HDP v %)</w:t>
            </w:r>
          </w:p>
        </w:tc>
      </w:tr>
      <w:tr w:rsidR="00FE3996" w:rsidRPr="004F7A66" w:rsidTr="00F24FCD">
        <w:tc>
          <w:tcPr>
            <w:tcW w:w="2499" w:type="pct"/>
            <w:gridSpan w:val="2"/>
          </w:tcPr>
          <w:p w:rsidR="00FE3996" w:rsidRPr="004F7A66" w:rsidRDefault="003978A5" w:rsidP="00432B8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3"/>
          </w:tcPr>
          <w:p w:rsidR="00FE3996" w:rsidRPr="004F7A66" w:rsidRDefault="003978A5" w:rsidP="00432B88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7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FCD" w:rsidRPr="004F7A66" w:rsidTr="00453072">
        <w:tc>
          <w:tcPr>
            <w:tcW w:w="3579" w:type="pct"/>
            <w:gridSpan w:val="4"/>
          </w:tcPr>
          <w:p w:rsidR="00FE3996" w:rsidRPr="004F7A66" w:rsidRDefault="00FE3996" w:rsidP="00432B88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 NISD = Neziskové instituce sloužící domácnostem.</w:t>
            </w:r>
          </w:p>
          <w:p w:rsidR="00F24FCD" w:rsidRPr="004F7A66" w:rsidRDefault="00F24FCD" w:rsidP="00432B88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**Pozn.: Příspěvky ke změně HDP bez vyloučení dovozu pro konečné užití.</w:t>
            </w:r>
          </w:p>
        </w:tc>
        <w:tc>
          <w:tcPr>
            <w:tcW w:w="1421" w:type="pct"/>
          </w:tcPr>
          <w:p w:rsidR="00FE3996" w:rsidRPr="004F7A66" w:rsidRDefault="00FE3996" w:rsidP="00F24FCD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Zdroj: </w:t>
            </w:r>
            <w:proofErr w:type="spellStart"/>
            <w:r w:rsidR="00F24FCD" w:rsidRPr="004F7A66">
              <w:rPr>
                <w:sz w:val="18"/>
                <w:szCs w:val="18"/>
              </w:rPr>
              <w:t>Eurostat</w:t>
            </w:r>
            <w:proofErr w:type="spellEnd"/>
            <w:r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0E3DA2" w:rsidRPr="00B85FE0" w:rsidRDefault="000E3DA2" w:rsidP="000E3DA2">
      <w:pPr>
        <w:pStyle w:val="Nadpis2"/>
        <w:numPr>
          <w:ilvl w:val="1"/>
          <w:numId w:val="2"/>
        </w:numPr>
      </w:pPr>
      <w:bookmarkStart w:id="3" w:name="_Toc436211325"/>
      <w:r>
        <w:lastRenderedPageBreak/>
        <w:t>HDP na obyvatele v paritě kupní síly</w:t>
      </w:r>
      <w:bookmarkEnd w:id="3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0E3DA2" w:rsidRPr="004F7A66" w:rsidTr="006B4C20">
        <w:tc>
          <w:tcPr>
            <w:tcW w:w="1054" w:type="pct"/>
          </w:tcPr>
          <w:p w:rsidR="000E3DA2" w:rsidRPr="004F7A66" w:rsidRDefault="00020F01" w:rsidP="007304F9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Relace ekonomické vyspělosti </w:t>
            </w:r>
            <w:r w:rsidR="007304F9" w:rsidRPr="004F7A66">
              <w:rPr>
                <w:sz w:val="16"/>
                <w:szCs w:val="16"/>
              </w:rPr>
              <w:t>České republiky se v roce 2014 zlepšila, …</w:t>
            </w:r>
          </w:p>
        </w:tc>
        <w:tc>
          <w:tcPr>
            <w:tcW w:w="143" w:type="pct"/>
          </w:tcPr>
          <w:p w:rsidR="000E3DA2" w:rsidRPr="004F7A66" w:rsidRDefault="000E3DA2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91169C" w:rsidRPr="004F7A66" w:rsidRDefault="005A0A2A" w:rsidP="001E6A2B">
            <w:pPr>
              <w:pStyle w:val="Textpoznpodarou"/>
              <w:jc w:val="both"/>
            </w:pPr>
            <w:r w:rsidRPr="004F7A66">
              <w:t>Hrubý domácí produkt</w:t>
            </w:r>
            <w:r w:rsidR="000E3DA2" w:rsidRPr="004F7A66">
              <w:t xml:space="preserve"> na obyvatele v paritě kupní síly </w:t>
            </w:r>
            <w:r w:rsidR="00FD3381" w:rsidRPr="004F7A66">
              <w:t>se</w:t>
            </w:r>
            <w:r w:rsidRPr="004F7A66">
              <w:t xml:space="preserve"> v</w:t>
            </w:r>
            <w:r w:rsidR="001E6A2B" w:rsidRPr="004F7A66">
              <w:t> České republice</w:t>
            </w:r>
            <w:r w:rsidR="000E3DA2" w:rsidRPr="004F7A66">
              <w:t xml:space="preserve"> v roce 2014</w:t>
            </w:r>
            <w:r w:rsidR="00FD3381" w:rsidRPr="004F7A66">
              <w:t xml:space="preserve"> </w:t>
            </w:r>
            <w:r w:rsidRPr="004F7A66">
              <w:t>zvýšil rychleji než</w:t>
            </w:r>
            <w:r w:rsidR="007B305D">
              <w:t xml:space="preserve"> v</w:t>
            </w:r>
            <w:r w:rsidR="00437939" w:rsidRPr="004F7A66">
              <w:t xml:space="preserve"> </w:t>
            </w:r>
            <w:r w:rsidR="001E6A2B" w:rsidRPr="004F7A66">
              <w:t>Evropské unii</w:t>
            </w:r>
            <w:r w:rsidR="003B5533" w:rsidRPr="004F7A66">
              <w:t xml:space="preserve"> i</w:t>
            </w:r>
            <w:r w:rsidR="00F770C3" w:rsidRPr="004F7A66">
              <w:t xml:space="preserve"> v</w:t>
            </w:r>
            <w:r w:rsidR="007B305D">
              <w:t> </w:t>
            </w:r>
            <w:proofErr w:type="spellStart"/>
            <w:r w:rsidR="000E3DA2" w:rsidRPr="004F7A66">
              <w:t>eurozón</w:t>
            </w:r>
            <w:r w:rsidRPr="004F7A66">
              <w:t>ě</w:t>
            </w:r>
            <w:proofErr w:type="spellEnd"/>
            <w:r w:rsidR="007B305D">
              <w:t>,</w:t>
            </w:r>
            <w:r w:rsidRPr="004F7A66">
              <w:t xml:space="preserve"> a relace ekonomické vyspělosti ČR se </w:t>
            </w:r>
            <w:r w:rsidR="00554C90" w:rsidRPr="004F7A66">
              <w:t xml:space="preserve">tak </w:t>
            </w:r>
            <w:r w:rsidR="001E6A2B" w:rsidRPr="004F7A66">
              <w:t>zlepšila</w:t>
            </w:r>
            <w:r w:rsidR="000E3DA2" w:rsidRPr="004F7A66">
              <w:t xml:space="preserve">. </w:t>
            </w:r>
            <w:r w:rsidRPr="004F7A66">
              <w:t>Zatímco k</w:t>
            </w:r>
            <w:r w:rsidR="0091169C" w:rsidRPr="004F7A66">
              <w:t xml:space="preserve"> úrovni </w:t>
            </w:r>
            <w:r w:rsidR="007B305D">
              <w:t>Evropské unie</w:t>
            </w:r>
            <w:r w:rsidR="0091169C" w:rsidRPr="004F7A66">
              <w:t xml:space="preserve"> </w:t>
            </w:r>
            <w:r w:rsidR="009F71C2" w:rsidRPr="004F7A66">
              <w:t>tuzemská</w:t>
            </w:r>
            <w:r w:rsidR="0091169C" w:rsidRPr="004F7A66">
              <w:t xml:space="preserve"> ekonomika reálně konv</w:t>
            </w:r>
            <w:r w:rsidR="009F71C2" w:rsidRPr="004F7A66">
              <w:t>ergovala poprvé po dvou letech</w:t>
            </w:r>
            <w:r w:rsidRPr="004F7A66">
              <w:t>,</w:t>
            </w:r>
            <w:r w:rsidR="009F71C2" w:rsidRPr="004F7A66">
              <w:t xml:space="preserve"> </w:t>
            </w:r>
            <w:r w:rsidR="007B305D">
              <w:t>k zemím platícím eurem, v nichž</w:t>
            </w:r>
            <w:r w:rsidR="0091169C" w:rsidRPr="004F7A66">
              <w:t xml:space="preserve"> byl ekonomický vývoj v</w:t>
            </w:r>
            <w:r w:rsidR="00822934" w:rsidRPr="004F7A66">
              <w:t xml:space="preserve"> posledních</w:t>
            </w:r>
            <w:r w:rsidR="0091169C" w:rsidRPr="004F7A66">
              <w:t> </w:t>
            </w:r>
            <w:r w:rsidR="00FD3381" w:rsidRPr="004F7A66">
              <w:t xml:space="preserve">letech </w:t>
            </w:r>
            <w:r w:rsidR="001E6A2B" w:rsidRPr="004F7A66">
              <w:t>méně příznivý</w:t>
            </w:r>
            <w:r w:rsidR="00FD3381" w:rsidRPr="004F7A66">
              <w:t xml:space="preserve"> než v celé </w:t>
            </w:r>
            <w:r w:rsidR="0091169C" w:rsidRPr="004F7A66">
              <w:t>U</w:t>
            </w:r>
            <w:r w:rsidR="00FD3381" w:rsidRPr="004F7A66">
              <w:t>nii</w:t>
            </w:r>
            <w:r w:rsidR="007B305D">
              <w:t>,</w:t>
            </w:r>
            <w:r w:rsidR="0091169C" w:rsidRPr="004F7A66">
              <w:t xml:space="preserve"> </w:t>
            </w:r>
            <w:r w:rsidR="00FD3381" w:rsidRPr="004F7A66">
              <w:t xml:space="preserve">se </w:t>
            </w:r>
            <w:r w:rsidR="004D151F" w:rsidRPr="004F7A66">
              <w:t xml:space="preserve">v trendu </w:t>
            </w:r>
            <w:r w:rsidR="00FD3381" w:rsidRPr="004F7A66">
              <w:t>přibližovala</w:t>
            </w:r>
            <w:r w:rsidR="00897166" w:rsidRPr="004F7A66">
              <w:t xml:space="preserve"> již čtvrtým rokem</w:t>
            </w:r>
            <w:r w:rsidRPr="004F7A66">
              <w:t>.</w:t>
            </w:r>
          </w:p>
          <w:p w:rsidR="001E6A2B" w:rsidRPr="004F7A66" w:rsidRDefault="001E6A2B" w:rsidP="001E6A2B">
            <w:pPr>
              <w:pStyle w:val="Textpoznpodarou"/>
              <w:jc w:val="both"/>
            </w:pPr>
          </w:p>
        </w:tc>
      </w:tr>
      <w:tr w:rsidR="001E6A2B" w:rsidRPr="004F7A66" w:rsidTr="006B4C20">
        <w:tc>
          <w:tcPr>
            <w:tcW w:w="1054" w:type="pct"/>
          </w:tcPr>
          <w:p w:rsidR="001E6A2B" w:rsidRPr="004F7A66" w:rsidRDefault="007304F9" w:rsidP="00554C9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když HDP na</w:t>
            </w:r>
            <w:r w:rsidR="00554C90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obyvatele v paritě kupní síly v ČR stoupl na</w:t>
            </w:r>
            <w:r w:rsidR="00554C90" w:rsidRPr="004F7A66">
              <w:rPr>
                <w:sz w:val="16"/>
                <w:szCs w:val="16"/>
              </w:rPr>
              <w:t> </w:t>
            </w:r>
            <w:r w:rsidR="00822934" w:rsidRPr="004F7A66">
              <w:rPr>
                <w:sz w:val="16"/>
                <w:szCs w:val="16"/>
              </w:rPr>
              <w:t>83,8</w:t>
            </w:r>
            <w:r w:rsidR="00554C90" w:rsidRPr="004F7A66">
              <w:rPr>
                <w:sz w:val="16"/>
                <w:szCs w:val="16"/>
              </w:rPr>
              <w:t> % průměrné úrovně EU</w:t>
            </w:r>
            <w:r w:rsidRPr="004F7A66">
              <w:rPr>
                <w:sz w:val="16"/>
                <w:szCs w:val="16"/>
              </w:rPr>
              <w:t xml:space="preserve"> …</w:t>
            </w:r>
          </w:p>
        </w:tc>
        <w:tc>
          <w:tcPr>
            <w:tcW w:w="143" w:type="pct"/>
          </w:tcPr>
          <w:p w:rsidR="001E6A2B" w:rsidRPr="004F7A66" w:rsidRDefault="001E6A2B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E6A2B" w:rsidRPr="004F7A66" w:rsidRDefault="00F770C3" w:rsidP="001E6A2B">
            <w:pPr>
              <w:pStyle w:val="Textpoznpodarou"/>
              <w:jc w:val="both"/>
            </w:pPr>
            <w:r w:rsidRPr="004F7A66">
              <w:t>V</w:t>
            </w:r>
            <w:r w:rsidR="001E6A2B" w:rsidRPr="004F7A66">
              <w:t> roce 2011 dosahoval HDP na obyvatele v paritě kupní síly v Česku 82,9 % průměru zemí EU, během let 2012 a 2013 se</w:t>
            </w:r>
            <w:r w:rsidRPr="004F7A66">
              <w:t xml:space="preserve"> ale</w:t>
            </w:r>
            <w:r w:rsidR="001E6A2B" w:rsidRPr="004F7A66">
              <w:t xml:space="preserve"> vlivem </w:t>
            </w:r>
            <w:r w:rsidRPr="004F7A66">
              <w:t>vleklé</w:t>
            </w:r>
            <w:r w:rsidR="001E6A2B" w:rsidRPr="004F7A66">
              <w:t xml:space="preserve"> recese ekonomiky ČR snížil přes 82,3 % na</w:t>
            </w:r>
            <w:r w:rsidR="00554C90" w:rsidRPr="004F7A66">
              <w:t xml:space="preserve"> pouhých</w:t>
            </w:r>
            <w:r w:rsidR="00822934" w:rsidRPr="004F7A66">
              <w:t xml:space="preserve"> 82,1</w:t>
            </w:r>
            <w:r w:rsidR="001E6A2B" w:rsidRPr="004F7A66">
              <w:t xml:space="preserve"> %. Teprve až rok 2014, ve kterém česká ekonomika ožila a </w:t>
            </w:r>
            <w:r w:rsidR="00554C90" w:rsidRPr="004F7A66">
              <w:t>její výkon posílil</w:t>
            </w:r>
            <w:r w:rsidR="001E6A2B" w:rsidRPr="004F7A66">
              <w:t xml:space="preserve"> rychleji než</w:t>
            </w:r>
            <w:r w:rsidR="00554C90" w:rsidRPr="004F7A66">
              <w:t xml:space="preserve"> v celé</w:t>
            </w:r>
            <w:r w:rsidR="001E6A2B" w:rsidRPr="004F7A66">
              <w:t xml:space="preserve"> EU, se promítnul do</w:t>
            </w:r>
            <w:r w:rsidR="008A213A">
              <w:t> </w:t>
            </w:r>
            <w:r w:rsidR="00F42574" w:rsidRPr="004F7A66">
              <w:t>zlepšení</w:t>
            </w:r>
            <w:r w:rsidR="006B4C20" w:rsidRPr="004F7A66">
              <w:t xml:space="preserve"> </w:t>
            </w:r>
            <w:r w:rsidR="00F42574" w:rsidRPr="004F7A66">
              <w:t xml:space="preserve">její </w:t>
            </w:r>
            <w:r w:rsidR="008A213A">
              <w:t>pozice.</w:t>
            </w:r>
            <w:r w:rsidR="00822934" w:rsidRPr="004F7A66">
              <w:t xml:space="preserve"> </w:t>
            </w:r>
            <w:r w:rsidR="001E6A2B" w:rsidRPr="004F7A66">
              <w:t>HDP na obyvatele v paritě kupní síly v ČR vzrostl na</w:t>
            </w:r>
            <w:r w:rsidR="008A213A">
              <w:t> </w:t>
            </w:r>
            <w:r w:rsidR="00822934" w:rsidRPr="004F7A66">
              <w:t>83,8</w:t>
            </w:r>
            <w:r w:rsidR="008A213A">
              <w:t> </w:t>
            </w:r>
            <w:r w:rsidR="001E6A2B" w:rsidRPr="004F7A66">
              <w:t>% průměru zemí U</w:t>
            </w:r>
            <w:r w:rsidR="00F42574" w:rsidRPr="004F7A66">
              <w:t>nie</w:t>
            </w:r>
            <w:r w:rsidR="001E6A2B" w:rsidRPr="004F7A66">
              <w:t>.</w:t>
            </w:r>
          </w:p>
          <w:p w:rsidR="00554C90" w:rsidRPr="004F7A66" w:rsidRDefault="00554C90" w:rsidP="001E6A2B">
            <w:pPr>
              <w:pStyle w:val="Textpoznpodarou"/>
              <w:jc w:val="both"/>
            </w:pPr>
          </w:p>
        </w:tc>
      </w:tr>
      <w:tr w:rsidR="001E6A2B" w:rsidRPr="004F7A66" w:rsidTr="006B4C20">
        <w:tc>
          <w:tcPr>
            <w:tcW w:w="1054" w:type="pct"/>
          </w:tcPr>
          <w:p w:rsidR="001E6A2B" w:rsidRPr="004F7A66" w:rsidRDefault="007304F9" w:rsidP="00554C9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 </w:t>
            </w:r>
            <w:r w:rsidR="00822934" w:rsidRPr="004F7A66">
              <w:rPr>
                <w:sz w:val="16"/>
                <w:szCs w:val="16"/>
              </w:rPr>
              <w:t>a 78,2</w:t>
            </w:r>
            <w:r w:rsidR="00554C90" w:rsidRPr="004F7A66">
              <w:rPr>
                <w:sz w:val="16"/>
                <w:szCs w:val="16"/>
              </w:rPr>
              <w:t xml:space="preserve"> % průměru zemí platících eurem</w:t>
            </w:r>
          </w:p>
        </w:tc>
        <w:tc>
          <w:tcPr>
            <w:tcW w:w="143" w:type="pct"/>
          </w:tcPr>
          <w:p w:rsidR="001E6A2B" w:rsidRPr="004F7A66" w:rsidRDefault="001E6A2B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E6A2B" w:rsidRPr="004F7A66" w:rsidRDefault="006B4C20" w:rsidP="001E6A2B">
            <w:pPr>
              <w:pStyle w:val="Textpoznpodarou"/>
              <w:jc w:val="both"/>
              <w:rPr>
                <w:spacing w:val="-4"/>
              </w:rPr>
            </w:pPr>
            <w:r w:rsidRPr="004F7A66">
              <w:rPr>
                <w:spacing w:val="-4"/>
              </w:rPr>
              <w:t xml:space="preserve">Jelikož reálná konvergence české ekonomiky k zemím platícím eurem nebyla v letech 2012 a 2013 fakticky narušena, zlepšila se relace tuzemského HDP na obyvatele v paritě kupní síly vůči tomuto ukazateli za země </w:t>
            </w:r>
            <w:proofErr w:type="spellStart"/>
            <w:r w:rsidRPr="004F7A66">
              <w:rPr>
                <w:spacing w:val="-4"/>
              </w:rPr>
              <w:t>eurozóny</w:t>
            </w:r>
            <w:proofErr w:type="spellEnd"/>
            <w:r w:rsidRPr="004F7A66">
              <w:rPr>
                <w:spacing w:val="-4"/>
              </w:rPr>
              <w:t xml:space="preserve"> v roce 2014 </w:t>
            </w:r>
            <w:r w:rsidR="007304F9" w:rsidRPr="004F7A66">
              <w:rPr>
                <w:spacing w:val="-4"/>
              </w:rPr>
              <w:t xml:space="preserve">v trendu </w:t>
            </w:r>
            <w:r w:rsidRPr="004F7A66">
              <w:rPr>
                <w:spacing w:val="-4"/>
              </w:rPr>
              <w:t>již</w:t>
            </w:r>
            <w:r w:rsidR="00407FDB" w:rsidRPr="004F7A66">
              <w:rPr>
                <w:spacing w:val="-4"/>
              </w:rPr>
              <w:t> </w:t>
            </w:r>
            <w:r w:rsidRPr="004F7A66">
              <w:rPr>
                <w:spacing w:val="-4"/>
              </w:rPr>
              <w:t xml:space="preserve">počtvrté. </w:t>
            </w:r>
            <w:r w:rsidR="00407FDB" w:rsidRPr="004F7A66">
              <w:rPr>
                <w:spacing w:val="-4"/>
              </w:rPr>
              <w:t>Jestliže v roce 2010 dosahovala 74,8 %, v roce 2014 činila</w:t>
            </w:r>
            <w:r w:rsidR="00822934" w:rsidRPr="004F7A66">
              <w:rPr>
                <w:spacing w:val="-4"/>
              </w:rPr>
              <w:t xml:space="preserve"> 78,2</w:t>
            </w:r>
            <w:r w:rsidRPr="004F7A66">
              <w:rPr>
                <w:spacing w:val="-4"/>
              </w:rPr>
              <w:t xml:space="preserve"> %.</w:t>
            </w:r>
          </w:p>
          <w:p w:rsidR="001E6A2B" w:rsidRPr="004F7A66" w:rsidRDefault="001E6A2B" w:rsidP="001E6A2B">
            <w:pPr>
              <w:pStyle w:val="Textpoznpodarou"/>
              <w:jc w:val="both"/>
            </w:pPr>
          </w:p>
        </w:tc>
      </w:tr>
      <w:tr w:rsidR="000E3DA2" w:rsidRPr="004F7A66" w:rsidTr="006B4C20">
        <w:tc>
          <w:tcPr>
            <w:tcW w:w="1054" w:type="pct"/>
          </w:tcPr>
          <w:p w:rsidR="000E3DA2" w:rsidRPr="004F7A66" w:rsidRDefault="00E41317" w:rsidP="00E4131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Z dlouhodobého hlediska byla</w:t>
            </w:r>
            <w:r w:rsidR="00D02638" w:rsidRPr="004F7A66">
              <w:rPr>
                <w:sz w:val="16"/>
                <w:szCs w:val="16"/>
              </w:rPr>
              <w:t xml:space="preserve"> pro „dohánění“ ekonomicky vyspělejších</w:t>
            </w:r>
            <w:r w:rsidR="00B333AC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zemí klíčová</w:t>
            </w:r>
            <w:r w:rsidR="00D02638" w:rsidRPr="004F7A66">
              <w:rPr>
                <w:sz w:val="16"/>
                <w:szCs w:val="16"/>
              </w:rPr>
              <w:t xml:space="preserve"> </w:t>
            </w:r>
            <w:r w:rsidRPr="004F7A66">
              <w:rPr>
                <w:sz w:val="16"/>
                <w:szCs w:val="16"/>
              </w:rPr>
              <w:t>léta</w:t>
            </w:r>
            <w:r w:rsidR="00995887" w:rsidRPr="004F7A66">
              <w:rPr>
                <w:sz w:val="16"/>
                <w:szCs w:val="16"/>
              </w:rPr>
              <w:t xml:space="preserve"> 2001–</w:t>
            </w:r>
            <w:r w:rsidR="00D02638" w:rsidRPr="004F7A66">
              <w:rPr>
                <w:sz w:val="16"/>
                <w:szCs w:val="16"/>
              </w:rPr>
              <w:t>2007</w:t>
            </w:r>
            <w:r w:rsidR="00B333AC" w:rsidRPr="004F7A66">
              <w:rPr>
                <w:sz w:val="16"/>
                <w:szCs w:val="16"/>
              </w:rPr>
              <w:t>, tj. období, které </w:t>
            </w:r>
            <w:r w:rsidR="00D02638" w:rsidRPr="004F7A66">
              <w:rPr>
                <w:sz w:val="16"/>
                <w:szCs w:val="16"/>
              </w:rPr>
              <w:t>zahrnuj</w:t>
            </w:r>
            <w:r w:rsidR="00B333AC" w:rsidRPr="004F7A66">
              <w:rPr>
                <w:sz w:val="16"/>
                <w:szCs w:val="16"/>
              </w:rPr>
              <w:t>e</w:t>
            </w:r>
            <w:r w:rsidR="00D02638" w:rsidRPr="004F7A66">
              <w:rPr>
                <w:sz w:val="16"/>
                <w:szCs w:val="16"/>
              </w:rPr>
              <w:t xml:space="preserve"> silné roky</w:t>
            </w:r>
            <w:r w:rsidR="00B333AC" w:rsidRPr="004F7A66">
              <w:rPr>
                <w:sz w:val="16"/>
                <w:szCs w:val="16"/>
              </w:rPr>
              <w:t> </w:t>
            </w:r>
            <w:r w:rsidR="00D02638" w:rsidRPr="004F7A66">
              <w:rPr>
                <w:sz w:val="16"/>
                <w:szCs w:val="16"/>
              </w:rPr>
              <w:t>konjunktury české ekonomiky</w:t>
            </w:r>
          </w:p>
        </w:tc>
        <w:tc>
          <w:tcPr>
            <w:tcW w:w="143" w:type="pct"/>
          </w:tcPr>
          <w:p w:rsidR="000E3DA2" w:rsidRPr="004F7A66" w:rsidRDefault="000E3DA2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E3DA2" w:rsidRPr="004F7A66" w:rsidRDefault="00FD3381" w:rsidP="00897166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>P</w:t>
            </w:r>
            <w:r w:rsidR="00897166" w:rsidRPr="004F7A66">
              <w:rPr>
                <w:spacing w:val="-2"/>
              </w:rPr>
              <w:t xml:space="preserve">ro </w:t>
            </w:r>
            <w:r w:rsidR="00D02638" w:rsidRPr="004F7A66">
              <w:rPr>
                <w:spacing w:val="-2"/>
              </w:rPr>
              <w:t>„</w:t>
            </w:r>
            <w:r w:rsidR="00897166" w:rsidRPr="004F7A66">
              <w:rPr>
                <w:spacing w:val="-2"/>
              </w:rPr>
              <w:t>dohánění</w:t>
            </w:r>
            <w:r w:rsidR="00D02638" w:rsidRPr="004F7A66">
              <w:rPr>
                <w:spacing w:val="-2"/>
              </w:rPr>
              <w:t>“</w:t>
            </w:r>
            <w:r w:rsidR="00897166" w:rsidRPr="004F7A66">
              <w:rPr>
                <w:spacing w:val="-2"/>
              </w:rPr>
              <w:t xml:space="preserve"> ekon</w:t>
            </w:r>
            <w:r w:rsidRPr="004F7A66">
              <w:rPr>
                <w:spacing w:val="-2"/>
              </w:rPr>
              <w:t>omicky vyspělejších zemí byla pro českou ekonomiku klíčová</w:t>
            </w:r>
            <w:r w:rsidR="00897166" w:rsidRPr="004F7A66">
              <w:rPr>
                <w:spacing w:val="-2"/>
              </w:rPr>
              <w:t xml:space="preserve"> především </w:t>
            </w:r>
            <w:r w:rsidRPr="004F7A66">
              <w:rPr>
                <w:spacing w:val="-2"/>
              </w:rPr>
              <w:t>léta</w:t>
            </w:r>
            <w:r w:rsidR="00897166" w:rsidRPr="004F7A66">
              <w:rPr>
                <w:spacing w:val="-2"/>
              </w:rPr>
              <w:t xml:space="preserve"> 2001–</w:t>
            </w:r>
            <w:r w:rsidRPr="004F7A66">
              <w:rPr>
                <w:spacing w:val="-2"/>
              </w:rPr>
              <w:t>2007,</w:t>
            </w:r>
            <w:r w:rsidR="00897166" w:rsidRPr="004F7A66">
              <w:rPr>
                <w:spacing w:val="-2"/>
              </w:rPr>
              <w:t xml:space="preserve"> </w:t>
            </w:r>
            <w:r w:rsidRPr="004F7A66">
              <w:rPr>
                <w:spacing w:val="-2"/>
              </w:rPr>
              <w:t>v období</w:t>
            </w:r>
            <w:r w:rsidR="00407FDB" w:rsidRPr="004F7A66">
              <w:rPr>
                <w:spacing w:val="-2"/>
              </w:rPr>
              <w:t xml:space="preserve"> od roku 2008 do roku 2014 se u</w:t>
            </w:r>
            <w:r w:rsidRPr="004F7A66">
              <w:rPr>
                <w:spacing w:val="-2"/>
              </w:rPr>
              <w:t>ž ale relace vyspělosti ekonomiky ČR příliš nezměnila</w:t>
            </w:r>
            <w:r w:rsidR="00897166" w:rsidRPr="004F7A66">
              <w:rPr>
                <w:spacing w:val="-2"/>
              </w:rPr>
              <w:t xml:space="preserve">. Zatímco v prvně jmenované periodě </w:t>
            </w:r>
            <w:r w:rsidR="009F71C2" w:rsidRPr="004F7A66">
              <w:rPr>
                <w:spacing w:val="-2"/>
              </w:rPr>
              <w:t>stoupl HDP na obyvatele v paritě kupní síly v ČR tak, že se</w:t>
            </w:r>
            <w:r w:rsidR="00897166" w:rsidRPr="004F7A66">
              <w:rPr>
                <w:spacing w:val="-2"/>
              </w:rPr>
              <w:t xml:space="preserve"> průměru zemí EU </w:t>
            </w:r>
            <w:r w:rsidR="009F71C2" w:rsidRPr="004F7A66">
              <w:rPr>
                <w:spacing w:val="-2"/>
              </w:rPr>
              <w:t xml:space="preserve">přiblížil </w:t>
            </w:r>
            <w:r w:rsidR="00897166" w:rsidRPr="004F7A66">
              <w:rPr>
                <w:spacing w:val="-2"/>
              </w:rPr>
              <w:t xml:space="preserve">o 11,6 </w:t>
            </w:r>
            <w:proofErr w:type="spellStart"/>
            <w:r w:rsidR="00897166" w:rsidRPr="004F7A66">
              <w:rPr>
                <w:spacing w:val="-2"/>
              </w:rPr>
              <w:t>pb</w:t>
            </w:r>
            <w:proofErr w:type="spellEnd"/>
            <w:r w:rsidR="00897166" w:rsidRPr="004F7A66">
              <w:rPr>
                <w:spacing w:val="-2"/>
              </w:rPr>
              <w:t>. (ze 72,1 % v roce 2000 na 83,7 % v roce 2007)</w:t>
            </w:r>
            <w:r w:rsidR="009F71C2" w:rsidRPr="004F7A66">
              <w:rPr>
                <w:spacing w:val="-2"/>
              </w:rPr>
              <w:t xml:space="preserve"> a</w:t>
            </w:r>
            <w:r w:rsidR="00897166" w:rsidRPr="004F7A66">
              <w:rPr>
                <w:spacing w:val="-2"/>
              </w:rPr>
              <w:t> průměru zemí platících eurem dokonce o</w:t>
            </w:r>
            <w:r w:rsidR="00822934" w:rsidRPr="004F7A66">
              <w:rPr>
                <w:spacing w:val="-2"/>
              </w:rPr>
              <w:t xml:space="preserve"> 12,5</w:t>
            </w:r>
            <w:r w:rsidR="00897166" w:rsidRPr="004F7A66">
              <w:rPr>
                <w:spacing w:val="-2"/>
              </w:rPr>
              <w:t xml:space="preserve"> </w:t>
            </w:r>
            <w:proofErr w:type="spellStart"/>
            <w:r w:rsidR="00897166" w:rsidRPr="004F7A66">
              <w:rPr>
                <w:spacing w:val="-2"/>
              </w:rPr>
              <w:t>pb</w:t>
            </w:r>
            <w:proofErr w:type="spellEnd"/>
            <w:r w:rsidR="00897166" w:rsidRPr="004F7A66">
              <w:rPr>
                <w:spacing w:val="-2"/>
              </w:rPr>
              <w:t>. (z 64,4 % na 77,0 %), v letech 200</w:t>
            </w:r>
            <w:r w:rsidR="00C04787" w:rsidRPr="004F7A66">
              <w:rPr>
                <w:spacing w:val="-2"/>
              </w:rPr>
              <w:t>8–</w:t>
            </w:r>
            <w:r w:rsidR="002733CD" w:rsidRPr="004F7A66">
              <w:rPr>
                <w:spacing w:val="-2"/>
              </w:rPr>
              <w:t xml:space="preserve">2014 </w:t>
            </w:r>
            <w:r w:rsidR="002733CD" w:rsidRPr="004F7A66">
              <w:rPr>
                <w:spacing w:val="-4"/>
              </w:rPr>
              <w:t>umazalo české hospodářství</w:t>
            </w:r>
            <w:r w:rsidR="009F71C2" w:rsidRPr="004F7A66">
              <w:rPr>
                <w:spacing w:val="-4"/>
              </w:rPr>
              <w:t xml:space="preserve"> </w:t>
            </w:r>
            <w:r w:rsidR="008A213A" w:rsidRPr="004F7A66">
              <w:rPr>
                <w:spacing w:val="-4"/>
              </w:rPr>
              <w:t xml:space="preserve">z rozdílu vůči EU </w:t>
            </w:r>
            <w:r w:rsidR="009F71C2" w:rsidRPr="004F7A66">
              <w:rPr>
                <w:spacing w:val="-4"/>
              </w:rPr>
              <w:t>už</w:t>
            </w:r>
            <w:r w:rsidR="00897166" w:rsidRPr="004F7A66">
              <w:rPr>
                <w:spacing w:val="-4"/>
              </w:rPr>
              <w:t xml:space="preserve"> jen</w:t>
            </w:r>
            <w:r w:rsidR="00C04787" w:rsidRPr="004F7A66">
              <w:rPr>
                <w:spacing w:val="-4"/>
              </w:rPr>
              <w:t xml:space="preserve"> 0,1</w:t>
            </w:r>
            <w:r w:rsidR="00897166" w:rsidRPr="004F7A66">
              <w:rPr>
                <w:spacing w:val="-4"/>
              </w:rPr>
              <w:t xml:space="preserve"> </w:t>
            </w:r>
            <w:proofErr w:type="spellStart"/>
            <w:r w:rsidR="00897166" w:rsidRPr="004F7A66">
              <w:rPr>
                <w:spacing w:val="-4"/>
              </w:rPr>
              <w:t>pb</w:t>
            </w:r>
            <w:proofErr w:type="spellEnd"/>
            <w:r w:rsidR="00897166" w:rsidRPr="004F7A66">
              <w:rPr>
                <w:spacing w:val="-4"/>
              </w:rPr>
              <w:t>.</w:t>
            </w:r>
            <w:r w:rsidR="00C04787" w:rsidRPr="004F7A66">
              <w:rPr>
                <w:spacing w:val="-4"/>
              </w:rPr>
              <w:t xml:space="preserve"> a vůči </w:t>
            </w:r>
            <w:proofErr w:type="spellStart"/>
            <w:r w:rsidR="00C04787" w:rsidRPr="004F7A66">
              <w:rPr>
                <w:spacing w:val="-4"/>
              </w:rPr>
              <w:t>eurozóně</w:t>
            </w:r>
            <w:proofErr w:type="spellEnd"/>
            <w:r w:rsidR="00C04787" w:rsidRPr="004F7A66">
              <w:rPr>
                <w:spacing w:val="-4"/>
              </w:rPr>
              <w:t xml:space="preserve"> 1,3</w:t>
            </w:r>
            <w:r w:rsidR="00897166" w:rsidRPr="004F7A66">
              <w:rPr>
                <w:spacing w:val="-4"/>
              </w:rPr>
              <w:t xml:space="preserve"> </w:t>
            </w:r>
            <w:proofErr w:type="spellStart"/>
            <w:r w:rsidR="00897166" w:rsidRPr="004F7A66">
              <w:rPr>
                <w:spacing w:val="-4"/>
              </w:rPr>
              <w:t>pb</w:t>
            </w:r>
            <w:proofErr w:type="spellEnd"/>
            <w:r w:rsidR="00897166" w:rsidRPr="004F7A66">
              <w:rPr>
                <w:spacing w:val="-4"/>
              </w:rPr>
              <w:t>.</w:t>
            </w:r>
          </w:p>
          <w:p w:rsidR="00897166" w:rsidRPr="004F7A66" w:rsidRDefault="00897166" w:rsidP="00897166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0E3DA2" w:rsidRPr="004F7A66" w:rsidTr="003B5533">
        <w:tc>
          <w:tcPr>
            <w:tcW w:w="1054" w:type="pct"/>
          </w:tcPr>
          <w:p w:rsidR="000E3DA2" w:rsidRPr="004F7A66" w:rsidRDefault="00F770C3" w:rsidP="00E4131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Ekonomická </w:t>
            </w:r>
            <w:r w:rsidR="00E41317" w:rsidRPr="004F7A66">
              <w:rPr>
                <w:sz w:val="16"/>
                <w:szCs w:val="16"/>
              </w:rPr>
              <w:t xml:space="preserve">úroveň </w:t>
            </w:r>
            <w:r w:rsidR="00B333AC" w:rsidRPr="004F7A66">
              <w:rPr>
                <w:sz w:val="16"/>
                <w:szCs w:val="16"/>
              </w:rPr>
              <w:t>ČR</w:t>
            </w:r>
            <w:r w:rsidRPr="004F7A66">
              <w:rPr>
                <w:sz w:val="16"/>
                <w:szCs w:val="16"/>
              </w:rPr>
              <w:t>, vztažená k </w:t>
            </w:r>
            <w:r w:rsidR="00E41317" w:rsidRPr="004F7A66">
              <w:rPr>
                <w:sz w:val="16"/>
                <w:szCs w:val="16"/>
              </w:rPr>
              <w:t>úrovni</w:t>
            </w:r>
            <w:r w:rsidRPr="004F7A66">
              <w:rPr>
                <w:sz w:val="16"/>
                <w:szCs w:val="16"/>
              </w:rPr>
              <w:t xml:space="preserve"> Německa, </w:t>
            </w:r>
            <w:r w:rsidR="00B333AC" w:rsidRPr="004F7A66">
              <w:rPr>
                <w:sz w:val="16"/>
                <w:szCs w:val="16"/>
              </w:rPr>
              <w:t>se mezi roky 2007 a 2014 zhoršila ze</w:t>
            </w:r>
            <w:r w:rsidRPr="004F7A66">
              <w:rPr>
                <w:sz w:val="16"/>
                <w:szCs w:val="16"/>
              </w:rPr>
              <w:t> </w:t>
            </w:r>
            <w:r w:rsidR="00C04787" w:rsidRPr="004F7A66">
              <w:rPr>
                <w:sz w:val="16"/>
                <w:szCs w:val="16"/>
              </w:rPr>
              <w:t>72,4 % na 67,5</w:t>
            </w:r>
            <w:r w:rsidR="00B333AC" w:rsidRPr="004F7A66">
              <w:rPr>
                <w:sz w:val="16"/>
                <w:szCs w:val="16"/>
              </w:rPr>
              <w:t xml:space="preserve"> %  </w:t>
            </w:r>
          </w:p>
        </w:tc>
        <w:tc>
          <w:tcPr>
            <w:tcW w:w="143" w:type="pct"/>
          </w:tcPr>
          <w:p w:rsidR="000E3DA2" w:rsidRPr="004F7A66" w:rsidRDefault="000E3DA2" w:rsidP="00432B88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1E6A2B" w:rsidRPr="004F7A66" w:rsidRDefault="009F71C2" w:rsidP="00CF1564">
            <w:pPr>
              <w:pStyle w:val="Textpoznpodarou"/>
              <w:jc w:val="both"/>
              <w:rPr>
                <w:sz w:val="18"/>
                <w:szCs w:val="18"/>
              </w:rPr>
            </w:pPr>
            <w:r w:rsidRPr="004F7A66">
              <w:t xml:space="preserve">Vývoj ekonomiky ČR je velmi silně závislý na tom, jak se daří Německu, </w:t>
            </w:r>
            <w:r w:rsidR="000A3337" w:rsidRPr="004F7A66">
              <w:t>a to z toho důvodu, že</w:t>
            </w:r>
            <w:r w:rsidRPr="004F7A66">
              <w:t xml:space="preserve"> provázanost těchto ekonomik přes zahraniční obchod je značná. Logicky si tak můžeme položit otázku, zda vůči této zemi česká ekonomika</w:t>
            </w:r>
            <w:r w:rsidR="004D151F" w:rsidRPr="004F7A66">
              <w:t xml:space="preserve"> v průběhu posledních let</w:t>
            </w:r>
            <w:r w:rsidR="000A3337" w:rsidRPr="004F7A66">
              <w:t xml:space="preserve"> reálně</w:t>
            </w:r>
            <w:r w:rsidRPr="004F7A66">
              <w:t xml:space="preserve"> </w:t>
            </w:r>
            <w:r w:rsidR="000A3337" w:rsidRPr="004F7A66">
              <w:t>konvergovala</w:t>
            </w:r>
            <w:r w:rsidRPr="004F7A66">
              <w:t xml:space="preserve"> a </w:t>
            </w:r>
            <w:r w:rsidR="000A3337" w:rsidRPr="004F7A66">
              <w:t>pokud ano</w:t>
            </w:r>
            <w:r w:rsidRPr="004F7A66">
              <w:t xml:space="preserve">, </w:t>
            </w:r>
            <w:r w:rsidR="000A3337" w:rsidRPr="004F7A66">
              <w:t xml:space="preserve">tak </w:t>
            </w:r>
            <w:r w:rsidR="00F975D8">
              <w:t>jakým tempem. Jak je patrné z G</w:t>
            </w:r>
            <w:r w:rsidRPr="004F7A66">
              <w:t>rafu</w:t>
            </w:r>
            <w:r w:rsidR="00F975D8">
              <w:t xml:space="preserve"> č.</w:t>
            </w:r>
            <w:r w:rsidRPr="004F7A66">
              <w:t xml:space="preserve"> 13, přibližování ekonomické úrovně </w:t>
            </w:r>
            <w:r w:rsidR="000A3337" w:rsidRPr="004F7A66">
              <w:t>Česka</w:t>
            </w:r>
            <w:r w:rsidRPr="004F7A66">
              <w:t xml:space="preserve"> </w:t>
            </w:r>
            <w:r w:rsidR="00407FDB" w:rsidRPr="004F7A66">
              <w:t>k</w:t>
            </w:r>
            <w:r w:rsidR="00CF1564" w:rsidRPr="004F7A66">
              <w:t> </w:t>
            </w:r>
            <w:r w:rsidR="000A3337" w:rsidRPr="004F7A66">
              <w:t>ekonomické úrovni</w:t>
            </w:r>
            <w:r w:rsidR="00355CC4" w:rsidRPr="004F7A66">
              <w:t> </w:t>
            </w:r>
            <w:r w:rsidR="00E816E9" w:rsidRPr="004F7A66">
              <w:t>Německa</w:t>
            </w:r>
            <w:r w:rsidRPr="004F7A66">
              <w:t xml:space="preserve"> započalo </w:t>
            </w:r>
            <w:r w:rsidR="000A3337" w:rsidRPr="004F7A66">
              <w:t xml:space="preserve">již v roce 2000 a bylo dokonce nepatrně </w:t>
            </w:r>
            <w:r w:rsidR="000A3337" w:rsidRPr="004F7A66">
              <w:rPr>
                <w:spacing w:val="-2"/>
              </w:rPr>
              <w:t xml:space="preserve">silnější než přibližování k průměru zemí EU či </w:t>
            </w:r>
            <w:proofErr w:type="spellStart"/>
            <w:r w:rsidR="000A3337" w:rsidRPr="004F7A66">
              <w:rPr>
                <w:spacing w:val="-2"/>
              </w:rPr>
              <w:t>eurozóně</w:t>
            </w:r>
            <w:proofErr w:type="spellEnd"/>
            <w:r w:rsidR="000A3337" w:rsidRPr="004F7A66">
              <w:rPr>
                <w:spacing w:val="-2"/>
              </w:rPr>
              <w:t xml:space="preserve"> (za celé období</w:t>
            </w:r>
            <w:r w:rsidR="00C04787" w:rsidRPr="004F7A66">
              <w:rPr>
                <w:spacing w:val="-2"/>
              </w:rPr>
              <w:t xml:space="preserve"> 2000–</w:t>
            </w:r>
            <w:r w:rsidR="00E816E9" w:rsidRPr="004F7A66">
              <w:t>2007</w:t>
            </w:r>
            <w:r w:rsidR="000A3337" w:rsidRPr="004F7A66">
              <w:t xml:space="preserve"> česká ekonomika umazala </w:t>
            </w:r>
            <w:r w:rsidR="000A3337" w:rsidRPr="004F7A66">
              <w:rPr>
                <w:spacing w:val="-2"/>
              </w:rPr>
              <w:t xml:space="preserve">z rozdílu vůči Německu 12,7 </w:t>
            </w:r>
            <w:proofErr w:type="spellStart"/>
            <w:r w:rsidR="000A3337" w:rsidRPr="004F7A66">
              <w:rPr>
                <w:spacing w:val="-2"/>
              </w:rPr>
              <w:t>pb</w:t>
            </w:r>
            <w:proofErr w:type="spellEnd"/>
            <w:r w:rsidR="000A3337" w:rsidRPr="004F7A66">
              <w:rPr>
                <w:spacing w:val="-2"/>
              </w:rPr>
              <w:t xml:space="preserve">., proti </w:t>
            </w:r>
            <w:proofErr w:type="spellStart"/>
            <w:r w:rsidR="000A3337" w:rsidRPr="004F7A66">
              <w:rPr>
                <w:spacing w:val="-2"/>
              </w:rPr>
              <w:t>eurozóně</w:t>
            </w:r>
            <w:proofErr w:type="spellEnd"/>
            <w:r w:rsidR="000A3337" w:rsidRPr="004F7A66">
              <w:rPr>
                <w:spacing w:val="-2"/>
              </w:rPr>
              <w:t xml:space="preserve"> </w:t>
            </w:r>
            <w:r w:rsidR="00C04787" w:rsidRPr="004F7A66">
              <w:rPr>
                <w:spacing w:val="-2"/>
              </w:rPr>
              <w:t>12,3</w:t>
            </w:r>
            <w:r w:rsidR="00CF1564" w:rsidRPr="004F7A66">
              <w:rPr>
                <w:spacing w:val="-2"/>
              </w:rPr>
              <w:t> </w:t>
            </w:r>
            <w:proofErr w:type="spellStart"/>
            <w:r w:rsidR="000A3337" w:rsidRPr="004F7A66">
              <w:rPr>
                <w:spacing w:val="-2"/>
              </w:rPr>
              <w:t>pb</w:t>
            </w:r>
            <w:proofErr w:type="spellEnd"/>
            <w:r w:rsidR="000A3337" w:rsidRPr="004F7A66">
              <w:rPr>
                <w:spacing w:val="-2"/>
              </w:rPr>
              <w:t>. a</w:t>
            </w:r>
            <w:r w:rsidR="00355CC4" w:rsidRPr="004F7A66">
              <w:rPr>
                <w:spacing w:val="-2"/>
              </w:rPr>
              <w:t> </w:t>
            </w:r>
            <w:r w:rsidR="000A3337" w:rsidRPr="004F7A66">
              <w:rPr>
                <w:spacing w:val="-2"/>
              </w:rPr>
              <w:t>proti EU</w:t>
            </w:r>
            <w:r w:rsidR="00C04787" w:rsidRPr="004F7A66">
              <w:rPr>
                <w:spacing w:val="-2"/>
              </w:rPr>
              <w:t xml:space="preserve"> 10,9</w:t>
            </w:r>
            <w:r w:rsidR="000A3337" w:rsidRPr="004F7A66">
              <w:rPr>
                <w:spacing w:val="-2"/>
              </w:rPr>
              <w:t xml:space="preserve"> </w:t>
            </w:r>
            <w:proofErr w:type="spellStart"/>
            <w:r w:rsidR="000A3337" w:rsidRPr="004F7A66">
              <w:rPr>
                <w:spacing w:val="-2"/>
              </w:rPr>
              <w:t>pb</w:t>
            </w:r>
            <w:proofErr w:type="spellEnd"/>
            <w:r w:rsidR="000A3337" w:rsidRPr="004F7A66">
              <w:rPr>
                <w:spacing w:val="-2"/>
              </w:rPr>
              <w:t xml:space="preserve">.). Roky následující však přinesly zlom, který se nepromítnul pouze do stagnace (jako tomu bylo v případě relace k zemím EU či </w:t>
            </w:r>
            <w:proofErr w:type="spellStart"/>
            <w:r w:rsidR="000A3337" w:rsidRPr="004F7A66">
              <w:rPr>
                <w:spacing w:val="-2"/>
              </w:rPr>
              <w:t>eurozóny</w:t>
            </w:r>
            <w:proofErr w:type="spellEnd"/>
            <w:r w:rsidR="000A3337" w:rsidRPr="004F7A66">
              <w:rPr>
                <w:spacing w:val="-2"/>
              </w:rPr>
              <w:t>), ale</w:t>
            </w:r>
            <w:r w:rsidR="00355CC4" w:rsidRPr="004F7A66">
              <w:rPr>
                <w:spacing w:val="-2"/>
              </w:rPr>
              <w:t> </w:t>
            </w:r>
            <w:r w:rsidR="00FD3381" w:rsidRPr="004F7A66">
              <w:rPr>
                <w:spacing w:val="-2"/>
              </w:rPr>
              <w:t>do</w:t>
            </w:r>
            <w:r w:rsidR="002733CD" w:rsidRPr="004F7A66">
              <w:rPr>
                <w:spacing w:val="-2"/>
              </w:rPr>
              <w:t xml:space="preserve"> poměrně</w:t>
            </w:r>
            <w:r w:rsidR="000A3337" w:rsidRPr="004F7A66">
              <w:rPr>
                <w:spacing w:val="-2"/>
              </w:rPr>
              <w:t xml:space="preserve"> </w:t>
            </w:r>
            <w:r w:rsidR="002733CD" w:rsidRPr="004F7A66">
              <w:rPr>
                <w:spacing w:val="-2"/>
              </w:rPr>
              <w:t>výrazného divergentního vývoje</w:t>
            </w:r>
            <w:r w:rsidR="000A3337" w:rsidRPr="004F7A66">
              <w:rPr>
                <w:spacing w:val="-2"/>
              </w:rPr>
              <w:t>. Jestliže ještě v roce 2007 dosahoval HDP na</w:t>
            </w:r>
            <w:r w:rsidR="00355CC4" w:rsidRPr="004F7A66">
              <w:rPr>
                <w:spacing w:val="-2"/>
              </w:rPr>
              <w:t> </w:t>
            </w:r>
            <w:r w:rsidR="000A3337" w:rsidRPr="004F7A66">
              <w:rPr>
                <w:spacing w:val="-2"/>
              </w:rPr>
              <w:t>obyvatele v paritě kupní síly v ČR</w:t>
            </w:r>
            <w:r w:rsidR="00C04787" w:rsidRPr="004F7A66">
              <w:rPr>
                <w:spacing w:val="-2"/>
              </w:rPr>
              <w:t xml:space="preserve"> 72,4</w:t>
            </w:r>
            <w:r w:rsidR="000A3337" w:rsidRPr="004F7A66">
              <w:rPr>
                <w:spacing w:val="-2"/>
              </w:rPr>
              <w:t xml:space="preserve"> % toho co v Německu,</w:t>
            </w:r>
            <w:r w:rsidR="00C04787" w:rsidRPr="004F7A66">
              <w:rPr>
                <w:spacing w:val="-2"/>
              </w:rPr>
              <w:t xml:space="preserve"> v roce 2014 činil už pouze 67,5</w:t>
            </w:r>
            <w:r w:rsidR="000A3337" w:rsidRPr="004F7A66">
              <w:rPr>
                <w:spacing w:val="-2"/>
              </w:rPr>
              <w:t xml:space="preserve"> %.</w:t>
            </w:r>
          </w:p>
        </w:tc>
      </w:tr>
    </w:tbl>
    <w:p w:rsidR="00E2541A" w:rsidRPr="00407FDB" w:rsidRDefault="00E2541A" w:rsidP="006C4706">
      <w:pPr>
        <w:rPr>
          <w:sz w:val="18"/>
          <w:szCs w:val="18"/>
          <w:lang w:eastAsia="ar-SA"/>
        </w:rPr>
      </w:pPr>
    </w:p>
    <w:p w:rsidR="00407FDB" w:rsidRPr="004F7A66" w:rsidRDefault="00407FDB" w:rsidP="00407FDB">
      <w:pPr>
        <w:rPr>
          <w:spacing w:val="-2"/>
          <w:szCs w:val="20"/>
          <w:lang w:eastAsia="ar-SA"/>
        </w:rPr>
      </w:pPr>
      <w:r w:rsidRPr="004F7A66">
        <w:rPr>
          <w:spacing w:val="-2"/>
          <w:szCs w:val="20"/>
          <w:lang w:eastAsia="ar-SA"/>
        </w:rPr>
        <w:t xml:space="preserve">Graf č. 13: </w:t>
      </w:r>
      <w:r w:rsidRPr="004F7A66">
        <w:rPr>
          <w:b/>
          <w:spacing w:val="-2"/>
          <w:szCs w:val="20"/>
          <w:lang w:eastAsia="ar-SA"/>
        </w:rPr>
        <w:t>HDP na obyvatele v paritě kupní síly v ČR*</w:t>
      </w:r>
    </w:p>
    <w:p w:rsidR="00407FDB" w:rsidRPr="00931F71" w:rsidRDefault="00E2541A" w:rsidP="00407FDB">
      <w:pPr>
        <w:rPr>
          <w:sz w:val="18"/>
          <w:szCs w:val="18"/>
          <w:lang w:eastAsia="ar-SA"/>
        </w:rPr>
      </w:pPr>
      <w:r w:rsidRPr="00E2541A">
        <w:rPr>
          <w:noProof/>
          <w:sz w:val="18"/>
          <w:szCs w:val="18"/>
        </w:rPr>
        <w:drawing>
          <wp:inline distT="0" distB="0" distL="0" distR="0">
            <wp:extent cx="6071870" cy="2365375"/>
            <wp:effectExtent l="19050" t="0" r="5080" b="0"/>
            <wp:docPr id="1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2077"/>
        <w:gridCol w:w="282"/>
        <w:gridCol w:w="3561"/>
        <w:gridCol w:w="3934"/>
      </w:tblGrid>
      <w:tr w:rsidR="00407FDB" w:rsidRPr="004F7A66" w:rsidTr="00B50E46">
        <w:tc>
          <w:tcPr>
            <w:tcW w:w="3004" w:type="pct"/>
            <w:gridSpan w:val="3"/>
          </w:tcPr>
          <w:p w:rsidR="00407FDB" w:rsidRPr="004F7A66" w:rsidRDefault="00407FDB" w:rsidP="00407FDB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*Pozn.: Údaje před rokem 2005 a od tohoto roku dále nejsou plně srovnatelné – </w:t>
            </w:r>
            <w:proofErr w:type="spellStart"/>
            <w:r w:rsidRPr="004F7A66">
              <w:rPr>
                <w:sz w:val="18"/>
                <w:szCs w:val="18"/>
              </w:rPr>
              <w:t>Eurostat</w:t>
            </w:r>
            <w:proofErr w:type="spellEnd"/>
            <w:r w:rsidR="009F1595">
              <w:rPr>
                <w:sz w:val="18"/>
                <w:szCs w:val="18"/>
              </w:rPr>
              <w:t xml:space="preserve"> eviduje v časové řadě zlom</w:t>
            </w:r>
            <w:r w:rsidRPr="004F7A66">
              <w:rPr>
                <w:sz w:val="18"/>
                <w:szCs w:val="18"/>
              </w:rPr>
              <w:t>.</w:t>
            </w:r>
          </w:p>
        </w:tc>
        <w:tc>
          <w:tcPr>
            <w:tcW w:w="1996" w:type="pct"/>
          </w:tcPr>
          <w:p w:rsidR="00407FDB" w:rsidRPr="004F7A66" w:rsidRDefault="00407FDB" w:rsidP="00755093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Zdroj: </w:t>
            </w:r>
            <w:proofErr w:type="spellStart"/>
            <w:r w:rsidRPr="004F7A66">
              <w:rPr>
                <w:sz w:val="18"/>
                <w:szCs w:val="18"/>
              </w:rPr>
              <w:t>Eurostat</w:t>
            </w:r>
            <w:proofErr w:type="spellEnd"/>
            <w:r w:rsidRPr="004F7A66">
              <w:rPr>
                <w:sz w:val="18"/>
                <w:szCs w:val="18"/>
              </w:rPr>
              <w:t>, vlastní výpočty</w:t>
            </w:r>
          </w:p>
        </w:tc>
      </w:tr>
      <w:tr w:rsidR="001E6A2B" w:rsidRPr="004F7A66" w:rsidTr="004336CD">
        <w:trPr>
          <w:trHeight w:val="1125"/>
        </w:trPr>
        <w:tc>
          <w:tcPr>
            <w:tcW w:w="1054" w:type="pct"/>
          </w:tcPr>
          <w:p w:rsidR="001E6A2B" w:rsidRPr="004F7A66" w:rsidRDefault="00743B2A" w:rsidP="00E41317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Česká ekonomika „doháněla“, byla však zároveň „doháněna“, …</w:t>
            </w:r>
          </w:p>
        </w:tc>
        <w:tc>
          <w:tcPr>
            <w:tcW w:w="143" w:type="pct"/>
          </w:tcPr>
          <w:p w:rsidR="001E6A2B" w:rsidRPr="004F7A66" w:rsidRDefault="001E6A2B" w:rsidP="00432B88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</w:tcPr>
          <w:p w:rsidR="00CF765E" w:rsidRPr="004F7A66" w:rsidRDefault="001E6A2B" w:rsidP="00EE31CB">
            <w:pPr>
              <w:pStyle w:val="Textpoznpodarou"/>
              <w:jc w:val="both"/>
            </w:pPr>
            <w:r w:rsidRPr="004F7A66">
              <w:t>Tak jako česká ekonomika v dlouhodobém horizontu reálně konvergovala k ekonomicky vyspělejším zemím (například k</w:t>
            </w:r>
            <w:r w:rsidR="00356579" w:rsidRPr="004F7A66">
              <w:t>e zmiňovanému</w:t>
            </w:r>
            <w:r w:rsidRPr="004F7A66">
              <w:t xml:space="preserve"> Německu) a</w:t>
            </w:r>
            <w:r w:rsidR="002D2928" w:rsidRPr="004F7A66">
              <w:t> </w:t>
            </w:r>
            <w:r w:rsidRPr="004F7A66">
              <w:t>k </w:t>
            </w:r>
            <w:proofErr w:type="spellStart"/>
            <w:r w:rsidRPr="004F7A66">
              <w:t>eurozóně</w:t>
            </w:r>
            <w:proofErr w:type="spellEnd"/>
            <w:r w:rsidRPr="004F7A66">
              <w:t xml:space="preserve"> či</w:t>
            </w:r>
            <w:r w:rsidR="00F42574" w:rsidRPr="004F7A66">
              <w:t xml:space="preserve"> k Evropské unii</w:t>
            </w:r>
            <w:r w:rsidRPr="004F7A66">
              <w:t xml:space="preserve"> jako celku, přibližovala se</w:t>
            </w:r>
            <w:r w:rsidR="00CF765E" w:rsidRPr="004F7A66">
              <w:t xml:space="preserve"> – zcela logicky –</w:t>
            </w:r>
            <w:r w:rsidRPr="004F7A66">
              <w:t xml:space="preserve"> i</w:t>
            </w:r>
            <w:r w:rsidR="004336CD" w:rsidRPr="004F7A66">
              <w:t> </w:t>
            </w:r>
            <w:r w:rsidRPr="004F7A66">
              <w:t>vyspělost původně méně rozvinutých zemí</w:t>
            </w:r>
            <w:r w:rsidR="00CF765E" w:rsidRPr="004F7A66">
              <w:t xml:space="preserve"> ekonomické</w:t>
            </w:r>
            <w:r w:rsidR="00956B94" w:rsidRPr="004F7A66">
              <w:t xml:space="preserve"> </w:t>
            </w:r>
            <w:r w:rsidR="00356579" w:rsidRPr="004F7A66">
              <w:t>úrovni České republiky</w:t>
            </w:r>
            <w:r w:rsidR="00CF765E" w:rsidRPr="004F7A66">
              <w:t>.</w:t>
            </w:r>
          </w:p>
          <w:p w:rsidR="00EE31CB" w:rsidRPr="004F7A66" w:rsidRDefault="00EE31CB" w:rsidP="00EE31CB">
            <w:pPr>
              <w:pStyle w:val="Textpoznpodarou"/>
              <w:jc w:val="both"/>
            </w:pPr>
          </w:p>
        </w:tc>
      </w:tr>
      <w:tr w:rsidR="00F32D61" w:rsidRPr="004F7A66" w:rsidTr="004336CD">
        <w:tc>
          <w:tcPr>
            <w:tcW w:w="1054" w:type="pct"/>
          </w:tcPr>
          <w:p w:rsidR="00F32D61" w:rsidRPr="004F7A66" w:rsidRDefault="00743B2A" w:rsidP="00432B8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a to například Slovenskem …</w:t>
            </w:r>
          </w:p>
        </w:tc>
        <w:tc>
          <w:tcPr>
            <w:tcW w:w="143" w:type="pct"/>
          </w:tcPr>
          <w:p w:rsidR="00F32D61" w:rsidRPr="004F7A66" w:rsidRDefault="00F32D61" w:rsidP="00432B88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</w:tcPr>
          <w:p w:rsidR="00F32D61" w:rsidRPr="001C29C9" w:rsidRDefault="00F975D8" w:rsidP="00EE31CB">
            <w:pPr>
              <w:pStyle w:val="Textpoznpodarou"/>
              <w:jc w:val="both"/>
              <w:rPr>
                <w:spacing w:val="-4"/>
              </w:rPr>
            </w:pPr>
            <w:r>
              <w:rPr>
                <w:spacing w:val="-4"/>
              </w:rPr>
              <w:t>Z G</w:t>
            </w:r>
            <w:r w:rsidR="00F32D61" w:rsidRPr="001C29C9">
              <w:rPr>
                <w:spacing w:val="-4"/>
              </w:rPr>
              <w:t xml:space="preserve">rafu </w:t>
            </w:r>
            <w:r w:rsidR="001E0E16" w:rsidRPr="001C29C9">
              <w:rPr>
                <w:spacing w:val="-4"/>
              </w:rPr>
              <w:t>č.</w:t>
            </w:r>
            <w:r w:rsidR="00F32D61" w:rsidRPr="001C29C9">
              <w:rPr>
                <w:spacing w:val="-4"/>
              </w:rPr>
              <w:t xml:space="preserve"> </w:t>
            </w:r>
            <w:r w:rsidR="00E41317" w:rsidRPr="001C29C9">
              <w:rPr>
                <w:spacing w:val="-4"/>
              </w:rPr>
              <w:t>1</w:t>
            </w:r>
            <w:r>
              <w:rPr>
                <w:spacing w:val="-4"/>
              </w:rPr>
              <w:t>3 je zřejmé, že jednou ze zemí,</w:t>
            </w:r>
            <w:r w:rsidR="00F32D61" w:rsidRPr="001C29C9">
              <w:rPr>
                <w:spacing w:val="-4"/>
              </w:rPr>
              <w:t xml:space="preserve"> ve kterých k tomuto vývoj</w:t>
            </w:r>
            <w:r>
              <w:rPr>
                <w:spacing w:val="-4"/>
              </w:rPr>
              <w:t>i docházelo,</w:t>
            </w:r>
            <w:r w:rsidR="00F32D61" w:rsidRPr="001C29C9">
              <w:rPr>
                <w:spacing w:val="-4"/>
              </w:rPr>
              <w:t xml:space="preserve"> bylo Slovensko. Jestliže v roce 1995 dosahoval </w:t>
            </w:r>
            <w:r w:rsidR="00B57487" w:rsidRPr="001C29C9">
              <w:rPr>
                <w:spacing w:val="-4"/>
              </w:rPr>
              <w:t>HDP</w:t>
            </w:r>
            <w:r w:rsidR="00F32D61" w:rsidRPr="001C29C9">
              <w:rPr>
                <w:spacing w:val="-4"/>
              </w:rPr>
              <w:t xml:space="preserve"> na obyvatele v paritě kupní síly v ČR 163,0 % toho</w:t>
            </w:r>
            <w:r w:rsidR="00AF56C5">
              <w:rPr>
                <w:spacing w:val="-4"/>
              </w:rPr>
              <w:t xml:space="preserve"> co na Slovensku, do roku 2004,</w:t>
            </w:r>
            <w:r w:rsidR="00F32D61" w:rsidRPr="001C29C9">
              <w:rPr>
                <w:spacing w:val="-4"/>
              </w:rPr>
              <w:t xml:space="preserve"> kdy obě země vstupovaly do</w:t>
            </w:r>
            <w:r w:rsidR="001C29C9">
              <w:rPr>
                <w:spacing w:val="-4"/>
              </w:rPr>
              <w:t> </w:t>
            </w:r>
            <w:r w:rsidR="00AF56C5">
              <w:rPr>
                <w:spacing w:val="-4"/>
              </w:rPr>
              <w:t>hospodářského prostoru EU,</w:t>
            </w:r>
            <w:r w:rsidR="00F32D61" w:rsidRPr="001C29C9">
              <w:rPr>
                <w:spacing w:val="-4"/>
              </w:rPr>
              <w:t xml:space="preserve"> se tato relace zmenšila na</w:t>
            </w:r>
            <w:r w:rsidR="00B57487" w:rsidRPr="001C29C9">
              <w:rPr>
                <w:spacing w:val="-4"/>
              </w:rPr>
              <w:t> </w:t>
            </w:r>
            <w:r w:rsidR="00F32D61" w:rsidRPr="001C29C9">
              <w:rPr>
                <w:spacing w:val="-4"/>
              </w:rPr>
              <w:t>139,9 %. Jak</w:t>
            </w:r>
            <w:r w:rsidR="004336CD" w:rsidRPr="001C29C9">
              <w:rPr>
                <w:spacing w:val="-4"/>
              </w:rPr>
              <w:t xml:space="preserve"> ale</w:t>
            </w:r>
            <w:r w:rsidR="00F32D61" w:rsidRPr="001C29C9">
              <w:rPr>
                <w:spacing w:val="-4"/>
              </w:rPr>
              <w:t xml:space="preserve"> ukazuje vývoj v dalších letech, ani tehdy se </w:t>
            </w:r>
            <w:r w:rsidR="004336CD" w:rsidRPr="001C29C9">
              <w:rPr>
                <w:spacing w:val="-4"/>
              </w:rPr>
              <w:t xml:space="preserve">reálná </w:t>
            </w:r>
            <w:r w:rsidR="00F32D61" w:rsidRPr="001C29C9">
              <w:rPr>
                <w:spacing w:val="-4"/>
              </w:rPr>
              <w:t>konvergence Slovenska nezastavila. V</w:t>
            </w:r>
            <w:r w:rsidR="001C29C9">
              <w:rPr>
                <w:spacing w:val="-4"/>
              </w:rPr>
              <w:t> </w:t>
            </w:r>
            <w:r w:rsidR="00F32D61" w:rsidRPr="001C29C9">
              <w:rPr>
                <w:spacing w:val="-4"/>
              </w:rPr>
              <w:t>roce</w:t>
            </w:r>
            <w:r w:rsidR="001C29C9">
              <w:rPr>
                <w:spacing w:val="-4"/>
              </w:rPr>
              <w:t> </w:t>
            </w:r>
            <w:r w:rsidR="00F32D61" w:rsidRPr="001C29C9">
              <w:rPr>
                <w:spacing w:val="-4"/>
              </w:rPr>
              <w:t xml:space="preserve">2014 byla ekonomická úroveň ČR vyšší už </w:t>
            </w:r>
            <w:r w:rsidR="004336CD" w:rsidRPr="001C29C9">
              <w:rPr>
                <w:spacing w:val="-4"/>
              </w:rPr>
              <w:t>pouze</w:t>
            </w:r>
            <w:r w:rsidR="00F32D61" w:rsidRPr="001C29C9">
              <w:rPr>
                <w:spacing w:val="-4"/>
              </w:rPr>
              <w:t xml:space="preserve"> o desetinu (</w:t>
            </w:r>
            <w:r w:rsidR="00F21F6E" w:rsidRPr="001C29C9">
              <w:rPr>
                <w:spacing w:val="-4"/>
              </w:rPr>
              <w:t>1</w:t>
            </w:r>
            <w:r w:rsidR="00F32D61" w:rsidRPr="001C29C9">
              <w:rPr>
                <w:spacing w:val="-4"/>
              </w:rPr>
              <w:t>10,1 %).</w:t>
            </w:r>
          </w:p>
          <w:p w:rsidR="00F32D61" w:rsidRPr="004F7A66" w:rsidRDefault="00F32D61" w:rsidP="00EE31CB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F32D61" w:rsidRPr="004F7A66" w:rsidTr="004336CD">
        <w:tc>
          <w:tcPr>
            <w:tcW w:w="1054" w:type="pct"/>
          </w:tcPr>
          <w:p w:rsidR="00F32D61" w:rsidRPr="004F7A66" w:rsidRDefault="00743B2A" w:rsidP="00743B2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…nebo </w:t>
            </w:r>
            <w:r w:rsidR="001E64BF" w:rsidRPr="004F7A66">
              <w:rPr>
                <w:sz w:val="16"/>
                <w:szCs w:val="16"/>
              </w:rPr>
              <w:t xml:space="preserve">Litvou, Estonskem, </w:t>
            </w:r>
            <w:r w:rsidRPr="004F7A66">
              <w:rPr>
                <w:sz w:val="16"/>
                <w:szCs w:val="16"/>
              </w:rPr>
              <w:t>Lotyšskem, Rumunskem, Polskem, Bulharskem a Maďarskem</w:t>
            </w:r>
          </w:p>
        </w:tc>
        <w:tc>
          <w:tcPr>
            <w:tcW w:w="143" w:type="pct"/>
          </w:tcPr>
          <w:p w:rsidR="00F32D61" w:rsidRPr="004F7A66" w:rsidRDefault="00F32D61" w:rsidP="00432B88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</w:tcPr>
          <w:p w:rsidR="00F32D61" w:rsidRPr="007C286F" w:rsidRDefault="00D546A8" w:rsidP="001E64BF">
            <w:pPr>
              <w:pStyle w:val="Textpoznpodarou"/>
              <w:jc w:val="both"/>
            </w:pPr>
            <w:r w:rsidRPr="007C286F">
              <w:t>Totožný vývoj,</w:t>
            </w:r>
            <w:r w:rsidR="00F32D61" w:rsidRPr="007C286F">
              <w:t xml:space="preserve"> tedy vyšší </w:t>
            </w:r>
            <w:r w:rsidRPr="007C286F">
              <w:t>ná</w:t>
            </w:r>
            <w:r w:rsidR="00F32D61" w:rsidRPr="007C286F">
              <w:t xml:space="preserve">růst </w:t>
            </w:r>
            <w:r w:rsidR="00E41317" w:rsidRPr="007C286F">
              <w:t>HDP</w:t>
            </w:r>
            <w:r w:rsidR="00F32D61" w:rsidRPr="007C286F">
              <w:t xml:space="preserve"> na obyvatele v paritě kupní síly než v</w:t>
            </w:r>
            <w:r w:rsidRPr="007C286F">
              <w:t> ČR,</w:t>
            </w:r>
            <w:r w:rsidR="00F32D61" w:rsidRPr="007C286F">
              <w:t xml:space="preserve"> byl </w:t>
            </w:r>
            <w:r w:rsidR="00F770C3" w:rsidRPr="007C286F">
              <w:t xml:space="preserve">mezi rokem 1995 a 2014 </w:t>
            </w:r>
            <w:r w:rsidR="00F32D61" w:rsidRPr="007C286F">
              <w:t>patrný</w:t>
            </w:r>
            <w:r w:rsidRPr="007C286F">
              <w:t xml:space="preserve"> – jak </w:t>
            </w:r>
            <w:r w:rsidR="001E179D" w:rsidRPr="007C286F">
              <w:t>plyne</w:t>
            </w:r>
            <w:r w:rsidRPr="007C286F">
              <w:t xml:space="preserve"> z dostupných údajů –</w:t>
            </w:r>
            <w:r w:rsidR="003B742F" w:rsidRPr="007C286F">
              <w:t xml:space="preserve"> </w:t>
            </w:r>
            <w:r w:rsidR="00F32D61" w:rsidRPr="007C286F">
              <w:t xml:space="preserve">i v případě </w:t>
            </w:r>
            <w:r w:rsidRPr="007C286F">
              <w:t xml:space="preserve">dalších </w:t>
            </w:r>
            <w:r w:rsidR="001E64BF" w:rsidRPr="007C286F">
              <w:t>osmi</w:t>
            </w:r>
            <w:r w:rsidR="00F32D61" w:rsidRPr="007C286F">
              <w:t xml:space="preserve"> zemí</w:t>
            </w:r>
            <w:r w:rsidR="00B57487" w:rsidRPr="007C286F">
              <w:t xml:space="preserve"> </w:t>
            </w:r>
            <w:r w:rsidR="00E41317" w:rsidRPr="007C286F">
              <w:t>Unie</w:t>
            </w:r>
            <w:r w:rsidR="00F32D61" w:rsidRPr="007C286F">
              <w:t xml:space="preserve">. České ekonomice se </w:t>
            </w:r>
            <w:r w:rsidR="001E64BF" w:rsidRPr="007C286F">
              <w:t>přiblížily</w:t>
            </w:r>
            <w:r w:rsidR="00F32D61" w:rsidRPr="007C286F">
              <w:t xml:space="preserve"> </w:t>
            </w:r>
            <w:r w:rsidRPr="007C286F">
              <w:t>především</w:t>
            </w:r>
            <w:r w:rsidR="00F32D61" w:rsidRPr="007C286F">
              <w:t xml:space="preserve"> </w:t>
            </w:r>
            <w:r w:rsidR="001E64BF" w:rsidRPr="007C286F">
              <w:t>pobaltské země.</w:t>
            </w:r>
            <w:r w:rsidRPr="007C286F">
              <w:t xml:space="preserve"> </w:t>
            </w:r>
            <w:r w:rsidR="001E64BF" w:rsidRPr="007C286F">
              <w:t>V</w:t>
            </w:r>
            <w:r w:rsidRPr="007C286F">
              <w:t xml:space="preserve"> roce 1995</w:t>
            </w:r>
            <w:r w:rsidR="001E64BF" w:rsidRPr="007C286F">
              <w:t> </w:t>
            </w:r>
            <w:r w:rsidRPr="007C286F">
              <w:t>činil HDP na obyvatele v paritě kupní síly v </w:t>
            </w:r>
            <w:r w:rsidR="00267D9A" w:rsidRPr="007C286F">
              <w:t>ČR</w:t>
            </w:r>
            <w:r w:rsidR="001E64BF" w:rsidRPr="007C286F">
              <w:t xml:space="preserve"> 223,1</w:t>
            </w:r>
            <w:r w:rsidRPr="007C286F">
              <w:t xml:space="preserve"> % tohoto ukazatele v </w:t>
            </w:r>
            <w:r w:rsidR="001E64BF" w:rsidRPr="007C286F">
              <w:t>Litvě</w:t>
            </w:r>
            <w:r w:rsidRPr="007C286F">
              <w:t>,</w:t>
            </w:r>
            <w:r w:rsidR="001E64BF" w:rsidRPr="007C286F">
              <w:t xml:space="preserve"> v roce 2014 ale už jen 113,5 %. Podobný průběh měl i vývoj v Estonsku (218,8 %; 112,9 %) a v Lotyšsku (231,3 %; 132,4 %</w:t>
            </w:r>
            <w:r w:rsidR="00173407" w:rsidRPr="007C286F">
              <w:t>). K ekonomické úrovni ČR reálně</w:t>
            </w:r>
            <w:r w:rsidR="001E64BF" w:rsidRPr="007C286F">
              <w:t xml:space="preserve"> konvergovalo i Rumunsko, Polsko, B</w:t>
            </w:r>
            <w:r w:rsidR="00173407" w:rsidRPr="007C286F">
              <w:t>ulharsko a Maďarsko, velmi mírně</w:t>
            </w:r>
            <w:r w:rsidR="001E64BF" w:rsidRPr="007C286F">
              <w:t xml:space="preserve"> pak Slovinsko.</w:t>
            </w:r>
          </w:p>
          <w:p w:rsidR="001E64BF" w:rsidRPr="004F7A66" w:rsidRDefault="001E64BF" w:rsidP="001E64BF">
            <w:pPr>
              <w:pStyle w:val="Textpoznpodarou"/>
              <w:jc w:val="both"/>
            </w:pPr>
          </w:p>
        </w:tc>
      </w:tr>
      <w:tr w:rsidR="004142CD" w:rsidRPr="004F7A66" w:rsidTr="004336CD">
        <w:tc>
          <w:tcPr>
            <w:tcW w:w="1054" w:type="pct"/>
          </w:tcPr>
          <w:p w:rsidR="004142CD" w:rsidRPr="004F7A66" w:rsidRDefault="00142D80" w:rsidP="00142D8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Rozdíl v ekonomické úrovni Norska a Evropské unie se mezi rokem 1995 a 2014 výrazně zvětšil</w:t>
            </w:r>
          </w:p>
        </w:tc>
        <w:tc>
          <w:tcPr>
            <w:tcW w:w="143" w:type="pct"/>
          </w:tcPr>
          <w:p w:rsidR="004142CD" w:rsidRPr="004F7A66" w:rsidRDefault="004142CD" w:rsidP="00432B88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</w:tcPr>
          <w:p w:rsidR="004142CD" w:rsidRPr="004F7A66" w:rsidRDefault="004142CD" w:rsidP="00956B94">
            <w:pPr>
              <w:pStyle w:val="Textpoznpodarou"/>
              <w:jc w:val="both"/>
            </w:pPr>
            <w:r w:rsidRPr="004F7A66">
              <w:t xml:space="preserve">Jakkoli </w:t>
            </w:r>
            <w:r w:rsidR="00142D80" w:rsidRPr="004F7A66">
              <w:t>teorie předpokládá</w:t>
            </w:r>
            <w:r w:rsidRPr="004F7A66">
              <w:t xml:space="preserve">, že </w:t>
            </w:r>
            <w:r w:rsidR="00142D80" w:rsidRPr="004F7A66">
              <w:t>nejrychleji by se měl</w:t>
            </w:r>
            <w:r w:rsidRPr="004F7A66">
              <w:t xml:space="preserve"> </w:t>
            </w:r>
            <w:r w:rsidR="00142D80" w:rsidRPr="004F7A66">
              <w:t>HDP</w:t>
            </w:r>
            <w:r w:rsidRPr="004F7A66">
              <w:t xml:space="preserve"> na obyvatele v paritě kupní síly </w:t>
            </w:r>
            <w:r w:rsidR="00142D80" w:rsidRPr="004F7A66">
              <w:t xml:space="preserve">zvyšovat </w:t>
            </w:r>
            <w:r w:rsidRPr="004F7A66">
              <w:t xml:space="preserve">v případě </w:t>
            </w:r>
            <w:r w:rsidR="00142D80" w:rsidRPr="004F7A66">
              <w:t xml:space="preserve">málo vyspělých ekonomik rostoucích </w:t>
            </w:r>
            <w:r w:rsidRPr="004F7A66">
              <w:t>z nízké základny</w:t>
            </w:r>
            <w:r w:rsidR="005B5AA3">
              <w:t>,</w:t>
            </w:r>
            <w:r w:rsidR="00142D80" w:rsidRPr="004F7A66">
              <w:t xml:space="preserve"> a ústit tak v jejich reálnou konvergenci</w:t>
            </w:r>
            <w:r w:rsidRPr="004F7A66">
              <w:t xml:space="preserve">, </w:t>
            </w:r>
            <w:r w:rsidR="008D76CF" w:rsidRPr="004F7A66">
              <w:t>e</w:t>
            </w:r>
            <w:r w:rsidR="005B5AA3">
              <w:t>xistují v tomto ohledu výjimky. Jednou z nich bylo</w:t>
            </w:r>
            <w:r w:rsidR="008D76CF" w:rsidRPr="004F7A66">
              <w:t xml:space="preserve"> Norsko</w:t>
            </w:r>
            <w:r w:rsidR="00142D80" w:rsidRPr="004F7A66">
              <w:t xml:space="preserve">. </w:t>
            </w:r>
            <w:r w:rsidR="00451370" w:rsidRPr="004F7A66">
              <w:t xml:space="preserve">Jestliže </w:t>
            </w:r>
            <w:r w:rsidR="00356579" w:rsidRPr="004F7A66">
              <w:t>už</w:t>
            </w:r>
            <w:r w:rsidR="00451370" w:rsidRPr="004F7A66">
              <w:t xml:space="preserve"> v roce 1995 </w:t>
            </w:r>
            <w:r w:rsidR="00522712" w:rsidRPr="004F7A66">
              <w:t xml:space="preserve">dosahoval </w:t>
            </w:r>
            <w:r w:rsidR="00B57487" w:rsidRPr="004F7A66">
              <w:t>HDP</w:t>
            </w:r>
            <w:r w:rsidR="00522712" w:rsidRPr="004F7A66">
              <w:t xml:space="preserve"> na obyvatele v paritě kupní síly v této zemi</w:t>
            </w:r>
            <w:r w:rsidR="00B0207E" w:rsidRPr="004F7A66">
              <w:t xml:space="preserve"> 134,0</w:t>
            </w:r>
            <w:r w:rsidR="00451370" w:rsidRPr="004F7A66">
              <w:t xml:space="preserve"> % průměrné úrovně EU, do roku 2014 </w:t>
            </w:r>
            <w:r w:rsidR="00522712" w:rsidRPr="004F7A66">
              <w:t>tato relace vzrostla</w:t>
            </w:r>
            <w:r w:rsidR="00B57487" w:rsidRPr="004F7A66">
              <w:t xml:space="preserve"> až na</w:t>
            </w:r>
            <w:r w:rsidR="00451370" w:rsidRPr="004F7A66">
              <w:t xml:space="preserve"> </w:t>
            </w:r>
            <w:r w:rsidR="00B0207E" w:rsidRPr="004F7A66">
              <w:t>178,9</w:t>
            </w:r>
            <w:r w:rsidR="00B57487" w:rsidRPr="004F7A66">
              <w:t> </w:t>
            </w:r>
            <w:r w:rsidR="00956B94" w:rsidRPr="004F7A66">
              <w:t>%</w:t>
            </w:r>
            <w:r w:rsidR="00522712" w:rsidRPr="004F7A66">
              <w:t>.</w:t>
            </w:r>
            <w:r w:rsidR="00267D9A" w:rsidRPr="004F7A66">
              <w:t xml:space="preserve"> Přestože se na zvětšování rozdílu v ekonomické úrovni Norska a Unie</w:t>
            </w:r>
            <w:r w:rsidR="00522712" w:rsidRPr="004F7A66">
              <w:t xml:space="preserve"> </w:t>
            </w:r>
            <w:r w:rsidR="00267D9A" w:rsidRPr="004F7A66">
              <w:t>ve velké míře</w:t>
            </w:r>
            <w:r w:rsidR="00522712" w:rsidRPr="004F7A66">
              <w:t xml:space="preserve"> podílela komparativní výhoda Norska spočívající v mohutných zásobách </w:t>
            </w:r>
            <w:r w:rsidR="00F40448" w:rsidRPr="004F7A66">
              <w:t xml:space="preserve">zemního </w:t>
            </w:r>
            <w:r w:rsidR="00522712" w:rsidRPr="004F7A66">
              <w:t>plynu a ropy</w:t>
            </w:r>
            <w:r w:rsidR="00432B88" w:rsidRPr="004F7A66">
              <w:t xml:space="preserve">, které </w:t>
            </w:r>
            <w:r w:rsidR="00016CE7" w:rsidRPr="004F7A66">
              <w:t>zlepšovaly</w:t>
            </w:r>
            <w:r w:rsidR="00432B88" w:rsidRPr="004F7A66">
              <w:t xml:space="preserve"> výsledek zahraničního obchodu této země,</w:t>
            </w:r>
            <w:r w:rsidR="001E179D" w:rsidRPr="004F7A66">
              <w:t> </w:t>
            </w:r>
            <w:r w:rsidR="00CF765E" w:rsidRPr="004F7A66">
              <w:t>lze se domnívat, že</w:t>
            </w:r>
            <w:r w:rsidR="00267D9A" w:rsidRPr="004F7A66">
              <w:t xml:space="preserve"> takto silný</w:t>
            </w:r>
            <w:r w:rsidR="00CF765E" w:rsidRPr="004F7A66">
              <w:t xml:space="preserve"> </w:t>
            </w:r>
            <w:r w:rsidR="00267D9A" w:rsidRPr="004F7A66">
              <w:t>divergentní vývoj musel být způsoben i jinými faktory</w:t>
            </w:r>
            <w:r w:rsidR="00CF765E" w:rsidRPr="004F7A66">
              <w:t>.</w:t>
            </w:r>
          </w:p>
          <w:p w:rsidR="00F21F6E" w:rsidRPr="00EA2D0D" w:rsidRDefault="00F21F6E" w:rsidP="00956B94">
            <w:pPr>
              <w:pStyle w:val="Textpoznpodarou"/>
              <w:jc w:val="both"/>
              <w:rPr>
                <w:sz w:val="18"/>
                <w:szCs w:val="18"/>
              </w:rPr>
            </w:pPr>
          </w:p>
        </w:tc>
      </w:tr>
      <w:tr w:rsidR="00EE31CB" w:rsidRPr="004F7A66" w:rsidTr="004336CD">
        <w:tc>
          <w:tcPr>
            <w:tcW w:w="1054" w:type="pct"/>
          </w:tcPr>
          <w:p w:rsidR="00EE31CB" w:rsidRPr="004F7A66" w:rsidRDefault="00743B2A" w:rsidP="00743B2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Ekonomická vyspělost jednotlivých zemí EU je stále významně odlišná </w:t>
            </w:r>
          </w:p>
        </w:tc>
        <w:tc>
          <w:tcPr>
            <w:tcW w:w="143" w:type="pct"/>
          </w:tcPr>
          <w:p w:rsidR="00EE31CB" w:rsidRPr="004F7A66" w:rsidRDefault="00EE31CB" w:rsidP="00432B88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</w:tcPr>
          <w:p w:rsidR="00EE31CB" w:rsidRPr="004F7A66" w:rsidRDefault="006253DC" w:rsidP="00B0207E">
            <w:pPr>
              <w:pStyle w:val="Textpoznpodarou"/>
              <w:jc w:val="both"/>
            </w:pPr>
            <w:r>
              <w:t>Jak je patrné z G</w:t>
            </w:r>
            <w:r w:rsidR="00EE31CB" w:rsidRPr="004F7A66">
              <w:t xml:space="preserve">rafu </w:t>
            </w:r>
            <w:r w:rsidR="001E0E16">
              <w:t>č.</w:t>
            </w:r>
            <w:r w:rsidR="00EE31CB" w:rsidRPr="004F7A66">
              <w:t xml:space="preserve"> 14, ekonomická </w:t>
            </w:r>
            <w:r w:rsidR="00B05AAF" w:rsidRPr="004F7A66">
              <w:t>úroveň</w:t>
            </w:r>
            <w:r w:rsidR="00EE31CB" w:rsidRPr="004F7A66">
              <w:t xml:space="preserve"> jednotlivých zemí Evropské unie je navzdory dlouhodobé konvergenci méně vyspěl</w:t>
            </w:r>
            <w:r w:rsidR="004336CD" w:rsidRPr="004F7A66">
              <w:t>ých zemí</w:t>
            </w:r>
            <w:r w:rsidR="00EE31CB" w:rsidRPr="004F7A66">
              <w:t xml:space="preserve"> stále diametrálně odlišná. Zatímco ani jedna z</w:t>
            </w:r>
            <w:r w:rsidR="00F21F6E" w:rsidRPr="004F7A66">
              <w:t> </w:t>
            </w:r>
            <w:r w:rsidR="00EE31CB" w:rsidRPr="004F7A66">
              <w:t>nových</w:t>
            </w:r>
            <w:r w:rsidR="00F21F6E" w:rsidRPr="004F7A66">
              <w:t xml:space="preserve"> členských</w:t>
            </w:r>
            <w:r w:rsidR="00EE31CB" w:rsidRPr="004F7A66">
              <w:t xml:space="preserve"> zemí </w:t>
            </w:r>
            <w:r w:rsidR="00CF765E" w:rsidRPr="004F7A66">
              <w:t>U</w:t>
            </w:r>
            <w:r w:rsidR="00016CE7" w:rsidRPr="004F7A66">
              <w:t>nie</w:t>
            </w:r>
            <w:r w:rsidR="00CF765E" w:rsidRPr="004F7A66">
              <w:t xml:space="preserve"> </w:t>
            </w:r>
            <w:r w:rsidR="00EE31CB" w:rsidRPr="004F7A66">
              <w:t>– tedy těch, které se do</w:t>
            </w:r>
            <w:r w:rsidR="00B57487" w:rsidRPr="004F7A66">
              <w:t> </w:t>
            </w:r>
            <w:r w:rsidR="00EE31CB" w:rsidRPr="004F7A66">
              <w:t xml:space="preserve">tohoto hospodářského prostoru začlenily v roce 2004 a později – nedosáhla v roce 2014 průměrné </w:t>
            </w:r>
            <w:r w:rsidR="004336CD" w:rsidRPr="004F7A66">
              <w:t xml:space="preserve">ekonomické </w:t>
            </w:r>
            <w:r w:rsidR="00EE31CB" w:rsidRPr="004F7A66">
              <w:t>úrovně zemí Evropské unie</w:t>
            </w:r>
            <w:r w:rsidR="00CF765E" w:rsidRPr="004F7A66">
              <w:t xml:space="preserve"> a nejblíže k ní měl Kypr</w:t>
            </w:r>
            <w:r w:rsidR="004336CD" w:rsidRPr="004F7A66">
              <w:t xml:space="preserve"> (</w:t>
            </w:r>
            <w:r w:rsidR="00B0207E" w:rsidRPr="004F7A66">
              <w:t>85,4</w:t>
            </w:r>
            <w:r w:rsidR="00F21F6E" w:rsidRPr="004F7A66">
              <w:t xml:space="preserve"> %</w:t>
            </w:r>
            <w:r w:rsidR="004336CD" w:rsidRPr="004F7A66">
              <w:t>)</w:t>
            </w:r>
            <w:r w:rsidR="00CF765E" w:rsidRPr="004F7A66">
              <w:t xml:space="preserve"> následovaný Maltou</w:t>
            </w:r>
            <w:r w:rsidR="00B0207E" w:rsidRPr="004F7A66">
              <w:t xml:space="preserve"> (84,7</w:t>
            </w:r>
            <w:r w:rsidR="00F21F6E" w:rsidRPr="004F7A66">
              <w:t xml:space="preserve"> %)</w:t>
            </w:r>
            <w:r w:rsidR="00CF765E" w:rsidRPr="004F7A66">
              <w:t xml:space="preserve"> a Českou republikou</w:t>
            </w:r>
            <w:r w:rsidR="00B0207E" w:rsidRPr="004F7A66">
              <w:t xml:space="preserve"> (83,8</w:t>
            </w:r>
            <w:r w:rsidR="00F21F6E" w:rsidRPr="004F7A66">
              <w:t xml:space="preserve"> %)</w:t>
            </w:r>
            <w:r w:rsidR="00EE31CB" w:rsidRPr="004F7A66">
              <w:t xml:space="preserve">, lucemburský </w:t>
            </w:r>
            <w:r w:rsidR="00B57487" w:rsidRPr="004F7A66">
              <w:t>HDP</w:t>
            </w:r>
            <w:r w:rsidR="00EE31CB" w:rsidRPr="004F7A66">
              <w:t xml:space="preserve"> na obyvatele v paritě kupní síly tuto úroveň přesahoval </w:t>
            </w:r>
            <w:r w:rsidR="00B0207E" w:rsidRPr="004F7A66">
              <w:t>téměř</w:t>
            </w:r>
            <w:r w:rsidR="00EE31CB" w:rsidRPr="004F7A66">
              <w:t xml:space="preserve"> třikrát</w:t>
            </w:r>
            <w:r w:rsidR="00B0207E" w:rsidRPr="004F7A66">
              <w:t xml:space="preserve"> (271,3</w:t>
            </w:r>
            <w:r w:rsidR="00016CE7" w:rsidRPr="004F7A66">
              <w:t xml:space="preserve"> %)</w:t>
            </w:r>
            <w:r w:rsidR="00EE31CB" w:rsidRPr="004F7A66">
              <w:t>.</w:t>
            </w:r>
          </w:p>
        </w:tc>
      </w:tr>
    </w:tbl>
    <w:p w:rsidR="00B50E46" w:rsidRPr="001E179D" w:rsidRDefault="00B50E46" w:rsidP="001E6A2B">
      <w:pPr>
        <w:rPr>
          <w:szCs w:val="20"/>
          <w:lang w:eastAsia="ar-SA"/>
        </w:rPr>
      </w:pPr>
    </w:p>
    <w:p w:rsidR="004A4C44" w:rsidRPr="004F7A66" w:rsidRDefault="004A4C44" w:rsidP="004A4C44">
      <w:pPr>
        <w:jc w:val="both"/>
        <w:rPr>
          <w:spacing w:val="-2"/>
          <w:szCs w:val="20"/>
          <w:lang w:eastAsia="ar-SA"/>
        </w:rPr>
      </w:pPr>
      <w:r w:rsidRPr="004F7A66">
        <w:rPr>
          <w:spacing w:val="-4"/>
          <w:szCs w:val="20"/>
          <w:lang w:eastAsia="ar-SA"/>
        </w:rPr>
        <w:t xml:space="preserve">Graf č. 14: </w:t>
      </w:r>
      <w:r w:rsidRPr="004F7A66">
        <w:rPr>
          <w:b/>
          <w:spacing w:val="-4"/>
          <w:szCs w:val="20"/>
          <w:lang w:eastAsia="ar-SA"/>
        </w:rPr>
        <w:t>HDP na obyvatele v paritě kupní síly v  zemích EU</w:t>
      </w:r>
      <w:r w:rsidR="004B6D6A" w:rsidRPr="004F7A66">
        <w:rPr>
          <w:b/>
          <w:spacing w:val="-4"/>
          <w:szCs w:val="20"/>
          <w:lang w:eastAsia="ar-SA"/>
        </w:rPr>
        <w:t xml:space="preserve"> a ve</w:t>
      </w:r>
      <w:r w:rsidRPr="004F7A66">
        <w:rPr>
          <w:b/>
          <w:spacing w:val="-4"/>
          <w:szCs w:val="20"/>
          <w:lang w:eastAsia="ar-SA"/>
        </w:rPr>
        <w:t xml:space="preserve"> vybran</w:t>
      </w:r>
      <w:r w:rsidR="00184831">
        <w:rPr>
          <w:b/>
          <w:spacing w:val="-4"/>
          <w:szCs w:val="20"/>
          <w:lang w:eastAsia="ar-SA"/>
        </w:rPr>
        <w:t xml:space="preserve">ých </w:t>
      </w:r>
      <w:proofErr w:type="spellStart"/>
      <w:r w:rsidR="00184831">
        <w:rPr>
          <w:b/>
          <w:spacing w:val="-4"/>
          <w:szCs w:val="20"/>
          <w:lang w:eastAsia="ar-SA"/>
        </w:rPr>
        <w:t>mimo</w:t>
      </w:r>
      <w:r w:rsidR="004B6D6A" w:rsidRPr="004F7A66">
        <w:rPr>
          <w:b/>
          <w:spacing w:val="-4"/>
          <w:szCs w:val="20"/>
          <w:lang w:eastAsia="ar-SA"/>
        </w:rPr>
        <w:t>unijních</w:t>
      </w:r>
      <w:proofErr w:type="spellEnd"/>
      <w:r w:rsidR="004B6D6A" w:rsidRPr="004F7A66">
        <w:rPr>
          <w:b/>
          <w:spacing w:val="-4"/>
          <w:szCs w:val="20"/>
          <w:lang w:eastAsia="ar-SA"/>
        </w:rPr>
        <w:t xml:space="preserve"> zemích</w:t>
      </w:r>
      <w:r w:rsidRPr="004F7A66">
        <w:rPr>
          <w:b/>
          <w:spacing w:val="-4"/>
          <w:szCs w:val="20"/>
          <w:lang w:eastAsia="ar-SA"/>
        </w:rPr>
        <w:t>*</w:t>
      </w:r>
      <w:r w:rsidRPr="004F7A66">
        <w:rPr>
          <w:b/>
          <w:spacing w:val="-2"/>
          <w:szCs w:val="20"/>
          <w:lang w:eastAsia="ar-SA"/>
        </w:rPr>
        <w:t xml:space="preserve"> v roce 1995 a 2014</w:t>
      </w:r>
      <w:r w:rsidRPr="004F7A66">
        <w:rPr>
          <w:spacing w:val="-2"/>
          <w:szCs w:val="20"/>
          <w:lang w:eastAsia="ar-SA"/>
        </w:rPr>
        <w:t xml:space="preserve"> (EU28=100)</w:t>
      </w:r>
    </w:p>
    <w:p w:rsidR="004A4C44" w:rsidRDefault="00B50E46" w:rsidP="004A4C44">
      <w:pPr>
        <w:rPr>
          <w:sz w:val="18"/>
          <w:szCs w:val="18"/>
          <w:lang w:eastAsia="ar-SA"/>
        </w:rPr>
      </w:pPr>
      <w:r w:rsidRPr="00B50E46">
        <w:rPr>
          <w:noProof/>
          <w:sz w:val="18"/>
          <w:szCs w:val="18"/>
        </w:rPr>
        <w:drawing>
          <wp:inline distT="0" distB="0" distL="0" distR="0">
            <wp:extent cx="6071870" cy="2365375"/>
            <wp:effectExtent l="19050" t="0" r="5080" b="0"/>
            <wp:docPr id="3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7905"/>
        <w:gridCol w:w="1949"/>
      </w:tblGrid>
      <w:tr w:rsidR="004A4C44" w:rsidRPr="004F7A66" w:rsidTr="00F07202">
        <w:tc>
          <w:tcPr>
            <w:tcW w:w="4011" w:type="pct"/>
          </w:tcPr>
          <w:p w:rsidR="004A4C44" w:rsidRPr="004F7A66" w:rsidRDefault="004A4C44" w:rsidP="00D645F3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 Za rok 1995 nedostupný údaj za Lucembursko, Irsko a Chorvatsko.</w:t>
            </w:r>
            <w:r w:rsidR="00407FDB" w:rsidRPr="004F7A66">
              <w:rPr>
                <w:sz w:val="18"/>
                <w:szCs w:val="18"/>
              </w:rPr>
              <w:t xml:space="preserve"> Údaje nejsou </w:t>
            </w:r>
            <w:r w:rsidR="00D645F3">
              <w:rPr>
                <w:sz w:val="18"/>
                <w:szCs w:val="18"/>
              </w:rPr>
              <w:t>časově</w:t>
            </w:r>
            <w:r w:rsidR="00407FDB" w:rsidRPr="004F7A66">
              <w:rPr>
                <w:sz w:val="18"/>
                <w:szCs w:val="18"/>
              </w:rPr>
              <w:t xml:space="preserve"> plně srovnatelné – v roce 2005 eviduj</w:t>
            </w:r>
            <w:r w:rsidR="00D645F3">
              <w:rPr>
                <w:sz w:val="18"/>
                <w:szCs w:val="18"/>
              </w:rPr>
              <w:t xml:space="preserve">e </w:t>
            </w:r>
            <w:proofErr w:type="spellStart"/>
            <w:r w:rsidR="00D645F3">
              <w:rPr>
                <w:sz w:val="18"/>
                <w:szCs w:val="18"/>
              </w:rPr>
              <w:t>Eurostat</w:t>
            </w:r>
            <w:proofErr w:type="spellEnd"/>
            <w:r w:rsidR="00D645F3">
              <w:rPr>
                <w:sz w:val="18"/>
                <w:szCs w:val="18"/>
              </w:rPr>
              <w:t xml:space="preserve"> v časové řadě zlom</w:t>
            </w:r>
            <w:r w:rsidR="00407FDB" w:rsidRPr="004F7A66">
              <w:rPr>
                <w:sz w:val="18"/>
                <w:szCs w:val="18"/>
              </w:rPr>
              <w:t>.</w:t>
            </w:r>
          </w:p>
        </w:tc>
        <w:tc>
          <w:tcPr>
            <w:tcW w:w="989" w:type="pct"/>
          </w:tcPr>
          <w:p w:rsidR="004A4C44" w:rsidRPr="004F7A66" w:rsidRDefault="004A4C44" w:rsidP="00432B88">
            <w:pPr>
              <w:tabs>
                <w:tab w:val="left" w:pos="2820"/>
              </w:tabs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  <w:lang w:eastAsia="ar-SA"/>
              </w:rPr>
              <w:t xml:space="preserve">Zdroj: </w:t>
            </w:r>
            <w:proofErr w:type="spellStart"/>
            <w:r w:rsidRPr="004F7A66">
              <w:rPr>
                <w:sz w:val="18"/>
                <w:szCs w:val="18"/>
                <w:lang w:eastAsia="ar-SA"/>
              </w:rPr>
              <w:t>Eurostat</w:t>
            </w:r>
            <w:proofErr w:type="spellEnd"/>
            <w:r w:rsidRPr="004F7A66">
              <w:rPr>
                <w:sz w:val="18"/>
                <w:szCs w:val="18"/>
                <w:lang w:eastAsia="ar-SA"/>
              </w:rPr>
              <w:t>, vlastní výpočty</w:t>
            </w:r>
          </w:p>
        </w:tc>
      </w:tr>
    </w:tbl>
    <w:p w:rsidR="00E91889" w:rsidRPr="00EA2D0D" w:rsidRDefault="00E91889" w:rsidP="00EA2D0D">
      <w:pPr>
        <w:pStyle w:val="Nadpis1"/>
        <w:jc w:val="both"/>
        <w:rPr>
          <w:b w:val="0"/>
          <w:sz w:val="2"/>
          <w:szCs w:val="2"/>
        </w:rPr>
      </w:pPr>
    </w:p>
    <w:sectPr w:rsidR="00E91889" w:rsidRPr="00EA2D0D" w:rsidSect="00EA2D0D">
      <w:headerReference w:type="even" r:id="rId22"/>
      <w:headerReference w:type="default" r:id="rId23"/>
      <w:footerReference w:type="even" r:id="rId24"/>
      <w:footerReference w:type="default" r:id="rId25"/>
      <w:pgSz w:w="11906" w:h="16838" w:code="9"/>
      <w:pgMar w:top="1134" w:right="1134" w:bottom="1418" w:left="1134" w:header="680" w:footer="680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5C" w:rsidRDefault="0039495C" w:rsidP="00BA4E17">
      <w:pPr>
        <w:spacing w:line="240" w:lineRule="auto"/>
      </w:pPr>
      <w:r>
        <w:separator/>
      </w:r>
    </w:p>
  </w:endnote>
  <w:endnote w:type="continuationSeparator" w:id="0">
    <w:p w:rsidR="0039495C" w:rsidRDefault="0039495C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8A4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ED08A4" w:rsidRPr="005A21E0">
      <w:rPr>
        <w:rFonts w:ascii="Arial" w:hAnsi="Arial" w:cs="Arial"/>
        <w:sz w:val="16"/>
        <w:szCs w:val="16"/>
      </w:rPr>
      <w:fldChar w:fldCharType="separate"/>
    </w:r>
    <w:r w:rsidR="00EA2D0D">
      <w:rPr>
        <w:rFonts w:ascii="Arial" w:hAnsi="Arial" w:cs="Arial"/>
        <w:noProof/>
        <w:sz w:val="16"/>
        <w:szCs w:val="16"/>
      </w:rPr>
      <w:t>16</w:t>
    </w:r>
    <w:r w:rsidR="00ED08A4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ED08A4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ED08A4" w:rsidRPr="00223E00">
      <w:rPr>
        <w:rFonts w:ascii="Arial" w:hAnsi="Arial" w:cs="Arial"/>
        <w:sz w:val="16"/>
        <w:szCs w:val="16"/>
      </w:rPr>
      <w:fldChar w:fldCharType="separate"/>
    </w:r>
    <w:r w:rsidR="00EA2D0D">
      <w:rPr>
        <w:rFonts w:ascii="Arial" w:hAnsi="Arial" w:cs="Arial"/>
        <w:noProof/>
        <w:sz w:val="16"/>
        <w:szCs w:val="16"/>
      </w:rPr>
      <w:t>15</w:t>
    </w:r>
    <w:r w:rsidR="00ED08A4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5C" w:rsidRDefault="0039495C" w:rsidP="00BA4E17">
      <w:pPr>
        <w:spacing w:line="240" w:lineRule="auto"/>
      </w:pPr>
      <w:r>
        <w:separator/>
      </w:r>
    </w:p>
  </w:footnote>
  <w:footnote w:type="continuationSeparator" w:id="0">
    <w:p w:rsidR="0039495C" w:rsidRDefault="0039495C" w:rsidP="00BA4E17">
      <w:pPr>
        <w:spacing w:line="240" w:lineRule="auto"/>
      </w:pPr>
      <w:r>
        <w:continuationSeparator/>
      </w:r>
    </w:p>
  </w:footnote>
  <w:footnote w:id="1">
    <w:p w:rsidR="00F852DD" w:rsidRPr="009D22D9" w:rsidRDefault="00F852DD" w:rsidP="007963AC">
      <w:pPr>
        <w:pStyle w:val="Textpoznpodarou"/>
      </w:pPr>
      <w:r w:rsidRPr="009D22D9">
        <w:rPr>
          <w:rStyle w:val="Znakapoznpodarou"/>
        </w:rPr>
        <w:footnoteRef/>
      </w:r>
      <w:r w:rsidRPr="009D22D9">
        <w:t xml:space="preserve"> </w:t>
      </w:r>
      <w:r w:rsidRPr="009D22D9">
        <w:rPr>
          <w:sz w:val="16"/>
          <w:szCs w:val="16"/>
        </w:rPr>
        <w:t xml:space="preserve">Údaje používané v kapitole </w:t>
      </w:r>
      <w:proofErr w:type="gramStart"/>
      <w:r w:rsidRPr="009D22D9">
        <w:rPr>
          <w:sz w:val="16"/>
          <w:szCs w:val="16"/>
        </w:rPr>
        <w:t>1.1. jsou</w:t>
      </w:r>
      <w:proofErr w:type="gramEnd"/>
      <w:r w:rsidRPr="009D22D9">
        <w:rPr>
          <w:sz w:val="16"/>
          <w:szCs w:val="16"/>
        </w:rPr>
        <w:t xml:space="preserve"> v reálném vyjádření, pokud není uvedeno jinak.</w:t>
      </w:r>
    </w:p>
  </w:footnote>
  <w:footnote w:id="2">
    <w:p w:rsidR="00F852DD" w:rsidRPr="009D22D9" w:rsidRDefault="00F852DD">
      <w:pPr>
        <w:pStyle w:val="Textpoznpodarou"/>
        <w:rPr>
          <w:sz w:val="16"/>
          <w:szCs w:val="16"/>
        </w:rPr>
      </w:pPr>
      <w:r w:rsidRPr="009D22D9">
        <w:rPr>
          <w:rStyle w:val="Znakapoznpodarou"/>
        </w:rPr>
        <w:footnoteRef/>
      </w:r>
      <w:r w:rsidRPr="009D22D9">
        <w:t xml:space="preserve"> </w:t>
      </w:r>
      <w:r w:rsidRPr="009D22D9">
        <w:rPr>
          <w:sz w:val="16"/>
          <w:szCs w:val="16"/>
        </w:rPr>
        <w:t xml:space="preserve">V letech před rokem 1993 je českou ekonomikou míněna příslušná část tehdejšího hospodářství ČSSR, respektive ČSFR. </w:t>
      </w:r>
    </w:p>
  </w:footnote>
  <w:footnote w:id="3">
    <w:p w:rsidR="00F852DD" w:rsidRPr="00762CC3" w:rsidRDefault="00F852DD" w:rsidP="00762CC3">
      <w:pPr>
        <w:pStyle w:val="Textpoznpodarou"/>
        <w:jc w:val="both"/>
        <w:rPr>
          <w:rFonts w:cs="Arial"/>
          <w:sz w:val="16"/>
          <w:szCs w:val="16"/>
        </w:rPr>
      </w:pPr>
      <w:r w:rsidRPr="009D22D9">
        <w:rPr>
          <w:rStyle w:val="Znakapoznpodarou"/>
          <w:rFonts w:cs="Arial"/>
        </w:rPr>
        <w:footnoteRef/>
      </w:r>
      <w:r w:rsidRPr="009D22D9">
        <w:rPr>
          <w:rFonts w:cs="Arial"/>
        </w:rPr>
        <w:t xml:space="preserve"> </w:t>
      </w:r>
      <w:r w:rsidRPr="009D22D9">
        <w:rPr>
          <w:rFonts w:cs="Arial"/>
          <w:sz w:val="16"/>
          <w:szCs w:val="16"/>
        </w:rPr>
        <w:t xml:space="preserve">FISCHER, Jakub, SIXTA, Jaroslav, HRONOVÁ, Stanislava, HINDLS, Richard, VLTAVSKÁ, Kristýna. </w:t>
      </w:r>
      <w:r w:rsidRPr="00E275E4">
        <w:rPr>
          <w:rFonts w:cs="Arial"/>
          <w:i/>
          <w:sz w:val="16"/>
          <w:szCs w:val="16"/>
        </w:rPr>
        <w:t>Odhady zdrojů a užití hrubého domácího produktu ČR pro roky 1970-1989 v metodice ESA 1995</w:t>
      </w:r>
      <w:r w:rsidRPr="009D22D9">
        <w:rPr>
          <w:rFonts w:cs="Arial"/>
          <w:sz w:val="16"/>
          <w:szCs w:val="16"/>
        </w:rPr>
        <w:t xml:space="preserve">. Politická ekonomie, 2013, </w:t>
      </w:r>
      <w:proofErr w:type="spellStart"/>
      <w:r w:rsidRPr="009D22D9">
        <w:rPr>
          <w:rFonts w:cs="Arial"/>
          <w:sz w:val="16"/>
          <w:szCs w:val="16"/>
        </w:rPr>
        <w:t>roč</w:t>
      </w:r>
      <w:proofErr w:type="spellEnd"/>
      <w:r w:rsidRPr="009D22D9">
        <w:rPr>
          <w:rFonts w:cs="Arial"/>
          <w:sz w:val="16"/>
          <w:szCs w:val="16"/>
        </w:rPr>
        <w:t>. 61, č. 1, s. 3–23. ISSN 0032-3233.</w:t>
      </w:r>
    </w:p>
  </w:footnote>
  <w:footnote w:id="4">
    <w:p w:rsidR="00F852DD" w:rsidRPr="004F7A66" w:rsidRDefault="00F852DD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1.2. jsou</w:t>
      </w:r>
      <w:proofErr w:type="gramEnd"/>
      <w:r w:rsidRPr="004F7A66">
        <w:rPr>
          <w:sz w:val="16"/>
          <w:szCs w:val="16"/>
        </w:rPr>
        <w:t xml:space="preserve"> v reálném vyjádření, pokud není uvedeno jinak.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22"/>
  </w:num>
  <w:num w:numId="17">
    <w:abstractNumId w:val="16"/>
  </w:num>
  <w:num w:numId="18">
    <w:abstractNumId w:val="8"/>
  </w:num>
  <w:num w:numId="19">
    <w:abstractNumId w:val="9"/>
  </w:num>
  <w:num w:numId="20">
    <w:abstractNumId w:val="15"/>
  </w:num>
  <w:num w:numId="21">
    <w:abstractNumId w:val="13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495C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2D0D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08A4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DA5B3-71E5-49CB-8380-082C8146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3771</Words>
  <Characters>22250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2015-11-26T11:13:00Z</dcterms:modified>
</cp:coreProperties>
</file>