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30DE" w14:textId="3B05C64E" w:rsidR="005A7128" w:rsidRDefault="005A7128" w:rsidP="005A7128">
      <w:pPr>
        <w:pStyle w:val="Nadpis1"/>
      </w:pPr>
      <w:bookmarkStart w:id="0" w:name="_Toc193366677"/>
      <w:bookmarkStart w:id="1" w:name="_Toc232503736"/>
      <w:r>
        <w:t>5. Ceny</w:t>
      </w:r>
      <w:bookmarkEnd w:id="1"/>
      <w:r>
        <w:t xml:space="preserve"> </w:t>
      </w:r>
    </w:p>
    <w:tbl>
      <w:tblPr>
        <w:tblW w:w="9639" w:type="dxa"/>
        <w:tblInd w:w="-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91"/>
        <w:gridCol w:w="223"/>
        <w:gridCol w:w="7625"/>
      </w:tblGrid>
      <w:tr w:rsidR="005A7128" w14:paraId="14B18617" w14:textId="77777777" w:rsidTr="00675BD1">
        <w:trPr>
          <w:trHeight w:val="145"/>
        </w:trPr>
        <w:tc>
          <w:tcPr>
            <w:tcW w:w="1791" w:type="dxa"/>
            <w:hideMark/>
          </w:tcPr>
          <w:p w14:paraId="390DB5AD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Celková cenová hladina v 1. kvartálu mezičtvrtletně klesla.</w:t>
            </w:r>
          </w:p>
        </w:tc>
        <w:tc>
          <w:tcPr>
            <w:tcW w:w="223" w:type="dxa"/>
          </w:tcPr>
          <w:p w14:paraId="5DFF7F71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DC90AD6" w14:textId="77777777" w:rsidR="005A7128" w:rsidRDefault="005A7128" w:rsidP="00675BD1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Celková cenová hladina (měřeno deflátorem HDP) v 1. čtvrtletí 2026 vzrostla meziročně o 2,9 %. Tempo zvolnilo ve srovnání s předchozím kvartálem. Mírnější byl růst cen spotřeby i kapitálových výdajů. Cenová hladina výdajů na konečnou spotřebu byla meziročně vyšší o 2,3 %, z toho pro domácnosti to bylo 2,0 % a pro vládní instituce 3,1 %. Cenová hladina výdajů na tvorbu hrubého kapitálu meziročně vzrostla o 3,5 %, pro samotné investiční výdaje to bylo 2,2 %. Meziroční směnné relace zahraničního obchodu se zbožím a službami zůstaly kladné a dosáhly 100,8 %. Mezičtvrtletně celková cenová hladina v 1. kvartálu 2026 klesla o 0,3 % a šlo o první pokles od začátku roku 2021. Ceny spotřeby byly nižší o 0,2 % (zejména vlivem výdajů vládních institucí, u domácností cenová hladina mírně vzrostla o 0,4 %). Cenová hladina kapitálových výdajů klesla mezičtvrtletně o 1,1 %, z toho ceny investic byly nižší o 0,4 %. Mezičtvrtletní směnné relace v 1. kvartálu dosáhly 100,0 %.</w:t>
            </w:r>
          </w:p>
        </w:tc>
      </w:tr>
      <w:tr w:rsidR="005A7128" w14:paraId="538E9750" w14:textId="77777777" w:rsidTr="00675BD1">
        <w:trPr>
          <w:trHeight w:val="145"/>
        </w:trPr>
        <w:tc>
          <w:tcPr>
            <w:tcW w:w="1791" w:type="dxa"/>
          </w:tcPr>
          <w:p w14:paraId="7971EBBB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Meziroční i mezičtvrtletní růst spotřebitelských cen byl v 1. čtvrtletí jen mírný. </w:t>
            </w:r>
          </w:p>
        </w:tc>
        <w:tc>
          <w:tcPr>
            <w:tcW w:w="223" w:type="dxa"/>
          </w:tcPr>
          <w:p w14:paraId="226D5ACC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5841134F" w14:textId="00EEBED5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>Index spotřebitelských cen</w:t>
            </w:r>
            <w:r>
              <w:rPr>
                <w:rStyle w:val="Znakapoznpodarou"/>
                <w:lang w:eastAsia="en-US"/>
              </w:rPr>
              <w:footnoteReference w:id="1"/>
            </w:r>
            <w:r>
              <w:rPr>
                <w:lang w:eastAsia="en-US"/>
              </w:rPr>
              <w:t xml:space="preserve"> v 1. čtvrtletí 2026 meziročně vzrostl o 1,6 %. Přírůstek tak výrazně zpomalil ve srovnání s předchozím kvartálem (2,2 %) a byl nejnižší od 4. kvartálu 2016. Za poměrně výrazným zvolněním tempa růstu za celé čtvrtletí stály především první dva měsíce roku. V březnu totiž došlo k posílení růstu cen, které bylo navázáno na prudké zvýšení cen pohonných hmot. Zpomalení meziročního růstu spotřebitelských cen v 1. čtvrtletí ovlivnily především ceny potravin </w:t>
            </w:r>
            <w:r w:rsidR="00B2648A">
              <w:rPr>
                <w:lang w:eastAsia="en-US"/>
              </w:rPr>
              <w:t xml:space="preserve">a </w:t>
            </w:r>
            <w:r>
              <w:rPr>
                <w:lang w:eastAsia="en-US"/>
              </w:rPr>
              <w:t xml:space="preserve">nealkoholických nápojů, u kterých se zastavil meziroční nárůst, a dále bydlení a energie, kde se prohloubil pokles cen elektřiny. U zbytku spotřebního koše nedošlo k výraznějším změnám v dynamice cen. Největší vliv na meziroční růst spotřebitelských cen díky oslabení u potravin a bydlení získaly oddíly alkoholické nápoje a tabák a stravovací a ubytovací služby. Ve směru meziročního poklesu působily jako jediné ceny odívání a obuvi. Mezičtvrtletně se spotřebitelské ceny v 1. kvartálu 2026 zvýšily o 0,7 %. Začátek roku je charakteristický výraznějším mezičtvrtletním navýšením cen, tentokrát šlo o nejnižší nárůst za 1. kvartál od roku 2016. Obvyklý silný nárůst byl zachycen u cen alkoholických nápojů a tabáku, a naopak ve směru poklesu působily ceny bydlení a energií.   </w:t>
            </w:r>
          </w:p>
        </w:tc>
      </w:tr>
      <w:tr w:rsidR="005A7128" w14:paraId="49140641" w14:textId="77777777" w:rsidTr="00675BD1">
        <w:trPr>
          <w:trHeight w:val="145"/>
        </w:trPr>
        <w:tc>
          <w:tcPr>
            <w:tcW w:w="1791" w:type="dxa"/>
          </w:tcPr>
          <w:p w14:paraId="204FBB32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Meziroční růst cen potravin </w:t>
            </w:r>
            <w:r>
              <w:rPr>
                <w:spacing w:val="0"/>
                <w:lang w:eastAsia="en-US"/>
              </w:rPr>
              <w:br/>
              <w:t>a nealkoholických nápojů výrazně zpomalil.</w:t>
            </w:r>
          </w:p>
        </w:tc>
        <w:tc>
          <w:tcPr>
            <w:tcW w:w="223" w:type="dxa"/>
          </w:tcPr>
          <w:p w14:paraId="2DCD2C8E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333310B0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Už ve druhé polovině loňského roku došlo u potravin a nealkoholických nápojů ke dvěma mezičtvrtletním poklesům cen, které se zároveň projevily jako výrazné zpomalení meziročního růstu. V 1. čtvrtletí ceny potravin a nealkoholických nápojů mezičtvrtletně vzrostly o 0,4 %, ale propad meziročního tempa pokračoval a ceny v oddílu tak meziročně stagnovaly (růst o 0,2 %). Zpomalení meziroční dynamiky ovlivnily zejména mírněji rostoucí ceny masa (2,4 %), cukru a cukrovinek (3,6 %) a nealkoholických nápojů (1,9 %), dále přechod u mléka a mléčných výrobků z růstu do poklesu o 0,3 % a prohloubení propadu cen olejů a tuků na −18,2 %. Mírněji rostly i ceny obilovin a výrobků z nich (1,9 %). Posílil jen meziroční růst cen ryb a mořských plodů na 3,3 % a zmírnil pokles cen zeleniny, luštěnin a brambor (−0,9 %).   </w:t>
            </w:r>
          </w:p>
        </w:tc>
      </w:tr>
      <w:tr w:rsidR="005A7128" w14:paraId="6677D0E5" w14:textId="77777777" w:rsidTr="00675BD1">
        <w:trPr>
          <w:trHeight w:val="145"/>
        </w:trPr>
        <w:tc>
          <w:tcPr>
            <w:tcW w:w="1791" w:type="dxa"/>
          </w:tcPr>
          <w:p w14:paraId="2040CF0C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Náklady na bydlení rostly díky propadu cen elektřiny jen mírně.</w:t>
            </w:r>
          </w:p>
        </w:tc>
        <w:tc>
          <w:tcPr>
            <w:tcW w:w="223" w:type="dxa"/>
          </w:tcPr>
          <w:p w14:paraId="7153B442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33372AF5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Ceny bydlení a energií v 1. čtvrtletí 2026 mezičtvrtletně klesly o 0,5 %, což zároveň vedlo k propadu jejich meziročního přírůstku na 0,9 %. Na popsaný mezičtvrtletní i meziroční vývoj přitom klíčově působily ceny elektřiny, plynu a ostatních paliv, u kterých došlo k prohloubení poklesu (mezičtvrtletního na −4,6 %, meziročního na −7,3 %). Ve zbytku oddílu růst cen spíše posiloval, což koresponduje s obdobím počátku roku, kdy dochází k aktualizacím smluv a ceníků. Ceny nájemného za bydlení </w:t>
            </w:r>
            <w:r>
              <w:rPr>
                <w:lang w:eastAsia="en-US"/>
              </w:rPr>
              <w:lastRenderedPageBreak/>
              <w:t>byly meziročně vyšší o 6,2 % a imputovaného nájemného</w:t>
            </w:r>
            <w:r>
              <w:rPr>
                <w:rStyle w:val="Znakapoznpodarou"/>
                <w:lang w:eastAsia="en-US"/>
              </w:rPr>
              <w:footnoteReference w:id="2"/>
            </w:r>
            <w:r>
              <w:rPr>
                <w:lang w:eastAsia="en-US"/>
              </w:rPr>
              <w:t xml:space="preserve"> o 5,2 %. Solidní růst si držely i ceny drobných oprav a údržby (3,5 %), stejně jako dodávek vody a ostatních služeb souvisejících s bydlením (3,5 %). </w:t>
            </w:r>
          </w:p>
        </w:tc>
      </w:tr>
      <w:tr w:rsidR="005A7128" w14:paraId="58A67972" w14:textId="77777777" w:rsidTr="00675BD1">
        <w:trPr>
          <w:trHeight w:val="145"/>
        </w:trPr>
        <w:tc>
          <w:tcPr>
            <w:tcW w:w="1791" w:type="dxa"/>
          </w:tcPr>
          <w:p w14:paraId="1D95BD81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1493CF50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0584F48D" w14:textId="62B48C13" w:rsidR="005A7128" w:rsidRDefault="005A7128" w:rsidP="00675BD1">
            <w:pPr>
              <w:spacing w:after="0"/>
              <w:rPr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>Graf č. 1</w:t>
            </w:r>
            <w:r w:rsidR="00712600"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Ceny ve vybraných oddílech indexu spotřebitelských cen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eastAsia="en-US"/>
              </w:rPr>
              <w:t>(meziročně v %)</w:t>
            </w:r>
          </w:p>
        </w:tc>
      </w:tr>
      <w:tr w:rsidR="005A7128" w14:paraId="74F54786" w14:textId="77777777" w:rsidTr="00675BD1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91" w:type="dxa"/>
          </w:tcPr>
          <w:p w14:paraId="058DFB69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32F29B53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03D9120" w14:textId="77777777" w:rsidR="005A7128" w:rsidRDefault="005A7128" w:rsidP="00675BD1">
            <w:pPr>
              <w:spacing w:after="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DC21558" wp14:editId="49B9C422">
                  <wp:extent cx="4752000" cy="3553200"/>
                  <wp:effectExtent l="0" t="0" r="0" b="0"/>
                  <wp:docPr id="729480766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5A7128" w14:paraId="3B6FBA71" w14:textId="77777777" w:rsidTr="00675BD1">
        <w:trPr>
          <w:trHeight w:val="145"/>
        </w:trPr>
        <w:tc>
          <w:tcPr>
            <w:tcW w:w="1791" w:type="dxa"/>
          </w:tcPr>
          <w:p w14:paraId="00C5C3CA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3DF4C345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71F41252" w14:textId="77777777" w:rsidR="005A7128" w:rsidRDefault="005A7128" w:rsidP="00675BD1">
            <w:pPr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5A7128" w14:paraId="260552A5" w14:textId="77777777" w:rsidTr="00675BD1">
        <w:trPr>
          <w:trHeight w:val="145"/>
        </w:trPr>
        <w:tc>
          <w:tcPr>
            <w:tcW w:w="1791" w:type="dxa"/>
          </w:tcPr>
          <w:p w14:paraId="48505532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Ceny dopravy během </w:t>
            </w:r>
            <w:r>
              <w:rPr>
                <w:spacing w:val="0"/>
                <w:lang w:eastAsia="en-US"/>
              </w:rPr>
              <w:br/>
              <w:t>1. čtvrtletí reagovaly na geopolitický vývoj.</w:t>
            </w:r>
          </w:p>
        </w:tc>
        <w:tc>
          <w:tcPr>
            <w:tcW w:w="223" w:type="dxa"/>
          </w:tcPr>
          <w:p w14:paraId="4CE13854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773ACE32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>Ceny dopravy v 1. čtvrtletí celkově meziročně vzrostly o 0,8 % a mezičtvrtletně o 1,7 %. Vliv dopravy na celkový meziroční vývoj spotřebitelských cen byl v první čtvrtině roku malý, ale meziroční tempo oproti konci roku 2025 posílilo. Hlavní roli v tom hrály náklady na provoz osobních dopravních prostředků, které se z poklesu dostaly do růstu o 0,8 %. Klíčovým faktorem byly samozřejmě ceny pohonných hmot, jejichž meziroční pokles se za celé čtvrtletí zmírnil na −1,6 %. Výsledek za celý kvartál skrývá prudký březnový zlom, ke kterému došlo v souvislosti s geopolitickou situací na Blízkém východě. V samotném březnu totiž ceny pohonných hmot meziročně vzrostly o 13,1 % (v únoru −8,4 %). V celém oddílu doprava byly ceny v březnu meziročně vyšší o 5,5 % (v únoru −1,5 %). Meziroční růst cen přepravních a poštovních služeb v 1. čtvrtletí dosáhl 8,3 %, přírůstek cen osobní dopravy posílil na 1,9 % a u nákupu osobních dopravních prostředků naopak oslabil na 0,4 %.</w:t>
            </w:r>
          </w:p>
        </w:tc>
      </w:tr>
      <w:tr w:rsidR="005A7128" w14:paraId="41ECA807" w14:textId="77777777" w:rsidTr="00675BD1">
        <w:trPr>
          <w:trHeight w:val="145"/>
        </w:trPr>
        <w:tc>
          <w:tcPr>
            <w:tcW w:w="1791" w:type="dxa"/>
          </w:tcPr>
          <w:p w14:paraId="35404ECC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Trval silný růst cen služeb.</w:t>
            </w:r>
          </w:p>
        </w:tc>
        <w:tc>
          <w:tcPr>
            <w:tcW w:w="223" w:type="dxa"/>
          </w:tcPr>
          <w:p w14:paraId="7F1BAD31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63D01CC5" w14:textId="20277E88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Oslabení růstu cen ve dvou výše uvedených váhově nejvýznamnějších oddílech vedlo k tomu, že největší příspěvek k celkovému meziročnímu nárůstu spotřebitelských cen měly alkoholické nápoje a tabák. Jejich ceny meziročně vzrostly o 4,0 % a mezičtvrtletně o 2,8 %. Meziročně rostly především ceny tabáku (5,9 %), mírněji pak zdražovaly alkoholické nápoje (1,8 %). Stálé meziroční tempo si držely v 1. kvartálu ceny stravovacích a ubytovacích služeb (4,6 %), které společně s cenami alkoholu a tabáku nejvíce přispívaly k celkovému růstu spotřebitelských cen. Mezičtvrtletně zde ceny vzrostly o 1,1 %. I v dalších oblastech služeb se udržoval silný růst cen. Ceny pojištění a finančních služeb byly meziročně vyšší o 5,2 % a mezičtvrtletně o 2,0 %. Ceny osobní a sociální péče a různého dalšího zboží a služeb pak meziročně vzrostly </w:t>
            </w:r>
            <w:r>
              <w:rPr>
                <w:lang w:eastAsia="en-US"/>
              </w:rPr>
              <w:lastRenderedPageBreak/>
              <w:t>o 3,6 % a mezičtvrtletně o 2,4 %. Ceny v oblasti zdraví byly meziročně vyšší o 4,1 % a mezičtvrtletně o 2,5 %. Ceny vzdělávání meziročně vzrostly o 4,0 % při mezičtvrtletní stagnaci (0,2 %).</w:t>
            </w:r>
          </w:p>
        </w:tc>
      </w:tr>
      <w:tr w:rsidR="005A7128" w14:paraId="638A558F" w14:textId="77777777" w:rsidTr="00675BD1">
        <w:trPr>
          <w:trHeight w:val="145"/>
        </w:trPr>
        <w:tc>
          <w:tcPr>
            <w:tcW w:w="1791" w:type="dxa"/>
          </w:tcPr>
          <w:p w14:paraId="2EF6F50D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Jediným oddílem, kde ceny meziročně klesly, zůstalo v 1. čtvrtletí odívání a obuv.</w:t>
            </w:r>
          </w:p>
        </w:tc>
        <w:tc>
          <w:tcPr>
            <w:tcW w:w="223" w:type="dxa"/>
          </w:tcPr>
          <w:p w14:paraId="5323CBC3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1F4CE217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>Výjimkou mezi službami byly rekreace, sport a kultura, kde naopak meziroční přírůstek cen oslabil na nejnižší úroveň od 1. čtvrtletí 2021 (2,2 %). Do nového roku se tak přenesl vliv mezičtvrtletního propadu, ke kterému došlo v loňském 4. kvartálu (šlo především o ceny organizovaných dovolených a zájezdů). V 1. čtvrtletí byly ceny rekreací a kultury mezičtvrtletně vyšší o 2,1 %. Stabilní zůstal meziroční růst cen v oblasti informací a telekomunikací (2,3 %, mezičtvrtletně 0,6 %). Dál pokračoval také slabý meziroční růst cen vybavení, zařízení a služeb pro domácnost (1,4 %, 0,6 % mezičtvrtletně). Jediný oddíl spotřebitelského koše, kde v 1. čtvrtletí došlo k meziročnímu poklesu, bylo odívání a obuv (−2,5 %, mezičtvrtletně o −2,7 %).</w:t>
            </w:r>
          </w:p>
        </w:tc>
      </w:tr>
      <w:tr w:rsidR="005A7128" w14:paraId="63351799" w14:textId="77777777" w:rsidTr="00675BD1">
        <w:trPr>
          <w:trHeight w:val="145"/>
        </w:trPr>
        <w:tc>
          <w:tcPr>
            <w:tcW w:w="1791" w:type="dxa"/>
          </w:tcPr>
          <w:p w14:paraId="4D013A8C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432FE068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1EC0BD91" w14:textId="3C76DEFB" w:rsidR="005A7128" w:rsidRDefault="005A7128" w:rsidP="00675BD1">
            <w:pPr>
              <w:spacing w:after="0"/>
              <w:rPr>
                <w:rStyle w:val="Znakapoznpodarou"/>
              </w:rPr>
            </w:pPr>
            <w:r>
              <w:rPr>
                <w:b/>
                <w:sz w:val="18"/>
                <w:szCs w:val="18"/>
                <w:lang w:eastAsia="en-US"/>
              </w:rPr>
              <w:t>Graf č. 1</w:t>
            </w:r>
            <w:r w:rsidR="00712600">
              <w:rPr>
                <w:b/>
                <w:sz w:val="18"/>
                <w:szCs w:val="18"/>
                <w:lang w:eastAsia="en-US"/>
              </w:rPr>
              <w:t>1</w:t>
            </w:r>
            <w:r>
              <w:rPr>
                <w:b/>
                <w:sz w:val="18"/>
                <w:szCs w:val="18"/>
                <w:lang w:eastAsia="en-US"/>
              </w:rPr>
              <w:t xml:space="preserve"> Ceny nemovitostí </w:t>
            </w:r>
            <w:r>
              <w:rPr>
                <w:sz w:val="18"/>
                <w:szCs w:val="18"/>
                <w:lang w:eastAsia="en-US"/>
              </w:rPr>
              <w:t>(meziroční změna, v %)</w:t>
            </w:r>
          </w:p>
        </w:tc>
      </w:tr>
      <w:tr w:rsidR="005A7128" w14:paraId="4321F2C0" w14:textId="77777777" w:rsidTr="00675BD1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91" w:type="dxa"/>
          </w:tcPr>
          <w:p w14:paraId="06D74411" w14:textId="77777777" w:rsidR="005A7128" w:rsidRDefault="005A7128" w:rsidP="00675BD1">
            <w:pPr>
              <w:pStyle w:val="Marginlie"/>
              <w:rPr>
                <w:spacing w:val="0"/>
              </w:rPr>
            </w:pPr>
          </w:p>
        </w:tc>
        <w:tc>
          <w:tcPr>
            <w:tcW w:w="223" w:type="dxa"/>
          </w:tcPr>
          <w:p w14:paraId="0B5B00D8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3D3C0894" w14:textId="77777777" w:rsidR="005A7128" w:rsidRDefault="005A7128" w:rsidP="00675BD1">
            <w:pPr>
              <w:spacing w:after="0"/>
              <w:rPr>
                <w:rStyle w:val="Znakapoznpodarou"/>
              </w:rPr>
            </w:pPr>
            <w:r>
              <w:rPr>
                <w:noProof/>
              </w:rPr>
              <w:drawing>
                <wp:inline distT="0" distB="0" distL="0" distR="0" wp14:anchorId="76A62D3B" wp14:editId="60222B50">
                  <wp:extent cx="4737600" cy="3553200"/>
                  <wp:effectExtent l="0" t="0" r="6350" b="0"/>
                  <wp:docPr id="661502613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5A7128" w14:paraId="75B39EE3" w14:textId="77777777" w:rsidTr="00675BD1">
        <w:trPr>
          <w:trHeight w:val="145"/>
        </w:trPr>
        <w:tc>
          <w:tcPr>
            <w:tcW w:w="1791" w:type="dxa"/>
          </w:tcPr>
          <w:p w14:paraId="086A998D" w14:textId="77777777" w:rsidR="005A7128" w:rsidRDefault="005A7128" w:rsidP="00675BD1">
            <w:pPr>
              <w:pStyle w:val="Marginlie"/>
              <w:rPr>
                <w:spacing w:val="0"/>
              </w:rPr>
            </w:pPr>
          </w:p>
        </w:tc>
        <w:tc>
          <w:tcPr>
            <w:tcW w:w="223" w:type="dxa"/>
          </w:tcPr>
          <w:p w14:paraId="7C917BFA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744E2A24" w14:textId="77777777" w:rsidR="005A7128" w:rsidRDefault="005A7128" w:rsidP="00675BD1">
            <w:pPr>
              <w:jc w:val="left"/>
              <w:rPr>
                <w:rStyle w:val="Znakapoznpodarou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5A7128" w14:paraId="5882593E" w14:textId="77777777" w:rsidTr="00675BD1">
        <w:trPr>
          <w:trHeight w:val="145"/>
        </w:trPr>
        <w:tc>
          <w:tcPr>
            <w:tcW w:w="1791" w:type="dxa"/>
          </w:tcPr>
          <w:p w14:paraId="06E35564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Spotřebitelské ceny v EU rostly.</w:t>
            </w:r>
          </w:p>
        </w:tc>
        <w:tc>
          <w:tcPr>
            <w:tcW w:w="223" w:type="dxa"/>
          </w:tcPr>
          <w:p w14:paraId="5A4F9898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3A9DF30F" w14:textId="09891209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>Meziroční růst spotřebitelských cen v EU (měřeno harmonizovaným indexem spotřebitelských cen</w:t>
            </w:r>
            <w:r>
              <w:rPr>
                <w:rStyle w:val="Znakapoznpodarou"/>
                <w:lang w:eastAsia="en-US"/>
              </w:rPr>
              <w:footnoteReference w:id="3"/>
            </w:r>
            <w:r>
              <w:rPr>
                <w:lang w:eastAsia="en-US"/>
              </w:rPr>
              <w:t xml:space="preserve">) v 1. čtvrtletí 2026 dosáhl 2,3 %. Na celkovém nárůstu za kvartál se částečně projevilo březnové zrychlení tempa ovlivněné zdražením pohonných hmot. Za celé 1. čtvrtletí meziročně nejvíce rostly ceny v oblasti vzdělávání (4,5 %), stravovacích a ubytovacích služeb (4,1 %) a alkoholických nápojů a tabáku (3,9 %). Nadále nadprůměrně rostly ceny služeb, jako jsou pojištění a finanční služby (3,6 %), osobní a sociální péče a různého zboží a služeb (3,0 %) nebo zdraví (2,9 %). Nejvíce se v 1. čtvrtletí meziročně zvýšily spotřebitelské ceny v Rumunsku (8,6 %), Chorvatsku (4,1 %) a na Slovensku (4,0 %). Naopak nejnižší nárůst měly ceny v Dánsku (0,7 %), Francii (1,1 %) a shodně o 1,2 % na Kypru a v Česku (rozdíl oproti indexu spotřebitelských cen je způsoben absencí imputovaného nájemného v HICP). Mezičtvrtletně se spotřebitelské ceny v EU v 1. čtvrtletí zvýšily o 0,5 %. Největší mezičtvrtletní přírůstek měly ceny alkoholických nápojů a tabáku (1,7 %), pojištění </w:t>
            </w:r>
            <w:r>
              <w:rPr>
                <w:lang w:eastAsia="en-US"/>
              </w:rPr>
              <w:lastRenderedPageBreak/>
              <w:t>a finančních služeb (1,6 %) a dopravy (1,3 %). Klesly jen ceny oděvů a obuvi (−7,9 %) a rekreací a kultury (−0,3 %). Největší mezičtvrtletní přírůstek měly ceny v Litvě (2,4 %), na Slovensku (1,9 %) a v Rumunsku (1,8 %). V šesti zemích ceny mezičtvrtletně poklesly, nejvíce na Maltě (−1,3 %), Kypru (−0,6 %) a v Dánsku a Portugalsku (−0,5 %).</w:t>
            </w:r>
          </w:p>
        </w:tc>
      </w:tr>
      <w:tr w:rsidR="005A7128" w14:paraId="06B39C6E" w14:textId="77777777" w:rsidTr="00675BD1">
        <w:trPr>
          <w:trHeight w:val="145"/>
        </w:trPr>
        <w:tc>
          <w:tcPr>
            <w:tcW w:w="1791" w:type="dxa"/>
          </w:tcPr>
          <w:p w14:paraId="1BA694B7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Meziroční růst cen bytů v 1. čtvrtletí zpomalil.</w:t>
            </w:r>
          </w:p>
        </w:tc>
        <w:tc>
          <w:tcPr>
            <w:tcW w:w="223" w:type="dxa"/>
          </w:tcPr>
          <w:p w14:paraId="60A3E740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0AEB79FD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>Nabídkové ceny bytů v Česku v 1. čtvrtletí meziročně vzrostly o 12,9 % a mezičtvrtletně o 2,7 %. Meziroční tempo výrazně zpomalilo oproti předchozímu roku, na čemž měla podíl hlavně vysoká srovnávací základna (v loňském 1. kvartálu došlo ke skokovému zrychlení mezičtvrtletního tempa, které pak v průběhu roku zvolnilo). Výrazněji zpomalil meziroční růst nabídkových cen bytů v Praze (8,9 %, mezičtvrtletně 2,4 %), mimo Prahu bylo zvolnění mírnější (17,7 %, mezičtvrtletně 3,1 %). Realizované ceny bytů v Česku v 1. čtvrtletí meziročně vzrostly o 14,5 % a přírůstek také zpomalil. Mírnější byl i jejich mezičtvrtletní nárůst (2,7 %). Výrazněji zbrzdilo mezičtvrtletní navýšení realizovaných cen bytů v Praze (1,5 %, meziročně 11,5 %). U cen bytů mimo Prahu zůstal mezičtvrtletní nárůst stále na vysoké úrovni 3,1 % a byl doprovázen meziročním přírůstkem 15,4 %. Realizované ceny nových bytů v Praze se v 1. čtvrtletí mezičtvrtletně zvýšily o 1,3 % a jejich meziroční přírůstek zpomalil na 11,1 %.</w:t>
            </w:r>
          </w:p>
        </w:tc>
      </w:tr>
      <w:tr w:rsidR="005A7128" w14:paraId="16E561F8" w14:textId="77777777" w:rsidTr="00675BD1">
        <w:trPr>
          <w:trHeight w:val="145"/>
        </w:trPr>
        <w:tc>
          <w:tcPr>
            <w:tcW w:w="1791" w:type="dxa"/>
          </w:tcPr>
          <w:p w14:paraId="3384E04F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0B9E00F5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47976AB4" w14:textId="39DA91A6" w:rsidR="005A7128" w:rsidRDefault="005A7128" w:rsidP="00675BD1">
            <w:pPr>
              <w:spacing w:after="0"/>
              <w:rPr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Graf č. 1</w:t>
            </w:r>
            <w:r w:rsidR="00712600">
              <w:rPr>
                <w:b/>
                <w:sz w:val="18"/>
                <w:szCs w:val="18"/>
                <w:lang w:eastAsia="en-US"/>
              </w:rPr>
              <w:t>2</w:t>
            </w:r>
            <w:r>
              <w:rPr>
                <w:b/>
                <w:sz w:val="18"/>
                <w:szCs w:val="18"/>
                <w:lang w:eastAsia="en-US"/>
              </w:rPr>
              <w:t xml:space="preserve"> Ceny hlavních skupin průmyslových výrobců </w:t>
            </w:r>
            <w:r>
              <w:rPr>
                <w:sz w:val="18"/>
                <w:szCs w:val="18"/>
                <w:lang w:eastAsia="en-US"/>
              </w:rPr>
              <w:t>(meziroční změna, v %, podle klasifikace CPA)</w:t>
            </w:r>
          </w:p>
        </w:tc>
      </w:tr>
      <w:tr w:rsidR="005A7128" w14:paraId="4A8B8577" w14:textId="77777777" w:rsidTr="00675BD1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91" w:type="dxa"/>
          </w:tcPr>
          <w:p w14:paraId="78EC341E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1898589D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78C404D" w14:textId="77777777" w:rsidR="005A7128" w:rsidRDefault="005A7128" w:rsidP="00675BD1">
            <w:pPr>
              <w:spacing w:after="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9E49812" wp14:editId="71AAB59D">
                  <wp:extent cx="4752000" cy="3564000"/>
                  <wp:effectExtent l="0" t="0" r="0" b="0"/>
                  <wp:docPr id="1090597235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5A7128" w14:paraId="10C90312" w14:textId="77777777" w:rsidTr="00675BD1">
        <w:trPr>
          <w:trHeight w:val="145"/>
        </w:trPr>
        <w:tc>
          <w:tcPr>
            <w:tcW w:w="1791" w:type="dxa"/>
          </w:tcPr>
          <w:p w14:paraId="658C089C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48333578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6F970C8A" w14:textId="77777777" w:rsidR="005A7128" w:rsidRDefault="005A7128" w:rsidP="00675BD1">
            <w:pPr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5A7128" w14:paraId="41055E86" w14:textId="77777777" w:rsidTr="00675BD1">
        <w:trPr>
          <w:trHeight w:val="145"/>
        </w:trPr>
        <w:tc>
          <w:tcPr>
            <w:tcW w:w="1791" w:type="dxa"/>
          </w:tcPr>
          <w:p w14:paraId="0A87839D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Ceny průmyslových výrobců v 1. kvartálu klesaly.</w:t>
            </w:r>
          </w:p>
        </w:tc>
        <w:tc>
          <w:tcPr>
            <w:tcW w:w="223" w:type="dxa"/>
          </w:tcPr>
          <w:p w14:paraId="0BD0C8BF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63B20F64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Meziroční pokles cen průmyslových výrobců se v 1. čtvrtletí 2026 prohloubil na −2,3 % a mezičtvrtletně byly ceny nižší o 0,2 %. Březnové prudké zvýšení světových cen ropy se promítlo hlavně v oblasti cen koksu a rafinovaných ropných výrobků a mělo limitovaný dopad na vývoj cen průmyslových výrobců za celé čtvrtletí. Za prohloubením meziročního poklesu cen průmyslových výrobců stály především ceny elektřiny, plynu, páry a klimatizovaného vzduchu, které klesly meziročně o 7,9 % a mezičtvrtletně o 3,5 %. Naopak u cen těžby a dobývání došlo ke zmírnění meziročního poklesu na −1,0 % (mezičtvrtletně ceny vzrostly o 0,3 %). Podepsalo se na tom především zmírnění poklesu cen černého a hnědého uhlí a lignitu. Ceny zásobování vodou a služeb souvisejících s odpadními vodami se meziročně i mezičtvrtletně zvýšily </w:t>
            </w:r>
            <w:r>
              <w:rPr>
                <w:lang w:eastAsia="en-US"/>
              </w:rPr>
              <w:lastRenderedPageBreak/>
              <w:t xml:space="preserve">o 3,9 %. Ceny výrobků a služeb zpracovatelského průmyslu se v 1. čtvrtletí meziročně snížily o 0,8 % a mezičtvrtletně vzrostly o 0,6 %. </w:t>
            </w:r>
          </w:p>
        </w:tc>
      </w:tr>
      <w:tr w:rsidR="005A7128" w14:paraId="7A051C0A" w14:textId="77777777" w:rsidTr="00675BD1">
        <w:trPr>
          <w:trHeight w:val="145"/>
        </w:trPr>
        <w:tc>
          <w:tcPr>
            <w:tcW w:w="1791" w:type="dxa"/>
          </w:tcPr>
          <w:p w14:paraId="06080370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Trval meziroční pokles cen ve zpracovatelském průmyslu.</w:t>
            </w:r>
          </w:p>
        </w:tc>
        <w:tc>
          <w:tcPr>
            <w:tcW w:w="223" w:type="dxa"/>
          </w:tcPr>
          <w:p w14:paraId="7C78A179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3AD78B3B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>Meziroční pokles cen výrobků a služeb zpracovatelského průmyslu se oproti předchozímu kvartálu výrazně nezměnil. U potravinářských výrobků (−2,4 %) a textilií (−1,8 %) se ceny dostaly z předchozího růstu do meziročního poklesu. Meziročně klesaly také ceny chemických látek a přípravků (−9,1 %), papíru a výrobků z něj (−3,8 %), motorových vozidel (−2,2 %), kovodělných výrobků (−1,3 %) nebo pryžových a plastových výrobků (−1,1 %). Zmírnil se naopak pokles cen elektrických zařízení (−0,8 %) a počítačů, elektronických a optických přístrojů (−0,4 %). Nejvíce se v 1. čtvrtletí meziročně zvýšily ceny dřeva a výrobků z něj kromě nábytku (10,0 %) a dále oprav, údržby a instalace strojů a zařízení (3,9 %), tiskařských a nahrávacích služeb (3,9 %), nábytku (3,0 %), základních farmaceutických výrobků a přípravků (2,5 %), ostatních dopravních prostředků (2,4 %) a ostatních nekovových minerálních výrobků (2,3 %).</w:t>
            </w:r>
          </w:p>
        </w:tc>
      </w:tr>
      <w:tr w:rsidR="005A7128" w14:paraId="1319BC38" w14:textId="77777777" w:rsidTr="00675BD1">
        <w:trPr>
          <w:trHeight w:val="145"/>
        </w:trPr>
        <w:tc>
          <w:tcPr>
            <w:tcW w:w="1791" w:type="dxa"/>
            <w:hideMark/>
          </w:tcPr>
          <w:p w14:paraId="3111A205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Ceny průmyslových výrobců v EU mezičtvrtletně rostly.</w:t>
            </w:r>
          </w:p>
        </w:tc>
        <w:tc>
          <w:tcPr>
            <w:tcW w:w="223" w:type="dxa"/>
          </w:tcPr>
          <w:p w14:paraId="0C81735C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5D334638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>Ceny průmyslových výrobců v EU</w:t>
            </w:r>
            <w:r>
              <w:rPr>
                <w:rStyle w:val="Znakapoznpodarou"/>
                <w:lang w:eastAsia="en-US"/>
              </w:rPr>
              <w:footnoteReference w:id="4"/>
            </w:r>
            <w:r>
              <w:rPr>
                <w:lang w:eastAsia="en-US"/>
              </w:rPr>
              <w:t xml:space="preserve"> v 1. čtvrtletí mezičtvrtletně vzrostly o 1,5 %. Po sérii poklesů začaly růst ceny těžby a dobývání (4,3 %) a vyšší byly i ceny ve zpracovatelském průmyslu (1,7 %) a ceny elektřiny, plynu, páry a klimatizovaného vzduchu (1,4 %). Nejvíce se mezičtvrtletně zvýšily ceny průmyslových výrobců v Bulharsku (7,9 %), Estonsku (7,1 %) a ve Finsku (5,9 %). Naopak v pěti zemích ceny klesly, nejvíce na Kypru (−0,9 %) a na Slovensku (−0,8 %) a mírně také v Německu (−0,3 %), Portugalsku a Česku (shodně o 0,2 %). Meziroční pokles cen průmyslových výrobců dosáhl v 1. kvartálu 0,9 %. Meziroční pokles cen elektřiny, plynu, páry a klimatizovaného vzduchu se prohloubil na 6,9 % a ceny těžby a dobývání byly nižší o 1,2 %. Naopak v případě zpracovatelského průmyslu posílil meziroční přírůstek cen na 1,3 %. Největší meziroční pokles cen průmyslových výrobců v 1. čtvrtletí vykázalo Lucembursko (−10,7 %), Irsko (−3,4 %) a Španělsko a Česko (shodně −2,3 %). Naopak nejvyšší nárůst měly ceny v Bulharsku (9,4 %), Rumunsku (6,5 %) a Finsku (5,0 %). </w:t>
            </w:r>
          </w:p>
        </w:tc>
      </w:tr>
      <w:tr w:rsidR="005A7128" w14:paraId="1C64D309" w14:textId="77777777" w:rsidTr="00675BD1">
        <w:trPr>
          <w:trHeight w:val="145"/>
        </w:trPr>
        <w:tc>
          <w:tcPr>
            <w:tcW w:w="1791" w:type="dxa"/>
            <w:hideMark/>
          </w:tcPr>
          <w:p w14:paraId="5D567D12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Sílil růst cen </w:t>
            </w:r>
            <w:r w:rsidRPr="0097733B">
              <w:rPr>
                <w:lang w:eastAsia="en-US"/>
              </w:rPr>
              <w:t xml:space="preserve">materiálů </w:t>
            </w:r>
            <w:r>
              <w:rPr>
                <w:lang w:eastAsia="en-US"/>
              </w:rPr>
              <w:br/>
            </w:r>
            <w:r w:rsidRPr="0097733B">
              <w:rPr>
                <w:lang w:eastAsia="en-US"/>
              </w:rPr>
              <w:t>a výrobků spotřebovávaných ve stavebnictví</w:t>
            </w:r>
            <w:r>
              <w:rPr>
                <w:lang w:eastAsia="en-US"/>
              </w:rPr>
              <w:t>.</w:t>
            </w:r>
          </w:p>
        </w:tc>
        <w:tc>
          <w:tcPr>
            <w:tcW w:w="223" w:type="dxa"/>
          </w:tcPr>
          <w:p w14:paraId="5A08F560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4BA5BEA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>Meziroční růst c</w:t>
            </w:r>
            <w:r w:rsidRPr="0097733B">
              <w:rPr>
                <w:lang w:eastAsia="en-US"/>
              </w:rPr>
              <w:t>en stavebních prací</w:t>
            </w:r>
            <w:r>
              <w:rPr>
                <w:lang w:eastAsia="en-US"/>
              </w:rPr>
              <w:t xml:space="preserve"> </w:t>
            </w:r>
            <w:r w:rsidRPr="0097733B">
              <w:rPr>
                <w:lang w:eastAsia="en-US"/>
              </w:rPr>
              <w:t xml:space="preserve">dle odhadů v 1. čtvrtletí </w:t>
            </w:r>
            <w:r>
              <w:rPr>
                <w:lang w:eastAsia="en-US"/>
              </w:rPr>
              <w:t xml:space="preserve">dosáhl </w:t>
            </w:r>
            <w:r w:rsidRPr="0097733B">
              <w:rPr>
                <w:lang w:eastAsia="en-US"/>
              </w:rPr>
              <w:t>2,7</w:t>
            </w:r>
            <w:r>
              <w:rPr>
                <w:lang w:eastAsia="en-US"/>
              </w:rPr>
              <w:t> % a oslabil ve srovnání s předchozím čtvrtletím. Mezičtvrtletně se c</w:t>
            </w:r>
            <w:r w:rsidRPr="0097733B">
              <w:rPr>
                <w:lang w:eastAsia="en-US"/>
              </w:rPr>
              <w:t xml:space="preserve">eny stavebních prací </w:t>
            </w:r>
            <w:r>
              <w:rPr>
                <w:lang w:eastAsia="en-US"/>
              </w:rPr>
              <w:t>zvýšily o 0,9 %. Naproti tomu u c</w:t>
            </w:r>
            <w:r w:rsidRPr="0097733B">
              <w:rPr>
                <w:lang w:eastAsia="en-US"/>
              </w:rPr>
              <w:t xml:space="preserve">eny materiálů a výrobků spotřebovávaných ve stavebnictví </w:t>
            </w:r>
            <w:r>
              <w:rPr>
                <w:lang w:eastAsia="en-US"/>
              </w:rPr>
              <w:t>bylo v 1. kvartálu patrné posilování růstu. Meziročně</w:t>
            </w:r>
            <w:r w:rsidRPr="0097733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</w:t>
            </w:r>
            <w:r w:rsidRPr="0097733B">
              <w:rPr>
                <w:lang w:eastAsia="en-US"/>
              </w:rPr>
              <w:t xml:space="preserve">eny materiálů a výrobků spotřebovávaných ve stavebnictví </w:t>
            </w:r>
            <w:r>
              <w:rPr>
                <w:lang w:eastAsia="en-US"/>
              </w:rPr>
              <w:t xml:space="preserve">vzrostly </w:t>
            </w:r>
            <w:r w:rsidRPr="0097733B">
              <w:rPr>
                <w:lang w:eastAsia="en-US"/>
              </w:rPr>
              <w:t>o 2,1</w:t>
            </w:r>
            <w:r>
              <w:rPr>
                <w:lang w:eastAsia="en-US"/>
              </w:rPr>
              <w:t> % a mezičtvrtletně o 1</w:t>
            </w:r>
            <w:r w:rsidRPr="0097733B">
              <w:rPr>
                <w:lang w:eastAsia="en-US"/>
              </w:rPr>
              <w:t>,5</w:t>
            </w:r>
            <w:r>
              <w:rPr>
                <w:lang w:eastAsia="en-US"/>
              </w:rPr>
              <w:t> %</w:t>
            </w:r>
            <w:r w:rsidRPr="0097733B">
              <w:rPr>
                <w:lang w:eastAsia="en-US"/>
              </w:rPr>
              <w:t xml:space="preserve">. </w:t>
            </w:r>
          </w:p>
        </w:tc>
      </w:tr>
      <w:tr w:rsidR="005A7128" w14:paraId="0576CEB9" w14:textId="77777777" w:rsidTr="00675BD1">
        <w:trPr>
          <w:trHeight w:val="145"/>
        </w:trPr>
        <w:tc>
          <w:tcPr>
            <w:tcW w:w="1791" w:type="dxa"/>
            <w:hideMark/>
          </w:tcPr>
          <w:p w14:paraId="6300CE7E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Meziroční růst cen tržních služeb oslabil.</w:t>
            </w:r>
          </w:p>
        </w:tc>
        <w:tc>
          <w:tcPr>
            <w:tcW w:w="223" w:type="dxa"/>
          </w:tcPr>
          <w:p w14:paraId="30FEA9E4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34C85BCE" w14:textId="1FE6E6BA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Ceny tržních služeb v 1. čtvrtletí 2026 meziročně vzrostly o 3,5 % a jejich přírůstek zvolnil ve srovnání s koncem roku 2025. Mezičtvrtletně ceny vzrostly o 0,2 %. Zpomalení meziročního tempa růstu bylo způsobeno především zvolněním růstu cen skladování a podpůrných služeb v dopravě na 2,5 %. Vliv mělo také mírnější zvyšování cen bezpečnostních a pátracích služeb (6,9 %), služeb v oblasti programování a souvisejícího poradenství (3,0 %) a pojištění, zajištění a penzijního financování (3,0 %), služeb v oblasti nemovitostí (2,1 %). Nejvíce k meziročnímu růstu cen tržních služeb přispívaly reklamní služby a průzkum trhu (19,4 %). Výrazný přírůstek měly rovněž ceny tvorby programů a vysílání (13,4 %), služeb v oblasti zaměstnání (8,1 %), služeb v oblasti produkce filmů, videozáznamů a televizních programů (7,0 %), informačních služeb (4,7 %), vydavatelských služeb (4,5 %) a poštovních a kurýrních služeb (4,3 %). Ceny byly meziročně nižší pouze v ostatních odborných, vědeckých a technických službách (−0,5 %, zejména překladatelské a tlumočnické služby). </w:t>
            </w:r>
          </w:p>
        </w:tc>
      </w:tr>
      <w:tr w:rsidR="005A7128" w14:paraId="53D3029F" w14:textId="77777777" w:rsidTr="00675BD1">
        <w:trPr>
          <w:trHeight w:val="145"/>
        </w:trPr>
        <w:tc>
          <w:tcPr>
            <w:tcW w:w="1791" w:type="dxa"/>
            <w:hideMark/>
          </w:tcPr>
          <w:p w14:paraId="39E53D5D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Ceny zemědělských výrobců se meziročně propadly.</w:t>
            </w:r>
          </w:p>
        </w:tc>
        <w:tc>
          <w:tcPr>
            <w:tcW w:w="223" w:type="dxa"/>
          </w:tcPr>
          <w:p w14:paraId="2A6FEE6E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31ABD0B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Ceny zemědělské výroby včetně ryb v 1. čtvrtletí 2026 meziročně klesly o 8,1 %. Šlo o první pokles od 3. čtvrtletí 2024. Ceny rostlinné výroby se propadaly o 13,9 % </w:t>
            </w:r>
            <w:r>
              <w:rPr>
                <w:lang w:eastAsia="en-US"/>
              </w:rPr>
              <w:lastRenderedPageBreak/>
              <w:t xml:space="preserve">a pokles byl plošný. Ceny obilovin meziročně klesly o 14,6 %, z toho pšenice o 15,9 %, ječmen o 11,0 % a žito o 8,5 %. Ceny průmyslových plodin byly nižší o 11,5 %, přičemž olejniny zlevnily o 9,6 % a hluboký propad se týkal též luskovin (−21,6 %) a cukrové řepy (−23,9 %). Ceny brambor byly meziročně nižší o 23,8 %, ovoce o 36,7 %, zeleniny a zahradnických produktů o 14,0 % a krmných plodin o 5,3 %. Také v živočišné výrobě se ceny dostaly do meziročního poklesu (−1,7 %). Přispěl k tomu zejména vývoj cen prasat (−17,8 %) a mléka (−11,4 %). Naopak silný růst se držel u cen skotu (30,5 %), vajec (21,2 %) i drůbeže (9,3 %). </w:t>
            </w:r>
          </w:p>
        </w:tc>
      </w:tr>
      <w:tr w:rsidR="005A7128" w14:paraId="6679B138" w14:textId="77777777" w:rsidTr="00675BD1">
        <w:trPr>
          <w:trHeight w:val="145"/>
        </w:trPr>
        <w:tc>
          <w:tcPr>
            <w:tcW w:w="1791" w:type="dxa"/>
            <w:hideMark/>
          </w:tcPr>
          <w:p w14:paraId="61186D5E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Ceny vývozu mezičtvrtletně rostly.</w:t>
            </w:r>
          </w:p>
        </w:tc>
        <w:tc>
          <w:tcPr>
            <w:tcW w:w="223" w:type="dxa"/>
          </w:tcPr>
          <w:p w14:paraId="0128A6AA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0F8E705F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>Meziroční pokles cen vývozu zboží se v 1. čtvrtletí zmírnil na −3,4 %. Vývoj kurzu koruny</w:t>
            </w:r>
            <w:r>
              <w:rPr>
                <w:rStyle w:val="Znakapoznpodarou"/>
                <w:lang w:eastAsia="en-US"/>
              </w:rPr>
              <w:footnoteReference w:id="5"/>
            </w:r>
            <w:r>
              <w:rPr>
                <w:lang w:eastAsia="en-US"/>
              </w:rPr>
              <w:t xml:space="preserve"> působil v meziročním srovnání stále protiinflačně, ačkoli v průběhu 1. čtvrtletí došlo k částečnému oslabení koruny, které souviselo s geopolitickými otřesy. Mezičtvrtletně se ceny exportu zboží zvýšily o 0,8 % a šlo o první navýšení od 4. kvartálu 2024. Zdrojem inflačních tlaků byly především základní suroviny, což bylo nejvíce patrné na výrazném mezičtvrtletním nárůstu cen vývozu u těžby a dobývání (5,4 %). To také ovlivnilo značné zmírnění meziročního propadu cen v této sekci na −5,4 %. Rovněž ceny vývozu elektřiny, plynu, páry a klimatizovaného vzduchu v 1. čtvrtletí vykázaly silný mezičtvrtletní nárůst o 7,8 % a zmírnění meziročního propadu na −6,7 %. Ceny exportu v oblasti sběru, likvidace a zpracování odpadu mezičtvrtletně vzrostly o 9,9 % a meziročně byly nižší o 0,9 %. Ceny exportu produktů zemědělství, lesnictví a rybářství byly mezičtvrtletně vyšší o 3,7 % a jejich meziroční nárůst se zmírnil na 1,4 %.</w:t>
            </w:r>
          </w:p>
        </w:tc>
      </w:tr>
      <w:tr w:rsidR="005A7128" w14:paraId="66BF185F" w14:textId="77777777" w:rsidTr="00675BD1">
        <w:trPr>
          <w:trHeight w:val="145"/>
        </w:trPr>
        <w:tc>
          <w:tcPr>
            <w:tcW w:w="1791" w:type="dxa"/>
          </w:tcPr>
          <w:p w14:paraId="6590AC56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Ceny vývozu koksu </w:t>
            </w:r>
            <w:r>
              <w:rPr>
                <w:spacing w:val="0"/>
                <w:lang w:eastAsia="en-US"/>
              </w:rPr>
              <w:br/>
              <w:t>a rafinovaných ropných produktů v 1. kvartálu silně mezičtvrtletně vzrostly.</w:t>
            </w:r>
          </w:p>
        </w:tc>
        <w:tc>
          <w:tcPr>
            <w:tcW w:w="223" w:type="dxa"/>
          </w:tcPr>
          <w:p w14:paraId="7A30527B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2AD92076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>Ceny vývozu produktů zpracovatelského průmyslu v 1. čtvrtletí mezičtvrtletně vzrostly o 0,4 % a jejich meziroční pokles se zmírnil na −3,5 %. U téměř všech oddílů zpracovatelského průmyslu se v 1. čtvrtletí udržoval meziroční pokles. Jedinou výjimkou byly rostoucí ceny dřeva a výrobků z něj (6,7 % meziročně, 1,0 % mezičtvrtletně). Pod vlivem mezičtvrtletních nárůstů se zmírnil meziroční pokles cen vývozu koksu a rafinovaných ropných produktů (−6,9 %, mezičtvrtletní růst o 9,0 %), počítačů, elektronických a optických přístrojů (−4,0 %, mezičtvrtletně +1,4 %), základních kovů (−2,7 %, mezičtvrtletně +1,9 %), motorových vozidel (−2,5 %, mezičtvrtletně +0,6 %), elektrických zařízení (−2,4 %, mezičtvrtletně +1,0 %) nebo strojů a zařízení (−1,3 %, mezičtvrtletně +1,4 %). Naopak u části výrobků zpracovatelského průmyslu ceny mezičtvrtletně klesaly a trvaly u nich nebo se prohloubily značné meziroční poklesy. To byl případ chemických látek a přípravků (−9,3 % meziročně, −0,3 % mezičtvrtletně), papíru a výrobků z něj (−8,8 % meziročně, −1,2 % mezičtvrtletně), nápojů (−6,8 % meziročně, −6,5 % mezičtvrtletně), ostatních dopravních prostředků a zařízení (−6,6 % meziročně, −0,8 % mezičtvrtletně), potravinářských výrobků (−6,3 % meziročně, −2,8 % mezičtvrtletně), ostatních výrobků zpracovatelského průmyslu (−4,4 % meziročně, −3,0 % mezičtvrtletně) nebo kovodělných výrobků (−3,7 % meziročně, −1,9 % mezičtvrtletně).</w:t>
            </w:r>
          </w:p>
        </w:tc>
      </w:tr>
      <w:tr w:rsidR="005A7128" w14:paraId="2FEDF707" w14:textId="77777777" w:rsidTr="00675BD1">
        <w:trPr>
          <w:trHeight w:val="145"/>
        </w:trPr>
        <w:tc>
          <w:tcPr>
            <w:tcW w:w="1791" w:type="dxa"/>
          </w:tcPr>
          <w:p w14:paraId="4C16D59E" w14:textId="77777777" w:rsidR="005A7128" w:rsidRPr="009D263E" w:rsidRDefault="005A7128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 xml:space="preserve">Ceny dovozu surovin </w:t>
            </w:r>
            <w:r>
              <w:rPr>
                <w:lang w:eastAsia="en-US"/>
              </w:rPr>
              <w:br/>
              <w:t>a energií se výrazně mezičtvrtletně zvyšovaly.</w:t>
            </w:r>
          </w:p>
        </w:tc>
        <w:tc>
          <w:tcPr>
            <w:tcW w:w="223" w:type="dxa"/>
          </w:tcPr>
          <w:p w14:paraId="230DF7D3" w14:textId="77777777" w:rsidR="005A7128" w:rsidRPr="009D263E" w:rsidRDefault="005A7128" w:rsidP="00675BD1">
            <w:pPr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69E922EE" w14:textId="77777777" w:rsidR="005A7128" w:rsidRPr="009D263E" w:rsidRDefault="005A7128" w:rsidP="00675BD1">
            <w:pPr>
              <w:rPr>
                <w:lang w:eastAsia="en-US"/>
              </w:rPr>
            </w:pPr>
            <w:r w:rsidRPr="009D263E">
              <w:rPr>
                <w:lang w:eastAsia="en-US"/>
              </w:rPr>
              <w:t>Ceny dovozu zboží</w:t>
            </w:r>
            <w:r>
              <w:rPr>
                <w:lang w:eastAsia="en-US"/>
              </w:rPr>
              <w:t xml:space="preserve"> v 1. čtvrtletí mezičtvrtletně vzrostly o 1,0 % a jejich meziroční pokles se zmírnil na −4,4 %. Značný mezičtvrtletní nárůst měly ceny importu elektřiny, plynu, páry a klimatizovaného vzduchu (15,2 %), což zároveň znamenalo meziroční zvýšení o 1,0 %. Podobně i u cen těžby a dobývání bylo s mezičtvrtletním navýšením o 8,9 % spojeno zmírnění meziročního propadu na −17,5 %. Ceny dovozu výrobků zpracovatelského průmyslu mezičtvrtletně vzrostly jen o 0,3 % a jejich meziroční pokles jen drobně zmírnil na −3,5 %. Proti sobě totiž působilo mezičtvrtletní zdražení dovozu některých surovin (například koks a rafinované ropné výrobky o 11,6 %, základní kovy 4,7 %) a naopak mezičtvrtletní poklesy cen importu oděvů (−4,0 %), potravinářských </w:t>
            </w:r>
            <w:r>
              <w:rPr>
                <w:lang w:eastAsia="en-US"/>
              </w:rPr>
              <w:lastRenderedPageBreak/>
              <w:t>výrobků (−3,7 %), textilií (−3,0 %), ostatních výrobků zpracovatelského průmyslu (−2,9 %) nebo usní (−2,1 %).</w:t>
            </w:r>
          </w:p>
        </w:tc>
      </w:tr>
      <w:tr w:rsidR="005A7128" w14:paraId="296D6655" w14:textId="77777777" w:rsidTr="00675BD1">
        <w:trPr>
          <w:trHeight w:val="145"/>
        </w:trPr>
        <w:tc>
          <w:tcPr>
            <w:tcW w:w="1791" w:type="dxa"/>
          </w:tcPr>
          <w:p w14:paraId="572A96F7" w14:textId="77777777" w:rsidR="005A7128" w:rsidRDefault="005A7128" w:rsidP="00675BD1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Meziroční směnné relace byly kladné.</w:t>
            </w:r>
          </w:p>
        </w:tc>
        <w:tc>
          <w:tcPr>
            <w:tcW w:w="223" w:type="dxa"/>
          </w:tcPr>
          <w:p w14:paraId="17EE7041" w14:textId="77777777" w:rsidR="005A7128" w:rsidRDefault="005A7128" w:rsidP="00675BD1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31551E05" w14:textId="77777777" w:rsidR="005A7128" w:rsidRDefault="005A7128" w:rsidP="00675BD1">
            <w:pPr>
              <w:rPr>
                <w:lang w:eastAsia="en-US"/>
              </w:rPr>
            </w:pPr>
            <w:r>
              <w:rPr>
                <w:lang w:eastAsia="en-US"/>
              </w:rPr>
              <w:t>Meziroční směnné relace zahraničního obchodu se zbožím v 1. čtvrtletí dosáhly 101,0 %. Silně pozitivní byly směnné relace obchodu v oblasti těžby a dobývání (114,7 %) a v kladném pásmu se udržely i směnné relace obchodu s produkty zemědělství, lesnictví a rybářství (100,2 %) a výrobky zpracovatelského průmyslu (100,1 %). Naopak výrazně záporné zůstaly meziroční směnné relace obchodu s elektřinou, plynem, párou a klimatizovaným vzduchem (92,4 %). Mezičtvrtletní směnné relace dosáhly v 1. čtvrtletí 99,8 %. Výrazně záporné byly směnné relace obchodu s elektřinou, plynem, párou a klimatizovaným vzduchem (93,6 %), s produkty zemědělství, lesnictví a rybářství (96,1 %) i v oblasti těžby a dobývání (96,8 %). Naopak u výrobků zpracovatelského průmyslu mezičtvrtletní směnné relace dosáhly 100,1 %.</w:t>
            </w:r>
          </w:p>
        </w:tc>
      </w:tr>
    </w:tbl>
    <w:p w14:paraId="64FB8D6A" w14:textId="77777777" w:rsidR="005A7128" w:rsidRDefault="005A7128" w:rsidP="005A7128">
      <w:pPr>
        <w:spacing w:after="0"/>
      </w:pPr>
    </w:p>
    <w:bookmarkEnd w:id="0"/>
    <w:p w14:paraId="216D00BD" w14:textId="77777777" w:rsidR="005A7128" w:rsidRPr="00C5418A" w:rsidRDefault="005A7128" w:rsidP="005A7128">
      <w:pPr>
        <w:spacing w:after="0"/>
        <w:rPr>
          <w:highlight w:val="yellow"/>
        </w:rPr>
      </w:pPr>
    </w:p>
    <w:sectPr w:rsidR="005A7128" w:rsidRPr="00C5418A" w:rsidSect="008F62B2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6752" w14:textId="77777777" w:rsidR="005A5B74" w:rsidRDefault="005A5B74" w:rsidP="00E71A58">
      <w:r>
        <w:separator/>
      </w:r>
    </w:p>
  </w:endnote>
  <w:endnote w:type="continuationSeparator" w:id="0">
    <w:p w14:paraId="5EDF394D" w14:textId="77777777" w:rsidR="005A5B74" w:rsidRDefault="005A5B7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2E38F52B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1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D53EAD">
      <w:rPr>
        <w:szCs w:val="16"/>
      </w:rPr>
      <w:t xml:space="preserve">1. čtvrtletí </w:t>
    </w:r>
    <w:r w:rsidR="00C5418A">
      <w:rPr>
        <w:szCs w:val="16"/>
      </w:rPr>
      <w:t>202</w:t>
    </w:r>
    <w:r w:rsidR="00D53EAD">
      <w:rPr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8290478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D53EAD">
      <w:rPr>
        <w:szCs w:val="16"/>
      </w:rPr>
      <w:t>1. čtvrtletí</w:t>
    </w:r>
    <w:r>
      <w:rPr>
        <w:szCs w:val="16"/>
      </w:rPr>
      <w:t xml:space="preserve"> 202</w:t>
    </w:r>
    <w:r w:rsidR="00D53EAD">
      <w:rPr>
        <w:szCs w:val="16"/>
      </w:rPr>
      <w:t>6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C05A" w14:textId="77777777" w:rsidR="005A5B74" w:rsidRDefault="005A5B74" w:rsidP="00EA4302">
      <w:pPr>
        <w:spacing w:after="0"/>
      </w:pPr>
      <w:r>
        <w:separator/>
      </w:r>
    </w:p>
  </w:footnote>
  <w:footnote w:type="continuationSeparator" w:id="0">
    <w:p w14:paraId="0EEB7581" w14:textId="77777777" w:rsidR="005A5B74" w:rsidRDefault="005A5B74" w:rsidP="00E71A58">
      <w:r>
        <w:continuationSeparator/>
      </w:r>
    </w:p>
  </w:footnote>
  <w:footnote w:id="1">
    <w:p w14:paraId="3D064863" w14:textId="77777777" w:rsidR="005A7128" w:rsidRPr="007F7671" w:rsidRDefault="005A7128" w:rsidP="005A7128">
      <w:pPr>
        <w:pStyle w:val="Textpoznpodarou"/>
        <w:rPr>
          <w:sz w:val="16"/>
          <w:szCs w:val="16"/>
        </w:rPr>
      </w:pPr>
      <w:r w:rsidRPr="007F7671">
        <w:rPr>
          <w:rStyle w:val="Znakapoznpodarou"/>
          <w:sz w:val="16"/>
          <w:szCs w:val="16"/>
        </w:rPr>
        <w:footnoteRef/>
      </w:r>
      <w:r w:rsidRPr="007F7671">
        <w:rPr>
          <w:sz w:val="16"/>
          <w:szCs w:val="16"/>
        </w:rPr>
        <w:t xml:space="preserve"> Od ledna 2026 jsou detailní indexy spotřebitelských cen počítány na základě aktualizované klasifikace COICOP 2018. Váhy jsou od ledna roku 2026 zaktualizovány na základě výdajů domácností statistiky národních účtů. </w:t>
      </w:r>
      <w:r>
        <w:rPr>
          <w:sz w:val="16"/>
          <w:szCs w:val="16"/>
        </w:rPr>
        <w:t>V</w:t>
      </w:r>
      <w:r w:rsidRPr="007F7671">
        <w:rPr>
          <w:sz w:val="16"/>
          <w:szCs w:val="16"/>
        </w:rPr>
        <w:t>ýznamnou změnou je rozdělení původního oddílu 12 Ostatní zboží a služby na dva oddíly 12 Pojištění a finanční služby a 13 Osobní a sociální péče, různé zboží a služby.</w:t>
      </w:r>
      <w:r>
        <w:rPr>
          <w:sz w:val="16"/>
          <w:szCs w:val="16"/>
        </w:rPr>
        <w:t xml:space="preserve"> Více na </w:t>
      </w:r>
      <w:hyperlink r:id="rId1" w:history="1">
        <w:r w:rsidRPr="00B74B39">
          <w:rPr>
            <w:rStyle w:val="Hypertextovodkaz"/>
            <w:sz w:val="16"/>
            <w:szCs w:val="16"/>
          </w:rPr>
          <w:t>https://csu.gov.cz/kdyz_se_rekne_inflace_resp_mira_inflace</w:t>
        </w:r>
      </w:hyperlink>
      <w:r>
        <w:rPr>
          <w:sz w:val="16"/>
          <w:szCs w:val="16"/>
        </w:rPr>
        <w:t xml:space="preserve"> a </w:t>
      </w:r>
      <w:hyperlink r:id="rId2" w:history="1">
        <w:r w:rsidRPr="00EC58C0">
          <w:rPr>
            <w:rStyle w:val="Hypertextovodkaz"/>
            <w:sz w:val="16"/>
            <w:szCs w:val="16"/>
          </w:rPr>
          <w:t>https://csu.gov.cz/indexy_spotrebitelskych_cen_revize</w:t>
        </w:r>
      </w:hyperlink>
      <w:r>
        <w:rPr>
          <w:sz w:val="16"/>
          <w:szCs w:val="16"/>
        </w:rPr>
        <w:t xml:space="preserve"> </w:t>
      </w:r>
    </w:p>
  </w:footnote>
  <w:footnote w:id="2">
    <w:p w14:paraId="3513DDA6" w14:textId="77777777" w:rsidR="005A7128" w:rsidRDefault="005A7128" w:rsidP="005A7128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Imputované nájemné vyjadřuje náklady vlastnického bydlení. Kromě samotných cen bydlení zahrnuje i náklady na výstavbu a renovace a další poplatky. Více na: </w:t>
      </w:r>
      <w:hyperlink r:id="rId3" w:history="1">
        <w:r>
          <w:rPr>
            <w:rStyle w:val="Hypertextovodkaz"/>
            <w:sz w:val="16"/>
            <w:szCs w:val="16"/>
          </w:rPr>
          <w:t>https://csu.gov.cz/metodicka-poznamka-k-indexu-spotrebitelskych-cen-imputovane-najemne</w:t>
        </w:r>
      </w:hyperlink>
      <w:r>
        <w:rPr>
          <w:rStyle w:val="Hypertextovodkaz"/>
          <w:sz w:val="16"/>
          <w:szCs w:val="16"/>
        </w:rPr>
        <w:t>.</w:t>
      </w:r>
    </w:p>
  </w:footnote>
  <w:footnote w:id="3">
    <w:p w14:paraId="562B016B" w14:textId="77777777" w:rsidR="005A7128" w:rsidRDefault="005A7128" w:rsidP="005A7128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Oproti indexu spotřebitelských cen, který ČSÚ pro českou ekonomiku sestavuje, HICP neobsahuje imputované nájemné, což bývá zdrojem rozdílů mezi HICP a Indexem spotřebitelských cen.</w:t>
      </w:r>
    </w:p>
  </w:footnote>
  <w:footnote w:id="4">
    <w:p w14:paraId="4AE25716" w14:textId="77777777" w:rsidR="005A7128" w:rsidRDefault="005A7128" w:rsidP="005A7128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Bez cen zásobování vodou a služeb souvisejících s odpadními vodami.</w:t>
      </w:r>
    </w:p>
  </w:footnote>
  <w:footnote w:id="5">
    <w:p w14:paraId="6833D270" w14:textId="77777777" w:rsidR="005A7128" w:rsidRDefault="005A7128" w:rsidP="005A7128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Podle údajů ČNB dosáhl v 1. čtvrtletí 2026 průměrný kurz koruny vůči euru 24,328 CZK/EUR ve srovnání s 24,273 CZK/EUR ve 4. čtvrtletí 2025 a 25,082 CZK/EUR v 1. čtvrtletí 2025. Kurz vůči dolaru v 1. čtvrtletí dosahoval 20,790 CZK/USD oproti 20,866 CZK/USD ve 4. čtvrtletí 2025 a 23,844 CZK/USD v 1. čtvrtletí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35D04"/>
    <w:multiLevelType w:val="hybridMultilevel"/>
    <w:tmpl w:val="2684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4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3"/>
  </w:num>
  <w:num w:numId="27" w16cid:durableId="223610688">
    <w:abstractNumId w:val="44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6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5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4"/>
  </w:num>
  <w:num w:numId="48" w16cid:durableId="1639922006">
    <w:abstractNumId w:val="44"/>
    <w:lvlOverride w:ilvl="0">
      <w:startOverride w:val="1"/>
    </w:lvlOverride>
  </w:num>
  <w:num w:numId="49" w16cid:durableId="1509101590">
    <w:abstractNumId w:val="17"/>
  </w:num>
  <w:num w:numId="50" w16cid:durableId="14816520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11F39"/>
    <w:rsid w:val="00017058"/>
    <w:rsid w:val="0001750B"/>
    <w:rsid w:val="0002195D"/>
    <w:rsid w:val="000234D6"/>
    <w:rsid w:val="00023D29"/>
    <w:rsid w:val="00026389"/>
    <w:rsid w:val="00031AE0"/>
    <w:rsid w:val="000322EF"/>
    <w:rsid w:val="00033FCD"/>
    <w:rsid w:val="000347D3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73A4E"/>
    <w:rsid w:val="0008263E"/>
    <w:rsid w:val="000829B1"/>
    <w:rsid w:val="00082C19"/>
    <w:rsid w:val="00085395"/>
    <w:rsid w:val="00086CFB"/>
    <w:rsid w:val="00087634"/>
    <w:rsid w:val="00087F2B"/>
    <w:rsid w:val="00090C0E"/>
    <w:rsid w:val="000912CC"/>
    <w:rsid w:val="00092201"/>
    <w:rsid w:val="00095135"/>
    <w:rsid w:val="000974D1"/>
    <w:rsid w:val="0009799E"/>
    <w:rsid w:val="000A1183"/>
    <w:rsid w:val="000A256D"/>
    <w:rsid w:val="000A395A"/>
    <w:rsid w:val="000A3A2C"/>
    <w:rsid w:val="000A5265"/>
    <w:rsid w:val="000A57D4"/>
    <w:rsid w:val="000B1202"/>
    <w:rsid w:val="000B3CE2"/>
    <w:rsid w:val="000B7C8D"/>
    <w:rsid w:val="000C004E"/>
    <w:rsid w:val="000C2CF1"/>
    <w:rsid w:val="000C3408"/>
    <w:rsid w:val="000C6AFD"/>
    <w:rsid w:val="000C7C6F"/>
    <w:rsid w:val="000D1B52"/>
    <w:rsid w:val="000D3CE8"/>
    <w:rsid w:val="000D5637"/>
    <w:rsid w:val="000E15EA"/>
    <w:rsid w:val="000E22F0"/>
    <w:rsid w:val="000E6FBD"/>
    <w:rsid w:val="000F18D0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098"/>
    <w:rsid w:val="001224E5"/>
    <w:rsid w:val="00124443"/>
    <w:rsid w:val="00124940"/>
    <w:rsid w:val="00125D69"/>
    <w:rsid w:val="001302D9"/>
    <w:rsid w:val="001403D0"/>
    <w:rsid w:val="001405FA"/>
    <w:rsid w:val="00142254"/>
    <w:rsid w:val="001425C3"/>
    <w:rsid w:val="001476BD"/>
    <w:rsid w:val="001477BA"/>
    <w:rsid w:val="00151983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93777"/>
    <w:rsid w:val="001A0487"/>
    <w:rsid w:val="001A108E"/>
    <w:rsid w:val="001A4CA3"/>
    <w:rsid w:val="001A552F"/>
    <w:rsid w:val="001A5B6F"/>
    <w:rsid w:val="001A6170"/>
    <w:rsid w:val="001A7280"/>
    <w:rsid w:val="001B2CA9"/>
    <w:rsid w:val="001B3110"/>
    <w:rsid w:val="001B4729"/>
    <w:rsid w:val="001B4738"/>
    <w:rsid w:val="001B6310"/>
    <w:rsid w:val="001B6C09"/>
    <w:rsid w:val="001B73E6"/>
    <w:rsid w:val="001C05CD"/>
    <w:rsid w:val="001C2AA7"/>
    <w:rsid w:val="001C3924"/>
    <w:rsid w:val="001C6020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07871"/>
    <w:rsid w:val="002118B9"/>
    <w:rsid w:val="00213E46"/>
    <w:rsid w:val="00214CF7"/>
    <w:rsid w:val="002152E4"/>
    <w:rsid w:val="00216286"/>
    <w:rsid w:val="00216A01"/>
    <w:rsid w:val="002175EA"/>
    <w:rsid w:val="00217C5B"/>
    <w:rsid w:val="0022139E"/>
    <w:rsid w:val="00222729"/>
    <w:rsid w:val="00222833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37B95"/>
    <w:rsid w:val="00241B06"/>
    <w:rsid w:val="00242119"/>
    <w:rsid w:val="002421C4"/>
    <w:rsid w:val="00242C10"/>
    <w:rsid w:val="002436BA"/>
    <w:rsid w:val="00243A3C"/>
    <w:rsid w:val="00244A15"/>
    <w:rsid w:val="0024661A"/>
    <w:rsid w:val="00247319"/>
    <w:rsid w:val="0024741D"/>
    <w:rsid w:val="002475AC"/>
    <w:rsid w:val="0024799E"/>
    <w:rsid w:val="00247EE7"/>
    <w:rsid w:val="0025271C"/>
    <w:rsid w:val="00252D48"/>
    <w:rsid w:val="00253C0F"/>
    <w:rsid w:val="002558C1"/>
    <w:rsid w:val="00255B30"/>
    <w:rsid w:val="00261A17"/>
    <w:rsid w:val="0027099B"/>
    <w:rsid w:val="00271465"/>
    <w:rsid w:val="00275385"/>
    <w:rsid w:val="00281666"/>
    <w:rsid w:val="0028207A"/>
    <w:rsid w:val="00282918"/>
    <w:rsid w:val="00285412"/>
    <w:rsid w:val="00290725"/>
    <w:rsid w:val="00291407"/>
    <w:rsid w:val="00291640"/>
    <w:rsid w:val="0029568F"/>
    <w:rsid w:val="00295A5D"/>
    <w:rsid w:val="002A1407"/>
    <w:rsid w:val="002A16D4"/>
    <w:rsid w:val="002A230C"/>
    <w:rsid w:val="002A66B0"/>
    <w:rsid w:val="002B2299"/>
    <w:rsid w:val="002B264B"/>
    <w:rsid w:val="002B4845"/>
    <w:rsid w:val="002B48B4"/>
    <w:rsid w:val="002C2FE9"/>
    <w:rsid w:val="002C3E17"/>
    <w:rsid w:val="002C43BD"/>
    <w:rsid w:val="002C5568"/>
    <w:rsid w:val="002D0E59"/>
    <w:rsid w:val="002E02A1"/>
    <w:rsid w:val="002E42AC"/>
    <w:rsid w:val="002E4E4C"/>
    <w:rsid w:val="002F2057"/>
    <w:rsid w:val="002F3E4F"/>
    <w:rsid w:val="002F40D1"/>
    <w:rsid w:val="00302ADD"/>
    <w:rsid w:val="00304771"/>
    <w:rsid w:val="0030495D"/>
    <w:rsid w:val="003052D4"/>
    <w:rsid w:val="00306C5B"/>
    <w:rsid w:val="00307B34"/>
    <w:rsid w:val="003103E0"/>
    <w:rsid w:val="0031173F"/>
    <w:rsid w:val="00314F9F"/>
    <w:rsid w:val="003209D6"/>
    <w:rsid w:val="00321205"/>
    <w:rsid w:val="00321924"/>
    <w:rsid w:val="00324442"/>
    <w:rsid w:val="0032656E"/>
    <w:rsid w:val="00327D4E"/>
    <w:rsid w:val="00332190"/>
    <w:rsid w:val="00340188"/>
    <w:rsid w:val="003421E1"/>
    <w:rsid w:val="0034226A"/>
    <w:rsid w:val="00343182"/>
    <w:rsid w:val="0034335E"/>
    <w:rsid w:val="00343701"/>
    <w:rsid w:val="00344668"/>
    <w:rsid w:val="003462D9"/>
    <w:rsid w:val="00352109"/>
    <w:rsid w:val="00360C86"/>
    <w:rsid w:val="00360FBC"/>
    <w:rsid w:val="00362E90"/>
    <w:rsid w:val="00364FA0"/>
    <w:rsid w:val="003657F3"/>
    <w:rsid w:val="00366591"/>
    <w:rsid w:val="00366647"/>
    <w:rsid w:val="00371826"/>
    <w:rsid w:val="00373504"/>
    <w:rsid w:val="00374FEF"/>
    <w:rsid w:val="0038123E"/>
    <w:rsid w:val="003818DC"/>
    <w:rsid w:val="00382C5B"/>
    <w:rsid w:val="00384327"/>
    <w:rsid w:val="00385D98"/>
    <w:rsid w:val="003A15ED"/>
    <w:rsid w:val="003A1A03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6BF6"/>
    <w:rsid w:val="003B7AFA"/>
    <w:rsid w:val="003C1099"/>
    <w:rsid w:val="003C16D0"/>
    <w:rsid w:val="003C3490"/>
    <w:rsid w:val="003C6550"/>
    <w:rsid w:val="003C79A6"/>
    <w:rsid w:val="003C7E62"/>
    <w:rsid w:val="003D5B4E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95B"/>
    <w:rsid w:val="00416EB7"/>
    <w:rsid w:val="00420136"/>
    <w:rsid w:val="00421773"/>
    <w:rsid w:val="00432A58"/>
    <w:rsid w:val="00434617"/>
    <w:rsid w:val="00440900"/>
    <w:rsid w:val="00441BF6"/>
    <w:rsid w:val="00443556"/>
    <w:rsid w:val="004441A0"/>
    <w:rsid w:val="004455BA"/>
    <w:rsid w:val="00446D77"/>
    <w:rsid w:val="0045010F"/>
    <w:rsid w:val="0045078A"/>
    <w:rsid w:val="0045086D"/>
    <w:rsid w:val="00451504"/>
    <w:rsid w:val="004557A9"/>
    <w:rsid w:val="00456339"/>
    <w:rsid w:val="004607BF"/>
    <w:rsid w:val="00460FB3"/>
    <w:rsid w:val="00465F26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87F47"/>
    <w:rsid w:val="004915CB"/>
    <w:rsid w:val="004924DC"/>
    <w:rsid w:val="004942C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180F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0C"/>
    <w:rsid w:val="004E7C6B"/>
    <w:rsid w:val="004F06F5"/>
    <w:rsid w:val="004F16B2"/>
    <w:rsid w:val="004F2C1B"/>
    <w:rsid w:val="004F33A0"/>
    <w:rsid w:val="004F3A59"/>
    <w:rsid w:val="00501EBC"/>
    <w:rsid w:val="005040A8"/>
    <w:rsid w:val="00504EE1"/>
    <w:rsid w:val="0050689D"/>
    <w:rsid w:val="00510205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3DAC"/>
    <w:rsid w:val="00534A28"/>
    <w:rsid w:val="005353A2"/>
    <w:rsid w:val="005402E9"/>
    <w:rsid w:val="00541508"/>
    <w:rsid w:val="00543498"/>
    <w:rsid w:val="00545512"/>
    <w:rsid w:val="00553016"/>
    <w:rsid w:val="0055599F"/>
    <w:rsid w:val="00556995"/>
    <w:rsid w:val="00556D68"/>
    <w:rsid w:val="005602C0"/>
    <w:rsid w:val="00563EB8"/>
    <w:rsid w:val="005647BF"/>
    <w:rsid w:val="0056486D"/>
    <w:rsid w:val="00564AF1"/>
    <w:rsid w:val="0056601A"/>
    <w:rsid w:val="005722EB"/>
    <w:rsid w:val="0057364B"/>
    <w:rsid w:val="0057452C"/>
    <w:rsid w:val="00574773"/>
    <w:rsid w:val="0058050D"/>
    <w:rsid w:val="0058308D"/>
    <w:rsid w:val="00583FFD"/>
    <w:rsid w:val="00591099"/>
    <w:rsid w:val="005911BE"/>
    <w:rsid w:val="00591330"/>
    <w:rsid w:val="00593152"/>
    <w:rsid w:val="00596010"/>
    <w:rsid w:val="005A10F2"/>
    <w:rsid w:val="005A14E8"/>
    <w:rsid w:val="005A21E0"/>
    <w:rsid w:val="005A28FF"/>
    <w:rsid w:val="005A3DF8"/>
    <w:rsid w:val="005A5113"/>
    <w:rsid w:val="005A5549"/>
    <w:rsid w:val="005A5B74"/>
    <w:rsid w:val="005A7038"/>
    <w:rsid w:val="005A7128"/>
    <w:rsid w:val="005B121D"/>
    <w:rsid w:val="005B1BD0"/>
    <w:rsid w:val="005B3361"/>
    <w:rsid w:val="005C06ED"/>
    <w:rsid w:val="005C2609"/>
    <w:rsid w:val="005C3522"/>
    <w:rsid w:val="005C50BD"/>
    <w:rsid w:val="005C6CF0"/>
    <w:rsid w:val="005D0D46"/>
    <w:rsid w:val="005D2A72"/>
    <w:rsid w:val="005D4DDC"/>
    <w:rsid w:val="005D5802"/>
    <w:rsid w:val="005D7119"/>
    <w:rsid w:val="005D7241"/>
    <w:rsid w:val="005D7890"/>
    <w:rsid w:val="005E705E"/>
    <w:rsid w:val="005E7903"/>
    <w:rsid w:val="005E7C78"/>
    <w:rsid w:val="005F082A"/>
    <w:rsid w:val="005F18C5"/>
    <w:rsid w:val="005F3374"/>
    <w:rsid w:val="005F3491"/>
    <w:rsid w:val="005F3EB1"/>
    <w:rsid w:val="005F46D8"/>
    <w:rsid w:val="005F5469"/>
    <w:rsid w:val="0060201D"/>
    <w:rsid w:val="00603FF5"/>
    <w:rsid w:val="00604307"/>
    <w:rsid w:val="0060487F"/>
    <w:rsid w:val="00604EAD"/>
    <w:rsid w:val="00605D96"/>
    <w:rsid w:val="006104FB"/>
    <w:rsid w:val="00612A2F"/>
    <w:rsid w:val="0061390C"/>
    <w:rsid w:val="0061546D"/>
    <w:rsid w:val="006165E5"/>
    <w:rsid w:val="00616E05"/>
    <w:rsid w:val="00622275"/>
    <w:rsid w:val="00624093"/>
    <w:rsid w:val="00625F8F"/>
    <w:rsid w:val="00632F89"/>
    <w:rsid w:val="006350D5"/>
    <w:rsid w:val="006404A7"/>
    <w:rsid w:val="006451E4"/>
    <w:rsid w:val="00645B33"/>
    <w:rsid w:val="006516CB"/>
    <w:rsid w:val="00656FC8"/>
    <w:rsid w:val="00657E87"/>
    <w:rsid w:val="00660072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BD1"/>
    <w:rsid w:val="00675E37"/>
    <w:rsid w:val="006760C8"/>
    <w:rsid w:val="0068174E"/>
    <w:rsid w:val="00681DCE"/>
    <w:rsid w:val="0068260E"/>
    <w:rsid w:val="0068697A"/>
    <w:rsid w:val="00693594"/>
    <w:rsid w:val="00693FEC"/>
    <w:rsid w:val="0069490A"/>
    <w:rsid w:val="00695BEF"/>
    <w:rsid w:val="006977F6"/>
    <w:rsid w:val="00697A13"/>
    <w:rsid w:val="006A109C"/>
    <w:rsid w:val="006A2056"/>
    <w:rsid w:val="006A31AB"/>
    <w:rsid w:val="006A3832"/>
    <w:rsid w:val="006B0F92"/>
    <w:rsid w:val="006B173A"/>
    <w:rsid w:val="006B344A"/>
    <w:rsid w:val="006B6C74"/>
    <w:rsid w:val="006B759B"/>
    <w:rsid w:val="006B78D8"/>
    <w:rsid w:val="006C113F"/>
    <w:rsid w:val="006C123E"/>
    <w:rsid w:val="006C1752"/>
    <w:rsid w:val="006C4460"/>
    <w:rsid w:val="006C4ED6"/>
    <w:rsid w:val="006C56D4"/>
    <w:rsid w:val="006C66EC"/>
    <w:rsid w:val="006C6924"/>
    <w:rsid w:val="006C70EB"/>
    <w:rsid w:val="006C7CA6"/>
    <w:rsid w:val="006D3E8A"/>
    <w:rsid w:val="006D61F6"/>
    <w:rsid w:val="006E279A"/>
    <w:rsid w:val="006E313B"/>
    <w:rsid w:val="006E41EC"/>
    <w:rsid w:val="006E4254"/>
    <w:rsid w:val="006E50F8"/>
    <w:rsid w:val="006E6B4C"/>
    <w:rsid w:val="006E7227"/>
    <w:rsid w:val="006F438E"/>
    <w:rsid w:val="006F4AB0"/>
    <w:rsid w:val="006F5416"/>
    <w:rsid w:val="006F7076"/>
    <w:rsid w:val="00702448"/>
    <w:rsid w:val="007037C0"/>
    <w:rsid w:val="00705242"/>
    <w:rsid w:val="00706AD4"/>
    <w:rsid w:val="00707150"/>
    <w:rsid w:val="00710078"/>
    <w:rsid w:val="00710229"/>
    <w:rsid w:val="00710CD2"/>
    <w:rsid w:val="0071217E"/>
    <w:rsid w:val="00712600"/>
    <w:rsid w:val="0071340F"/>
    <w:rsid w:val="007140BE"/>
    <w:rsid w:val="007143B4"/>
    <w:rsid w:val="007211F5"/>
    <w:rsid w:val="0072213B"/>
    <w:rsid w:val="00723946"/>
    <w:rsid w:val="007240E2"/>
    <w:rsid w:val="00725BB5"/>
    <w:rsid w:val="00730517"/>
    <w:rsid w:val="00730AE8"/>
    <w:rsid w:val="00730F1B"/>
    <w:rsid w:val="00733628"/>
    <w:rsid w:val="007342AC"/>
    <w:rsid w:val="00735AD8"/>
    <w:rsid w:val="00741493"/>
    <w:rsid w:val="00743C34"/>
    <w:rsid w:val="007446ED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4BEB"/>
    <w:rsid w:val="0076521E"/>
    <w:rsid w:val="00765C12"/>
    <w:rsid w:val="007661E9"/>
    <w:rsid w:val="00770784"/>
    <w:rsid w:val="00773220"/>
    <w:rsid w:val="00776169"/>
    <w:rsid w:val="00776527"/>
    <w:rsid w:val="00776EAB"/>
    <w:rsid w:val="00780EF1"/>
    <w:rsid w:val="00782AD8"/>
    <w:rsid w:val="007835CD"/>
    <w:rsid w:val="00790711"/>
    <w:rsid w:val="00790764"/>
    <w:rsid w:val="0079124F"/>
    <w:rsid w:val="0079453C"/>
    <w:rsid w:val="00794677"/>
    <w:rsid w:val="007951E8"/>
    <w:rsid w:val="00795928"/>
    <w:rsid w:val="00797445"/>
    <w:rsid w:val="007A0CEC"/>
    <w:rsid w:val="007A37D6"/>
    <w:rsid w:val="007A3861"/>
    <w:rsid w:val="007A4577"/>
    <w:rsid w:val="007A516D"/>
    <w:rsid w:val="007B3597"/>
    <w:rsid w:val="007B5EB6"/>
    <w:rsid w:val="007B6203"/>
    <w:rsid w:val="007B6689"/>
    <w:rsid w:val="007C6BBD"/>
    <w:rsid w:val="007D293C"/>
    <w:rsid w:val="007D40DF"/>
    <w:rsid w:val="007E29B4"/>
    <w:rsid w:val="007E2BA5"/>
    <w:rsid w:val="007E435A"/>
    <w:rsid w:val="007E4A88"/>
    <w:rsid w:val="007E76C3"/>
    <w:rsid w:val="007E7E61"/>
    <w:rsid w:val="007E7FCE"/>
    <w:rsid w:val="007F0076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0D03"/>
    <w:rsid w:val="0083143E"/>
    <w:rsid w:val="00831CDE"/>
    <w:rsid w:val="0083316C"/>
    <w:rsid w:val="00834304"/>
    <w:rsid w:val="00834FAA"/>
    <w:rsid w:val="0083516C"/>
    <w:rsid w:val="00836086"/>
    <w:rsid w:val="00843A14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3CC6"/>
    <w:rsid w:val="00854F24"/>
    <w:rsid w:val="00855408"/>
    <w:rsid w:val="00855712"/>
    <w:rsid w:val="00856D65"/>
    <w:rsid w:val="0085781D"/>
    <w:rsid w:val="00860007"/>
    <w:rsid w:val="00861B41"/>
    <w:rsid w:val="00861BE3"/>
    <w:rsid w:val="00863434"/>
    <w:rsid w:val="00865E4C"/>
    <w:rsid w:val="008701E4"/>
    <w:rsid w:val="0087052A"/>
    <w:rsid w:val="00871069"/>
    <w:rsid w:val="00875A32"/>
    <w:rsid w:val="00875B99"/>
    <w:rsid w:val="00876086"/>
    <w:rsid w:val="008766AC"/>
    <w:rsid w:val="00881EAF"/>
    <w:rsid w:val="008825B0"/>
    <w:rsid w:val="00884AD6"/>
    <w:rsid w:val="008873D4"/>
    <w:rsid w:val="00890D6D"/>
    <w:rsid w:val="0089126C"/>
    <w:rsid w:val="0089296D"/>
    <w:rsid w:val="00893E85"/>
    <w:rsid w:val="00894031"/>
    <w:rsid w:val="00895508"/>
    <w:rsid w:val="008A6CB4"/>
    <w:rsid w:val="008A7135"/>
    <w:rsid w:val="008B542E"/>
    <w:rsid w:val="008B5CF6"/>
    <w:rsid w:val="008B76AB"/>
    <w:rsid w:val="008B7C02"/>
    <w:rsid w:val="008B7D2B"/>
    <w:rsid w:val="008C0049"/>
    <w:rsid w:val="008C0E88"/>
    <w:rsid w:val="008C1968"/>
    <w:rsid w:val="008C4F74"/>
    <w:rsid w:val="008C53CB"/>
    <w:rsid w:val="008C6FD4"/>
    <w:rsid w:val="008D1BA1"/>
    <w:rsid w:val="008D1E6A"/>
    <w:rsid w:val="008D2A16"/>
    <w:rsid w:val="008D632C"/>
    <w:rsid w:val="008D6B35"/>
    <w:rsid w:val="008D75D9"/>
    <w:rsid w:val="008E163D"/>
    <w:rsid w:val="008E2C57"/>
    <w:rsid w:val="008E31FF"/>
    <w:rsid w:val="008E6F06"/>
    <w:rsid w:val="008E7FC9"/>
    <w:rsid w:val="008F029B"/>
    <w:rsid w:val="008F3FC9"/>
    <w:rsid w:val="008F585B"/>
    <w:rsid w:val="008F62B2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4279"/>
    <w:rsid w:val="00934464"/>
    <w:rsid w:val="00937AE2"/>
    <w:rsid w:val="00943853"/>
    <w:rsid w:val="0094427A"/>
    <w:rsid w:val="00945245"/>
    <w:rsid w:val="009452D0"/>
    <w:rsid w:val="00952289"/>
    <w:rsid w:val="00954BC5"/>
    <w:rsid w:val="00956572"/>
    <w:rsid w:val="00957309"/>
    <w:rsid w:val="0095759C"/>
    <w:rsid w:val="009607C5"/>
    <w:rsid w:val="00960A29"/>
    <w:rsid w:val="00961532"/>
    <w:rsid w:val="0096774F"/>
    <w:rsid w:val="00967E76"/>
    <w:rsid w:val="009721DB"/>
    <w:rsid w:val="0097239B"/>
    <w:rsid w:val="00974071"/>
    <w:rsid w:val="00974923"/>
    <w:rsid w:val="009808F7"/>
    <w:rsid w:val="00980D3D"/>
    <w:rsid w:val="00981FFA"/>
    <w:rsid w:val="009855E1"/>
    <w:rsid w:val="00986D06"/>
    <w:rsid w:val="00987A30"/>
    <w:rsid w:val="00991731"/>
    <w:rsid w:val="00992CF3"/>
    <w:rsid w:val="00994868"/>
    <w:rsid w:val="0099574A"/>
    <w:rsid w:val="009968D6"/>
    <w:rsid w:val="009A1136"/>
    <w:rsid w:val="009A1CAB"/>
    <w:rsid w:val="009A60D1"/>
    <w:rsid w:val="009A7063"/>
    <w:rsid w:val="009B6FD3"/>
    <w:rsid w:val="009B8F42"/>
    <w:rsid w:val="009C02C3"/>
    <w:rsid w:val="009C1750"/>
    <w:rsid w:val="009C2E29"/>
    <w:rsid w:val="009C3F5D"/>
    <w:rsid w:val="009C554B"/>
    <w:rsid w:val="009C719E"/>
    <w:rsid w:val="009C7A10"/>
    <w:rsid w:val="009D1120"/>
    <w:rsid w:val="009D3ACD"/>
    <w:rsid w:val="009D4785"/>
    <w:rsid w:val="009E1988"/>
    <w:rsid w:val="009E5273"/>
    <w:rsid w:val="009E5DDB"/>
    <w:rsid w:val="009E7F05"/>
    <w:rsid w:val="009F46B7"/>
    <w:rsid w:val="009F4CA7"/>
    <w:rsid w:val="009F7558"/>
    <w:rsid w:val="009F791A"/>
    <w:rsid w:val="00A04CEF"/>
    <w:rsid w:val="00A10D66"/>
    <w:rsid w:val="00A14114"/>
    <w:rsid w:val="00A14995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2BF2"/>
    <w:rsid w:val="00A33549"/>
    <w:rsid w:val="00A33A89"/>
    <w:rsid w:val="00A34D27"/>
    <w:rsid w:val="00A404C0"/>
    <w:rsid w:val="00A40EAC"/>
    <w:rsid w:val="00A40EDD"/>
    <w:rsid w:val="00A418BC"/>
    <w:rsid w:val="00A41A20"/>
    <w:rsid w:val="00A41D7E"/>
    <w:rsid w:val="00A4206C"/>
    <w:rsid w:val="00A4632B"/>
    <w:rsid w:val="00A46DE0"/>
    <w:rsid w:val="00A472EB"/>
    <w:rsid w:val="00A47FCA"/>
    <w:rsid w:val="00A50D73"/>
    <w:rsid w:val="00A52CAD"/>
    <w:rsid w:val="00A53FC7"/>
    <w:rsid w:val="00A60799"/>
    <w:rsid w:val="00A62CE1"/>
    <w:rsid w:val="00A668A3"/>
    <w:rsid w:val="00A6741E"/>
    <w:rsid w:val="00A7453F"/>
    <w:rsid w:val="00A754EA"/>
    <w:rsid w:val="00A75E40"/>
    <w:rsid w:val="00A770F4"/>
    <w:rsid w:val="00A77D1D"/>
    <w:rsid w:val="00A84A6A"/>
    <w:rsid w:val="00A857C0"/>
    <w:rsid w:val="00A85A4E"/>
    <w:rsid w:val="00A875AD"/>
    <w:rsid w:val="00A90FED"/>
    <w:rsid w:val="00AA2996"/>
    <w:rsid w:val="00AA2A70"/>
    <w:rsid w:val="00AA2DA1"/>
    <w:rsid w:val="00AA4B30"/>
    <w:rsid w:val="00AA52BF"/>
    <w:rsid w:val="00AA559A"/>
    <w:rsid w:val="00AB11E0"/>
    <w:rsid w:val="00AB2AF1"/>
    <w:rsid w:val="00AB4BB8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53F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959"/>
    <w:rsid w:val="00B07BBB"/>
    <w:rsid w:val="00B10325"/>
    <w:rsid w:val="00B10A4D"/>
    <w:rsid w:val="00B14BC1"/>
    <w:rsid w:val="00B16999"/>
    <w:rsid w:val="00B17E71"/>
    <w:rsid w:val="00B17FDE"/>
    <w:rsid w:val="00B2379C"/>
    <w:rsid w:val="00B25189"/>
    <w:rsid w:val="00B2648A"/>
    <w:rsid w:val="00B2687D"/>
    <w:rsid w:val="00B26897"/>
    <w:rsid w:val="00B32DDB"/>
    <w:rsid w:val="00B34528"/>
    <w:rsid w:val="00B34CC9"/>
    <w:rsid w:val="00B402FC"/>
    <w:rsid w:val="00B42C45"/>
    <w:rsid w:val="00B439DA"/>
    <w:rsid w:val="00B46604"/>
    <w:rsid w:val="00B50624"/>
    <w:rsid w:val="00B530CD"/>
    <w:rsid w:val="00B55F5E"/>
    <w:rsid w:val="00B5752E"/>
    <w:rsid w:val="00B615F8"/>
    <w:rsid w:val="00B63A11"/>
    <w:rsid w:val="00B63B6A"/>
    <w:rsid w:val="00B64C24"/>
    <w:rsid w:val="00B65232"/>
    <w:rsid w:val="00B6584F"/>
    <w:rsid w:val="00B6608F"/>
    <w:rsid w:val="00B67768"/>
    <w:rsid w:val="00B679FB"/>
    <w:rsid w:val="00B71EF7"/>
    <w:rsid w:val="00B7665A"/>
    <w:rsid w:val="00B76D1E"/>
    <w:rsid w:val="00B8028A"/>
    <w:rsid w:val="00B80B8B"/>
    <w:rsid w:val="00B80EC6"/>
    <w:rsid w:val="00B81396"/>
    <w:rsid w:val="00B84CF6"/>
    <w:rsid w:val="00B857A1"/>
    <w:rsid w:val="00B87623"/>
    <w:rsid w:val="00B927F6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5F"/>
    <w:rsid w:val="00BF1578"/>
    <w:rsid w:val="00BF3B1D"/>
    <w:rsid w:val="00BF53A6"/>
    <w:rsid w:val="00BF6D32"/>
    <w:rsid w:val="00BF71A0"/>
    <w:rsid w:val="00BF723F"/>
    <w:rsid w:val="00BF7ED6"/>
    <w:rsid w:val="00C02943"/>
    <w:rsid w:val="00C145CE"/>
    <w:rsid w:val="00C16FB0"/>
    <w:rsid w:val="00C21F94"/>
    <w:rsid w:val="00C27913"/>
    <w:rsid w:val="00C27E4F"/>
    <w:rsid w:val="00C325AE"/>
    <w:rsid w:val="00C32964"/>
    <w:rsid w:val="00C33B68"/>
    <w:rsid w:val="00C36A79"/>
    <w:rsid w:val="00C36F5A"/>
    <w:rsid w:val="00C401D2"/>
    <w:rsid w:val="00C405D4"/>
    <w:rsid w:val="00C41A20"/>
    <w:rsid w:val="00C41D07"/>
    <w:rsid w:val="00C4431F"/>
    <w:rsid w:val="00C4513B"/>
    <w:rsid w:val="00C5390B"/>
    <w:rsid w:val="00C53E5D"/>
    <w:rsid w:val="00C54141"/>
    <w:rsid w:val="00C5418A"/>
    <w:rsid w:val="00C54697"/>
    <w:rsid w:val="00C65535"/>
    <w:rsid w:val="00C65C22"/>
    <w:rsid w:val="00C66B0D"/>
    <w:rsid w:val="00C70427"/>
    <w:rsid w:val="00C71E85"/>
    <w:rsid w:val="00C72884"/>
    <w:rsid w:val="00C73885"/>
    <w:rsid w:val="00C73BA9"/>
    <w:rsid w:val="00C747B1"/>
    <w:rsid w:val="00C82191"/>
    <w:rsid w:val="00C83134"/>
    <w:rsid w:val="00C85545"/>
    <w:rsid w:val="00C9003C"/>
    <w:rsid w:val="00C9082C"/>
    <w:rsid w:val="00C90CF4"/>
    <w:rsid w:val="00C92EB6"/>
    <w:rsid w:val="00C93389"/>
    <w:rsid w:val="00C96040"/>
    <w:rsid w:val="00C97237"/>
    <w:rsid w:val="00C9769E"/>
    <w:rsid w:val="00CA0914"/>
    <w:rsid w:val="00CA6AB4"/>
    <w:rsid w:val="00CA7BE7"/>
    <w:rsid w:val="00CB15D6"/>
    <w:rsid w:val="00CB2F3F"/>
    <w:rsid w:val="00CB4930"/>
    <w:rsid w:val="00CC0E87"/>
    <w:rsid w:val="00CC2E7D"/>
    <w:rsid w:val="00CC6B42"/>
    <w:rsid w:val="00CD10A5"/>
    <w:rsid w:val="00CD1F6B"/>
    <w:rsid w:val="00CD2076"/>
    <w:rsid w:val="00CD29B5"/>
    <w:rsid w:val="00CD6331"/>
    <w:rsid w:val="00CD7704"/>
    <w:rsid w:val="00CD7AFB"/>
    <w:rsid w:val="00CE3E57"/>
    <w:rsid w:val="00CE670B"/>
    <w:rsid w:val="00CF04C7"/>
    <w:rsid w:val="00CF19CB"/>
    <w:rsid w:val="00CF262D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8DC"/>
    <w:rsid w:val="00D23C02"/>
    <w:rsid w:val="00D23F97"/>
    <w:rsid w:val="00D25F28"/>
    <w:rsid w:val="00D26071"/>
    <w:rsid w:val="00D27973"/>
    <w:rsid w:val="00D35E1A"/>
    <w:rsid w:val="00D373EA"/>
    <w:rsid w:val="00D37C1E"/>
    <w:rsid w:val="00D40B2B"/>
    <w:rsid w:val="00D40F7C"/>
    <w:rsid w:val="00D417B7"/>
    <w:rsid w:val="00D42211"/>
    <w:rsid w:val="00D42756"/>
    <w:rsid w:val="00D50F46"/>
    <w:rsid w:val="00D53EAD"/>
    <w:rsid w:val="00D567C6"/>
    <w:rsid w:val="00D57677"/>
    <w:rsid w:val="00D61DF8"/>
    <w:rsid w:val="00D66223"/>
    <w:rsid w:val="00D674D7"/>
    <w:rsid w:val="00D71625"/>
    <w:rsid w:val="00D73A8D"/>
    <w:rsid w:val="00D751DA"/>
    <w:rsid w:val="00D75205"/>
    <w:rsid w:val="00D8084C"/>
    <w:rsid w:val="00D915EA"/>
    <w:rsid w:val="00D95B68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4EDE"/>
    <w:rsid w:val="00DC5B3B"/>
    <w:rsid w:val="00DC6743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017C"/>
    <w:rsid w:val="00E12B1E"/>
    <w:rsid w:val="00E12F7C"/>
    <w:rsid w:val="00E15B76"/>
    <w:rsid w:val="00E17262"/>
    <w:rsid w:val="00E20B53"/>
    <w:rsid w:val="00E253A2"/>
    <w:rsid w:val="00E314B9"/>
    <w:rsid w:val="00E329EF"/>
    <w:rsid w:val="00E3309D"/>
    <w:rsid w:val="00E374F4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551D2"/>
    <w:rsid w:val="00E6519D"/>
    <w:rsid w:val="00E67696"/>
    <w:rsid w:val="00E678BC"/>
    <w:rsid w:val="00E71654"/>
    <w:rsid w:val="00E71A58"/>
    <w:rsid w:val="00E72A7A"/>
    <w:rsid w:val="00E75C94"/>
    <w:rsid w:val="00E7677B"/>
    <w:rsid w:val="00E776FD"/>
    <w:rsid w:val="00E77A6B"/>
    <w:rsid w:val="00E8073E"/>
    <w:rsid w:val="00E849A6"/>
    <w:rsid w:val="00E91024"/>
    <w:rsid w:val="00E920F4"/>
    <w:rsid w:val="00E93820"/>
    <w:rsid w:val="00E944EF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24BB"/>
    <w:rsid w:val="00EB39C7"/>
    <w:rsid w:val="00EB3D8F"/>
    <w:rsid w:val="00EB4511"/>
    <w:rsid w:val="00EB4A12"/>
    <w:rsid w:val="00EC03D7"/>
    <w:rsid w:val="00EC15CC"/>
    <w:rsid w:val="00EC313D"/>
    <w:rsid w:val="00ED62C6"/>
    <w:rsid w:val="00ED64C1"/>
    <w:rsid w:val="00EE0E68"/>
    <w:rsid w:val="00EE3446"/>
    <w:rsid w:val="00EE3E78"/>
    <w:rsid w:val="00EE4B1B"/>
    <w:rsid w:val="00EE5B59"/>
    <w:rsid w:val="00EE7F19"/>
    <w:rsid w:val="00EF150D"/>
    <w:rsid w:val="00EF1F5A"/>
    <w:rsid w:val="00EF371C"/>
    <w:rsid w:val="00EF47BF"/>
    <w:rsid w:val="00EF6DB3"/>
    <w:rsid w:val="00F04811"/>
    <w:rsid w:val="00F0488C"/>
    <w:rsid w:val="00F066CF"/>
    <w:rsid w:val="00F06C9E"/>
    <w:rsid w:val="00F10F11"/>
    <w:rsid w:val="00F15AAA"/>
    <w:rsid w:val="00F15BEF"/>
    <w:rsid w:val="00F17E83"/>
    <w:rsid w:val="00F20B71"/>
    <w:rsid w:val="00F21780"/>
    <w:rsid w:val="00F24407"/>
    <w:rsid w:val="00F24931"/>
    <w:rsid w:val="00F24FAA"/>
    <w:rsid w:val="00F252A0"/>
    <w:rsid w:val="00F25B4A"/>
    <w:rsid w:val="00F25DEE"/>
    <w:rsid w:val="00F3364D"/>
    <w:rsid w:val="00F4081A"/>
    <w:rsid w:val="00F437CC"/>
    <w:rsid w:val="00F43E29"/>
    <w:rsid w:val="00F44537"/>
    <w:rsid w:val="00F44B6A"/>
    <w:rsid w:val="00F4587B"/>
    <w:rsid w:val="00F47067"/>
    <w:rsid w:val="00F50FC3"/>
    <w:rsid w:val="00F51087"/>
    <w:rsid w:val="00F5188A"/>
    <w:rsid w:val="00F52106"/>
    <w:rsid w:val="00F525EB"/>
    <w:rsid w:val="00F52AFF"/>
    <w:rsid w:val="00F545ED"/>
    <w:rsid w:val="00F63DDE"/>
    <w:rsid w:val="00F63FB7"/>
    <w:rsid w:val="00F6421B"/>
    <w:rsid w:val="00F649D2"/>
    <w:rsid w:val="00F6602B"/>
    <w:rsid w:val="00F66643"/>
    <w:rsid w:val="00F66E76"/>
    <w:rsid w:val="00F66FD9"/>
    <w:rsid w:val="00F67C4E"/>
    <w:rsid w:val="00F70D20"/>
    <w:rsid w:val="00F72275"/>
    <w:rsid w:val="00F73990"/>
    <w:rsid w:val="00F73A0C"/>
    <w:rsid w:val="00F756DB"/>
    <w:rsid w:val="00F76A1A"/>
    <w:rsid w:val="00F84E7D"/>
    <w:rsid w:val="00F85066"/>
    <w:rsid w:val="00F87A4D"/>
    <w:rsid w:val="00F90035"/>
    <w:rsid w:val="00F9212A"/>
    <w:rsid w:val="00F92283"/>
    <w:rsid w:val="00F9785E"/>
    <w:rsid w:val="00FA1E9B"/>
    <w:rsid w:val="00FA3B1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1A5F"/>
    <w:rsid w:val="00FD23FA"/>
    <w:rsid w:val="00FD3265"/>
    <w:rsid w:val="00FD5F92"/>
    <w:rsid w:val="00FD66F9"/>
    <w:rsid w:val="00FD78F8"/>
    <w:rsid w:val="00FE2F78"/>
    <w:rsid w:val="00FE402C"/>
    <w:rsid w:val="00FE470B"/>
    <w:rsid w:val="00FF4082"/>
    <w:rsid w:val="00FF7090"/>
    <w:rsid w:val="00FF7B96"/>
    <w:rsid w:val="010E6CF6"/>
    <w:rsid w:val="01C12A79"/>
    <w:rsid w:val="0274CEEB"/>
    <w:rsid w:val="068FDE2D"/>
    <w:rsid w:val="0715AD2B"/>
    <w:rsid w:val="07E2429D"/>
    <w:rsid w:val="08A8D553"/>
    <w:rsid w:val="0B987C70"/>
    <w:rsid w:val="0C4F5932"/>
    <w:rsid w:val="0CDADA5A"/>
    <w:rsid w:val="0D60D9AA"/>
    <w:rsid w:val="0F9A6A16"/>
    <w:rsid w:val="11D0C0D9"/>
    <w:rsid w:val="13CB842F"/>
    <w:rsid w:val="13F45D65"/>
    <w:rsid w:val="17193E37"/>
    <w:rsid w:val="1873E3C4"/>
    <w:rsid w:val="1941F3F6"/>
    <w:rsid w:val="1A33BA0B"/>
    <w:rsid w:val="1B2689A5"/>
    <w:rsid w:val="1C7F89FF"/>
    <w:rsid w:val="1F63A775"/>
    <w:rsid w:val="1FF29EC8"/>
    <w:rsid w:val="24E94C0C"/>
    <w:rsid w:val="26B06DF0"/>
    <w:rsid w:val="26E021B7"/>
    <w:rsid w:val="292D1013"/>
    <w:rsid w:val="2A7920C3"/>
    <w:rsid w:val="2A79D812"/>
    <w:rsid w:val="2C90AA00"/>
    <w:rsid w:val="2DB28FFA"/>
    <w:rsid w:val="304DB734"/>
    <w:rsid w:val="30D0B3BE"/>
    <w:rsid w:val="331BE13C"/>
    <w:rsid w:val="332C5513"/>
    <w:rsid w:val="34AC24B1"/>
    <w:rsid w:val="3547C370"/>
    <w:rsid w:val="36710FB5"/>
    <w:rsid w:val="36C06199"/>
    <w:rsid w:val="3A09C7D4"/>
    <w:rsid w:val="3A10C190"/>
    <w:rsid w:val="3D1A961D"/>
    <w:rsid w:val="40199337"/>
    <w:rsid w:val="40B601A1"/>
    <w:rsid w:val="416A2A6C"/>
    <w:rsid w:val="4237DD18"/>
    <w:rsid w:val="442C5944"/>
    <w:rsid w:val="4C532880"/>
    <w:rsid w:val="4D58776A"/>
    <w:rsid w:val="52985A95"/>
    <w:rsid w:val="52CC52E2"/>
    <w:rsid w:val="54C43EB7"/>
    <w:rsid w:val="55C2456F"/>
    <w:rsid w:val="5D089BC5"/>
    <w:rsid w:val="5DC219FF"/>
    <w:rsid w:val="5E9E82EF"/>
    <w:rsid w:val="614CA75B"/>
    <w:rsid w:val="620EDB10"/>
    <w:rsid w:val="62DFE06B"/>
    <w:rsid w:val="6526004C"/>
    <w:rsid w:val="66D2B563"/>
    <w:rsid w:val="6766E9C4"/>
    <w:rsid w:val="68A6219C"/>
    <w:rsid w:val="69AF073E"/>
    <w:rsid w:val="6AD8AC9F"/>
    <w:rsid w:val="6B2670A5"/>
    <w:rsid w:val="6D02C387"/>
    <w:rsid w:val="6E1EAC99"/>
    <w:rsid w:val="7365B279"/>
    <w:rsid w:val="78254C23"/>
    <w:rsid w:val="7934B909"/>
    <w:rsid w:val="7A8E97F6"/>
    <w:rsid w:val="7A9DC929"/>
    <w:rsid w:val="7AD10CA0"/>
    <w:rsid w:val="7B277DC5"/>
    <w:rsid w:val="7BDB84E4"/>
    <w:rsid w:val="7DB22EB4"/>
    <w:rsid w:val="7E11BEDC"/>
    <w:rsid w:val="7E305D59"/>
    <w:rsid w:val="7EFAE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6F256F2C-AFCA-4565-B6C6-99433E46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u.gov.cz/metodicka-poznamka-k-indexu-spotrebitelskych-cen-imputovane-najemne" TargetMode="External"/><Relationship Id="rId2" Type="http://schemas.openxmlformats.org/officeDocument/2006/relationships/hyperlink" Target="https://csu.gov.cz/indexy_spotrebitelskych_cen_revize" TargetMode="External"/><Relationship Id="rId1" Type="http://schemas.openxmlformats.org/officeDocument/2006/relationships/hyperlink" Target="https://csu.gov.cz/kdyz_se_rekne_inflace_resp_mira_inflac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6Q1/Makroanal&#253;za%20graf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6Q1/Makroanal&#253;za%20graf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6Q1/Makroanal&#253;z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568840579710145E-2"/>
          <c:y val="2.1811315924220299E-2"/>
          <c:w val="0.92237743255066085"/>
          <c:h val="0.714715752130041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2'!$C$5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rgbClr val="85898E"/>
            </a:solidFill>
            <a:ln w="19050">
              <a:noFill/>
            </a:ln>
          </c:spPr>
          <c:invertIfNegative val="0"/>
          <c:cat>
            <c:multiLvlStrRef>
              <c:f>'Ceny 2'!$A$18:$B$38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2'!$C$18:$C$38</c:f>
              <c:numCache>
                <c:formatCode>#\ ##0.0</c:formatCode>
                <c:ptCount val="21"/>
                <c:pt idx="0">
                  <c:v>2.2000000000000028</c:v>
                </c:pt>
                <c:pt idx="1">
                  <c:v>2.9000000000000057</c:v>
                </c:pt>
                <c:pt idx="2">
                  <c:v>4.0999999999999943</c:v>
                </c:pt>
                <c:pt idx="3">
                  <c:v>6.0999999999999943</c:v>
                </c:pt>
                <c:pt idx="4">
                  <c:v>11.200000000000003</c:v>
                </c:pt>
                <c:pt idx="5">
                  <c:v>15.799999999999997</c:v>
                </c:pt>
                <c:pt idx="6">
                  <c:v>17.599999999999994</c:v>
                </c:pt>
                <c:pt idx="7">
                  <c:v>15.700000000000003</c:v>
                </c:pt>
                <c:pt idx="8">
                  <c:v>16.400000000000006</c:v>
                </c:pt>
                <c:pt idx="9">
                  <c:v>11.099999999999994</c:v>
                </c:pt>
                <c:pt idx="10">
                  <c:v>8</c:v>
                </c:pt>
                <c:pt idx="11">
                  <c:v>7.5999999999999943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2.2999999999999972</c:v>
                </c:pt>
                <c:pt idx="15">
                  <c:v>2.9000000000000057</c:v>
                </c:pt>
                <c:pt idx="16">
                  <c:v>2.7000000000000028</c:v>
                </c:pt>
                <c:pt idx="17">
                  <c:v>2.4000000000000057</c:v>
                </c:pt>
                <c:pt idx="18">
                  <c:v>2.5</c:v>
                </c:pt>
                <c:pt idx="19">
                  <c:v>2.2000000000000028</c:v>
                </c:pt>
                <c:pt idx="20">
                  <c:v>1.5999999999999943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96-456D-A8B3-24FEFE16D9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270120064"/>
        <c:axId val="270121600"/>
      </c:barChart>
      <c:lineChart>
        <c:grouping val="standard"/>
        <c:varyColors val="0"/>
        <c:ser>
          <c:idx val="1"/>
          <c:order val="1"/>
          <c:tx>
            <c:strRef>
              <c:f>'Ceny 2'!$D$5</c:f>
              <c:strCache>
                <c:ptCount val="1"/>
                <c:pt idx="0">
                  <c:v>Potraviny a nealkoholické nápoje</c:v>
                </c:pt>
              </c:strCache>
            </c:strRef>
          </c:tx>
          <c:spPr>
            <a:ln w="19050">
              <a:solidFill>
                <a:srgbClr val="009CB5"/>
              </a:solidFill>
            </a:ln>
          </c:spPr>
          <c:marker>
            <c:symbol val="none"/>
          </c:marker>
          <c:cat>
            <c:multiLvlStrRef>
              <c:f>'Ceny 2'!$A$18:$B$38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2'!$D$18:$D$38</c:f>
              <c:numCache>
                <c:formatCode>#\ ##0.0</c:formatCode>
                <c:ptCount val="21"/>
                <c:pt idx="0">
                  <c:v>0.29999999999999716</c:v>
                </c:pt>
                <c:pt idx="1">
                  <c:v>-0.79999999999999716</c:v>
                </c:pt>
                <c:pt idx="2">
                  <c:v>1.4000000000000057</c:v>
                </c:pt>
                <c:pt idx="3">
                  <c:v>2.2999999999999972</c:v>
                </c:pt>
                <c:pt idx="4">
                  <c:v>6.7000000000000028</c:v>
                </c:pt>
                <c:pt idx="5">
                  <c:v>14.599999999999994</c:v>
                </c:pt>
                <c:pt idx="6">
                  <c:v>20</c:v>
                </c:pt>
                <c:pt idx="7">
                  <c:v>25.5</c:v>
                </c:pt>
                <c:pt idx="8">
                  <c:v>24.099999999999994</c:v>
                </c:pt>
                <c:pt idx="9">
                  <c:v>14.599999999999994</c:v>
                </c:pt>
                <c:pt idx="10">
                  <c:v>7.7999999999999972</c:v>
                </c:pt>
                <c:pt idx="11">
                  <c:v>1.5999999999999943</c:v>
                </c:pt>
                <c:pt idx="12">
                  <c:v>-4.9000000000000057</c:v>
                </c:pt>
                <c:pt idx="13">
                  <c:v>-3.5999999999999943</c:v>
                </c:pt>
                <c:pt idx="14">
                  <c:v>-1.4000000000000057</c:v>
                </c:pt>
                <c:pt idx="15">
                  <c:v>0.90000000000000568</c:v>
                </c:pt>
                <c:pt idx="16">
                  <c:v>5.0999999999999943</c:v>
                </c:pt>
                <c:pt idx="17">
                  <c:v>5.2000000000000028</c:v>
                </c:pt>
                <c:pt idx="18">
                  <c:v>4.2000000000000028</c:v>
                </c:pt>
                <c:pt idx="19">
                  <c:v>2.5</c:v>
                </c:pt>
                <c:pt idx="20">
                  <c:v>0.20000000000000284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96-456D-A8B3-24FEFE16D902}"/>
            </c:ext>
          </c:extLst>
        </c:ser>
        <c:ser>
          <c:idx val="3"/>
          <c:order val="2"/>
          <c:tx>
            <c:strRef>
              <c:f>'Ceny 2'!$F$5</c:f>
              <c:strCache>
                <c:ptCount val="1"/>
                <c:pt idx="0">
                  <c:v>Bydlení a energie</c:v>
                </c:pt>
              </c:strCache>
            </c:strRef>
          </c:tx>
          <c:spPr>
            <a:ln w="19050">
              <a:solidFill>
                <a:srgbClr val="BC5B80"/>
              </a:solidFill>
            </a:ln>
          </c:spPr>
          <c:marker>
            <c:symbol val="none"/>
          </c:marker>
          <c:cat>
            <c:multiLvlStrRef>
              <c:f>'Ceny 2'!$A$18:$B$38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2'!$F$18:$F$38</c:f>
              <c:numCache>
                <c:formatCode>#\ ##0.0</c:formatCode>
                <c:ptCount val="21"/>
                <c:pt idx="0">
                  <c:v>0.59999999999999432</c:v>
                </c:pt>
                <c:pt idx="1">
                  <c:v>1.2999999999999972</c:v>
                </c:pt>
                <c:pt idx="2">
                  <c:v>3.5999999999999943</c:v>
                </c:pt>
                <c:pt idx="3">
                  <c:v>5.5999999999999943</c:v>
                </c:pt>
                <c:pt idx="4">
                  <c:v>15.900000000000006</c:v>
                </c:pt>
                <c:pt idx="5">
                  <c:v>21.299999999999997</c:v>
                </c:pt>
                <c:pt idx="6">
                  <c:v>23.599999999999994</c:v>
                </c:pt>
                <c:pt idx="7">
                  <c:v>14.900000000000006</c:v>
                </c:pt>
                <c:pt idx="8">
                  <c:v>22.099999999999994</c:v>
                </c:pt>
                <c:pt idx="9">
                  <c:v>16</c:v>
                </c:pt>
                <c:pt idx="10">
                  <c:v>11.5</c:v>
                </c:pt>
                <c:pt idx="11">
                  <c:v>17.700000000000003</c:v>
                </c:pt>
                <c:pt idx="12">
                  <c:v>3.2999999999999972</c:v>
                </c:pt>
                <c:pt idx="13">
                  <c:v>3.0999999999999943</c:v>
                </c:pt>
                <c:pt idx="14">
                  <c:v>3.2000000000000028</c:v>
                </c:pt>
                <c:pt idx="15">
                  <c:v>4.2000000000000028</c:v>
                </c:pt>
                <c:pt idx="16">
                  <c:v>1.4000000000000057</c:v>
                </c:pt>
                <c:pt idx="17">
                  <c:v>1.7999999999999972</c:v>
                </c:pt>
                <c:pt idx="18">
                  <c:v>2.0999999999999943</c:v>
                </c:pt>
                <c:pt idx="19">
                  <c:v>1.7999999999999972</c:v>
                </c:pt>
                <c:pt idx="20">
                  <c:v>0.90000000000000568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F96-456D-A8B3-24FEFE16D902}"/>
            </c:ext>
          </c:extLst>
        </c:ser>
        <c:ser>
          <c:idx val="4"/>
          <c:order val="3"/>
          <c:tx>
            <c:strRef>
              <c:f>'Ceny 2'!$G$5</c:f>
              <c:strCache>
                <c:ptCount val="1"/>
                <c:pt idx="0">
                  <c:v>Doprava</c:v>
                </c:pt>
              </c:strCache>
            </c:strRef>
          </c:tx>
          <c:spPr>
            <a:ln w="19050">
              <a:solidFill>
                <a:srgbClr val="174F70"/>
              </a:solidFill>
            </a:ln>
          </c:spPr>
          <c:marker>
            <c:symbol val="none"/>
          </c:marker>
          <c:cat>
            <c:multiLvlStrRef>
              <c:f>'Ceny 2'!$A$18:$B$38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2'!$G$18:$G$38</c:f>
              <c:numCache>
                <c:formatCode>#\ ##0.0</c:formatCode>
                <c:ptCount val="21"/>
                <c:pt idx="0">
                  <c:v>2.4000000000000057</c:v>
                </c:pt>
                <c:pt idx="1">
                  <c:v>9</c:v>
                </c:pt>
                <c:pt idx="2">
                  <c:v>8.7000000000000028</c:v>
                </c:pt>
                <c:pt idx="3">
                  <c:v>12.900000000000006</c:v>
                </c:pt>
                <c:pt idx="4">
                  <c:v>17</c:v>
                </c:pt>
                <c:pt idx="5">
                  <c:v>22.400000000000006</c:v>
                </c:pt>
                <c:pt idx="6">
                  <c:v>19.5</c:v>
                </c:pt>
                <c:pt idx="7">
                  <c:v>13</c:v>
                </c:pt>
                <c:pt idx="8">
                  <c:v>4.5999999999999943</c:v>
                </c:pt>
                <c:pt idx="9">
                  <c:v>-3.9000000000000057</c:v>
                </c:pt>
                <c:pt idx="10">
                  <c:v>-2.2000000000000028</c:v>
                </c:pt>
                <c:pt idx="11">
                  <c:v>-1.4000000000000057</c:v>
                </c:pt>
                <c:pt idx="12">
                  <c:v>1.7000000000000028</c:v>
                </c:pt>
                <c:pt idx="13">
                  <c:v>4.5999999999999943</c:v>
                </c:pt>
                <c:pt idx="14">
                  <c:v>0.90000000000000568</c:v>
                </c:pt>
                <c:pt idx="15">
                  <c:v>0</c:v>
                </c:pt>
                <c:pt idx="16">
                  <c:v>0.29999999999999716</c:v>
                </c:pt>
                <c:pt idx="17">
                  <c:v>-2.5999999999999943</c:v>
                </c:pt>
                <c:pt idx="18">
                  <c:v>-0.79999999999999716</c:v>
                </c:pt>
                <c:pt idx="19">
                  <c:v>0.20000000000000284</c:v>
                </c:pt>
                <c:pt idx="20">
                  <c:v>0.79999999999999716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F96-456D-A8B3-24FEFE16D902}"/>
            </c:ext>
          </c:extLst>
        </c:ser>
        <c:ser>
          <c:idx val="2"/>
          <c:order val="4"/>
          <c:tx>
            <c:strRef>
              <c:f>'Ceny 2'!$E$5</c:f>
              <c:strCache>
                <c:ptCount val="1"/>
                <c:pt idx="0">
                  <c:v>Alkoholické nápoje a tabák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CC9610"/>
              </a:solidFill>
            </a:ln>
          </c:spPr>
          <c:marker>
            <c:symbol val="none"/>
          </c:marker>
          <c:cat>
            <c:multiLvlStrRef>
              <c:f>'Ceny 2'!$A$18:$B$38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2'!$E$18:$E$38</c:f>
              <c:numCache>
                <c:formatCode>#\ ##0.0</c:formatCode>
                <c:ptCount val="21"/>
                <c:pt idx="0">
                  <c:v>9.9000000000000057</c:v>
                </c:pt>
                <c:pt idx="1">
                  <c:v>9.7999999999999972</c:v>
                </c:pt>
                <c:pt idx="2">
                  <c:v>6.5</c:v>
                </c:pt>
                <c:pt idx="3">
                  <c:v>7.7000000000000028</c:v>
                </c:pt>
                <c:pt idx="4">
                  <c:v>7.0999999999999943</c:v>
                </c:pt>
                <c:pt idx="5">
                  <c:v>5.5999999999999943</c:v>
                </c:pt>
                <c:pt idx="6">
                  <c:v>6.2999999999999972</c:v>
                </c:pt>
                <c:pt idx="7">
                  <c:v>6</c:v>
                </c:pt>
                <c:pt idx="8">
                  <c:v>6.7999999999999972</c:v>
                </c:pt>
                <c:pt idx="9">
                  <c:v>6.5</c:v>
                </c:pt>
                <c:pt idx="10">
                  <c:v>7.2000000000000028</c:v>
                </c:pt>
                <c:pt idx="11">
                  <c:v>5.9000000000000057</c:v>
                </c:pt>
                <c:pt idx="12">
                  <c:v>4.7000000000000028</c:v>
                </c:pt>
                <c:pt idx="13">
                  <c:v>6.2000000000000028</c:v>
                </c:pt>
                <c:pt idx="14">
                  <c:v>4.5999999999999943</c:v>
                </c:pt>
                <c:pt idx="15">
                  <c:v>4.7999999999999972</c:v>
                </c:pt>
                <c:pt idx="16">
                  <c:v>5.0999999999999943</c:v>
                </c:pt>
                <c:pt idx="17">
                  <c:v>3.2999999999999972</c:v>
                </c:pt>
                <c:pt idx="18">
                  <c:v>3.5</c:v>
                </c:pt>
                <c:pt idx="19">
                  <c:v>4.0999999999999943</c:v>
                </c:pt>
                <c:pt idx="20">
                  <c:v>4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4-2F96-456D-A8B3-24FEFE16D902}"/>
            </c:ext>
          </c:extLst>
        </c:ser>
        <c:ser>
          <c:idx val="5"/>
          <c:order val="5"/>
          <c:tx>
            <c:strRef>
              <c:f>'Ceny 2'!$I$5</c:f>
              <c:strCache>
                <c:ptCount val="1"/>
                <c:pt idx="0">
                  <c:v>Stravování a ubytování</c:v>
                </c:pt>
              </c:strCache>
            </c:strRef>
          </c:tx>
          <c:spPr>
            <a:ln w="19050">
              <a:solidFill>
                <a:srgbClr val="86BF5E"/>
              </a:solidFill>
            </a:ln>
          </c:spPr>
          <c:marker>
            <c:symbol val="none"/>
          </c:marker>
          <c:cat>
            <c:multiLvlStrRef>
              <c:f>'Ceny 2'!$A$18:$B$38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2'!$I$18:$I$38</c:f>
              <c:numCache>
                <c:formatCode>#\ ##0.0</c:formatCode>
                <c:ptCount val="21"/>
                <c:pt idx="0">
                  <c:v>3</c:v>
                </c:pt>
                <c:pt idx="1">
                  <c:v>2.9000000000000057</c:v>
                </c:pt>
                <c:pt idx="2">
                  <c:v>4.5999999999999943</c:v>
                </c:pt>
                <c:pt idx="3">
                  <c:v>6.7999999999999972</c:v>
                </c:pt>
                <c:pt idx="4">
                  <c:v>12.299999999999997</c:v>
                </c:pt>
                <c:pt idx="5">
                  <c:v>21.400000000000006</c:v>
                </c:pt>
                <c:pt idx="6">
                  <c:v>24.299999999999997</c:v>
                </c:pt>
                <c:pt idx="7">
                  <c:v>25.599999999999994</c:v>
                </c:pt>
                <c:pt idx="8">
                  <c:v>22.400000000000006</c:v>
                </c:pt>
                <c:pt idx="9">
                  <c:v>15.400000000000006</c:v>
                </c:pt>
                <c:pt idx="10">
                  <c:v>11.599999999999994</c:v>
                </c:pt>
                <c:pt idx="11">
                  <c:v>8.7999999999999972</c:v>
                </c:pt>
                <c:pt idx="12">
                  <c:v>8.5999999999999943</c:v>
                </c:pt>
                <c:pt idx="13">
                  <c:v>7.7999999999999972</c:v>
                </c:pt>
                <c:pt idx="14">
                  <c:v>7.2000000000000028</c:v>
                </c:pt>
                <c:pt idx="15">
                  <c:v>7</c:v>
                </c:pt>
                <c:pt idx="16">
                  <c:v>5.2999999999999972</c:v>
                </c:pt>
                <c:pt idx="17">
                  <c:v>4.9000000000000057</c:v>
                </c:pt>
                <c:pt idx="18">
                  <c:v>4.7999999999999972</c:v>
                </c:pt>
                <c:pt idx="19">
                  <c:v>4.7000000000000028</c:v>
                </c:pt>
                <c:pt idx="20">
                  <c:v>4.5999999999999943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F96-456D-A8B3-24FEFE16D9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120064"/>
        <c:axId val="270121600"/>
        <c:extLst>
          <c:ext xmlns:c15="http://schemas.microsoft.com/office/drawing/2012/chart" uri="{02D57815-91ED-43cb-92C2-25804820EDAC}">
            <c15:filteredLineSeries>
              <c15:ser>
                <c:idx val="6"/>
                <c:order val="6"/>
                <c:tx>
                  <c:strRef>
                    <c:extLst>
                      <c:ext uri="{02D57815-91ED-43cb-92C2-25804820EDAC}">
                        <c15:formulaRef>
                          <c15:sqref>'Ceny 2'!$H$5</c15:sqref>
                        </c15:formulaRef>
                      </c:ext>
                    </c:extLst>
                    <c:strCache>
                      <c:ptCount val="1"/>
                      <c:pt idx="0">
                        <c:v>Rekreace a kultura</c:v>
                      </c:pt>
                    </c:strCache>
                  </c:strRef>
                </c:tx>
                <c:spPr>
                  <a:ln w="19050">
                    <a:solidFill>
                      <a:srgbClr val="FF0000"/>
                    </a:solidFill>
                  </a:ln>
                </c:spPr>
                <c:marker>
                  <c:symbol val="none"/>
                </c:marker>
                <c:cat>
                  <c:multiLvlStrRef>
                    <c:extLst>
                      <c:ext uri="{02D57815-91ED-43cb-92C2-25804820EDAC}">
                        <c15:formulaRef>
                          <c15:sqref>'Ceny 2'!$A$18:$B$38</c15:sqref>
                        </c15:formulaRef>
                      </c:ext>
                    </c:extLst>
                    <c:multiLvlStrCache>
                      <c:ptCount val="21"/>
                      <c:lvl>
                        <c:pt idx="0">
                          <c:v>1</c:v>
                        </c:pt>
                        <c:pt idx="1">
                          <c:v>2</c:v>
                        </c:pt>
                        <c:pt idx="2">
                          <c:v>3</c:v>
                        </c:pt>
                        <c:pt idx="3">
                          <c:v>4</c:v>
                        </c:pt>
                        <c:pt idx="4">
                          <c:v>1</c:v>
                        </c:pt>
                        <c:pt idx="5">
                          <c:v>2</c:v>
                        </c:pt>
                        <c:pt idx="6">
                          <c:v>3</c:v>
                        </c:pt>
                        <c:pt idx="7">
                          <c:v>4</c:v>
                        </c:pt>
                        <c:pt idx="8">
                          <c:v>1</c:v>
                        </c:pt>
                        <c:pt idx="9">
                          <c:v>2</c:v>
                        </c:pt>
                        <c:pt idx="10">
                          <c:v>3</c:v>
                        </c:pt>
                        <c:pt idx="11">
                          <c:v>4</c:v>
                        </c:pt>
                        <c:pt idx="12">
                          <c:v>1</c:v>
                        </c:pt>
                        <c:pt idx="13">
                          <c:v>2</c:v>
                        </c:pt>
                        <c:pt idx="14">
                          <c:v>3</c:v>
                        </c:pt>
                        <c:pt idx="15">
                          <c:v>4</c:v>
                        </c:pt>
                        <c:pt idx="16">
                          <c:v>1</c:v>
                        </c:pt>
                        <c:pt idx="17">
                          <c:v>2</c:v>
                        </c:pt>
                        <c:pt idx="18">
                          <c:v>3</c:v>
                        </c:pt>
                        <c:pt idx="19">
                          <c:v>4</c:v>
                        </c:pt>
                        <c:pt idx="20">
                          <c:v>1</c:v>
                        </c:pt>
                      </c:lvl>
                      <c:lvl>
                        <c:pt idx="0">
                          <c:v>2021</c:v>
                        </c:pt>
                        <c:pt idx="4">
                          <c:v>2022</c:v>
                        </c:pt>
                        <c:pt idx="8">
                          <c:v>2023</c:v>
                        </c:pt>
                        <c:pt idx="12">
                          <c:v>2024</c:v>
                        </c:pt>
                        <c:pt idx="16">
                          <c:v>2025</c:v>
                        </c:pt>
                        <c:pt idx="20">
                          <c:v>2026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'Ceny 2'!$H$10:$H$30</c15:sqref>
                        </c15:formulaRef>
                      </c:ext>
                    </c:extLst>
                    <c:numCache>
                      <c:formatCode>#\ ##0.0</c:formatCode>
                      <c:ptCount val="21"/>
                      <c:pt idx="0">
                        <c:v>3.5999999999999943</c:v>
                      </c:pt>
                      <c:pt idx="1">
                        <c:v>2.5999999999999943</c:v>
                      </c:pt>
                      <c:pt idx="2">
                        <c:v>3.5</c:v>
                      </c:pt>
                      <c:pt idx="3">
                        <c:v>3.7999999999999972</c:v>
                      </c:pt>
                      <c:pt idx="4">
                        <c:v>3.7999999999999972</c:v>
                      </c:pt>
                      <c:pt idx="5">
                        <c:v>3.2999999999999972</c:v>
                      </c:pt>
                      <c:pt idx="6">
                        <c:v>3.5</c:v>
                      </c:pt>
                      <c:pt idx="7">
                        <c:v>3.7999999999999972</c:v>
                      </c:pt>
                      <c:pt idx="8">
                        <c:v>2</c:v>
                      </c:pt>
                      <c:pt idx="9">
                        <c:v>2.9000000000000057</c:v>
                      </c:pt>
                      <c:pt idx="10">
                        <c:v>3.5999999999999943</c:v>
                      </c:pt>
                      <c:pt idx="11">
                        <c:v>5.7000000000000028</c:v>
                      </c:pt>
                      <c:pt idx="12">
                        <c:v>9.5999999999999943</c:v>
                      </c:pt>
                      <c:pt idx="13">
                        <c:v>13</c:v>
                      </c:pt>
                      <c:pt idx="14">
                        <c:v>15</c:v>
                      </c:pt>
                      <c:pt idx="15">
                        <c:v>16.599999999999994</c:v>
                      </c:pt>
                      <c:pt idx="16">
                        <c:v>17.5</c:v>
                      </c:pt>
                      <c:pt idx="17">
                        <c:v>14.700000000000003</c:v>
                      </c:pt>
                      <c:pt idx="18">
                        <c:v>11.900000000000006</c:v>
                      </c:pt>
                      <c:pt idx="19">
                        <c:v>8.4000000000000057</c:v>
                      </c:pt>
                      <c:pt idx="20">
                        <c:v>5.2999999999999972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2F96-456D-A8B3-24FEFE16D902}"/>
                  </c:ext>
                </c:extLst>
              </c15:ser>
            </c15:filteredLineSeries>
          </c:ext>
        </c:extLst>
      </c:lineChart>
      <c:catAx>
        <c:axId val="270120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70121600"/>
        <c:crosses val="autoZero"/>
        <c:auto val="1"/>
        <c:lblAlgn val="ctr"/>
        <c:lblOffset val="100"/>
        <c:noMultiLvlLbl val="0"/>
      </c:catAx>
      <c:valAx>
        <c:axId val="270121600"/>
        <c:scaling>
          <c:orientation val="minMax"/>
          <c:max val="27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0120064"/>
        <c:crosses val="autoZero"/>
        <c:crossBetween val="between"/>
        <c:majorUnit val="3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3882134414049307E-2"/>
          <c:y val="0.85802375323651925"/>
          <c:w val="0.92470364741641342"/>
          <c:h val="0.1312535179556456"/>
        </c:manualLayout>
      </c:layout>
      <c:overlay val="0"/>
      <c:spPr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70373184734885E-2"/>
          <c:y val="2.9569886214146503E-2"/>
          <c:w val="0.90493308848362042"/>
          <c:h val="0.735566531577169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1'!$C$5</c:f>
              <c:strCache>
                <c:ptCount val="1"/>
                <c:pt idx="0">
                  <c:v>Realizované ceny starších bytů, ČR</c:v>
                </c:pt>
              </c:strCache>
            </c:strRef>
          </c:tx>
          <c:spPr>
            <a:solidFill>
              <a:srgbClr val="B8BBC0"/>
            </a:solidFill>
            <a:ln w="19050">
              <a:noFill/>
            </a:ln>
          </c:spPr>
          <c:invertIfNegative val="0"/>
          <c:cat>
            <c:multiLvlStrRef>
              <c:f>'Ceny 1'!$A$18:$B$38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1'!$C$18:$C$38</c:f>
              <c:numCache>
                <c:formatCode>0.0</c:formatCode>
                <c:ptCount val="21"/>
                <c:pt idx="0">
                  <c:v>15.200000000000003</c:v>
                </c:pt>
                <c:pt idx="1">
                  <c:v>17.900000000000006</c:v>
                </c:pt>
                <c:pt idx="2">
                  <c:v>21.299999999999997</c:v>
                </c:pt>
                <c:pt idx="3">
                  <c:v>25.200000000000003</c:v>
                </c:pt>
                <c:pt idx="4">
                  <c:v>27.299999999999997</c:v>
                </c:pt>
                <c:pt idx="5">
                  <c:v>27.599999999999994</c:v>
                </c:pt>
                <c:pt idx="6">
                  <c:v>23.400000000000006</c:v>
                </c:pt>
                <c:pt idx="7">
                  <c:v>13.799999999999997</c:v>
                </c:pt>
                <c:pt idx="8">
                  <c:v>3.7000000000000028</c:v>
                </c:pt>
                <c:pt idx="9">
                  <c:v>-4.0999999999999943</c:v>
                </c:pt>
                <c:pt idx="10">
                  <c:v>-7</c:v>
                </c:pt>
                <c:pt idx="11">
                  <c:v>-5.5</c:v>
                </c:pt>
                <c:pt idx="12">
                  <c:v>9.9999999999994316E-2</c:v>
                </c:pt>
                <c:pt idx="13">
                  <c:v>6.0999999999999943</c:v>
                </c:pt>
                <c:pt idx="14">
                  <c:v>10.700000000000003</c:v>
                </c:pt>
                <c:pt idx="15">
                  <c:v>14.200000000000003</c:v>
                </c:pt>
                <c:pt idx="16">
                  <c:v>15.799999999999997</c:v>
                </c:pt>
                <c:pt idx="17">
                  <c:v>16.299999999999997</c:v>
                </c:pt>
                <c:pt idx="18">
                  <c:v>15.900000000000006</c:v>
                </c:pt>
                <c:pt idx="19">
                  <c:v>16</c:v>
                </c:pt>
                <c:pt idx="20">
                  <c:v>14.5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46-40E8-ADC4-1BE9AAAC945C}"/>
            </c:ext>
          </c:extLst>
        </c:ser>
        <c:ser>
          <c:idx val="1"/>
          <c:order val="1"/>
          <c:tx>
            <c:strRef>
              <c:f>'Ceny 1'!$D$5</c:f>
              <c:strCache>
                <c:ptCount val="1"/>
                <c:pt idx="0">
                  <c:v>Realizované ceny starších bytů, Praha</c:v>
                </c:pt>
              </c:strCache>
            </c:strRef>
          </c:tx>
          <c:spPr>
            <a:solidFill>
              <a:srgbClr val="85898E"/>
            </a:solidFill>
            <a:ln w="19050">
              <a:noFill/>
            </a:ln>
          </c:spPr>
          <c:invertIfNegative val="0"/>
          <c:cat>
            <c:multiLvlStrRef>
              <c:f>'Ceny 1'!$A$18:$B$38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1'!$D$18:$D$38</c:f>
              <c:numCache>
                <c:formatCode>0.0</c:formatCode>
                <c:ptCount val="21"/>
                <c:pt idx="0">
                  <c:v>14.299999999999997</c:v>
                </c:pt>
                <c:pt idx="1">
                  <c:v>15.799999999999997</c:v>
                </c:pt>
                <c:pt idx="2">
                  <c:v>16.599999999999994</c:v>
                </c:pt>
                <c:pt idx="3">
                  <c:v>20</c:v>
                </c:pt>
                <c:pt idx="4">
                  <c:v>19</c:v>
                </c:pt>
                <c:pt idx="5">
                  <c:v>16.700000000000003</c:v>
                </c:pt>
                <c:pt idx="6">
                  <c:v>15.599999999999994</c:v>
                </c:pt>
                <c:pt idx="7">
                  <c:v>8.4000000000000057</c:v>
                </c:pt>
                <c:pt idx="8">
                  <c:v>1.2000000000000028</c:v>
                </c:pt>
                <c:pt idx="9">
                  <c:v>-3.5999999999999943</c:v>
                </c:pt>
                <c:pt idx="10">
                  <c:v>-5.2999999999999972</c:v>
                </c:pt>
                <c:pt idx="11">
                  <c:v>-2.5999999999999943</c:v>
                </c:pt>
                <c:pt idx="12">
                  <c:v>1</c:v>
                </c:pt>
                <c:pt idx="13">
                  <c:v>8.5999999999999943</c:v>
                </c:pt>
                <c:pt idx="14">
                  <c:v>11.799999999999997</c:v>
                </c:pt>
                <c:pt idx="15">
                  <c:v>12.099999999999994</c:v>
                </c:pt>
                <c:pt idx="16">
                  <c:v>15.799999999999997</c:v>
                </c:pt>
                <c:pt idx="17">
                  <c:v>13.599999999999994</c:v>
                </c:pt>
                <c:pt idx="18">
                  <c:v>13.400000000000006</c:v>
                </c:pt>
                <c:pt idx="19">
                  <c:v>13.700000000000003</c:v>
                </c:pt>
                <c:pt idx="20">
                  <c:v>11.5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46-40E8-ADC4-1BE9AAAC94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270057856"/>
        <c:axId val="270059392"/>
      </c:barChart>
      <c:lineChart>
        <c:grouping val="standard"/>
        <c:varyColors val="0"/>
        <c:ser>
          <c:idx val="2"/>
          <c:order val="2"/>
          <c:tx>
            <c:strRef>
              <c:f>'Ceny 1'!$E$5</c:f>
              <c:strCache>
                <c:ptCount val="1"/>
                <c:pt idx="0">
                  <c:v>Nabídkové ceny bytů, ČR</c:v>
                </c:pt>
              </c:strCache>
            </c:strRef>
          </c:tx>
          <c:spPr>
            <a:ln w="19050">
              <a:solidFill>
                <a:srgbClr val="BC5B80"/>
              </a:solidFill>
            </a:ln>
          </c:spPr>
          <c:marker>
            <c:symbol val="none"/>
          </c:marker>
          <c:cat>
            <c:multiLvlStrRef>
              <c:f>'Ceny 1'!$A$18:$B$38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1'!$E$18:$E$38</c:f>
              <c:numCache>
                <c:formatCode>0.0</c:formatCode>
                <c:ptCount val="21"/>
                <c:pt idx="0">
                  <c:v>7.6441102756892292</c:v>
                </c:pt>
                <c:pt idx="1">
                  <c:v>7.9531442663378584</c:v>
                </c:pt>
                <c:pt idx="2">
                  <c:v>9.3205051112447421</c:v>
                </c:pt>
                <c:pt idx="3">
                  <c:v>12.433392539964473</c:v>
                </c:pt>
                <c:pt idx="4">
                  <c:v>16.880093131548307</c:v>
                </c:pt>
                <c:pt idx="5">
                  <c:v>24.671616219303274</c:v>
                </c:pt>
                <c:pt idx="6">
                  <c:v>22.937293729372925</c:v>
                </c:pt>
                <c:pt idx="7">
                  <c:v>18.325434439178508</c:v>
                </c:pt>
                <c:pt idx="8">
                  <c:v>9.8107569721115624</c:v>
                </c:pt>
                <c:pt idx="9">
                  <c:v>-0.73293632615667548</c:v>
                </c:pt>
                <c:pt idx="10">
                  <c:v>-3.3109619686800897</c:v>
                </c:pt>
                <c:pt idx="11">
                  <c:v>-4.1833555852247315</c:v>
                </c:pt>
                <c:pt idx="12">
                  <c:v>-0.68027210884353906</c:v>
                </c:pt>
                <c:pt idx="13">
                  <c:v>3.3687125057683573</c:v>
                </c:pt>
                <c:pt idx="14">
                  <c:v>6.9412309116150084</c:v>
                </c:pt>
                <c:pt idx="15">
                  <c:v>10.682768230376212</c:v>
                </c:pt>
                <c:pt idx="16">
                  <c:v>15.662100456621019</c:v>
                </c:pt>
                <c:pt idx="17">
                  <c:v>17.008928571428569</c:v>
                </c:pt>
                <c:pt idx="18">
                  <c:v>17.654694937256593</c:v>
                </c:pt>
                <c:pt idx="19">
                  <c:v>16.869492236676436</c:v>
                </c:pt>
                <c:pt idx="20">
                  <c:v>12.949072246348209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746-40E8-ADC4-1BE9AAAC945C}"/>
            </c:ext>
          </c:extLst>
        </c:ser>
        <c:ser>
          <c:idx val="3"/>
          <c:order val="3"/>
          <c:tx>
            <c:strRef>
              <c:f>'Ceny 1'!$F$5</c:f>
              <c:strCache>
                <c:ptCount val="1"/>
                <c:pt idx="0">
                  <c:v>Nabídkové ceny bytů, Praha</c:v>
                </c:pt>
              </c:strCache>
            </c:strRef>
          </c:tx>
          <c:spPr>
            <a:ln w="19050">
              <a:solidFill>
                <a:srgbClr val="009CB5"/>
              </a:solidFill>
            </a:ln>
          </c:spPr>
          <c:marker>
            <c:symbol val="none"/>
          </c:marker>
          <c:cat>
            <c:multiLvlStrRef>
              <c:f>'Ceny 1'!$A$18:$B$38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1'!$F$18:$F$38</c:f>
              <c:numCache>
                <c:formatCode>0.0</c:formatCode>
                <c:ptCount val="21"/>
                <c:pt idx="0">
                  <c:v>4.759269507470961</c:v>
                </c:pt>
                <c:pt idx="1">
                  <c:v>4.5256270447110012</c:v>
                </c:pt>
                <c:pt idx="2">
                  <c:v>6.2466343564889826</c:v>
                </c:pt>
                <c:pt idx="3">
                  <c:v>9.1443850267379503</c:v>
                </c:pt>
                <c:pt idx="4">
                  <c:v>12.255678816693077</c:v>
                </c:pt>
                <c:pt idx="5">
                  <c:v>19.718309859154942</c:v>
                </c:pt>
                <c:pt idx="6">
                  <c:v>18.499746578813998</c:v>
                </c:pt>
                <c:pt idx="7">
                  <c:v>16.903478686918177</c:v>
                </c:pt>
                <c:pt idx="8">
                  <c:v>10.305882352941182</c:v>
                </c:pt>
                <c:pt idx="9">
                  <c:v>0.30501089324617681</c:v>
                </c:pt>
                <c:pt idx="10">
                  <c:v>-1.5825491873396089</c:v>
                </c:pt>
                <c:pt idx="11">
                  <c:v>-3.5624476110645418</c:v>
                </c:pt>
                <c:pt idx="12">
                  <c:v>0.3412969283276226</c:v>
                </c:pt>
                <c:pt idx="13">
                  <c:v>3.9965247610773247</c:v>
                </c:pt>
                <c:pt idx="14">
                  <c:v>6.7796610169491629</c:v>
                </c:pt>
                <c:pt idx="15">
                  <c:v>10.386788352890036</c:v>
                </c:pt>
                <c:pt idx="16">
                  <c:v>16.496598639455783</c:v>
                </c:pt>
                <c:pt idx="17">
                  <c:v>16.207184628237243</c:v>
                </c:pt>
                <c:pt idx="18">
                  <c:v>16.076516076516072</c:v>
                </c:pt>
                <c:pt idx="19">
                  <c:v>14.763779527559052</c:v>
                </c:pt>
                <c:pt idx="20">
                  <c:v>8.9416058394160558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746-40E8-ADC4-1BE9AAAC94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057856"/>
        <c:axId val="270059392"/>
      </c:lineChart>
      <c:catAx>
        <c:axId val="270057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70059392"/>
        <c:crosses val="autoZero"/>
        <c:auto val="1"/>
        <c:lblAlgn val="ctr"/>
        <c:lblOffset val="100"/>
        <c:noMultiLvlLbl val="0"/>
      </c:catAx>
      <c:valAx>
        <c:axId val="270059392"/>
        <c:scaling>
          <c:orientation val="minMax"/>
          <c:max val="2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0057856"/>
        <c:crosses val="autoZero"/>
        <c:crossBetween val="between"/>
        <c:majorUnit val="4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7.3334810874704504E-2"/>
          <c:y val="0.88817854328492629"/>
          <c:w val="0.89999282337048292"/>
          <c:h val="9.8380614657210319E-2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948270126413842E-2"/>
          <c:y val="2.181131592422042E-2"/>
          <c:w val="0.91916383898868925"/>
          <c:h val="0.716632331419565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4'!$C$5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rgbClr val="85898E"/>
            </a:solidFill>
            <a:ln w="19050">
              <a:noFill/>
            </a:ln>
          </c:spPr>
          <c:invertIfNegative val="0"/>
          <c:cat>
            <c:multiLvlStrRef>
              <c:f>'Ceny 4'!$A$18:$B$38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4'!$C$18:$C$38</c:f>
              <c:numCache>
                <c:formatCode>General</c:formatCode>
                <c:ptCount val="21"/>
                <c:pt idx="0">
                  <c:v>1.5</c:v>
                </c:pt>
                <c:pt idx="1">
                  <c:v>5.2999999999999972</c:v>
                </c:pt>
                <c:pt idx="2">
                  <c:v>9</c:v>
                </c:pt>
                <c:pt idx="3">
                  <c:v>12.799999999999997</c:v>
                </c:pt>
                <c:pt idx="4">
                  <c:v>21.799999999999997</c:v>
                </c:pt>
                <c:pt idx="5">
                  <c:v>27.700000000000003</c:v>
                </c:pt>
                <c:pt idx="6">
                  <c:v>25.900000000000006</c:v>
                </c:pt>
                <c:pt idx="7">
                  <c:v>21.799999999999997</c:v>
                </c:pt>
                <c:pt idx="8">
                  <c:v>15</c:v>
                </c:pt>
                <c:pt idx="9">
                  <c:v>3.9000000000000057</c:v>
                </c:pt>
                <c:pt idx="10">
                  <c:v>1.3</c:v>
                </c:pt>
                <c:pt idx="11">
                  <c:v>0.8</c:v>
                </c:pt>
                <c:pt idx="12">
                  <c:v>-0.9</c:v>
                </c:pt>
                <c:pt idx="13">
                  <c:v>1.1000000000000001</c:v>
                </c:pt>
                <c:pt idx="14">
                  <c:v>1.2</c:v>
                </c:pt>
                <c:pt idx="15">
                  <c:v>1.8</c:v>
                </c:pt>
                <c:pt idx="16">
                  <c:v>0</c:v>
                </c:pt>
                <c:pt idx="17">
                  <c:v>-0.9</c:v>
                </c:pt>
                <c:pt idx="18">
                  <c:v>-1</c:v>
                </c:pt>
                <c:pt idx="19">
                  <c:v>-1.5</c:v>
                </c:pt>
                <c:pt idx="20">
                  <c:v>-2.2999999999999998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6C-4FC0-B5A1-3ADF45A190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axId val="271374208"/>
        <c:axId val="271375744"/>
      </c:barChart>
      <c:lineChart>
        <c:grouping val="standard"/>
        <c:varyColors val="0"/>
        <c:ser>
          <c:idx val="1"/>
          <c:order val="1"/>
          <c:tx>
            <c:strRef>
              <c:f>'Ceny 4'!$D$5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19050">
              <a:solidFill>
                <a:srgbClr val="86BF5E"/>
              </a:solidFill>
            </a:ln>
          </c:spPr>
          <c:marker>
            <c:symbol val="none"/>
          </c:marker>
          <c:cat>
            <c:multiLvlStrRef>
              <c:f>'Ceny 4'!$A$18:$B$38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4'!$D$18:$D$38</c:f>
              <c:numCache>
                <c:formatCode>General</c:formatCode>
                <c:ptCount val="21"/>
                <c:pt idx="0">
                  <c:v>-0.5</c:v>
                </c:pt>
                <c:pt idx="1">
                  <c:v>0.79999999999999716</c:v>
                </c:pt>
                <c:pt idx="2">
                  <c:v>3.2999999999999972</c:v>
                </c:pt>
                <c:pt idx="3">
                  <c:v>13.799999999999997</c:v>
                </c:pt>
                <c:pt idx="4">
                  <c:v>25.200000000000003</c:v>
                </c:pt>
                <c:pt idx="5">
                  <c:v>31.900000000000006</c:v>
                </c:pt>
                <c:pt idx="6">
                  <c:v>30.199999999999989</c:v>
                </c:pt>
                <c:pt idx="7">
                  <c:v>23.299999999999997</c:v>
                </c:pt>
                <c:pt idx="8">
                  <c:v>54</c:v>
                </c:pt>
                <c:pt idx="9">
                  <c:v>47.599999999999994</c:v>
                </c:pt>
                <c:pt idx="10">
                  <c:v>44.5</c:v>
                </c:pt>
                <c:pt idx="11">
                  <c:v>40.200000000000003</c:v>
                </c:pt>
                <c:pt idx="12">
                  <c:v>-1.2</c:v>
                </c:pt>
                <c:pt idx="13">
                  <c:v>-1.7</c:v>
                </c:pt>
                <c:pt idx="14">
                  <c:v>-0.5</c:v>
                </c:pt>
                <c:pt idx="15">
                  <c:v>-1.8</c:v>
                </c:pt>
                <c:pt idx="16">
                  <c:v>-2.6</c:v>
                </c:pt>
                <c:pt idx="17">
                  <c:v>-4.2</c:v>
                </c:pt>
                <c:pt idx="18">
                  <c:v>-4.3</c:v>
                </c:pt>
                <c:pt idx="19">
                  <c:v>-4.2</c:v>
                </c:pt>
                <c:pt idx="20">
                  <c:v>-1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6C-4FC0-B5A1-3ADF45A190BA}"/>
            </c:ext>
          </c:extLst>
        </c:ser>
        <c:ser>
          <c:idx val="2"/>
          <c:order val="2"/>
          <c:tx>
            <c:strRef>
              <c:f>'Ceny 4'!$E$5</c:f>
              <c:strCache>
                <c:ptCount val="1"/>
                <c:pt idx="0">
                  <c:v>Zpracovatelský průmysl</c:v>
                </c:pt>
              </c:strCache>
            </c:strRef>
          </c:tx>
          <c:spPr>
            <a:ln w="19050">
              <a:solidFill>
                <a:srgbClr val="BC5B80"/>
              </a:solidFill>
            </a:ln>
          </c:spPr>
          <c:marker>
            <c:symbol val="none"/>
          </c:marker>
          <c:cat>
            <c:multiLvlStrRef>
              <c:f>'Ceny 4'!$A$18:$B$38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4'!$E$18:$E$38</c:f>
              <c:numCache>
                <c:formatCode>General</c:formatCode>
                <c:ptCount val="21"/>
                <c:pt idx="0">
                  <c:v>1.7999999999999972</c:v>
                </c:pt>
                <c:pt idx="1">
                  <c:v>6.5</c:v>
                </c:pt>
                <c:pt idx="2">
                  <c:v>11</c:v>
                </c:pt>
                <c:pt idx="3">
                  <c:v>14.5</c:v>
                </c:pt>
                <c:pt idx="4">
                  <c:v>17.5</c:v>
                </c:pt>
                <c:pt idx="5">
                  <c:v>24.200000000000003</c:v>
                </c:pt>
                <c:pt idx="6">
                  <c:v>20.5</c:v>
                </c:pt>
                <c:pt idx="7">
                  <c:v>16</c:v>
                </c:pt>
                <c:pt idx="8">
                  <c:v>10.299999999999997</c:v>
                </c:pt>
                <c:pt idx="9">
                  <c:v>-0.90000000000000568</c:v>
                </c:pt>
                <c:pt idx="10">
                  <c:v>-2.4</c:v>
                </c:pt>
                <c:pt idx="11">
                  <c:v>-2.2999999999999998</c:v>
                </c:pt>
                <c:pt idx="12">
                  <c:v>-1.7</c:v>
                </c:pt>
                <c:pt idx="13">
                  <c:v>0.1</c:v>
                </c:pt>
                <c:pt idx="14">
                  <c:v>0.2</c:v>
                </c:pt>
                <c:pt idx="15">
                  <c:v>0.4</c:v>
                </c:pt>
                <c:pt idx="16">
                  <c:v>0.4</c:v>
                </c:pt>
                <c:pt idx="17">
                  <c:v>-0.2</c:v>
                </c:pt>
                <c:pt idx="18">
                  <c:v>-0.3</c:v>
                </c:pt>
                <c:pt idx="19">
                  <c:v>-0.9</c:v>
                </c:pt>
                <c:pt idx="20">
                  <c:v>-0.8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6C-4FC0-B5A1-3ADF45A190BA}"/>
            </c:ext>
          </c:extLst>
        </c:ser>
        <c:ser>
          <c:idx val="3"/>
          <c:order val="3"/>
          <c:tx>
            <c:strRef>
              <c:f>'Ceny 4'!$F$5</c:f>
              <c:strCache>
                <c:ptCount val="1"/>
                <c:pt idx="0">
                  <c:v>Elektřina, plyn, pára a klim. vzduch</c:v>
                </c:pt>
              </c:strCache>
            </c:strRef>
          </c:tx>
          <c:spPr>
            <a:ln w="19050">
              <a:solidFill>
                <a:srgbClr val="CC9610"/>
              </a:solidFill>
            </a:ln>
          </c:spPr>
          <c:marker>
            <c:symbol val="none"/>
          </c:marker>
          <c:cat>
            <c:multiLvlStrRef>
              <c:f>'Ceny 4'!$A$18:$B$38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4'!$F$18:$F$38</c:f>
              <c:numCache>
                <c:formatCode>General</c:formatCode>
                <c:ptCount val="21"/>
                <c:pt idx="0">
                  <c:v>0.29999999999999716</c:v>
                </c:pt>
                <c:pt idx="1">
                  <c:v>9.9999999999994316E-2</c:v>
                </c:pt>
                <c:pt idx="2">
                  <c:v>0.79999999999999716</c:v>
                </c:pt>
                <c:pt idx="3">
                  <c:v>5.5</c:v>
                </c:pt>
                <c:pt idx="4">
                  <c:v>45</c:v>
                </c:pt>
                <c:pt idx="5">
                  <c:v>47.199999999999989</c:v>
                </c:pt>
                <c:pt idx="6">
                  <c:v>56</c:v>
                </c:pt>
                <c:pt idx="7">
                  <c:v>54.300000000000011</c:v>
                </c:pt>
                <c:pt idx="8">
                  <c:v>28.400000000000006</c:v>
                </c:pt>
                <c:pt idx="9">
                  <c:v>18.400000000000006</c:v>
                </c:pt>
                <c:pt idx="10">
                  <c:v>10.5</c:v>
                </c:pt>
                <c:pt idx="11">
                  <c:v>7.1</c:v>
                </c:pt>
                <c:pt idx="12">
                  <c:v>0.8</c:v>
                </c:pt>
                <c:pt idx="13">
                  <c:v>4.5</c:v>
                </c:pt>
                <c:pt idx="14">
                  <c:v>4.2</c:v>
                </c:pt>
                <c:pt idx="15">
                  <c:v>6.7</c:v>
                </c:pt>
                <c:pt idx="16">
                  <c:v>-1.2</c:v>
                </c:pt>
                <c:pt idx="17">
                  <c:v>-3.4</c:v>
                </c:pt>
                <c:pt idx="18">
                  <c:v>-3.2</c:v>
                </c:pt>
                <c:pt idx="19">
                  <c:v>-3.8</c:v>
                </c:pt>
                <c:pt idx="20">
                  <c:v>-7.9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A6C-4FC0-B5A1-3ADF45A190BA}"/>
            </c:ext>
          </c:extLst>
        </c:ser>
        <c:ser>
          <c:idx val="4"/>
          <c:order val="4"/>
          <c:tx>
            <c:strRef>
              <c:f>'Ceny 4'!$G$5</c:f>
              <c:strCache>
                <c:ptCount val="1"/>
                <c:pt idx="0">
                  <c:v>Zás. vodou; odpadní vody</c:v>
                </c:pt>
              </c:strCache>
            </c:strRef>
          </c:tx>
          <c:spPr>
            <a:ln w="19050">
              <a:solidFill>
                <a:srgbClr val="009CB5"/>
              </a:solidFill>
            </a:ln>
          </c:spPr>
          <c:marker>
            <c:symbol val="none"/>
          </c:marker>
          <c:cat>
            <c:multiLvlStrRef>
              <c:f>'Ceny 4'!$A$18:$B$38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'Ceny 4'!$G$18:$G$38</c:f>
              <c:numCache>
                <c:formatCode>General</c:formatCode>
                <c:ptCount val="21"/>
                <c:pt idx="0">
                  <c:v>6.9000000000000057</c:v>
                </c:pt>
                <c:pt idx="1">
                  <c:v>6.2000000000000028</c:v>
                </c:pt>
                <c:pt idx="2">
                  <c:v>5.9000000000000057</c:v>
                </c:pt>
                <c:pt idx="3">
                  <c:v>5.9000000000000057</c:v>
                </c:pt>
                <c:pt idx="4">
                  <c:v>5.2999999999999972</c:v>
                </c:pt>
                <c:pt idx="5">
                  <c:v>5.2999999999999972</c:v>
                </c:pt>
                <c:pt idx="6">
                  <c:v>5.2999999999999972</c:v>
                </c:pt>
                <c:pt idx="7">
                  <c:v>5.2999999999999972</c:v>
                </c:pt>
                <c:pt idx="8">
                  <c:v>16.299999999999997</c:v>
                </c:pt>
                <c:pt idx="9">
                  <c:v>16.299999999999997</c:v>
                </c:pt>
                <c:pt idx="10">
                  <c:v>16.3</c:v>
                </c:pt>
                <c:pt idx="11">
                  <c:v>16.3</c:v>
                </c:pt>
                <c:pt idx="12">
                  <c:v>9.1999999999999993</c:v>
                </c:pt>
                <c:pt idx="13">
                  <c:v>9.1999999999999993</c:v>
                </c:pt>
                <c:pt idx="14">
                  <c:v>9.1999999999999993</c:v>
                </c:pt>
                <c:pt idx="15">
                  <c:v>9.1999999999999993</c:v>
                </c:pt>
                <c:pt idx="16">
                  <c:v>4.0999999999999996</c:v>
                </c:pt>
                <c:pt idx="17">
                  <c:v>4.0999999999999996</c:v>
                </c:pt>
                <c:pt idx="18">
                  <c:v>4.0999999999999996</c:v>
                </c:pt>
                <c:pt idx="19">
                  <c:v>4.0999999999999996</c:v>
                </c:pt>
                <c:pt idx="20">
                  <c:v>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A6C-4FC0-B5A1-3ADF45A190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374208"/>
        <c:axId val="271375744"/>
      </c:lineChart>
      <c:catAx>
        <c:axId val="271374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271375744"/>
        <c:crosses val="autoZero"/>
        <c:auto val="1"/>
        <c:lblAlgn val="ctr"/>
        <c:lblOffset val="100"/>
        <c:noMultiLvlLbl val="0"/>
      </c:catAx>
      <c:valAx>
        <c:axId val="271375744"/>
        <c:scaling>
          <c:orientation val="minMax"/>
          <c:min val="-1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1374208"/>
        <c:crosses val="autoZero"/>
        <c:crossBetween val="between"/>
        <c:majorUnit val="5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0756819693945444E-2"/>
          <c:y val="0.86223931272106069"/>
          <c:w val="0.91957268795741853"/>
          <c:h val="0.12109402425765226"/>
        </c:manualLayout>
      </c:layout>
      <c:overlay val="0"/>
      <c:spPr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2844</Words>
  <Characters>16783</Characters>
  <Application>Microsoft Office Word</Application>
  <DocSecurity>0</DocSecurity>
  <Lines>139</Lines>
  <Paragraphs>39</Paragraphs>
  <ScaleCrop>false</ScaleCrop>
  <Company>CSU</Company>
  <LinksUpToDate>false</LinksUpToDate>
  <CharactersWithSpaces>19588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25</cp:revision>
  <cp:lastPrinted>2014-07-17T14:07:00Z</cp:lastPrinted>
  <dcterms:created xsi:type="dcterms:W3CDTF">2026-06-16T07:48:00Z</dcterms:created>
  <dcterms:modified xsi:type="dcterms:W3CDTF">2026-06-16T10:10:00Z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