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8283" w14:textId="77777777" w:rsidR="00DF3D88" w:rsidRPr="00EB2612" w:rsidRDefault="00DF3D88" w:rsidP="00205F6A">
      <w:pPr>
        <w:pStyle w:val="Nadpis1"/>
        <w:numPr>
          <w:ilvl w:val="0"/>
          <w:numId w:val="17"/>
        </w:numPr>
      </w:pPr>
      <w:bookmarkStart w:id="0" w:name="_Toc430189814"/>
      <w:bookmarkStart w:id="1" w:name="_Toc86076224"/>
      <w:bookmarkStart w:id="2" w:name="_Toc430189817"/>
      <w:r w:rsidRPr="00EB2612">
        <w:t>VIDEOHRY</w:t>
      </w:r>
      <w:bookmarkEnd w:id="0"/>
      <w:bookmarkEnd w:id="1"/>
    </w:p>
    <w:p w14:paraId="1EDABCB3" w14:textId="46B72E5B" w:rsidR="00DF3D88" w:rsidRPr="00EB2612" w:rsidRDefault="00DF3D88" w:rsidP="00DF3D88">
      <w:pPr>
        <w:pStyle w:val="Titulek"/>
        <w:keepNext/>
        <w:jc w:val="right"/>
        <w:rPr>
          <w:color w:val="auto"/>
        </w:rPr>
      </w:pPr>
      <w:bookmarkStart w:id="3" w:name="_Toc464832057"/>
      <w:r w:rsidRPr="00EB2612">
        <w:rPr>
          <w:color w:val="auto"/>
          <w:sz w:val="22"/>
          <w:szCs w:val="22"/>
        </w:rPr>
        <w:t>Tabulka 9</w:t>
      </w:r>
      <w:r w:rsidRPr="00EB2612">
        <w:rPr>
          <w:color w:val="auto"/>
        </w:rPr>
        <w:t xml:space="preserve"> </w:t>
      </w:r>
      <w:bookmarkStart w:id="4" w:name="_GoBack"/>
      <w:r w:rsidRPr="00205F6A">
        <w:rPr>
          <w:color w:val="auto"/>
          <w:sz w:val="22"/>
          <w:szCs w:val="22"/>
        </w:rPr>
        <w:t xml:space="preserve">Vymezení oblasti videoher podle </w:t>
      </w:r>
      <w:bookmarkEnd w:id="3"/>
      <w:r w:rsidR="004C2373" w:rsidRPr="00205F6A">
        <w:rPr>
          <w:color w:val="auto"/>
          <w:sz w:val="22"/>
          <w:szCs w:val="22"/>
        </w:rPr>
        <w:t>ekonomické činnosti</w:t>
      </w:r>
      <w:bookmarkEnd w:id="4"/>
    </w:p>
    <w:tbl>
      <w:tblPr>
        <w:tblW w:w="637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4653"/>
      </w:tblGrid>
      <w:tr w:rsidR="00DF3D88" w:rsidRPr="00EB2612" w14:paraId="3FC51A6B" w14:textId="77777777" w:rsidTr="00DF3D88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14:paraId="4885E217" w14:textId="68B71D12" w:rsidR="00DF3D88" w:rsidRPr="00EB2612" w:rsidRDefault="004C2373" w:rsidP="00DF3D88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CZ-</w:t>
            </w:r>
            <w:r w:rsidR="00DF3D88" w:rsidRPr="00EB2612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14:paraId="533F55A2" w14:textId="77777777" w:rsidR="00DF3D88" w:rsidRPr="00EB2612" w:rsidRDefault="00DF3D88" w:rsidP="00DF3D88">
            <w:pPr>
              <w:pStyle w:val="Box"/>
              <w:ind w:hanging="1134"/>
              <w:rPr>
                <w:rFonts w:asciiTheme="minorHAnsi" w:hAnsiTheme="minorHAnsi"/>
                <w:sz w:val="20"/>
                <w:szCs w:val="20"/>
              </w:rPr>
            </w:pPr>
            <w:r w:rsidRPr="00EB2612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DF3D88" w:rsidRPr="00EB2612" w14:paraId="6F9AEEF8" w14:textId="77777777" w:rsidTr="00DF3D88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7934A4D" w14:textId="77777777" w:rsidR="00DF3D88" w:rsidRPr="00EB2612" w:rsidRDefault="00DF3D88" w:rsidP="00DF3D88">
            <w:pPr>
              <w:spacing w:after="0"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58.21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8960DC4" w14:textId="77777777" w:rsidR="00DF3D88" w:rsidRPr="00EB2612" w:rsidRDefault="00DF3D88" w:rsidP="00DF3D88">
            <w:pPr>
              <w:spacing w:after="0"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Vydávání počítačových her</w:t>
            </w:r>
          </w:p>
        </w:tc>
      </w:tr>
    </w:tbl>
    <w:p w14:paraId="25CE86F9" w14:textId="77777777" w:rsidR="00DF3D88" w:rsidRPr="00EB2612" w:rsidRDefault="00DF3D88" w:rsidP="00DF3D88"/>
    <w:p w14:paraId="7F1CC111" w14:textId="118009B9" w:rsidR="00DF3D88" w:rsidRPr="00EB2612" w:rsidRDefault="00DF3D88" w:rsidP="00DF3D88">
      <w:r w:rsidRPr="00EB2612">
        <w:t xml:space="preserve">Trh s videohrami je nejmladší oblastí audiovizuálního a mediálního sektoru. Herní průmysl je celosvětově rychle se rozvíjejícím odvětvím a je ve velké míře ovlivněn technologickým vývojem. Proto se také forma hraní her a návyky spotřebitelů mění rychleji než v ostatních audiovizuálních oblastech a vedle klasických počítačových her a videoher se stále </w:t>
      </w:r>
      <w:r>
        <w:t>více</w:t>
      </w:r>
      <w:r w:rsidRPr="00EB2612">
        <w:t xml:space="preserve"> rozvíjí trh s mobilními herními aplikacemi a hrami přes sociální sítě. Právě mobilní herní aplikace generují v současnosti celosvětově největší příjmy</w:t>
      </w:r>
      <w:r w:rsidR="007F0BFD">
        <w:t xml:space="preserve"> v herním průmyslu</w:t>
      </w:r>
      <w:r w:rsidRPr="00EB2612">
        <w:t xml:space="preserve"> (</w:t>
      </w:r>
      <w:r>
        <w:t>Newzoo, 2021</w:t>
      </w:r>
      <w:r w:rsidRPr="00EB2612">
        <w:t>).</w:t>
      </w:r>
    </w:p>
    <w:p w14:paraId="0D279560" w14:textId="77777777" w:rsidR="00DF3D88" w:rsidRPr="00EB2612" w:rsidRDefault="00DF3D88" w:rsidP="00DF3D88">
      <w:r w:rsidRPr="00EB2612">
        <w:tab/>
        <w:t xml:space="preserve"> Údaje o herním průmyslu v ČR a SR sbírá </w:t>
      </w:r>
      <w:r>
        <w:t>každoročně</w:t>
      </w:r>
      <w:r w:rsidRPr="00EB2612">
        <w:t xml:space="preserve"> </w:t>
      </w:r>
      <w:r>
        <w:t xml:space="preserve">Asociace českých herních vývojářů, která byla založena v roce </w:t>
      </w:r>
      <w:r w:rsidRPr="00EB2612">
        <w:t>2018</w:t>
      </w:r>
      <w:r>
        <w:t xml:space="preserve"> a</w:t>
      </w:r>
      <w:r w:rsidRPr="00EB2612">
        <w:t xml:space="preserve"> která publikuje studii České počítačové hry</w:t>
      </w:r>
      <w:r>
        <w:t xml:space="preserve"> (poslední s daty za rok 2020</w:t>
      </w:r>
      <w:r w:rsidRPr="00EB2612">
        <w:t>). Údaje o</w:t>
      </w:r>
      <w:r>
        <w:t> </w:t>
      </w:r>
      <w:r w:rsidRPr="00EB2612">
        <w:t xml:space="preserve">příjmech podniků a počtu zaměstnanců pocházejí z Podnikové strukturální statistiky. Pojem počítačová hra je v textu volně nahrazován pojmem videohra a zahrnuje veškeré aplikace a software, který je používaný ke hře na </w:t>
      </w:r>
      <w:r>
        <w:t>různých</w:t>
      </w:r>
      <w:r w:rsidRPr="00EB2612">
        <w:t xml:space="preserve"> zařízeních (počítač, tablet, telefon, přenosná herní zařízení apod.).</w:t>
      </w:r>
    </w:p>
    <w:p w14:paraId="429A4271" w14:textId="77777777" w:rsidR="00DF3D88" w:rsidRPr="00EB2612" w:rsidRDefault="00DF3D88" w:rsidP="00DF3D88">
      <w:pPr>
        <w:pStyle w:val="Nadpis2"/>
        <w:numPr>
          <w:ilvl w:val="1"/>
          <w:numId w:val="17"/>
        </w:numPr>
      </w:pPr>
      <w:bookmarkStart w:id="5" w:name="_Toc430189815"/>
      <w:bookmarkStart w:id="6" w:name="_Toc431475043"/>
      <w:bookmarkStart w:id="7" w:name="_Toc463969198"/>
      <w:bookmarkStart w:id="8" w:name="_Toc465253908"/>
      <w:bookmarkStart w:id="9" w:name="_Toc55384446"/>
      <w:bookmarkStart w:id="10" w:name="_Toc86076225"/>
      <w:r w:rsidRPr="00EB2612">
        <w:t>PŘÍJMY A ZAMĚSTNANOST</w:t>
      </w:r>
      <w:bookmarkEnd w:id="5"/>
      <w:bookmarkEnd w:id="6"/>
      <w:bookmarkEnd w:id="7"/>
      <w:bookmarkEnd w:id="8"/>
      <w:bookmarkEnd w:id="9"/>
      <w:bookmarkEnd w:id="10"/>
    </w:p>
    <w:p w14:paraId="32F3B63A" w14:textId="732F009B" w:rsidR="00DF3D88" w:rsidRPr="00EB2612" w:rsidRDefault="00DF3D88" w:rsidP="00DF3D88">
      <w:pPr>
        <w:ind w:firstLine="708"/>
      </w:pPr>
      <w:r w:rsidRPr="00EB2612">
        <w:t>Celkové příjmy podniků s převažující ekonomickou činností v oblasti videoher (CZ-NACE 58.21) se v</w:t>
      </w:r>
      <w:r>
        <w:t> roce 2019</w:t>
      </w:r>
      <w:r w:rsidRPr="00EB2612">
        <w:t xml:space="preserve"> pohybovaly kolem </w:t>
      </w:r>
      <w:r>
        <w:t xml:space="preserve">3 </w:t>
      </w:r>
      <w:r w:rsidRPr="00EB2612">
        <w:t>mld. Kč. Počet zaměstnanců podle údajů Podnikové strukturální statistiky meziročně vzrostl a v roce 201</w:t>
      </w:r>
      <w:r>
        <w:t>9</w:t>
      </w:r>
      <w:r w:rsidRPr="00EB2612">
        <w:t xml:space="preserve"> dosahoval výše okolo </w:t>
      </w:r>
      <w:r>
        <w:t>750</w:t>
      </w:r>
      <w:r w:rsidRPr="00EB2612">
        <w:t xml:space="preserve"> zaměstnanců. Data z Podnikové strukturální statistiky je možné doplnit o údaje z nedávno publikované studie České počítačové hry, která nabízí aktuálnější data vztažená na celý herní průmysl</w:t>
      </w:r>
      <w:r w:rsidR="004C2373">
        <w:t xml:space="preserve"> (ze</w:t>
      </w:r>
      <w:r w:rsidR="00DF2A78">
        <w:t>j</w:t>
      </w:r>
      <w:r w:rsidR="004C2373">
        <w:t>ména pak na herní vývojářství)</w:t>
      </w:r>
      <w:r w:rsidRPr="00EB2612">
        <w:t xml:space="preserve">. Ze studie, která vychází z vlastního dotazníkového šetření mezi herními </w:t>
      </w:r>
      <w:r>
        <w:t>vývojáři,</w:t>
      </w:r>
      <w:r w:rsidRPr="00EB2612">
        <w:t xml:space="preserve"> vyplývá, že v </w:t>
      </w:r>
      <w:r>
        <w:t>roce 2020</w:t>
      </w:r>
      <w:r w:rsidRPr="00EB2612">
        <w:t xml:space="preserve"> zaznamenal celý herní průmysl </w:t>
      </w:r>
      <w:r>
        <w:t>příjmy ve výši 5,3</w:t>
      </w:r>
      <w:r w:rsidRPr="00EB2612">
        <w:t xml:space="preserve"> mld. Kč </w:t>
      </w:r>
      <w:r>
        <w:t>a </w:t>
      </w:r>
      <w:r w:rsidRPr="00EB2612">
        <w:t>počet pracujících (zaměstnanců, podnikatelů a pracovníků na dohody)</w:t>
      </w:r>
      <w:r>
        <w:t xml:space="preserve"> ve vývoji her činil přibližně 2,1 tis.</w:t>
      </w:r>
      <w:r w:rsidRPr="00EB2612">
        <w:t xml:space="preserve"> osob (GDACZ</w:t>
      </w:r>
      <w:r>
        <w:t>, 2021</w:t>
      </w:r>
      <w:r w:rsidRPr="00EB2612">
        <w:t>).</w:t>
      </w:r>
    </w:p>
    <w:p w14:paraId="4AA2AC5B" w14:textId="5339B5F0" w:rsidR="00DF3D88" w:rsidRPr="00EB2612" w:rsidRDefault="00DF3D88" w:rsidP="00DF3D88">
      <w:pPr>
        <w:pStyle w:val="Titulek"/>
        <w:keepNext/>
        <w:rPr>
          <w:b w:val="0"/>
          <w:noProof/>
          <w:color w:val="auto"/>
          <w:sz w:val="22"/>
          <w:szCs w:val="22"/>
          <w:lang w:eastAsia="cs-CZ"/>
        </w:rPr>
      </w:pPr>
      <w:r w:rsidRPr="00EB2612">
        <w:rPr>
          <w:color w:val="auto"/>
          <w:sz w:val="22"/>
          <w:szCs w:val="22"/>
        </w:rPr>
        <w:t>Graf 6</w:t>
      </w:r>
      <w:r w:rsidR="00347154">
        <w:rPr>
          <w:color w:val="auto"/>
          <w:sz w:val="22"/>
          <w:szCs w:val="22"/>
        </w:rPr>
        <w:t>1</w:t>
      </w:r>
      <w:r w:rsidRPr="00EB2612">
        <w:rPr>
          <w:color w:val="auto"/>
        </w:rPr>
        <w:t xml:space="preserve"> </w:t>
      </w:r>
      <w:r w:rsidRPr="007747DF">
        <w:rPr>
          <w:color w:val="auto"/>
          <w:sz w:val="22"/>
          <w:szCs w:val="22"/>
        </w:rPr>
        <w:t>Příjmy a počet zaměstnanců v oblasti videoher</w:t>
      </w:r>
    </w:p>
    <w:p w14:paraId="5DBAFE5E" w14:textId="77777777" w:rsidR="00DF3D88" w:rsidRPr="00EB2612" w:rsidRDefault="00DF3D88" w:rsidP="00DF3D88">
      <w:pPr>
        <w:jc w:val="center"/>
      </w:pPr>
      <w:r>
        <w:rPr>
          <w:noProof/>
        </w:rPr>
        <w:drawing>
          <wp:inline distT="0" distB="0" distL="0" distR="0" wp14:anchorId="1AD3ABD1" wp14:editId="2A89B327">
            <wp:extent cx="5210175" cy="222885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BD37C9" w14:textId="77777777" w:rsidR="00DF3D88" w:rsidRPr="00EB2612" w:rsidRDefault="00DF3D88" w:rsidP="00DF3D88">
      <w:pPr>
        <w:pStyle w:val="Titulek"/>
        <w:rPr>
          <w:b w:val="0"/>
          <w:color w:val="auto"/>
          <w:sz w:val="22"/>
          <w:szCs w:val="22"/>
        </w:rPr>
      </w:pPr>
      <w:r w:rsidRPr="00EB2612">
        <w:rPr>
          <w:b w:val="0"/>
          <w:color w:val="auto"/>
          <w:sz w:val="22"/>
          <w:szCs w:val="22"/>
        </w:rPr>
        <w:t>Zdroj: Podniková strukturální statistika, ČSÚ</w:t>
      </w:r>
    </w:p>
    <w:p w14:paraId="1B11F97B" w14:textId="77777777" w:rsidR="00DF3D88" w:rsidRPr="00EB2612" w:rsidRDefault="00DF3D88" w:rsidP="00DF3D88">
      <w:pPr>
        <w:pStyle w:val="Nadpis2"/>
        <w:numPr>
          <w:ilvl w:val="1"/>
          <w:numId w:val="17"/>
        </w:numPr>
      </w:pPr>
      <w:bookmarkStart w:id="11" w:name="_Toc430189816"/>
      <w:bookmarkStart w:id="12" w:name="_Toc431475044"/>
      <w:bookmarkStart w:id="13" w:name="_Toc463969199"/>
      <w:bookmarkStart w:id="14" w:name="_Toc465253909"/>
      <w:bookmarkStart w:id="15" w:name="_Toc55384447"/>
      <w:bookmarkStart w:id="16" w:name="_Toc86076226"/>
      <w:r w:rsidRPr="00EB2612">
        <w:lastRenderedPageBreak/>
        <w:t>POHLED SPOTŘEBITELE</w:t>
      </w:r>
      <w:bookmarkEnd w:id="11"/>
      <w:bookmarkEnd w:id="12"/>
      <w:bookmarkEnd w:id="13"/>
      <w:bookmarkEnd w:id="14"/>
      <w:bookmarkEnd w:id="15"/>
      <w:bookmarkEnd w:id="16"/>
    </w:p>
    <w:p w14:paraId="1B9CA6E6" w14:textId="665E1464" w:rsidR="00DF3D88" w:rsidRPr="00EB2612" w:rsidRDefault="00DF3D88" w:rsidP="00DF3D88">
      <w:pPr>
        <w:rPr>
          <w:rFonts w:cs="Arial"/>
          <w:szCs w:val="20"/>
        </w:rPr>
      </w:pPr>
      <w:r w:rsidRPr="00EB2612">
        <w:rPr>
          <w:rFonts w:cs="Arial"/>
          <w:szCs w:val="20"/>
        </w:rPr>
        <w:t>O spotřebitelských návycích posledních let existuje evidence</w:t>
      </w:r>
      <w:r>
        <w:rPr>
          <w:rFonts w:cs="Arial"/>
          <w:szCs w:val="20"/>
        </w:rPr>
        <w:t xml:space="preserve"> hned z několika zdrojů</w:t>
      </w:r>
      <w:r w:rsidRPr="00EB2612">
        <w:rPr>
          <w:rFonts w:cs="Arial"/>
          <w:szCs w:val="20"/>
        </w:rPr>
        <w:t>. Výstupy z šetření VŠIT odhalují velké rozdíly ve využití internetu ke hře či stahování počítačových her podle věkové struktury. Hry prostřednictvím internetu hrálo či stahovalo v ro</w:t>
      </w:r>
      <w:r>
        <w:rPr>
          <w:rFonts w:cs="Arial"/>
          <w:szCs w:val="20"/>
        </w:rPr>
        <w:t>ce 2020</w:t>
      </w:r>
      <w:r w:rsidRPr="00EB2612">
        <w:rPr>
          <w:rFonts w:cs="Arial"/>
          <w:szCs w:val="20"/>
        </w:rPr>
        <w:t xml:space="preserve"> přibližně</w:t>
      </w:r>
      <w:r w:rsidR="004C2373">
        <w:rPr>
          <w:rFonts w:cs="Arial"/>
          <w:szCs w:val="20"/>
        </w:rPr>
        <w:t xml:space="preserve"> 62</w:t>
      </w:r>
      <w:r w:rsidRPr="00EB2612">
        <w:rPr>
          <w:rFonts w:cs="Arial"/>
          <w:szCs w:val="20"/>
        </w:rPr>
        <w:t xml:space="preserve"> % osob ve věku 16–24 let. Četnost této </w:t>
      </w:r>
      <w:r>
        <w:rPr>
          <w:rFonts w:cs="Arial"/>
          <w:szCs w:val="20"/>
        </w:rPr>
        <w:t xml:space="preserve">aktivity </w:t>
      </w:r>
      <w:r w:rsidRPr="00EB2612">
        <w:rPr>
          <w:rFonts w:cs="Arial"/>
          <w:szCs w:val="20"/>
        </w:rPr>
        <w:t>výrazně poklesla u věkové kategorie 25–34 let</w:t>
      </w:r>
      <w:r w:rsidR="004C2373">
        <w:rPr>
          <w:rFonts w:cs="Arial"/>
          <w:szCs w:val="20"/>
        </w:rPr>
        <w:t xml:space="preserve"> (hraní her se věnovalo 34</w:t>
      </w:r>
      <w:r w:rsidRPr="00EB2612">
        <w:rPr>
          <w:rFonts w:cs="Arial"/>
          <w:szCs w:val="20"/>
        </w:rPr>
        <w:t xml:space="preserve"> % populace v této věkové kategorii) a dále klesala s přibývajícím věkem v populaci. Stahování či hraní počítačových her online je tedy doménou zejména mladých lidí a s přibývajícím věkem</w:t>
      </w:r>
      <w:r>
        <w:rPr>
          <w:rFonts w:cs="Arial"/>
          <w:szCs w:val="20"/>
        </w:rPr>
        <w:t xml:space="preserve"> hráčů výrazně ubývá</w:t>
      </w:r>
      <w:r w:rsidRPr="00EB2612">
        <w:rPr>
          <w:rFonts w:cs="Arial"/>
          <w:szCs w:val="20"/>
        </w:rPr>
        <w:t>.</w:t>
      </w:r>
    </w:p>
    <w:p w14:paraId="63BB7668" w14:textId="6539D7E0" w:rsidR="00DF3D88" w:rsidRPr="007747DF" w:rsidRDefault="00DF3D88" w:rsidP="00DF3D88">
      <w:pPr>
        <w:pStyle w:val="Titulek"/>
        <w:keepNext/>
        <w:rPr>
          <w:color w:val="auto"/>
        </w:rPr>
      </w:pPr>
      <w:r w:rsidRPr="00EB2612">
        <w:rPr>
          <w:color w:val="auto"/>
          <w:sz w:val="22"/>
          <w:szCs w:val="22"/>
        </w:rPr>
        <w:t>Graf 6</w:t>
      </w:r>
      <w:r w:rsidR="00347154">
        <w:rPr>
          <w:color w:val="auto"/>
          <w:sz w:val="22"/>
          <w:szCs w:val="22"/>
        </w:rPr>
        <w:t>2</w:t>
      </w:r>
      <w:r w:rsidRPr="00EB2612">
        <w:rPr>
          <w:color w:val="auto"/>
        </w:rPr>
        <w:t xml:space="preserve"> </w:t>
      </w:r>
      <w:r w:rsidRPr="007747DF">
        <w:rPr>
          <w:color w:val="auto"/>
          <w:sz w:val="22"/>
          <w:szCs w:val="22"/>
        </w:rPr>
        <w:t>Podíl osob využívajících internet ke hře či stahování</w:t>
      </w:r>
      <w:r>
        <w:rPr>
          <w:color w:val="auto"/>
          <w:sz w:val="22"/>
          <w:szCs w:val="22"/>
        </w:rPr>
        <w:t xml:space="preserve"> počítačových her v roce 2020</w:t>
      </w:r>
      <w:r w:rsidRPr="007747DF">
        <w:rPr>
          <w:color w:val="auto"/>
          <w:sz w:val="22"/>
          <w:szCs w:val="22"/>
        </w:rPr>
        <w:t>, podle věkových kategorií</w:t>
      </w:r>
    </w:p>
    <w:p w14:paraId="29BA5E1B" w14:textId="77777777" w:rsidR="00DF3D88" w:rsidRPr="00D044D0" w:rsidRDefault="00DF3D88" w:rsidP="00DF3D88">
      <w:pPr>
        <w:keepNext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6D3435FE" wp14:editId="49A636D9">
            <wp:extent cx="4819650" cy="3200400"/>
            <wp:effectExtent l="0" t="0" r="0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B901FB" w14:textId="77777777" w:rsidR="00DF3D88" w:rsidRPr="00EB2612" w:rsidRDefault="00DF3D88" w:rsidP="00DF3D88">
      <w:pPr>
        <w:pStyle w:val="Titulek"/>
        <w:rPr>
          <w:b w:val="0"/>
          <w:color w:val="auto"/>
          <w:sz w:val="22"/>
          <w:szCs w:val="22"/>
        </w:rPr>
      </w:pPr>
      <w:r w:rsidRPr="00EB2612">
        <w:rPr>
          <w:b w:val="0"/>
          <w:color w:val="auto"/>
          <w:sz w:val="22"/>
          <w:szCs w:val="22"/>
        </w:rPr>
        <w:t xml:space="preserve">Zdroj: </w:t>
      </w:r>
      <w:r w:rsidRPr="003F593B">
        <w:rPr>
          <w:b w:val="0"/>
          <w:color w:val="auto"/>
          <w:sz w:val="22"/>
          <w:szCs w:val="22"/>
        </w:rPr>
        <w:t>Výběrové šetření o informačních a komunikačních technologiích, ČSÚ</w:t>
      </w:r>
    </w:p>
    <w:p w14:paraId="6D8DE1A8" w14:textId="43F98A8A" w:rsidR="00DF3D88" w:rsidRPr="00EB2612" w:rsidRDefault="00DF3D88" w:rsidP="00DF3D88">
      <w:pPr>
        <w:rPr>
          <w:rFonts w:cs="Arial"/>
          <w:szCs w:val="20"/>
        </w:rPr>
      </w:pPr>
      <w:r w:rsidRPr="00EB2612">
        <w:rPr>
          <w:lang w:eastAsia="en-US"/>
        </w:rPr>
        <w:t>I přesto, že hraní her online je v rámci zemí evropské osmadvacítky zejména mužskou doménou, není zastoupení ženských hráček v jednotlivých zemích zanedbatelné. V Nizozemsku, které má v populaci 16–74 let vůbec nejvyšší podíl osob hrajících videohry</w:t>
      </w:r>
      <w:r>
        <w:rPr>
          <w:lang w:eastAsia="en-US"/>
        </w:rPr>
        <w:t xml:space="preserve"> online (53</w:t>
      </w:r>
      <w:r w:rsidRPr="00EB2612">
        <w:rPr>
          <w:rFonts w:cs="Arial"/>
          <w:szCs w:val="20"/>
        </w:rPr>
        <w:t>%)</w:t>
      </w:r>
      <w:r w:rsidRPr="00EB2612">
        <w:rPr>
          <w:lang w:eastAsia="en-US"/>
        </w:rPr>
        <w:t xml:space="preserve"> v EU, je </w:t>
      </w:r>
      <w:r>
        <w:rPr>
          <w:lang w:eastAsia="en-US"/>
        </w:rPr>
        <w:t xml:space="preserve">podíl hráčů a hráček vyrovnaný. Podíl hráčů a hráček je vyrovnaný i na Maltě a </w:t>
      </w:r>
      <w:r>
        <w:rPr>
          <w:rFonts w:cs="Arial"/>
          <w:szCs w:val="20"/>
        </w:rPr>
        <w:t>v</w:t>
      </w:r>
      <w:r w:rsidRPr="00EB2612">
        <w:rPr>
          <w:rFonts w:cs="Arial"/>
          <w:szCs w:val="20"/>
        </w:rPr>
        <w:t>elký</w:t>
      </w:r>
      <w:r>
        <w:rPr>
          <w:rFonts w:cs="Arial"/>
          <w:szCs w:val="20"/>
        </w:rPr>
        <w:t xml:space="preserve"> podíl hráček má také Dánsko (45</w:t>
      </w:r>
      <w:r w:rsidRPr="00EB2612">
        <w:rPr>
          <w:rFonts w:cs="Arial"/>
          <w:szCs w:val="20"/>
        </w:rPr>
        <w:t>%)</w:t>
      </w:r>
      <w:r>
        <w:rPr>
          <w:rFonts w:cs="Arial"/>
          <w:szCs w:val="20"/>
        </w:rPr>
        <w:t>.</w:t>
      </w:r>
      <w:r w:rsidRPr="00EB2612">
        <w:rPr>
          <w:rFonts w:cs="Arial"/>
          <w:szCs w:val="20"/>
        </w:rPr>
        <w:t xml:space="preserve"> Naopak v </w:t>
      </w:r>
      <w:r>
        <w:rPr>
          <w:rFonts w:cs="Arial"/>
          <w:szCs w:val="20"/>
        </w:rPr>
        <w:t>Č</w:t>
      </w:r>
      <w:r w:rsidRPr="00EB2612">
        <w:rPr>
          <w:rFonts w:cs="Arial"/>
          <w:szCs w:val="20"/>
        </w:rPr>
        <w:t>esku, kter</w:t>
      </w:r>
      <w:r>
        <w:rPr>
          <w:rFonts w:cs="Arial"/>
          <w:szCs w:val="20"/>
        </w:rPr>
        <w:t>é je s 21</w:t>
      </w:r>
      <w:r w:rsidRPr="00EB2612">
        <w:rPr>
          <w:rFonts w:cs="Arial"/>
          <w:szCs w:val="20"/>
        </w:rPr>
        <w:t>% podíl</w:t>
      </w:r>
      <w:r>
        <w:rPr>
          <w:rFonts w:cs="Arial"/>
          <w:szCs w:val="20"/>
        </w:rPr>
        <w:t>em osob hrajících videohry na 21</w:t>
      </w:r>
      <w:r w:rsidRPr="00EB2612">
        <w:rPr>
          <w:rFonts w:cs="Arial"/>
          <w:szCs w:val="20"/>
        </w:rPr>
        <w:t>. místě evropského žebříčku, je zastoupení hráček v porovnání s ostatními zeměmi nízké. V populaci 16</w:t>
      </w:r>
      <w:r w:rsidRPr="00EB2612">
        <w:rPr>
          <w:lang w:eastAsia="en-US"/>
        </w:rPr>
        <w:t>–</w:t>
      </w:r>
      <w:r>
        <w:rPr>
          <w:rFonts w:cs="Arial"/>
          <w:szCs w:val="20"/>
        </w:rPr>
        <w:t>74 let je v Česku 28 % hráčů a pouze 15</w:t>
      </w:r>
      <w:r w:rsidRPr="00EB2612">
        <w:rPr>
          <w:rFonts w:cs="Arial"/>
          <w:szCs w:val="20"/>
        </w:rPr>
        <w:t xml:space="preserve"> % hráček. Nejmén</w:t>
      </w:r>
      <w:r w:rsidR="004C2373">
        <w:rPr>
          <w:rFonts w:cs="Arial"/>
          <w:szCs w:val="20"/>
        </w:rPr>
        <w:t>ě hráček najdeme v Bulharsku (9</w:t>
      </w:r>
      <w:r w:rsidRPr="00EB2612">
        <w:rPr>
          <w:rFonts w:cs="Arial"/>
          <w:szCs w:val="20"/>
        </w:rPr>
        <w:t xml:space="preserve"> %).</w:t>
      </w:r>
    </w:p>
    <w:p w14:paraId="7716E463" w14:textId="5E847D83" w:rsidR="00DF3D88" w:rsidRPr="00EB2612" w:rsidRDefault="00DF3D88" w:rsidP="00DF3D88">
      <w:pPr>
        <w:pStyle w:val="Titulek"/>
        <w:keepNext/>
        <w:rPr>
          <w:color w:val="auto"/>
          <w:sz w:val="22"/>
          <w:szCs w:val="22"/>
        </w:rPr>
      </w:pPr>
      <w:r w:rsidRPr="00270851">
        <w:rPr>
          <w:color w:val="auto"/>
          <w:sz w:val="22"/>
          <w:szCs w:val="22"/>
        </w:rPr>
        <w:lastRenderedPageBreak/>
        <w:t xml:space="preserve">Graf </w:t>
      </w:r>
      <w:r w:rsidR="00347154">
        <w:rPr>
          <w:color w:val="auto"/>
          <w:sz w:val="22"/>
          <w:szCs w:val="22"/>
        </w:rPr>
        <w:t>63</w:t>
      </w:r>
      <w:r w:rsidRPr="00270851">
        <w:rPr>
          <w:color w:val="auto"/>
          <w:sz w:val="22"/>
          <w:szCs w:val="22"/>
        </w:rPr>
        <w:t xml:space="preserve"> </w:t>
      </w:r>
      <w:r w:rsidRPr="0035551D">
        <w:rPr>
          <w:color w:val="auto"/>
          <w:sz w:val="22"/>
          <w:szCs w:val="22"/>
        </w:rPr>
        <w:t>Podíl osob ve věku 16–74 let využívajících internet k hraní či stahování počítačových her podle pohlaví, 2020</w:t>
      </w:r>
    </w:p>
    <w:p w14:paraId="44449BA2" w14:textId="77777777" w:rsidR="00DF3D88" w:rsidRPr="00EB2612" w:rsidRDefault="00DF3D88" w:rsidP="00DF3D88">
      <w:pPr>
        <w:rPr>
          <w:lang w:eastAsia="en-US"/>
        </w:rPr>
      </w:pPr>
      <w:r>
        <w:rPr>
          <w:noProof/>
        </w:rPr>
        <w:drawing>
          <wp:inline distT="0" distB="0" distL="0" distR="0" wp14:anchorId="63AC3857" wp14:editId="409AA691">
            <wp:extent cx="6134100" cy="2409825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135E76" w14:textId="77777777" w:rsidR="00DF3D88" w:rsidRPr="00EB2612" w:rsidRDefault="00DF3D88" w:rsidP="00DF3D88">
      <w:pPr>
        <w:rPr>
          <w:lang w:eastAsia="en-US"/>
        </w:rPr>
      </w:pPr>
      <w:r w:rsidRPr="00EB2612">
        <w:rPr>
          <w:lang w:eastAsia="en-US"/>
        </w:rPr>
        <w:t>Zdroj: ICT usage in households and by individuals,</w:t>
      </w:r>
      <w:r w:rsidRPr="00EB2612">
        <w:rPr>
          <w:szCs w:val="22"/>
          <w:lang w:eastAsia="en-US"/>
        </w:rPr>
        <w:t xml:space="preserve"> </w:t>
      </w:r>
      <w:r w:rsidRPr="00EB2612">
        <w:rPr>
          <w:rFonts w:asciiTheme="minorHAnsi" w:hAnsiTheme="minorHAnsi"/>
          <w:sz w:val="22"/>
          <w:szCs w:val="22"/>
          <w:lang w:eastAsia="en-US"/>
        </w:rPr>
        <w:t>Eurostat</w:t>
      </w:r>
    </w:p>
    <w:p w14:paraId="5D1B88B7" w14:textId="77777777" w:rsidR="00DF3D88" w:rsidRPr="00EB2612" w:rsidRDefault="00DF3D88" w:rsidP="00DF3D88">
      <w:pPr>
        <w:rPr>
          <w:lang w:eastAsia="en-US"/>
        </w:rPr>
      </w:pPr>
      <w:r>
        <w:rPr>
          <w:lang w:eastAsia="en-US"/>
        </w:rPr>
        <w:t>Formy</w:t>
      </w:r>
      <w:r w:rsidRPr="00EB2612">
        <w:rPr>
          <w:lang w:eastAsia="en-US"/>
        </w:rPr>
        <w:t xml:space="preserve"> hraní počítačových her v české populaci můžeme nepřímo odhadnout podle cílení českých vývojářských firem (nutno však podotknout, že zdaleka ne všechny se zaměřují primárně na český herní trh). Nejčastější platformou, pro kterou jsou u nás vyráběny hry, jsou podle dat Asociace českých herních vývojářů z</w:t>
      </w:r>
      <w:r>
        <w:rPr>
          <w:lang w:eastAsia="en-US"/>
        </w:rPr>
        <w:t>a referenční rok 2019</w:t>
      </w:r>
      <w:r w:rsidRPr="00EB2612">
        <w:rPr>
          <w:lang w:eastAsia="en-US"/>
        </w:rPr>
        <w:t xml:space="preserve"> stále počítače a herní konzole. Přibližně 67 </w:t>
      </w:r>
      <w:r w:rsidRPr="00EB2612">
        <w:rPr>
          <w:rFonts w:cs="Arial"/>
          <w:szCs w:val="20"/>
        </w:rPr>
        <w:t>% vývojářských společností se zaměřuje na tento segment trhu. Druhou nejčastější platformou jsou mobilní telefony</w:t>
      </w:r>
      <w:r>
        <w:rPr>
          <w:rFonts w:cs="Arial"/>
          <w:szCs w:val="20"/>
        </w:rPr>
        <w:t xml:space="preserve"> a tablety</w:t>
      </w:r>
      <w:r w:rsidRPr="00EB2612">
        <w:rPr>
          <w:rFonts w:cs="Arial"/>
          <w:szCs w:val="20"/>
        </w:rPr>
        <w:t>, pro které vyrábí hry 41</w:t>
      </w:r>
      <w:r>
        <w:rPr>
          <w:rFonts w:cs="Arial"/>
          <w:szCs w:val="20"/>
        </w:rPr>
        <w:t> </w:t>
      </w:r>
      <w:r w:rsidRPr="00EB2612">
        <w:rPr>
          <w:rFonts w:cs="Arial"/>
          <w:szCs w:val="20"/>
        </w:rPr>
        <w:t>% českých vývojářů. Výrazně méně českých herních společností se zaměřuje na webové hry (16 %) a</w:t>
      </w:r>
      <w:r>
        <w:rPr>
          <w:rFonts w:cs="Arial"/>
          <w:szCs w:val="20"/>
        </w:rPr>
        <w:t> </w:t>
      </w:r>
      <w:r w:rsidRPr="00EB2612">
        <w:rPr>
          <w:rFonts w:cs="Arial"/>
          <w:szCs w:val="20"/>
        </w:rPr>
        <w:t xml:space="preserve">virtuální či rozšířenou realitu (8 %). V roce 2019 bylo </w:t>
      </w:r>
      <w:r>
        <w:rPr>
          <w:rFonts w:cs="Arial"/>
          <w:szCs w:val="20"/>
        </w:rPr>
        <w:t xml:space="preserve">v Česku </w:t>
      </w:r>
      <w:r w:rsidRPr="00EB2612">
        <w:rPr>
          <w:rFonts w:cs="Arial"/>
          <w:szCs w:val="20"/>
        </w:rPr>
        <w:t>vydáno celkem 65 her, což je přibližně dvakrát více než v</w:t>
      </w:r>
      <w:r>
        <w:rPr>
          <w:rFonts w:cs="Arial"/>
          <w:szCs w:val="20"/>
        </w:rPr>
        <w:t xml:space="preserve"> </w:t>
      </w:r>
      <w:r w:rsidRPr="00EB2612">
        <w:rPr>
          <w:rFonts w:cs="Arial"/>
          <w:szCs w:val="20"/>
        </w:rPr>
        <w:t>roce 2018.</w:t>
      </w:r>
    </w:p>
    <w:p w14:paraId="0458C8FF" w14:textId="0C187AED" w:rsidR="00DF3D88" w:rsidRPr="00EB2612" w:rsidRDefault="00DF3D88" w:rsidP="00DF3D88">
      <w:pPr>
        <w:pStyle w:val="Titulek"/>
        <w:keepNext/>
        <w:rPr>
          <w:color w:val="auto"/>
          <w:sz w:val="22"/>
          <w:szCs w:val="22"/>
        </w:rPr>
      </w:pPr>
      <w:r w:rsidRPr="00EB2612">
        <w:rPr>
          <w:color w:val="auto"/>
          <w:sz w:val="22"/>
          <w:szCs w:val="22"/>
        </w:rPr>
        <w:t>Graf 6</w:t>
      </w:r>
      <w:r w:rsidR="00347154">
        <w:rPr>
          <w:color w:val="auto"/>
          <w:sz w:val="22"/>
          <w:szCs w:val="22"/>
        </w:rPr>
        <w:t>4</w:t>
      </w:r>
      <w:r w:rsidRPr="00EB2612">
        <w:rPr>
          <w:color w:val="auto"/>
          <w:sz w:val="22"/>
          <w:szCs w:val="22"/>
        </w:rPr>
        <w:t xml:space="preserve"> </w:t>
      </w:r>
      <w:r w:rsidRPr="00D25DD0">
        <w:rPr>
          <w:color w:val="auto"/>
          <w:sz w:val="22"/>
          <w:szCs w:val="22"/>
        </w:rPr>
        <w:t>Herní platformy podle zaměření českých vývojářských společností v roce 2019</w:t>
      </w:r>
    </w:p>
    <w:p w14:paraId="5D23A36B" w14:textId="6EC87E08" w:rsidR="00DF3D88" w:rsidRPr="00EB2612" w:rsidRDefault="00090A4C" w:rsidP="00DF3D88">
      <w:pPr>
        <w:keepNext/>
        <w:jc w:val="center"/>
      </w:pPr>
      <w:r>
        <w:rPr>
          <w:noProof/>
        </w:rPr>
        <w:drawing>
          <wp:inline distT="0" distB="0" distL="0" distR="0" wp14:anchorId="1C97DEBC" wp14:editId="7211E27E">
            <wp:extent cx="4867275" cy="2286000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413655" w14:textId="05D773F3" w:rsidR="00DF3D88" w:rsidRDefault="00DF3D88" w:rsidP="00DF3D88">
      <w:pPr>
        <w:pStyle w:val="Titulek"/>
        <w:rPr>
          <w:b w:val="0"/>
          <w:color w:val="auto"/>
          <w:sz w:val="22"/>
          <w:szCs w:val="22"/>
        </w:rPr>
      </w:pPr>
      <w:r w:rsidRPr="00EB2612">
        <w:rPr>
          <w:b w:val="0"/>
          <w:color w:val="auto"/>
          <w:sz w:val="22"/>
          <w:szCs w:val="22"/>
        </w:rPr>
        <w:t>Zdroj: Asociac</w:t>
      </w:r>
      <w:r w:rsidR="00E66E6F">
        <w:rPr>
          <w:b w:val="0"/>
          <w:color w:val="auto"/>
          <w:sz w:val="22"/>
          <w:szCs w:val="22"/>
        </w:rPr>
        <w:t>e českých herních vývojářů</w:t>
      </w:r>
    </w:p>
    <w:p w14:paraId="4FCE3B63" w14:textId="77777777" w:rsidR="00DF3D88" w:rsidRPr="008D0F23" w:rsidRDefault="00DF3D88" w:rsidP="00DF3D88">
      <w:pPr>
        <w:rPr>
          <w:lang w:eastAsia="en-US"/>
        </w:rPr>
      </w:pPr>
      <w:r>
        <w:rPr>
          <w:lang w:eastAsia="en-US"/>
        </w:rPr>
        <w:t xml:space="preserve">Podle nejnovějších odhadů výzkumné společnosti Newzoo se v roce 2021 budou na celosvětových tržbách nejvíce podílet hry určené pro smartphone či tablet (52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). Silnou pozici si však stále udrží hry </w:t>
      </w:r>
      <w:r>
        <w:rPr>
          <w:lang w:eastAsia="en-US"/>
        </w:rPr>
        <w:t xml:space="preserve">určené pro PC či herní konzole (47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>)</w:t>
      </w:r>
      <w:r>
        <w:rPr>
          <w:lang w:eastAsia="en-US"/>
        </w:rPr>
        <w:t xml:space="preserve">. Tržby z prodeje her, které lidé hrají přes webové prohlížeče, se na celosvětových tržbách podílí pouze okrajově (1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). Celkové tržby z her pro zmíněné platformy by měly v roce 2021 dosáhnout </w:t>
      </w:r>
      <w:r>
        <w:rPr>
          <w:rFonts w:cs="Arial"/>
          <w:szCs w:val="20"/>
        </w:rPr>
        <w:lastRenderedPageBreak/>
        <w:t xml:space="preserve">necelých 176 mld. USD a ve srovnání s rokem 2020 klesnout přibližně o 1,1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>. Odhaduje se, že tržby meziročně klesnou hlavně v segmentu her pro PC a herní konzole a to kvůli zpoždění ve výrobě způsobeném dopady celosvětové pandemie COVID-19. Oproti hrám pro mobilní zařízení mají hry určené pro PC či herní konzole obvykle větší vývojářský tým a náklady na produkci. Proto se očekává, že tento segment bude pandemií více zatížen (Newzoo, 2021).</w:t>
      </w:r>
    </w:p>
    <w:p w14:paraId="35C91D02" w14:textId="50AA3D2D" w:rsidR="00DF3D88" w:rsidRDefault="00DF3D88" w:rsidP="00DF3D88">
      <w:pPr>
        <w:spacing w:before="120"/>
        <w:rPr>
          <w:rFonts w:asciiTheme="minorHAnsi" w:hAnsiTheme="minorHAnsi"/>
          <w:b/>
          <w:sz w:val="22"/>
          <w:szCs w:val="22"/>
        </w:rPr>
      </w:pPr>
      <w:r w:rsidRPr="00D25DD0">
        <w:rPr>
          <w:rFonts w:asciiTheme="minorHAnsi" w:hAnsiTheme="minorHAnsi"/>
          <w:b/>
          <w:sz w:val="22"/>
          <w:szCs w:val="22"/>
        </w:rPr>
        <w:t>Gra</w:t>
      </w:r>
      <w:r w:rsidR="00347154">
        <w:rPr>
          <w:rFonts w:asciiTheme="minorHAnsi" w:hAnsiTheme="minorHAnsi"/>
          <w:b/>
          <w:sz w:val="22"/>
          <w:szCs w:val="22"/>
        </w:rPr>
        <w:t>f 65</w:t>
      </w:r>
      <w:r>
        <w:rPr>
          <w:rFonts w:asciiTheme="minorHAnsi" w:hAnsiTheme="minorHAnsi"/>
          <w:b/>
          <w:sz w:val="22"/>
          <w:szCs w:val="22"/>
        </w:rPr>
        <w:t xml:space="preserve"> Podíl světových tržeb podle herních platforem v roce 2021 (odhad)</w:t>
      </w:r>
    </w:p>
    <w:p w14:paraId="7F6A999C" w14:textId="268E12DB" w:rsidR="00DF3D88" w:rsidRDefault="00090A4C" w:rsidP="00DF3D88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337615EE" wp14:editId="323E3FBF">
            <wp:extent cx="4476750" cy="2257425"/>
            <wp:effectExtent l="0" t="0" r="0" b="0"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93E53E" w14:textId="77777777" w:rsidR="00DF3D88" w:rsidRPr="004E37AC" w:rsidRDefault="00DF3D88" w:rsidP="00DF3D88">
      <w:pPr>
        <w:spacing w:before="120"/>
        <w:rPr>
          <w:rFonts w:asciiTheme="minorHAnsi" w:hAnsiTheme="minorHAnsi"/>
          <w:sz w:val="22"/>
          <w:szCs w:val="22"/>
        </w:rPr>
      </w:pPr>
      <w:r w:rsidRPr="004E37AC">
        <w:rPr>
          <w:rFonts w:asciiTheme="minorHAnsi" w:hAnsiTheme="minorHAnsi"/>
          <w:sz w:val="22"/>
          <w:szCs w:val="22"/>
        </w:rPr>
        <w:t>Zdroj: Newzoo</w:t>
      </w:r>
    </w:p>
    <w:p w14:paraId="3FCE40D5" w14:textId="391C5554" w:rsidR="00DF3D88" w:rsidRPr="00EB2612" w:rsidRDefault="00DF3D88" w:rsidP="00DF3D88">
      <w:r>
        <w:t xml:space="preserve">Opatření proti šíření nemoci COVID-19 se promítla také do herních návyků napříč zeměmi. </w:t>
      </w:r>
      <w:r w:rsidRPr="00EB2612">
        <w:t xml:space="preserve">Podle dat evropské společnosti Interactive Software Federation of Europe vzrostl </w:t>
      </w:r>
      <w:r>
        <w:t xml:space="preserve">průměrný </w:t>
      </w:r>
      <w:r w:rsidRPr="00EB2612">
        <w:t xml:space="preserve">čas </w:t>
      </w:r>
      <w:r w:rsidR="00090A4C">
        <w:t>s</w:t>
      </w:r>
      <w:r w:rsidRPr="00EB2612">
        <w:t>trávený hraním videoher ve druhém čtvrtletí roku 2020 oproti stejnému období předchozího roku přibližně o 1,5 hodiny</w:t>
      </w:r>
      <w:r w:rsidR="00EF0540">
        <w:t xml:space="preserve"> týdně. Údaje pocházejí z online</w:t>
      </w:r>
      <w:r w:rsidRPr="00EB2612">
        <w:t xml:space="preserve"> šetření GameTrack, kterého se účastní respondenti ve věku 11 až 64 let ze Spojeného království, Francie, Německa, Španělska a Itálie. Z šetření také vyplývá že, během jarních měsíců přibylo v rámci hraní videoher interakce s ostatními hráči </w:t>
      </w:r>
      <w:r w:rsidRPr="00EB2612">
        <w:rPr>
          <w:lang w:eastAsia="en-US"/>
        </w:rPr>
        <w:t>–</w:t>
      </w:r>
      <w:r w:rsidRPr="00EB2612">
        <w:t xml:space="preserve"> každý pátý hráč trávil více času hraním her s rodinou či přáteli a přibližně každý pátý rodič strávil během období pandemie více času hraním videoher se svými dětmi (ISFE, 2020).</w:t>
      </w:r>
    </w:p>
    <w:p w14:paraId="669A05E4" w14:textId="3890C3CA" w:rsidR="00DF3D88" w:rsidRPr="00EB2612" w:rsidRDefault="00DF3D88" w:rsidP="00DF3D88">
      <w:pPr>
        <w:pStyle w:val="Titulek"/>
        <w:keepNext/>
        <w:jc w:val="left"/>
        <w:rPr>
          <w:b w:val="0"/>
          <w:color w:val="auto"/>
          <w:sz w:val="22"/>
          <w:szCs w:val="22"/>
        </w:rPr>
      </w:pPr>
      <w:r w:rsidRPr="00EB2612">
        <w:rPr>
          <w:color w:val="auto"/>
          <w:sz w:val="22"/>
          <w:szCs w:val="22"/>
        </w:rPr>
        <w:t xml:space="preserve">Graf </w:t>
      </w:r>
      <w:r w:rsidR="00347154">
        <w:rPr>
          <w:color w:val="auto"/>
          <w:sz w:val="22"/>
          <w:szCs w:val="22"/>
        </w:rPr>
        <w:t>66</w:t>
      </w:r>
      <w:r w:rsidRPr="00EB2612">
        <w:rPr>
          <w:b w:val="0"/>
          <w:color w:val="auto"/>
          <w:sz w:val="22"/>
          <w:szCs w:val="22"/>
        </w:rPr>
        <w:t xml:space="preserve"> </w:t>
      </w:r>
      <w:r w:rsidR="00A5572C">
        <w:rPr>
          <w:color w:val="auto"/>
          <w:sz w:val="22"/>
          <w:szCs w:val="22"/>
        </w:rPr>
        <w:t>Průměrná doba hraní za týden</w:t>
      </w:r>
      <w:r w:rsidRPr="00AB5207">
        <w:rPr>
          <w:color w:val="auto"/>
          <w:sz w:val="22"/>
          <w:szCs w:val="22"/>
        </w:rPr>
        <w:t xml:space="preserve"> hráči ve věku 11 až 64 let na libovolné platformě (pouze osoby používající internet)</w:t>
      </w:r>
    </w:p>
    <w:p w14:paraId="3DE0E5DA" w14:textId="77777777" w:rsidR="00DF3D88" w:rsidRPr="00EB2612" w:rsidRDefault="00DF3D88" w:rsidP="00DF3D88">
      <w:pPr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EB2612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CC82BF3" wp14:editId="1FDBC98B">
            <wp:extent cx="4991100" cy="2124075"/>
            <wp:effectExtent l="0" t="0" r="0" b="0"/>
            <wp:docPr id="118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DEB6DB" w14:textId="77777777" w:rsidR="00DF3D88" w:rsidRPr="00EB2612" w:rsidRDefault="00DF3D88" w:rsidP="00DF3D88">
      <w:pPr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EB2612">
        <w:rPr>
          <w:rFonts w:asciiTheme="minorHAnsi" w:hAnsiTheme="minorHAnsi"/>
          <w:sz w:val="22"/>
          <w:szCs w:val="22"/>
        </w:rPr>
        <w:t>Zdroj: Interactive Software Federation of Europe</w:t>
      </w:r>
    </w:p>
    <w:bookmarkEnd w:id="2"/>
    <w:p w14:paraId="3619E785" w14:textId="71F98014" w:rsidR="00DF3D88" w:rsidRDefault="00DF3D88" w:rsidP="00DF3D88">
      <w:pPr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sectPr w:rsidR="00DF3D88" w:rsidSect="00205F6A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680" w:footer="680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EC84D" w14:textId="77777777" w:rsidR="009674C9" w:rsidRDefault="009674C9" w:rsidP="00E71A58">
      <w:r>
        <w:separator/>
      </w:r>
    </w:p>
  </w:endnote>
  <w:endnote w:type="continuationSeparator" w:id="0">
    <w:p w14:paraId="0B82C04E" w14:textId="77777777" w:rsidR="009674C9" w:rsidRDefault="009674C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Arial"/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ED2B" w14:textId="07DAA700" w:rsidR="00D044D0" w:rsidRPr="0094032D" w:rsidRDefault="00D044D0" w:rsidP="0094032D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1E6FC2A" wp14:editId="6564A242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205F6A">
      <w:rPr>
        <w:rFonts w:ascii="Arial" w:hAnsi="Arial" w:cs="Arial"/>
        <w:noProof/>
        <w:sz w:val="16"/>
        <w:szCs w:val="16"/>
      </w:rPr>
      <w:t>60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2020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02A78" w14:textId="000759DD" w:rsidR="00D044D0" w:rsidRDefault="00D044D0" w:rsidP="00B56E4B">
    <w:pPr>
      <w:pStyle w:val="Zpat"/>
      <w:tabs>
        <w:tab w:val="clear" w:pos="4536"/>
        <w:tab w:val="clear" w:pos="9072"/>
        <w:tab w:val="left" w:pos="1134"/>
        <w:tab w:val="left" w:pos="1843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0B1B75C" wp14:editId="1CD42827">
          <wp:simplePos x="0" y="0"/>
          <wp:positionH relativeFrom="column">
            <wp:posOffset>3810</wp:posOffset>
          </wp:positionH>
          <wp:positionV relativeFrom="paragraph">
            <wp:posOffset>-83820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2020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205F6A">
      <w:rPr>
        <w:rFonts w:ascii="Arial" w:hAnsi="Arial" w:cs="Arial"/>
        <w:noProof/>
        <w:sz w:val="16"/>
        <w:szCs w:val="16"/>
      </w:rPr>
      <w:t>57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B4E5" w14:textId="77777777" w:rsidR="009674C9" w:rsidRDefault="009674C9" w:rsidP="00E71A58">
      <w:r>
        <w:separator/>
      </w:r>
    </w:p>
  </w:footnote>
  <w:footnote w:type="continuationSeparator" w:id="0">
    <w:p w14:paraId="57679F69" w14:textId="77777777" w:rsidR="009674C9" w:rsidRDefault="009674C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CC2E" w14:textId="77777777" w:rsidR="00D044D0" w:rsidRPr="00AD306C" w:rsidRDefault="00D044D0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E070" w14:textId="77777777" w:rsidR="00D044D0" w:rsidRPr="00DC5B3B" w:rsidRDefault="00D044D0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B753F5"/>
    <w:multiLevelType w:val="hybridMultilevel"/>
    <w:tmpl w:val="EA44B3D4"/>
    <w:lvl w:ilvl="0" w:tplc="2C68D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A6449C"/>
    <w:multiLevelType w:val="multilevel"/>
    <w:tmpl w:val="3EBC3C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5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9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9E"/>
    <w:rsid w:val="00001CBC"/>
    <w:rsid w:val="0000213E"/>
    <w:rsid w:val="00003EB5"/>
    <w:rsid w:val="000055B7"/>
    <w:rsid w:val="000057AA"/>
    <w:rsid w:val="00005C1A"/>
    <w:rsid w:val="00006E97"/>
    <w:rsid w:val="000073B4"/>
    <w:rsid w:val="0000746B"/>
    <w:rsid w:val="0000767A"/>
    <w:rsid w:val="00010702"/>
    <w:rsid w:val="0001137B"/>
    <w:rsid w:val="000114A4"/>
    <w:rsid w:val="00011DA8"/>
    <w:rsid w:val="00011F3D"/>
    <w:rsid w:val="00012C46"/>
    <w:rsid w:val="0001315B"/>
    <w:rsid w:val="00013DBA"/>
    <w:rsid w:val="00014F4C"/>
    <w:rsid w:val="00015D27"/>
    <w:rsid w:val="00015DE3"/>
    <w:rsid w:val="00016534"/>
    <w:rsid w:val="00020722"/>
    <w:rsid w:val="00020FF8"/>
    <w:rsid w:val="00023EDD"/>
    <w:rsid w:val="0002490C"/>
    <w:rsid w:val="000251B8"/>
    <w:rsid w:val="00026804"/>
    <w:rsid w:val="00027455"/>
    <w:rsid w:val="00030619"/>
    <w:rsid w:val="000324AE"/>
    <w:rsid w:val="00033CE1"/>
    <w:rsid w:val="000343E1"/>
    <w:rsid w:val="00035134"/>
    <w:rsid w:val="000360F3"/>
    <w:rsid w:val="00037107"/>
    <w:rsid w:val="00037854"/>
    <w:rsid w:val="00040658"/>
    <w:rsid w:val="000414D9"/>
    <w:rsid w:val="00041902"/>
    <w:rsid w:val="00042038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50886"/>
    <w:rsid w:val="00051988"/>
    <w:rsid w:val="00052F4D"/>
    <w:rsid w:val="00054903"/>
    <w:rsid w:val="00054D69"/>
    <w:rsid w:val="00056176"/>
    <w:rsid w:val="0006117E"/>
    <w:rsid w:val="000624C6"/>
    <w:rsid w:val="0006271F"/>
    <w:rsid w:val="00062EC5"/>
    <w:rsid w:val="000630A6"/>
    <w:rsid w:val="000636B3"/>
    <w:rsid w:val="00063FC1"/>
    <w:rsid w:val="00065A43"/>
    <w:rsid w:val="000665F4"/>
    <w:rsid w:val="00067B3F"/>
    <w:rsid w:val="00067FD5"/>
    <w:rsid w:val="00070E6A"/>
    <w:rsid w:val="000728C1"/>
    <w:rsid w:val="00072ED0"/>
    <w:rsid w:val="0007483B"/>
    <w:rsid w:val="00075BB9"/>
    <w:rsid w:val="00075EB5"/>
    <w:rsid w:val="00076B2C"/>
    <w:rsid w:val="00077ECA"/>
    <w:rsid w:val="00082977"/>
    <w:rsid w:val="00084A0D"/>
    <w:rsid w:val="00086610"/>
    <w:rsid w:val="00086DBB"/>
    <w:rsid w:val="00087634"/>
    <w:rsid w:val="00090A4C"/>
    <w:rsid w:val="00092D20"/>
    <w:rsid w:val="00093340"/>
    <w:rsid w:val="00096D5E"/>
    <w:rsid w:val="000A0B24"/>
    <w:rsid w:val="000A0F0E"/>
    <w:rsid w:val="000A0FF8"/>
    <w:rsid w:val="000A1183"/>
    <w:rsid w:val="000A1A9F"/>
    <w:rsid w:val="000A1C9C"/>
    <w:rsid w:val="000A3293"/>
    <w:rsid w:val="000A344D"/>
    <w:rsid w:val="000A36DA"/>
    <w:rsid w:val="000A5D59"/>
    <w:rsid w:val="000A72DF"/>
    <w:rsid w:val="000B2D38"/>
    <w:rsid w:val="000B3393"/>
    <w:rsid w:val="000B3817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0A66"/>
    <w:rsid w:val="000D21E1"/>
    <w:rsid w:val="000D3256"/>
    <w:rsid w:val="000D3FD9"/>
    <w:rsid w:val="000D3FEF"/>
    <w:rsid w:val="000D41C4"/>
    <w:rsid w:val="000D50FF"/>
    <w:rsid w:val="000E077B"/>
    <w:rsid w:val="000E0D24"/>
    <w:rsid w:val="000E178F"/>
    <w:rsid w:val="000E334B"/>
    <w:rsid w:val="000E3B13"/>
    <w:rsid w:val="000E3F07"/>
    <w:rsid w:val="000E3F11"/>
    <w:rsid w:val="000E44A0"/>
    <w:rsid w:val="000E4FAD"/>
    <w:rsid w:val="000E5EEF"/>
    <w:rsid w:val="000E5F9D"/>
    <w:rsid w:val="000E7074"/>
    <w:rsid w:val="000F0B50"/>
    <w:rsid w:val="000F1F8C"/>
    <w:rsid w:val="000F4B0F"/>
    <w:rsid w:val="000F6B80"/>
    <w:rsid w:val="000F6FFD"/>
    <w:rsid w:val="0010042A"/>
    <w:rsid w:val="001009D1"/>
    <w:rsid w:val="00103D6C"/>
    <w:rsid w:val="00104257"/>
    <w:rsid w:val="001042A6"/>
    <w:rsid w:val="0010446E"/>
    <w:rsid w:val="00105D5C"/>
    <w:rsid w:val="00107B33"/>
    <w:rsid w:val="00112249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1AF"/>
    <w:rsid w:val="0012173C"/>
    <w:rsid w:val="00121FC2"/>
    <w:rsid w:val="00121FC7"/>
    <w:rsid w:val="00122CFA"/>
    <w:rsid w:val="001252B4"/>
    <w:rsid w:val="0012581B"/>
    <w:rsid w:val="00126988"/>
    <w:rsid w:val="00126EBA"/>
    <w:rsid w:val="00126F11"/>
    <w:rsid w:val="00127405"/>
    <w:rsid w:val="001275BC"/>
    <w:rsid w:val="00130F4A"/>
    <w:rsid w:val="00132090"/>
    <w:rsid w:val="00134285"/>
    <w:rsid w:val="001342F6"/>
    <w:rsid w:val="00134579"/>
    <w:rsid w:val="00135B17"/>
    <w:rsid w:val="0013662C"/>
    <w:rsid w:val="00136A04"/>
    <w:rsid w:val="0014040A"/>
    <w:rsid w:val="001405FA"/>
    <w:rsid w:val="00141131"/>
    <w:rsid w:val="00141268"/>
    <w:rsid w:val="00141308"/>
    <w:rsid w:val="00141FE5"/>
    <w:rsid w:val="001425C3"/>
    <w:rsid w:val="00143AB2"/>
    <w:rsid w:val="00145A10"/>
    <w:rsid w:val="00145EE4"/>
    <w:rsid w:val="001467F1"/>
    <w:rsid w:val="001471DB"/>
    <w:rsid w:val="00147436"/>
    <w:rsid w:val="00147DC4"/>
    <w:rsid w:val="00150997"/>
    <w:rsid w:val="00150D41"/>
    <w:rsid w:val="001531C9"/>
    <w:rsid w:val="00154174"/>
    <w:rsid w:val="00154890"/>
    <w:rsid w:val="001548F9"/>
    <w:rsid w:val="00154C09"/>
    <w:rsid w:val="00154C75"/>
    <w:rsid w:val="0015526E"/>
    <w:rsid w:val="00155FA2"/>
    <w:rsid w:val="001577FA"/>
    <w:rsid w:val="00157EB6"/>
    <w:rsid w:val="0016269D"/>
    <w:rsid w:val="00162937"/>
    <w:rsid w:val="00162FCB"/>
    <w:rsid w:val="00163793"/>
    <w:rsid w:val="001661C5"/>
    <w:rsid w:val="001665E5"/>
    <w:rsid w:val="00166697"/>
    <w:rsid w:val="001670A1"/>
    <w:rsid w:val="00167452"/>
    <w:rsid w:val="00167C65"/>
    <w:rsid w:val="0017016E"/>
    <w:rsid w:val="00170E8B"/>
    <w:rsid w:val="001714F2"/>
    <w:rsid w:val="00171A03"/>
    <w:rsid w:val="00171D41"/>
    <w:rsid w:val="00172569"/>
    <w:rsid w:val="00173531"/>
    <w:rsid w:val="00173703"/>
    <w:rsid w:val="001760CA"/>
    <w:rsid w:val="001801FE"/>
    <w:rsid w:val="00180F64"/>
    <w:rsid w:val="00182456"/>
    <w:rsid w:val="00182CF3"/>
    <w:rsid w:val="0018356F"/>
    <w:rsid w:val="00183E00"/>
    <w:rsid w:val="00184AD2"/>
    <w:rsid w:val="00184B71"/>
    <w:rsid w:val="00184C98"/>
    <w:rsid w:val="00185010"/>
    <w:rsid w:val="001857FC"/>
    <w:rsid w:val="001858F2"/>
    <w:rsid w:val="00185C4B"/>
    <w:rsid w:val="001918B2"/>
    <w:rsid w:val="001919CC"/>
    <w:rsid w:val="00191AF3"/>
    <w:rsid w:val="00192EBA"/>
    <w:rsid w:val="0019310E"/>
    <w:rsid w:val="00193560"/>
    <w:rsid w:val="00194011"/>
    <w:rsid w:val="00195E7C"/>
    <w:rsid w:val="0019602F"/>
    <w:rsid w:val="00196AEC"/>
    <w:rsid w:val="00196B4C"/>
    <w:rsid w:val="0019720B"/>
    <w:rsid w:val="001975AC"/>
    <w:rsid w:val="001A12AC"/>
    <w:rsid w:val="001A37DE"/>
    <w:rsid w:val="001A3DC1"/>
    <w:rsid w:val="001A4BAA"/>
    <w:rsid w:val="001A552F"/>
    <w:rsid w:val="001A58FD"/>
    <w:rsid w:val="001A6358"/>
    <w:rsid w:val="001A67A3"/>
    <w:rsid w:val="001A67EB"/>
    <w:rsid w:val="001A7DF6"/>
    <w:rsid w:val="001B057A"/>
    <w:rsid w:val="001B0E1D"/>
    <w:rsid w:val="001B13C4"/>
    <w:rsid w:val="001B1812"/>
    <w:rsid w:val="001B23C7"/>
    <w:rsid w:val="001B3110"/>
    <w:rsid w:val="001B368B"/>
    <w:rsid w:val="001B55B6"/>
    <w:rsid w:val="001B5EAE"/>
    <w:rsid w:val="001B6DBF"/>
    <w:rsid w:val="001B721C"/>
    <w:rsid w:val="001B7827"/>
    <w:rsid w:val="001C01F3"/>
    <w:rsid w:val="001C089F"/>
    <w:rsid w:val="001C11CA"/>
    <w:rsid w:val="001C36A4"/>
    <w:rsid w:val="001C378C"/>
    <w:rsid w:val="001C3E02"/>
    <w:rsid w:val="001C4A1B"/>
    <w:rsid w:val="001C4AB2"/>
    <w:rsid w:val="001C5D40"/>
    <w:rsid w:val="001C6DBA"/>
    <w:rsid w:val="001C709C"/>
    <w:rsid w:val="001C7E8B"/>
    <w:rsid w:val="001D07D2"/>
    <w:rsid w:val="001D41F6"/>
    <w:rsid w:val="001D4ECA"/>
    <w:rsid w:val="001D5C28"/>
    <w:rsid w:val="001E020A"/>
    <w:rsid w:val="001E055A"/>
    <w:rsid w:val="001E0AA5"/>
    <w:rsid w:val="001E0B54"/>
    <w:rsid w:val="001E12BB"/>
    <w:rsid w:val="001E342E"/>
    <w:rsid w:val="001E3995"/>
    <w:rsid w:val="001E4F12"/>
    <w:rsid w:val="001E554C"/>
    <w:rsid w:val="001F1BF3"/>
    <w:rsid w:val="001F4597"/>
    <w:rsid w:val="001F4B32"/>
    <w:rsid w:val="001F78F9"/>
    <w:rsid w:val="00200D8C"/>
    <w:rsid w:val="00204DB6"/>
    <w:rsid w:val="00205F6A"/>
    <w:rsid w:val="0021064B"/>
    <w:rsid w:val="00210AA5"/>
    <w:rsid w:val="00211A50"/>
    <w:rsid w:val="002130C8"/>
    <w:rsid w:val="0021339F"/>
    <w:rsid w:val="00215600"/>
    <w:rsid w:val="002159A9"/>
    <w:rsid w:val="002168C9"/>
    <w:rsid w:val="002169D5"/>
    <w:rsid w:val="0021730B"/>
    <w:rsid w:val="00217F6E"/>
    <w:rsid w:val="00220642"/>
    <w:rsid w:val="00220644"/>
    <w:rsid w:val="0022139E"/>
    <w:rsid w:val="0022192F"/>
    <w:rsid w:val="00222132"/>
    <w:rsid w:val="00222204"/>
    <w:rsid w:val="00223E31"/>
    <w:rsid w:val="002240EE"/>
    <w:rsid w:val="00224F9D"/>
    <w:rsid w:val="002252E0"/>
    <w:rsid w:val="002255F6"/>
    <w:rsid w:val="00226D50"/>
    <w:rsid w:val="00227799"/>
    <w:rsid w:val="00230E00"/>
    <w:rsid w:val="00231003"/>
    <w:rsid w:val="00231FC7"/>
    <w:rsid w:val="002328DA"/>
    <w:rsid w:val="00232B25"/>
    <w:rsid w:val="002342F1"/>
    <w:rsid w:val="00234BB2"/>
    <w:rsid w:val="00234F33"/>
    <w:rsid w:val="00235533"/>
    <w:rsid w:val="002358E7"/>
    <w:rsid w:val="00236443"/>
    <w:rsid w:val="00237048"/>
    <w:rsid w:val="00240E77"/>
    <w:rsid w:val="00243670"/>
    <w:rsid w:val="002436BA"/>
    <w:rsid w:val="00244A15"/>
    <w:rsid w:val="00245506"/>
    <w:rsid w:val="00245697"/>
    <w:rsid w:val="002459CE"/>
    <w:rsid w:val="0024640B"/>
    <w:rsid w:val="00246A65"/>
    <w:rsid w:val="00246B49"/>
    <w:rsid w:val="00247371"/>
    <w:rsid w:val="002473D9"/>
    <w:rsid w:val="0024799E"/>
    <w:rsid w:val="002479CE"/>
    <w:rsid w:val="00250807"/>
    <w:rsid w:val="0025314C"/>
    <w:rsid w:val="00253EF2"/>
    <w:rsid w:val="0025430C"/>
    <w:rsid w:val="00254E3D"/>
    <w:rsid w:val="00255DDE"/>
    <w:rsid w:val="0025640A"/>
    <w:rsid w:val="002603B5"/>
    <w:rsid w:val="00260C15"/>
    <w:rsid w:val="0026222F"/>
    <w:rsid w:val="0026297E"/>
    <w:rsid w:val="00262FF7"/>
    <w:rsid w:val="00264C1E"/>
    <w:rsid w:val="002675E5"/>
    <w:rsid w:val="00270304"/>
    <w:rsid w:val="00270851"/>
    <w:rsid w:val="0027106E"/>
    <w:rsid w:val="002726A6"/>
    <w:rsid w:val="00272FDF"/>
    <w:rsid w:val="00273D6F"/>
    <w:rsid w:val="00274281"/>
    <w:rsid w:val="00276FD9"/>
    <w:rsid w:val="002771F3"/>
    <w:rsid w:val="00277254"/>
    <w:rsid w:val="0027768A"/>
    <w:rsid w:val="00277B29"/>
    <w:rsid w:val="00281805"/>
    <w:rsid w:val="00282789"/>
    <w:rsid w:val="00282CCA"/>
    <w:rsid w:val="002842E6"/>
    <w:rsid w:val="0029010F"/>
    <w:rsid w:val="00291420"/>
    <w:rsid w:val="00291DE1"/>
    <w:rsid w:val="002920AC"/>
    <w:rsid w:val="0029216C"/>
    <w:rsid w:val="00292413"/>
    <w:rsid w:val="002931E4"/>
    <w:rsid w:val="00294458"/>
    <w:rsid w:val="002951F3"/>
    <w:rsid w:val="00296083"/>
    <w:rsid w:val="0029679D"/>
    <w:rsid w:val="0029715E"/>
    <w:rsid w:val="002978CD"/>
    <w:rsid w:val="00297CA7"/>
    <w:rsid w:val="002A0381"/>
    <w:rsid w:val="002A1980"/>
    <w:rsid w:val="002A20E0"/>
    <w:rsid w:val="002A32D6"/>
    <w:rsid w:val="002A45B7"/>
    <w:rsid w:val="002A5595"/>
    <w:rsid w:val="002B05A8"/>
    <w:rsid w:val="002B09CD"/>
    <w:rsid w:val="002B1997"/>
    <w:rsid w:val="002B1A98"/>
    <w:rsid w:val="002B21CF"/>
    <w:rsid w:val="002B2C99"/>
    <w:rsid w:val="002B32C9"/>
    <w:rsid w:val="002B37BD"/>
    <w:rsid w:val="002B38C6"/>
    <w:rsid w:val="002B472F"/>
    <w:rsid w:val="002B6FCF"/>
    <w:rsid w:val="002B71DD"/>
    <w:rsid w:val="002B7E46"/>
    <w:rsid w:val="002B7EC3"/>
    <w:rsid w:val="002C093B"/>
    <w:rsid w:val="002C1C2C"/>
    <w:rsid w:val="002C3743"/>
    <w:rsid w:val="002C3AEA"/>
    <w:rsid w:val="002C43BD"/>
    <w:rsid w:val="002C542C"/>
    <w:rsid w:val="002C6AF9"/>
    <w:rsid w:val="002D06A3"/>
    <w:rsid w:val="002D0CCB"/>
    <w:rsid w:val="002D12FB"/>
    <w:rsid w:val="002D1652"/>
    <w:rsid w:val="002D20D9"/>
    <w:rsid w:val="002D22C5"/>
    <w:rsid w:val="002D3685"/>
    <w:rsid w:val="002D4AB1"/>
    <w:rsid w:val="002D79EC"/>
    <w:rsid w:val="002E02A1"/>
    <w:rsid w:val="002E0CC6"/>
    <w:rsid w:val="002E2B47"/>
    <w:rsid w:val="002E4A91"/>
    <w:rsid w:val="002E7553"/>
    <w:rsid w:val="002F0571"/>
    <w:rsid w:val="002F073D"/>
    <w:rsid w:val="002F0CEC"/>
    <w:rsid w:val="002F1CBF"/>
    <w:rsid w:val="002F2DCA"/>
    <w:rsid w:val="002F39B9"/>
    <w:rsid w:val="002F3F60"/>
    <w:rsid w:val="002F5BC4"/>
    <w:rsid w:val="002F7B33"/>
    <w:rsid w:val="00302448"/>
    <w:rsid w:val="003031D5"/>
    <w:rsid w:val="00304771"/>
    <w:rsid w:val="00305060"/>
    <w:rsid w:val="00306C5B"/>
    <w:rsid w:val="00310821"/>
    <w:rsid w:val="00310E42"/>
    <w:rsid w:val="00311332"/>
    <w:rsid w:val="00312F56"/>
    <w:rsid w:val="00313494"/>
    <w:rsid w:val="003150BE"/>
    <w:rsid w:val="00315D7E"/>
    <w:rsid w:val="00316A8D"/>
    <w:rsid w:val="00317581"/>
    <w:rsid w:val="003204A0"/>
    <w:rsid w:val="003209D6"/>
    <w:rsid w:val="00323843"/>
    <w:rsid w:val="00324A6A"/>
    <w:rsid w:val="00324E8E"/>
    <w:rsid w:val="003254A1"/>
    <w:rsid w:val="00325918"/>
    <w:rsid w:val="00326993"/>
    <w:rsid w:val="00326B2F"/>
    <w:rsid w:val="0032737D"/>
    <w:rsid w:val="003302D5"/>
    <w:rsid w:val="003316CE"/>
    <w:rsid w:val="003320C2"/>
    <w:rsid w:val="00332E5D"/>
    <w:rsid w:val="0033411B"/>
    <w:rsid w:val="003365DE"/>
    <w:rsid w:val="00336E6B"/>
    <w:rsid w:val="00337A53"/>
    <w:rsid w:val="00337DD4"/>
    <w:rsid w:val="00340562"/>
    <w:rsid w:val="00342299"/>
    <w:rsid w:val="00342D37"/>
    <w:rsid w:val="003430AF"/>
    <w:rsid w:val="0034338F"/>
    <w:rsid w:val="00343B99"/>
    <w:rsid w:val="00343FD9"/>
    <w:rsid w:val="003440AB"/>
    <w:rsid w:val="00346445"/>
    <w:rsid w:val="003464C3"/>
    <w:rsid w:val="00347005"/>
    <w:rsid w:val="00347154"/>
    <w:rsid w:val="003502AC"/>
    <w:rsid w:val="00351229"/>
    <w:rsid w:val="00352B9A"/>
    <w:rsid w:val="00354201"/>
    <w:rsid w:val="00356257"/>
    <w:rsid w:val="00356C82"/>
    <w:rsid w:val="00357841"/>
    <w:rsid w:val="00362010"/>
    <w:rsid w:val="0036341C"/>
    <w:rsid w:val="00363800"/>
    <w:rsid w:val="00363B2D"/>
    <w:rsid w:val="003657F3"/>
    <w:rsid w:val="00366C17"/>
    <w:rsid w:val="003673A9"/>
    <w:rsid w:val="00367BCF"/>
    <w:rsid w:val="0037140D"/>
    <w:rsid w:val="003725A8"/>
    <w:rsid w:val="003731DD"/>
    <w:rsid w:val="00373522"/>
    <w:rsid w:val="003759E9"/>
    <w:rsid w:val="00375FEB"/>
    <w:rsid w:val="00376C04"/>
    <w:rsid w:val="00376CCE"/>
    <w:rsid w:val="00377195"/>
    <w:rsid w:val="00382400"/>
    <w:rsid w:val="00384F4B"/>
    <w:rsid w:val="00385D98"/>
    <w:rsid w:val="0039067F"/>
    <w:rsid w:val="003920A5"/>
    <w:rsid w:val="00393CDB"/>
    <w:rsid w:val="0039428D"/>
    <w:rsid w:val="00394A56"/>
    <w:rsid w:val="0039617D"/>
    <w:rsid w:val="0039690A"/>
    <w:rsid w:val="0039720C"/>
    <w:rsid w:val="003A004A"/>
    <w:rsid w:val="003A0347"/>
    <w:rsid w:val="003A2B4D"/>
    <w:rsid w:val="003A3495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43D1"/>
    <w:rsid w:val="003B588B"/>
    <w:rsid w:val="003B5A32"/>
    <w:rsid w:val="003B5BF6"/>
    <w:rsid w:val="003B6B56"/>
    <w:rsid w:val="003B6FE3"/>
    <w:rsid w:val="003C03EB"/>
    <w:rsid w:val="003C04BB"/>
    <w:rsid w:val="003C0D7E"/>
    <w:rsid w:val="003C105C"/>
    <w:rsid w:val="003C27FD"/>
    <w:rsid w:val="003C28F7"/>
    <w:rsid w:val="003C29BE"/>
    <w:rsid w:val="003C30A0"/>
    <w:rsid w:val="003C37A5"/>
    <w:rsid w:val="003C3996"/>
    <w:rsid w:val="003C5703"/>
    <w:rsid w:val="003C678D"/>
    <w:rsid w:val="003C6CC2"/>
    <w:rsid w:val="003C7122"/>
    <w:rsid w:val="003C736E"/>
    <w:rsid w:val="003C7985"/>
    <w:rsid w:val="003D02CE"/>
    <w:rsid w:val="003D10BF"/>
    <w:rsid w:val="003D16A4"/>
    <w:rsid w:val="003D241B"/>
    <w:rsid w:val="003D2970"/>
    <w:rsid w:val="003D2D18"/>
    <w:rsid w:val="003D5037"/>
    <w:rsid w:val="003D58AA"/>
    <w:rsid w:val="003D5D57"/>
    <w:rsid w:val="003E1BC7"/>
    <w:rsid w:val="003E247A"/>
    <w:rsid w:val="003E28A4"/>
    <w:rsid w:val="003E444C"/>
    <w:rsid w:val="003E47B8"/>
    <w:rsid w:val="003E6436"/>
    <w:rsid w:val="003E6610"/>
    <w:rsid w:val="003E6F0D"/>
    <w:rsid w:val="003E74F1"/>
    <w:rsid w:val="003E7D98"/>
    <w:rsid w:val="003F0889"/>
    <w:rsid w:val="003F1562"/>
    <w:rsid w:val="003F29B7"/>
    <w:rsid w:val="003F2BD8"/>
    <w:rsid w:val="003F2F1D"/>
    <w:rsid w:val="003F313C"/>
    <w:rsid w:val="003F35C5"/>
    <w:rsid w:val="003F3756"/>
    <w:rsid w:val="003F3BE1"/>
    <w:rsid w:val="003F3C93"/>
    <w:rsid w:val="003F44B8"/>
    <w:rsid w:val="003F4B35"/>
    <w:rsid w:val="003F593B"/>
    <w:rsid w:val="003F5DA8"/>
    <w:rsid w:val="003F71DC"/>
    <w:rsid w:val="004004F4"/>
    <w:rsid w:val="00400DAB"/>
    <w:rsid w:val="00402BF3"/>
    <w:rsid w:val="0040387F"/>
    <w:rsid w:val="004048BF"/>
    <w:rsid w:val="00405FEB"/>
    <w:rsid w:val="00406025"/>
    <w:rsid w:val="0040639D"/>
    <w:rsid w:val="00406BC3"/>
    <w:rsid w:val="00407728"/>
    <w:rsid w:val="00410BEE"/>
    <w:rsid w:val="00410E63"/>
    <w:rsid w:val="0041187E"/>
    <w:rsid w:val="00411EBC"/>
    <w:rsid w:val="0041244D"/>
    <w:rsid w:val="00416EF5"/>
    <w:rsid w:val="00421D77"/>
    <w:rsid w:val="0042216F"/>
    <w:rsid w:val="00423511"/>
    <w:rsid w:val="004243D2"/>
    <w:rsid w:val="00424B58"/>
    <w:rsid w:val="00425125"/>
    <w:rsid w:val="004259B5"/>
    <w:rsid w:val="004271DC"/>
    <w:rsid w:val="00427534"/>
    <w:rsid w:val="00427A75"/>
    <w:rsid w:val="004301D5"/>
    <w:rsid w:val="00430658"/>
    <w:rsid w:val="00430E4E"/>
    <w:rsid w:val="00432D49"/>
    <w:rsid w:val="004333B9"/>
    <w:rsid w:val="00435122"/>
    <w:rsid w:val="0043575F"/>
    <w:rsid w:val="00436C81"/>
    <w:rsid w:val="004409F9"/>
    <w:rsid w:val="00441419"/>
    <w:rsid w:val="00442C72"/>
    <w:rsid w:val="0044303F"/>
    <w:rsid w:val="004443D7"/>
    <w:rsid w:val="004451D7"/>
    <w:rsid w:val="004512B7"/>
    <w:rsid w:val="00453AD7"/>
    <w:rsid w:val="00456315"/>
    <w:rsid w:val="004571B5"/>
    <w:rsid w:val="00461546"/>
    <w:rsid w:val="00461B09"/>
    <w:rsid w:val="00461F62"/>
    <w:rsid w:val="004637FC"/>
    <w:rsid w:val="00465DDB"/>
    <w:rsid w:val="004702DC"/>
    <w:rsid w:val="00470AC3"/>
    <w:rsid w:val="00471102"/>
    <w:rsid w:val="0047223A"/>
    <w:rsid w:val="00472C6B"/>
    <w:rsid w:val="00472CC3"/>
    <w:rsid w:val="0047552D"/>
    <w:rsid w:val="00476265"/>
    <w:rsid w:val="00477774"/>
    <w:rsid w:val="00477AEF"/>
    <w:rsid w:val="0048086F"/>
    <w:rsid w:val="0048139F"/>
    <w:rsid w:val="00484A8E"/>
    <w:rsid w:val="00484D73"/>
    <w:rsid w:val="00486E03"/>
    <w:rsid w:val="00487513"/>
    <w:rsid w:val="00492850"/>
    <w:rsid w:val="00493CD1"/>
    <w:rsid w:val="00494EAC"/>
    <w:rsid w:val="004970D1"/>
    <w:rsid w:val="004A156B"/>
    <w:rsid w:val="004A2B92"/>
    <w:rsid w:val="004A30B2"/>
    <w:rsid w:val="004A476E"/>
    <w:rsid w:val="004A65EE"/>
    <w:rsid w:val="004A6936"/>
    <w:rsid w:val="004A6D3A"/>
    <w:rsid w:val="004A77DF"/>
    <w:rsid w:val="004B13C0"/>
    <w:rsid w:val="004B16DF"/>
    <w:rsid w:val="004B288C"/>
    <w:rsid w:val="004B3227"/>
    <w:rsid w:val="004B38ED"/>
    <w:rsid w:val="004B4315"/>
    <w:rsid w:val="004B55B7"/>
    <w:rsid w:val="004B5F06"/>
    <w:rsid w:val="004B6546"/>
    <w:rsid w:val="004B68A9"/>
    <w:rsid w:val="004B6D72"/>
    <w:rsid w:val="004B6F2F"/>
    <w:rsid w:val="004B7DDE"/>
    <w:rsid w:val="004C05A9"/>
    <w:rsid w:val="004C2122"/>
    <w:rsid w:val="004C2373"/>
    <w:rsid w:val="004C2CC6"/>
    <w:rsid w:val="004C3867"/>
    <w:rsid w:val="004C41AE"/>
    <w:rsid w:val="004C4901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3F3A"/>
    <w:rsid w:val="004D52A5"/>
    <w:rsid w:val="004D5A93"/>
    <w:rsid w:val="004D7235"/>
    <w:rsid w:val="004D7B88"/>
    <w:rsid w:val="004D7C1D"/>
    <w:rsid w:val="004E00E1"/>
    <w:rsid w:val="004E1817"/>
    <w:rsid w:val="004E33D5"/>
    <w:rsid w:val="004E3C8D"/>
    <w:rsid w:val="004E419B"/>
    <w:rsid w:val="004E4988"/>
    <w:rsid w:val="004E52BA"/>
    <w:rsid w:val="004E55F0"/>
    <w:rsid w:val="004E668C"/>
    <w:rsid w:val="004E7FF4"/>
    <w:rsid w:val="004F06F5"/>
    <w:rsid w:val="004F0B29"/>
    <w:rsid w:val="004F111C"/>
    <w:rsid w:val="004F2329"/>
    <w:rsid w:val="004F29BD"/>
    <w:rsid w:val="004F2B2D"/>
    <w:rsid w:val="004F4DFA"/>
    <w:rsid w:val="004F5E3A"/>
    <w:rsid w:val="004F690F"/>
    <w:rsid w:val="004F78AD"/>
    <w:rsid w:val="004F7E67"/>
    <w:rsid w:val="0050025B"/>
    <w:rsid w:val="00501567"/>
    <w:rsid w:val="00501EEB"/>
    <w:rsid w:val="005101BF"/>
    <w:rsid w:val="005108B9"/>
    <w:rsid w:val="005108C0"/>
    <w:rsid w:val="00510991"/>
    <w:rsid w:val="00510E2E"/>
    <w:rsid w:val="0051113D"/>
    <w:rsid w:val="0051131E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21A8"/>
    <w:rsid w:val="00532B6D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3DE"/>
    <w:rsid w:val="00540DAE"/>
    <w:rsid w:val="00540F78"/>
    <w:rsid w:val="00542285"/>
    <w:rsid w:val="005428B5"/>
    <w:rsid w:val="00542B56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394"/>
    <w:rsid w:val="005626ED"/>
    <w:rsid w:val="005636E4"/>
    <w:rsid w:val="005639DB"/>
    <w:rsid w:val="00564762"/>
    <w:rsid w:val="005670CC"/>
    <w:rsid w:val="005717CE"/>
    <w:rsid w:val="005719E1"/>
    <w:rsid w:val="00571CFA"/>
    <w:rsid w:val="00572D59"/>
    <w:rsid w:val="00575C2E"/>
    <w:rsid w:val="0057615C"/>
    <w:rsid w:val="00581347"/>
    <w:rsid w:val="00583523"/>
    <w:rsid w:val="005837A2"/>
    <w:rsid w:val="00583872"/>
    <w:rsid w:val="00583FFD"/>
    <w:rsid w:val="005843E4"/>
    <w:rsid w:val="005902CB"/>
    <w:rsid w:val="005915B4"/>
    <w:rsid w:val="00593152"/>
    <w:rsid w:val="005941E7"/>
    <w:rsid w:val="005950FA"/>
    <w:rsid w:val="0059779F"/>
    <w:rsid w:val="005A149D"/>
    <w:rsid w:val="005A19D9"/>
    <w:rsid w:val="005A21E0"/>
    <w:rsid w:val="005A282E"/>
    <w:rsid w:val="005A3AAF"/>
    <w:rsid w:val="005A5927"/>
    <w:rsid w:val="005A737D"/>
    <w:rsid w:val="005B0F98"/>
    <w:rsid w:val="005B1EDC"/>
    <w:rsid w:val="005B3EF6"/>
    <w:rsid w:val="005B63CE"/>
    <w:rsid w:val="005B749B"/>
    <w:rsid w:val="005C19FC"/>
    <w:rsid w:val="005C2BBE"/>
    <w:rsid w:val="005C441C"/>
    <w:rsid w:val="005C480B"/>
    <w:rsid w:val="005C628E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B74"/>
    <w:rsid w:val="005D3BE6"/>
    <w:rsid w:val="005D4464"/>
    <w:rsid w:val="005D5802"/>
    <w:rsid w:val="005D6DE0"/>
    <w:rsid w:val="005E0178"/>
    <w:rsid w:val="005E01C4"/>
    <w:rsid w:val="005E03ED"/>
    <w:rsid w:val="005E1FD9"/>
    <w:rsid w:val="005E2679"/>
    <w:rsid w:val="005E330D"/>
    <w:rsid w:val="005E339C"/>
    <w:rsid w:val="005E3C8A"/>
    <w:rsid w:val="005E41CA"/>
    <w:rsid w:val="005E47BF"/>
    <w:rsid w:val="005E50D7"/>
    <w:rsid w:val="005E6744"/>
    <w:rsid w:val="005E6AEE"/>
    <w:rsid w:val="005E7F4D"/>
    <w:rsid w:val="005F0301"/>
    <w:rsid w:val="005F2E69"/>
    <w:rsid w:val="005F4950"/>
    <w:rsid w:val="005F4FDA"/>
    <w:rsid w:val="005F646F"/>
    <w:rsid w:val="005F71A6"/>
    <w:rsid w:val="005F721F"/>
    <w:rsid w:val="005F7629"/>
    <w:rsid w:val="005F7971"/>
    <w:rsid w:val="00600CDB"/>
    <w:rsid w:val="00602F8C"/>
    <w:rsid w:val="00604307"/>
    <w:rsid w:val="006046AE"/>
    <w:rsid w:val="0060487F"/>
    <w:rsid w:val="00604C8E"/>
    <w:rsid w:val="00605693"/>
    <w:rsid w:val="00606322"/>
    <w:rsid w:val="00606C40"/>
    <w:rsid w:val="00606EDA"/>
    <w:rsid w:val="006078F0"/>
    <w:rsid w:val="006103FD"/>
    <w:rsid w:val="00610461"/>
    <w:rsid w:val="006106B6"/>
    <w:rsid w:val="00610A24"/>
    <w:rsid w:val="00610F13"/>
    <w:rsid w:val="00611AC9"/>
    <w:rsid w:val="00612473"/>
    <w:rsid w:val="006155F2"/>
    <w:rsid w:val="006170FF"/>
    <w:rsid w:val="006178DD"/>
    <w:rsid w:val="00617973"/>
    <w:rsid w:val="00620906"/>
    <w:rsid w:val="00620F58"/>
    <w:rsid w:val="0062339D"/>
    <w:rsid w:val="00623611"/>
    <w:rsid w:val="00623821"/>
    <w:rsid w:val="00624093"/>
    <w:rsid w:val="00624D4E"/>
    <w:rsid w:val="00624D96"/>
    <w:rsid w:val="00625534"/>
    <w:rsid w:val="0063066A"/>
    <w:rsid w:val="00631D5B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229D"/>
    <w:rsid w:val="00643AF5"/>
    <w:rsid w:val="00643B19"/>
    <w:rsid w:val="006451E4"/>
    <w:rsid w:val="00645CFB"/>
    <w:rsid w:val="00646186"/>
    <w:rsid w:val="00646B40"/>
    <w:rsid w:val="0065040F"/>
    <w:rsid w:val="006511BA"/>
    <w:rsid w:val="006511DD"/>
    <w:rsid w:val="006517EA"/>
    <w:rsid w:val="00652144"/>
    <w:rsid w:val="00652818"/>
    <w:rsid w:val="00653037"/>
    <w:rsid w:val="00654CC7"/>
    <w:rsid w:val="006568DB"/>
    <w:rsid w:val="00656938"/>
    <w:rsid w:val="00656C7D"/>
    <w:rsid w:val="00656F53"/>
    <w:rsid w:val="006571EA"/>
    <w:rsid w:val="00657E87"/>
    <w:rsid w:val="00657F2F"/>
    <w:rsid w:val="00660B8E"/>
    <w:rsid w:val="0066141D"/>
    <w:rsid w:val="00661E03"/>
    <w:rsid w:val="00661E15"/>
    <w:rsid w:val="006640AC"/>
    <w:rsid w:val="00664C16"/>
    <w:rsid w:val="0066739F"/>
    <w:rsid w:val="00667C2E"/>
    <w:rsid w:val="006710C9"/>
    <w:rsid w:val="00671757"/>
    <w:rsid w:val="0067262C"/>
    <w:rsid w:val="00672C44"/>
    <w:rsid w:val="00673941"/>
    <w:rsid w:val="00673A17"/>
    <w:rsid w:val="00673B33"/>
    <w:rsid w:val="006755E7"/>
    <w:rsid w:val="00675E37"/>
    <w:rsid w:val="006761D5"/>
    <w:rsid w:val="0067675D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86EB1"/>
    <w:rsid w:val="00690DCF"/>
    <w:rsid w:val="00694914"/>
    <w:rsid w:val="006950C3"/>
    <w:rsid w:val="00695BEF"/>
    <w:rsid w:val="00696750"/>
    <w:rsid w:val="00696E42"/>
    <w:rsid w:val="006977F6"/>
    <w:rsid w:val="00697A13"/>
    <w:rsid w:val="00697C18"/>
    <w:rsid w:val="006A0EA1"/>
    <w:rsid w:val="006A109C"/>
    <w:rsid w:val="006A2E44"/>
    <w:rsid w:val="006A3DF0"/>
    <w:rsid w:val="006A40BF"/>
    <w:rsid w:val="006A56B5"/>
    <w:rsid w:val="006A5E80"/>
    <w:rsid w:val="006A63F6"/>
    <w:rsid w:val="006A7884"/>
    <w:rsid w:val="006B0478"/>
    <w:rsid w:val="006B0ACA"/>
    <w:rsid w:val="006B1349"/>
    <w:rsid w:val="006B2037"/>
    <w:rsid w:val="006B2F7A"/>
    <w:rsid w:val="006B4201"/>
    <w:rsid w:val="006B4F63"/>
    <w:rsid w:val="006B565D"/>
    <w:rsid w:val="006B5932"/>
    <w:rsid w:val="006B59D8"/>
    <w:rsid w:val="006B6D35"/>
    <w:rsid w:val="006B6E7B"/>
    <w:rsid w:val="006B73D0"/>
    <w:rsid w:val="006B78D8"/>
    <w:rsid w:val="006C0222"/>
    <w:rsid w:val="006C113F"/>
    <w:rsid w:val="006C19DE"/>
    <w:rsid w:val="006C1C47"/>
    <w:rsid w:val="006C2078"/>
    <w:rsid w:val="006C2716"/>
    <w:rsid w:val="006C3ECB"/>
    <w:rsid w:val="006C4500"/>
    <w:rsid w:val="006C4BAC"/>
    <w:rsid w:val="006D0684"/>
    <w:rsid w:val="006D2601"/>
    <w:rsid w:val="006D4797"/>
    <w:rsid w:val="006D61F6"/>
    <w:rsid w:val="006E096A"/>
    <w:rsid w:val="006E1600"/>
    <w:rsid w:val="006E1790"/>
    <w:rsid w:val="006E1D91"/>
    <w:rsid w:val="006E279A"/>
    <w:rsid w:val="006E313B"/>
    <w:rsid w:val="006E3528"/>
    <w:rsid w:val="006F2AE7"/>
    <w:rsid w:val="006F31E4"/>
    <w:rsid w:val="006F3919"/>
    <w:rsid w:val="006F78BB"/>
    <w:rsid w:val="00700384"/>
    <w:rsid w:val="00701523"/>
    <w:rsid w:val="00701EC5"/>
    <w:rsid w:val="00701EFF"/>
    <w:rsid w:val="00702C7D"/>
    <w:rsid w:val="00702F00"/>
    <w:rsid w:val="00704803"/>
    <w:rsid w:val="00705045"/>
    <w:rsid w:val="00706055"/>
    <w:rsid w:val="007078C1"/>
    <w:rsid w:val="00710610"/>
    <w:rsid w:val="00711D9A"/>
    <w:rsid w:val="00712073"/>
    <w:rsid w:val="00712185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26F43"/>
    <w:rsid w:val="00730718"/>
    <w:rsid w:val="00730AE8"/>
    <w:rsid w:val="00730CCD"/>
    <w:rsid w:val="00731CAB"/>
    <w:rsid w:val="00731D02"/>
    <w:rsid w:val="0073250D"/>
    <w:rsid w:val="00733C7A"/>
    <w:rsid w:val="0073527D"/>
    <w:rsid w:val="007358EB"/>
    <w:rsid w:val="00735F55"/>
    <w:rsid w:val="00736F19"/>
    <w:rsid w:val="007372EA"/>
    <w:rsid w:val="00740F4A"/>
    <w:rsid w:val="00741493"/>
    <w:rsid w:val="007420CD"/>
    <w:rsid w:val="007459B4"/>
    <w:rsid w:val="00745E24"/>
    <w:rsid w:val="0074634F"/>
    <w:rsid w:val="007464BC"/>
    <w:rsid w:val="007476C4"/>
    <w:rsid w:val="00750D87"/>
    <w:rsid w:val="00751DC5"/>
    <w:rsid w:val="00752180"/>
    <w:rsid w:val="00752E59"/>
    <w:rsid w:val="007538BC"/>
    <w:rsid w:val="0075473C"/>
    <w:rsid w:val="00754990"/>
    <w:rsid w:val="00755D3A"/>
    <w:rsid w:val="00755F49"/>
    <w:rsid w:val="007562FD"/>
    <w:rsid w:val="00756776"/>
    <w:rsid w:val="00756868"/>
    <w:rsid w:val="00756AF1"/>
    <w:rsid w:val="007609C6"/>
    <w:rsid w:val="00761B68"/>
    <w:rsid w:val="00763FF2"/>
    <w:rsid w:val="00764205"/>
    <w:rsid w:val="00770610"/>
    <w:rsid w:val="00772B59"/>
    <w:rsid w:val="00772D56"/>
    <w:rsid w:val="00772DA1"/>
    <w:rsid w:val="007738C7"/>
    <w:rsid w:val="007764CA"/>
    <w:rsid w:val="00776527"/>
    <w:rsid w:val="00781D20"/>
    <w:rsid w:val="00781DF4"/>
    <w:rsid w:val="00783501"/>
    <w:rsid w:val="0078588D"/>
    <w:rsid w:val="00786C17"/>
    <w:rsid w:val="00792A45"/>
    <w:rsid w:val="00793BA5"/>
    <w:rsid w:val="007941FE"/>
    <w:rsid w:val="00794608"/>
    <w:rsid w:val="00795A8D"/>
    <w:rsid w:val="007A1A44"/>
    <w:rsid w:val="007A250A"/>
    <w:rsid w:val="007A33CC"/>
    <w:rsid w:val="007A39D9"/>
    <w:rsid w:val="007A4926"/>
    <w:rsid w:val="007A677D"/>
    <w:rsid w:val="007A7E86"/>
    <w:rsid w:val="007B0332"/>
    <w:rsid w:val="007B04C3"/>
    <w:rsid w:val="007B0B56"/>
    <w:rsid w:val="007B0F0E"/>
    <w:rsid w:val="007B3AB7"/>
    <w:rsid w:val="007B41A0"/>
    <w:rsid w:val="007B45A4"/>
    <w:rsid w:val="007B47EE"/>
    <w:rsid w:val="007B4BE9"/>
    <w:rsid w:val="007B4F04"/>
    <w:rsid w:val="007B60D9"/>
    <w:rsid w:val="007B7D35"/>
    <w:rsid w:val="007C0993"/>
    <w:rsid w:val="007C2C8E"/>
    <w:rsid w:val="007C419E"/>
    <w:rsid w:val="007C4B02"/>
    <w:rsid w:val="007C5DBE"/>
    <w:rsid w:val="007C6308"/>
    <w:rsid w:val="007D05E9"/>
    <w:rsid w:val="007D12C6"/>
    <w:rsid w:val="007D2468"/>
    <w:rsid w:val="007D286D"/>
    <w:rsid w:val="007D2DCB"/>
    <w:rsid w:val="007D3651"/>
    <w:rsid w:val="007D386E"/>
    <w:rsid w:val="007D3AAB"/>
    <w:rsid w:val="007D536F"/>
    <w:rsid w:val="007D5538"/>
    <w:rsid w:val="007D7921"/>
    <w:rsid w:val="007E12CE"/>
    <w:rsid w:val="007E1B9D"/>
    <w:rsid w:val="007E3184"/>
    <w:rsid w:val="007E4B4F"/>
    <w:rsid w:val="007E6865"/>
    <w:rsid w:val="007E68C1"/>
    <w:rsid w:val="007E6F04"/>
    <w:rsid w:val="007E769B"/>
    <w:rsid w:val="007E7E61"/>
    <w:rsid w:val="007F0BFD"/>
    <w:rsid w:val="007F0C99"/>
    <w:rsid w:val="007F0F88"/>
    <w:rsid w:val="007F1A17"/>
    <w:rsid w:val="007F214A"/>
    <w:rsid w:val="007F25FB"/>
    <w:rsid w:val="007F3674"/>
    <w:rsid w:val="007F4349"/>
    <w:rsid w:val="007F46D3"/>
    <w:rsid w:val="007F6D8D"/>
    <w:rsid w:val="007F717B"/>
    <w:rsid w:val="0080031A"/>
    <w:rsid w:val="008004E0"/>
    <w:rsid w:val="00801252"/>
    <w:rsid w:val="0080179A"/>
    <w:rsid w:val="008018B7"/>
    <w:rsid w:val="008025EE"/>
    <w:rsid w:val="0080300F"/>
    <w:rsid w:val="00803B23"/>
    <w:rsid w:val="00805A76"/>
    <w:rsid w:val="00807FC7"/>
    <w:rsid w:val="00810B18"/>
    <w:rsid w:val="008112B6"/>
    <w:rsid w:val="00812056"/>
    <w:rsid w:val="008120E6"/>
    <w:rsid w:val="008134C4"/>
    <w:rsid w:val="00816723"/>
    <w:rsid w:val="008177C2"/>
    <w:rsid w:val="0082100C"/>
    <w:rsid w:val="00821FF6"/>
    <w:rsid w:val="0082352E"/>
    <w:rsid w:val="0082365D"/>
    <w:rsid w:val="00823F9B"/>
    <w:rsid w:val="0082466D"/>
    <w:rsid w:val="0082590A"/>
    <w:rsid w:val="00827397"/>
    <w:rsid w:val="00830E90"/>
    <w:rsid w:val="0083143E"/>
    <w:rsid w:val="00831A80"/>
    <w:rsid w:val="0083398A"/>
    <w:rsid w:val="0083468B"/>
    <w:rsid w:val="00834FAA"/>
    <w:rsid w:val="0083501D"/>
    <w:rsid w:val="0083511D"/>
    <w:rsid w:val="00836086"/>
    <w:rsid w:val="00840B9E"/>
    <w:rsid w:val="008417AB"/>
    <w:rsid w:val="00841A5E"/>
    <w:rsid w:val="00842647"/>
    <w:rsid w:val="008432B1"/>
    <w:rsid w:val="00843BF7"/>
    <w:rsid w:val="00844C07"/>
    <w:rsid w:val="0084557C"/>
    <w:rsid w:val="00846194"/>
    <w:rsid w:val="00847143"/>
    <w:rsid w:val="00847347"/>
    <w:rsid w:val="00850BFC"/>
    <w:rsid w:val="008512E7"/>
    <w:rsid w:val="00851419"/>
    <w:rsid w:val="00852103"/>
    <w:rsid w:val="008545E7"/>
    <w:rsid w:val="00854DAE"/>
    <w:rsid w:val="00855495"/>
    <w:rsid w:val="0085594C"/>
    <w:rsid w:val="00856B6A"/>
    <w:rsid w:val="00857BB4"/>
    <w:rsid w:val="00857D9C"/>
    <w:rsid w:val="00861EA1"/>
    <w:rsid w:val="00862FE6"/>
    <w:rsid w:val="00864085"/>
    <w:rsid w:val="0086745D"/>
    <w:rsid w:val="00870D69"/>
    <w:rsid w:val="00871A6E"/>
    <w:rsid w:val="00871FA7"/>
    <w:rsid w:val="008725B4"/>
    <w:rsid w:val="00875C9E"/>
    <w:rsid w:val="00876086"/>
    <w:rsid w:val="00876A3A"/>
    <w:rsid w:val="00877C01"/>
    <w:rsid w:val="008820A6"/>
    <w:rsid w:val="0088284D"/>
    <w:rsid w:val="00882967"/>
    <w:rsid w:val="0088482B"/>
    <w:rsid w:val="0088598B"/>
    <w:rsid w:val="00886039"/>
    <w:rsid w:val="008862D3"/>
    <w:rsid w:val="00890155"/>
    <w:rsid w:val="008905EC"/>
    <w:rsid w:val="0089266D"/>
    <w:rsid w:val="008927E1"/>
    <w:rsid w:val="00894302"/>
    <w:rsid w:val="00894E77"/>
    <w:rsid w:val="00895548"/>
    <w:rsid w:val="008964FF"/>
    <w:rsid w:val="008979C4"/>
    <w:rsid w:val="008A07D3"/>
    <w:rsid w:val="008A09ED"/>
    <w:rsid w:val="008A0AD4"/>
    <w:rsid w:val="008A31C1"/>
    <w:rsid w:val="008A3E33"/>
    <w:rsid w:val="008A5146"/>
    <w:rsid w:val="008A53CB"/>
    <w:rsid w:val="008B0299"/>
    <w:rsid w:val="008B0CC3"/>
    <w:rsid w:val="008B32B7"/>
    <w:rsid w:val="008B64EB"/>
    <w:rsid w:val="008B6CDE"/>
    <w:rsid w:val="008B6E1E"/>
    <w:rsid w:val="008B76B8"/>
    <w:rsid w:val="008B7C02"/>
    <w:rsid w:val="008C0E88"/>
    <w:rsid w:val="008C102B"/>
    <w:rsid w:val="008C1C7A"/>
    <w:rsid w:val="008C1EEB"/>
    <w:rsid w:val="008C2DDF"/>
    <w:rsid w:val="008C4861"/>
    <w:rsid w:val="008C5593"/>
    <w:rsid w:val="008C7A1D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6513"/>
    <w:rsid w:val="008D6B5F"/>
    <w:rsid w:val="008E0B46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7C9"/>
    <w:rsid w:val="008E685D"/>
    <w:rsid w:val="008F0867"/>
    <w:rsid w:val="008F2642"/>
    <w:rsid w:val="008F2AED"/>
    <w:rsid w:val="008F3375"/>
    <w:rsid w:val="008F39E3"/>
    <w:rsid w:val="008F3C15"/>
    <w:rsid w:val="008F4094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CB1"/>
    <w:rsid w:val="00903FEE"/>
    <w:rsid w:val="00904083"/>
    <w:rsid w:val="009048AE"/>
    <w:rsid w:val="00905120"/>
    <w:rsid w:val="00905296"/>
    <w:rsid w:val="00905780"/>
    <w:rsid w:val="00906251"/>
    <w:rsid w:val="00907906"/>
    <w:rsid w:val="00910452"/>
    <w:rsid w:val="00911F2E"/>
    <w:rsid w:val="009124F1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33B2"/>
    <w:rsid w:val="00924E33"/>
    <w:rsid w:val="009253A5"/>
    <w:rsid w:val="00927143"/>
    <w:rsid w:val="00931012"/>
    <w:rsid w:val="00931502"/>
    <w:rsid w:val="00932900"/>
    <w:rsid w:val="00934E40"/>
    <w:rsid w:val="00935A0D"/>
    <w:rsid w:val="00936824"/>
    <w:rsid w:val="0093714D"/>
    <w:rsid w:val="0094032D"/>
    <w:rsid w:val="009421B4"/>
    <w:rsid w:val="0094244C"/>
    <w:rsid w:val="00942F60"/>
    <w:rsid w:val="00943909"/>
    <w:rsid w:val="0094427A"/>
    <w:rsid w:val="00946D80"/>
    <w:rsid w:val="00947140"/>
    <w:rsid w:val="0095234B"/>
    <w:rsid w:val="00953DCA"/>
    <w:rsid w:val="00953DFC"/>
    <w:rsid w:val="00954561"/>
    <w:rsid w:val="009558B0"/>
    <w:rsid w:val="0095723C"/>
    <w:rsid w:val="009579E9"/>
    <w:rsid w:val="0096015F"/>
    <w:rsid w:val="00961359"/>
    <w:rsid w:val="00961DC9"/>
    <w:rsid w:val="00963B40"/>
    <w:rsid w:val="00963E39"/>
    <w:rsid w:val="009646A5"/>
    <w:rsid w:val="00965755"/>
    <w:rsid w:val="009674C9"/>
    <w:rsid w:val="009703B2"/>
    <w:rsid w:val="00971EC6"/>
    <w:rsid w:val="009722A9"/>
    <w:rsid w:val="00972FC7"/>
    <w:rsid w:val="00973454"/>
    <w:rsid w:val="0097432A"/>
    <w:rsid w:val="00974923"/>
    <w:rsid w:val="00976385"/>
    <w:rsid w:val="0098125B"/>
    <w:rsid w:val="00983BC9"/>
    <w:rsid w:val="0098563A"/>
    <w:rsid w:val="00985D52"/>
    <w:rsid w:val="009861FF"/>
    <w:rsid w:val="00986F4F"/>
    <w:rsid w:val="00990621"/>
    <w:rsid w:val="00993E93"/>
    <w:rsid w:val="00993F83"/>
    <w:rsid w:val="00994972"/>
    <w:rsid w:val="00995124"/>
    <w:rsid w:val="009973FE"/>
    <w:rsid w:val="009A04C3"/>
    <w:rsid w:val="009A04D6"/>
    <w:rsid w:val="009A1116"/>
    <w:rsid w:val="009A1E6E"/>
    <w:rsid w:val="009A1FA5"/>
    <w:rsid w:val="009A2640"/>
    <w:rsid w:val="009A6027"/>
    <w:rsid w:val="009A66C6"/>
    <w:rsid w:val="009A6971"/>
    <w:rsid w:val="009A75F3"/>
    <w:rsid w:val="009A7A3F"/>
    <w:rsid w:val="009B195C"/>
    <w:rsid w:val="009B2CE4"/>
    <w:rsid w:val="009B2F33"/>
    <w:rsid w:val="009B3302"/>
    <w:rsid w:val="009B6EC8"/>
    <w:rsid w:val="009B6EFA"/>
    <w:rsid w:val="009B6FD3"/>
    <w:rsid w:val="009B7457"/>
    <w:rsid w:val="009B74C9"/>
    <w:rsid w:val="009B7A06"/>
    <w:rsid w:val="009B7B54"/>
    <w:rsid w:val="009C04A5"/>
    <w:rsid w:val="009C2245"/>
    <w:rsid w:val="009C246D"/>
    <w:rsid w:val="009C3204"/>
    <w:rsid w:val="009C3B45"/>
    <w:rsid w:val="009C4C08"/>
    <w:rsid w:val="009C5639"/>
    <w:rsid w:val="009C62A4"/>
    <w:rsid w:val="009C64E1"/>
    <w:rsid w:val="009C6B26"/>
    <w:rsid w:val="009C6CB3"/>
    <w:rsid w:val="009C74FF"/>
    <w:rsid w:val="009C7F1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D6D97"/>
    <w:rsid w:val="009D6FD4"/>
    <w:rsid w:val="009E2A0D"/>
    <w:rsid w:val="009E34B8"/>
    <w:rsid w:val="009E51E5"/>
    <w:rsid w:val="009E6DDF"/>
    <w:rsid w:val="009E7516"/>
    <w:rsid w:val="009E7CF6"/>
    <w:rsid w:val="009E7D44"/>
    <w:rsid w:val="009F02BD"/>
    <w:rsid w:val="009F04AA"/>
    <w:rsid w:val="009F128C"/>
    <w:rsid w:val="009F1BE9"/>
    <w:rsid w:val="009F238C"/>
    <w:rsid w:val="009F2FED"/>
    <w:rsid w:val="009F4056"/>
    <w:rsid w:val="009F4438"/>
    <w:rsid w:val="009F44C6"/>
    <w:rsid w:val="009F4C62"/>
    <w:rsid w:val="009F5926"/>
    <w:rsid w:val="009F6142"/>
    <w:rsid w:val="009F65E2"/>
    <w:rsid w:val="009F68CD"/>
    <w:rsid w:val="009F6BE3"/>
    <w:rsid w:val="009F6C58"/>
    <w:rsid w:val="009F7855"/>
    <w:rsid w:val="009F7CDC"/>
    <w:rsid w:val="00A00200"/>
    <w:rsid w:val="00A0074A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10D66"/>
    <w:rsid w:val="00A11B36"/>
    <w:rsid w:val="00A12B64"/>
    <w:rsid w:val="00A15F2B"/>
    <w:rsid w:val="00A20AC3"/>
    <w:rsid w:val="00A2331B"/>
    <w:rsid w:val="00A2347A"/>
    <w:rsid w:val="00A23E43"/>
    <w:rsid w:val="00A24289"/>
    <w:rsid w:val="00A242B0"/>
    <w:rsid w:val="00A300BD"/>
    <w:rsid w:val="00A30D3A"/>
    <w:rsid w:val="00A33179"/>
    <w:rsid w:val="00A33661"/>
    <w:rsid w:val="00A33972"/>
    <w:rsid w:val="00A33EFD"/>
    <w:rsid w:val="00A35033"/>
    <w:rsid w:val="00A35492"/>
    <w:rsid w:val="00A35B08"/>
    <w:rsid w:val="00A35DDE"/>
    <w:rsid w:val="00A36757"/>
    <w:rsid w:val="00A4343C"/>
    <w:rsid w:val="00A454CB"/>
    <w:rsid w:val="00A46DE0"/>
    <w:rsid w:val="00A47539"/>
    <w:rsid w:val="00A504C5"/>
    <w:rsid w:val="00A5138E"/>
    <w:rsid w:val="00A5256B"/>
    <w:rsid w:val="00A53A8A"/>
    <w:rsid w:val="00A543D4"/>
    <w:rsid w:val="00A555E0"/>
    <w:rsid w:val="00A5572C"/>
    <w:rsid w:val="00A55993"/>
    <w:rsid w:val="00A6066F"/>
    <w:rsid w:val="00A607F0"/>
    <w:rsid w:val="00A61865"/>
    <w:rsid w:val="00A61DF0"/>
    <w:rsid w:val="00A62302"/>
    <w:rsid w:val="00A623C5"/>
    <w:rsid w:val="00A62CE1"/>
    <w:rsid w:val="00A635F9"/>
    <w:rsid w:val="00A63BAB"/>
    <w:rsid w:val="00A64348"/>
    <w:rsid w:val="00A65561"/>
    <w:rsid w:val="00A65AE6"/>
    <w:rsid w:val="00A66484"/>
    <w:rsid w:val="00A66FDB"/>
    <w:rsid w:val="00A67DF4"/>
    <w:rsid w:val="00A70574"/>
    <w:rsid w:val="00A7074F"/>
    <w:rsid w:val="00A70B41"/>
    <w:rsid w:val="00A72085"/>
    <w:rsid w:val="00A7537C"/>
    <w:rsid w:val="00A758D2"/>
    <w:rsid w:val="00A75E40"/>
    <w:rsid w:val="00A800CC"/>
    <w:rsid w:val="00A82726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4B82"/>
    <w:rsid w:val="00A956B9"/>
    <w:rsid w:val="00A95B17"/>
    <w:rsid w:val="00A96EFF"/>
    <w:rsid w:val="00A97755"/>
    <w:rsid w:val="00AA1547"/>
    <w:rsid w:val="00AA1726"/>
    <w:rsid w:val="00AA1776"/>
    <w:rsid w:val="00AA18C3"/>
    <w:rsid w:val="00AA2926"/>
    <w:rsid w:val="00AA37CA"/>
    <w:rsid w:val="00AA4814"/>
    <w:rsid w:val="00AA4913"/>
    <w:rsid w:val="00AA559A"/>
    <w:rsid w:val="00AA5EC7"/>
    <w:rsid w:val="00AA5F96"/>
    <w:rsid w:val="00AA632A"/>
    <w:rsid w:val="00AA78DE"/>
    <w:rsid w:val="00AB2949"/>
    <w:rsid w:val="00AB2AF1"/>
    <w:rsid w:val="00AB32A2"/>
    <w:rsid w:val="00AB395D"/>
    <w:rsid w:val="00AB451D"/>
    <w:rsid w:val="00AB4A72"/>
    <w:rsid w:val="00AB76AC"/>
    <w:rsid w:val="00AB7963"/>
    <w:rsid w:val="00AC1AC6"/>
    <w:rsid w:val="00AC1B69"/>
    <w:rsid w:val="00AC4219"/>
    <w:rsid w:val="00AC4A96"/>
    <w:rsid w:val="00AC59AE"/>
    <w:rsid w:val="00AC6EE9"/>
    <w:rsid w:val="00AD076E"/>
    <w:rsid w:val="00AD17DE"/>
    <w:rsid w:val="00AD20E8"/>
    <w:rsid w:val="00AD306C"/>
    <w:rsid w:val="00AD3CCF"/>
    <w:rsid w:val="00AD473A"/>
    <w:rsid w:val="00AD5932"/>
    <w:rsid w:val="00AD617C"/>
    <w:rsid w:val="00AE1B59"/>
    <w:rsid w:val="00AE20F6"/>
    <w:rsid w:val="00AE42D9"/>
    <w:rsid w:val="00AE562A"/>
    <w:rsid w:val="00AF026E"/>
    <w:rsid w:val="00AF1D7D"/>
    <w:rsid w:val="00AF21F2"/>
    <w:rsid w:val="00AF36B3"/>
    <w:rsid w:val="00AF43AB"/>
    <w:rsid w:val="00AF447D"/>
    <w:rsid w:val="00AF52E3"/>
    <w:rsid w:val="00AF70B2"/>
    <w:rsid w:val="00B002FC"/>
    <w:rsid w:val="00B00577"/>
    <w:rsid w:val="00B0063E"/>
    <w:rsid w:val="00B01692"/>
    <w:rsid w:val="00B01997"/>
    <w:rsid w:val="00B01CAD"/>
    <w:rsid w:val="00B02802"/>
    <w:rsid w:val="00B02A97"/>
    <w:rsid w:val="00B02B9F"/>
    <w:rsid w:val="00B03A3F"/>
    <w:rsid w:val="00B04E18"/>
    <w:rsid w:val="00B05957"/>
    <w:rsid w:val="00B06DD7"/>
    <w:rsid w:val="00B07800"/>
    <w:rsid w:val="00B10C48"/>
    <w:rsid w:val="00B11CD3"/>
    <w:rsid w:val="00B134BB"/>
    <w:rsid w:val="00B13F18"/>
    <w:rsid w:val="00B17A7F"/>
    <w:rsid w:val="00B17E71"/>
    <w:rsid w:val="00B17FDE"/>
    <w:rsid w:val="00B209E4"/>
    <w:rsid w:val="00B21017"/>
    <w:rsid w:val="00B2154E"/>
    <w:rsid w:val="00B2382B"/>
    <w:rsid w:val="00B26A63"/>
    <w:rsid w:val="00B26D79"/>
    <w:rsid w:val="00B277C2"/>
    <w:rsid w:val="00B3051C"/>
    <w:rsid w:val="00B30983"/>
    <w:rsid w:val="00B31A08"/>
    <w:rsid w:val="00B32936"/>
    <w:rsid w:val="00B32DDB"/>
    <w:rsid w:val="00B3303A"/>
    <w:rsid w:val="00B3377E"/>
    <w:rsid w:val="00B34A56"/>
    <w:rsid w:val="00B35D12"/>
    <w:rsid w:val="00B36210"/>
    <w:rsid w:val="00B374C5"/>
    <w:rsid w:val="00B41036"/>
    <w:rsid w:val="00B414F8"/>
    <w:rsid w:val="00B41BE5"/>
    <w:rsid w:val="00B42372"/>
    <w:rsid w:val="00B44D79"/>
    <w:rsid w:val="00B45232"/>
    <w:rsid w:val="00B45422"/>
    <w:rsid w:val="00B508F7"/>
    <w:rsid w:val="00B54975"/>
    <w:rsid w:val="00B54D2B"/>
    <w:rsid w:val="00B554C6"/>
    <w:rsid w:val="00B55E53"/>
    <w:rsid w:val="00B56E4B"/>
    <w:rsid w:val="00B570F5"/>
    <w:rsid w:val="00B60550"/>
    <w:rsid w:val="00B615FA"/>
    <w:rsid w:val="00B6249B"/>
    <w:rsid w:val="00B63403"/>
    <w:rsid w:val="00B6348E"/>
    <w:rsid w:val="00B6407A"/>
    <w:rsid w:val="00B6608F"/>
    <w:rsid w:val="00B66D44"/>
    <w:rsid w:val="00B73995"/>
    <w:rsid w:val="00B74386"/>
    <w:rsid w:val="00B75959"/>
    <w:rsid w:val="00B75B1B"/>
    <w:rsid w:val="00B76D1E"/>
    <w:rsid w:val="00B82B44"/>
    <w:rsid w:val="00B848A3"/>
    <w:rsid w:val="00B85D5F"/>
    <w:rsid w:val="00B87EAA"/>
    <w:rsid w:val="00B9096F"/>
    <w:rsid w:val="00B90C58"/>
    <w:rsid w:val="00B92A12"/>
    <w:rsid w:val="00B92E07"/>
    <w:rsid w:val="00B93569"/>
    <w:rsid w:val="00B935C6"/>
    <w:rsid w:val="00B9366B"/>
    <w:rsid w:val="00B937BA"/>
    <w:rsid w:val="00B93823"/>
    <w:rsid w:val="00B94374"/>
    <w:rsid w:val="00B95940"/>
    <w:rsid w:val="00B973C2"/>
    <w:rsid w:val="00B976FB"/>
    <w:rsid w:val="00B97BEC"/>
    <w:rsid w:val="00B97DC8"/>
    <w:rsid w:val="00BA0781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82"/>
    <w:rsid w:val="00BA606F"/>
    <w:rsid w:val="00BA7A10"/>
    <w:rsid w:val="00BB00BE"/>
    <w:rsid w:val="00BB0151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5B4C"/>
    <w:rsid w:val="00BC712A"/>
    <w:rsid w:val="00BC7551"/>
    <w:rsid w:val="00BC7950"/>
    <w:rsid w:val="00BD1D56"/>
    <w:rsid w:val="00BD2F1E"/>
    <w:rsid w:val="00BD366B"/>
    <w:rsid w:val="00BD48C8"/>
    <w:rsid w:val="00BD6D50"/>
    <w:rsid w:val="00BE07B2"/>
    <w:rsid w:val="00BE0A28"/>
    <w:rsid w:val="00BE0B5C"/>
    <w:rsid w:val="00BE1A8D"/>
    <w:rsid w:val="00BE3640"/>
    <w:rsid w:val="00BE7543"/>
    <w:rsid w:val="00BE7970"/>
    <w:rsid w:val="00BE7BBE"/>
    <w:rsid w:val="00BF03B4"/>
    <w:rsid w:val="00BF04D9"/>
    <w:rsid w:val="00BF08D4"/>
    <w:rsid w:val="00BF0E2E"/>
    <w:rsid w:val="00BF199B"/>
    <w:rsid w:val="00BF1E13"/>
    <w:rsid w:val="00BF33BA"/>
    <w:rsid w:val="00BF3A86"/>
    <w:rsid w:val="00C00A63"/>
    <w:rsid w:val="00C029A5"/>
    <w:rsid w:val="00C02AFD"/>
    <w:rsid w:val="00C02DCF"/>
    <w:rsid w:val="00C041AD"/>
    <w:rsid w:val="00C04770"/>
    <w:rsid w:val="00C05875"/>
    <w:rsid w:val="00C05AF7"/>
    <w:rsid w:val="00C10021"/>
    <w:rsid w:val="00C10234"/>
    <w:rsid w:val="00C10897"/>
    <w:rsid w:val="00C128A0"/>
    <w:rsid w:val="00C12EC2"/>
    <w:rsid w:val="00C138D0"/>
    <w:rsid w:val="00C1603D"/>
    <w:rsid w:val="00C161FF"/>
    <w:rsid w:val="00C165FD"/>
    <w:rsid w:val="00C16C0E"/>
    <w:rsid w:val="00C174DD"/>
    <w:rsid w:val="00C20932"/>
    <w:rsid w:val="00C21F94"/>
    <w:rsid w:val="00C22D52"/>
    <w:rsid w:val="00C22FBD"/>
    <w:rsid w:val="00C250AA"/>
    <w:rsid w:val="00C26558"/>
    <w:rsid w:val="00C30140"/>
    <w:rsid w:val="00C30C52"/>
    <w:rsid w:val="00C30DFA"/>
    <w:rsid w:val="00C32DCF"/>
    <w:rsid w:val="00C37C2F"/>
    <w:rsid w:val="00C40BCF"/>
    <w:rsid w:val="00C430FD"/>
    <w:rsid w:val="00C4315C"/>
    <w:rsid w:val="00C43825"/>
    <w:rsid w:val="00C43DD5"/>
    <w:rsid w:val="00C44D39"/>
    <w:rsid w:val="00C47F27"/>
    <w:rsid w:val="00C5141B"/>
    <w:rsid w:val="00C515BF"/>
    <w:rsid w:val="00C519D0"/>
    <w:rsid w:val="00C522C1"/>
    <w:rsid w:val="00C53B40"/>
    <w:rsid w:val="00C53DDA"/>
    <w:rsid w:val="00C569E6"/>
    <w:rsid w:val="00C56C25"/>
    <w:rsid w:val="00C5791B"/>
    <w:rsid w:val="00C60EA0"/>
    <w:rsid w:val="00C6102D"/>
    <w:rsid w:val="00C61984"/>
    <w:rsid w:val="00C625F7"/>
    <w:rsid w:val="00C62ACF"/>
    <w:rsid w:val="00C62D2F"/>
    <w:rsid w:val="00C64BB8"/>
    <w:rsid w:val="00C716DF"/>
    <w:rsid w:val="00C7180D"/>
    <w:rsid w:val="00C71DEC"/>
    <w:rsid w:val="00C720AF"/>
    <w:rsid w:val="00C76A44"/>
    <w:rsid w:val="00C776EE"/>
    <w:rsid w:val="00C80F44"/>
    <w:rsid w:val="00C844DF"/>
    <w:rsid w:val="00C8471A"/>
    <w:rsid w:val="00C84ABE"/>
    <w:rsid w:val="00C8582D"/>
    <w:rsid w:val="00C867AC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C58"/>
    <w:rsid w:val="00C972A4"/>
    <w:rsid w:val="00CA0C22"/>
    <w:rsid w:val="00CA14B1"/>
    <w:rsid w:val="00CA35A0"/>
    <w:rsid w:val="00CA4E46"/>
    <w:rsid w:val="00CA5513"/>
    <w:rsid w:val="00CA5B30"/>
    <w:rsid w:val="00CA7634"/>
    <w:rsid w:val="00CB0E73"/>
    <w:rsid w:val="00CB119C"/>
    <w:rsid w:val="00CB19B7"/>
    <w:rsid w:val="00CB2058"/>
    <w:rsid w:val="00CB2E34"/>
    <w:rsid w:val="00CB365C"/>
    <w:rsid w:val="00CB5E1F"/>
    <w:rsid w:val="00CB6787"/>
    <w:rsid w:val="00CB7B8F"/>
    <w:rsid w:val="00CB7C6A"/>
    <w:rsid w:val="00CB7D34"/>
    <w:rsid w:val="00CC035A"/>
    <w:rsid w:val="00CC0777"/>
    <w:rsid w:val="00CC08A8"/>
    <w:rsid w:val="00CC15C7"/>
    <w:rsid w:val="00CC1BCB"/>
    <w:rsid w:val="00CC31D3"/>
    <w:rsid w:val="00CC6AC0"/>
    <w:rsid w:val="00CC6CE2"/>
    <w:rsid w:val="00CD0733"/>
    <w:rsid w:val="00CD32B3"/>
    <w:rsid w:val="00CD38A6"/>
    <w:rsid w:val="00CD52DD"/>
    <w:rsid w:val="00CD5C5C"/>
    <w:rsid w:val="00CD5C9C"/>
    <w:rsid w:val="00CD69AB"/>
    <w:rsid w:val="00CD7FF3"/>
    <w:rsid w:val="00CE05B1"/>
    <w:rsid w:val="00CE19FA"/>
    <w:rsid w:val="00CE5770"/>
    <w:rsid w:val="00CE5B81"/>
    <w:rsid w:val="00CE7123"/>
    <w:rsid w:val="00CE762C"/>
    <w:rsid w:val="00CF0318"/>
    <w:rsid w:val="00CF1E47"/>
    <w:rsid w:val="00CF30FD"/>
    <w:rsid w:val="00CF3750"/>
    <w:rsid w:val="00CF3994"/>
    <w:rsid w:val="00CF3AF7"/>
    <w:rsid w:val="00CF3BC3"/>
    <w:rsid w:val="00CF4814"/>
    <w:rsid w:val="00CF51EC"/>
    <w:rsid w:val="00CF630C"/>
    <w:rsid w:val="00CF6D6C"/>
    <w:rsid w:val="00CF75B4"/>
    <w:rsid w:val="00CF765A"/>
    <w:rsid w:val="00D02B32"/>
    <w:rsid w:val="00D040DD"/>
    <w:rsid w:val="00D044D0"/>
    <w:rsid w:val="00D04CDF"/>
    <w:rsid w:val="00D06570"/>
    <w:rsid w:val="00D0660A"/>
    <w:rsid w:val="00D0753E"/>
    <w:rsid w:val="00D07643"/>
    <w:rsid w:val="00D1043F"/>
    <w:rsid w:val="00D1153B"/>
    <w:rsid w:val="00D1192D"/>
    <w:rsid w:val="00D11E62"/>
    <w:rsid w:val="00D123E4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7CF3"/>
    <w:rsid w:val="00D304D1"/>
    <w:rsid w:val="00D31B7A"/>
    <w:rsid w:val="00D32644"/>
    <w:rsid w:val="00D32AAF"/>
    <w:rsid w:val="00D357F7"/>
    <w:rsid w:val="00D36CF5"/>
    <w:rsid w:val="00D37936"/>
    <w:rsid w:val="00D40648"/>
    <w:rsid w:val="00D41139"/>
    <w:rsid w:val="00D424F7"/>
    <w:rsid w:val="00D42E39"/>
    <w:rsid w:val="00D4367D"/>
    <w:rsid w:val="00D448C3"/>
    <w:rsid w:val="00D4509A"/>
    <w:rsid w:val="00D45C2E"/>
    <w:rsid w:val="00D508CE"/>
    <w:rsid w:val="00D50CCC"/>
    <w:rsid w:val="00D51F16"/>
    <w:rsid w:val="00D52054"/>
    <w:rsid w:val="00D52621"/>
    <w:rsid w:val="00D52692"/>
    <w:rsid w:val="00D54E6D"/>
    <w:rsid w:val="00D55EC8"/>
    <w:rsid w:val="00D562C1"/>
    <w:rsid w:val="00D56499"/>
    <w:rsid w:val="00D61FFA"/>
    <w:rsid w:val="00D645B6"/>
    <w:rsid w:val="00D64DAC"/>
    <w:rsid w:val="00D66A96"/>
    <w:rsid w:val="00D7252F"/>
    <w:rsid w:val="00D72956"/>
    <w:rsid w:val="00D732EA"/>
    <w:rsid w:val="00D739E9"/>
    <w:rsid w:val="00D73DDD"/>
    <w:rsid w:val="00D74697"/>
    <w:rsid w:val="00D746BE"/>
    <w:rsid w:val="00D7580F"/>
    <w:rsid w:val="00D771EB"/>
    <w:rsid w:val="00D7784F"/>
    <w:rsid w:val="00D77F03"/>
    <w:rsid w:val="00D77F78"/>
    <w:rsid w:val="00D82C76"/>
    <w:rsid w:val="00D82E85"/>
    <w:rsid w:val="00D82F91"/>
    <w:rsid w:val="00D83806"/>
    <w:rsid w:val="00D85311"/>
    <w:rsid w:val="00D86177"/>
    <w:rsid w:val="00D862DB"/>
    <w:rsid w:val="00D862E2"/>
    <w:rsid w:val="00D870FA"/>
    <w:rsid w:val="00D8721D"/>
    <w:rsid w:val="00D90902"/>
    <w:rsid w:val="00D926D6"/>
    <w:rsid w:val="00D931E3"/>
    <w:rsid w:val="00D93FAE"/>
    <w:rsid w:val="00D9593B"/>
    <w:rsid w:val="00D95F9C"/>
    <w:rsid w:val="00D97D4F"/>
    <w:rsid w:val="00DA236F"/>
    <w:rsid w:val="00DA23C8"/>
    <w:rsid w:val="00DA402D"/>
    <w:rsid w:val="00DA4A23"/>
    <w:rsid w:val="00DA4D23"/>
    <w:rsid w:val="00DA5A26"/>
    <w:rsid w:val="00DA631C"/>
    <w:rsid w:val="00DA7A50"/>
    <w:rsid w:val="00DA7CC2"/>
    <w:rsid w:val="00DB1043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63A5"/>
    <w:rsid w:val="00DC34E8"/>
    <w:rsid w:val="00DC44B4"/>
    <w:rsid w:val="00DC4F06"/>
    <w:rsid w:val="00DC5B3B"/>
    <w:rsid w:val="00DD025D"/>
    <w:rsid w:val="00DD1E87"/>
    <w:rsid w:val="00DD1F3F"/>
    <w:rsid w:val="00DD22C3"/>
    <w:rsid w:val="00DD29DA"/>
    <w:rsid w:val="00DD2C24"/>
    <w:rsid w:val="00DD3310"/>
    <w:rsid w:val="00DD5273"/>
    <w:rsid w:val="00DD6045"/>
    <w:rsid w:val="00DD7D6D"/>
    <w:rsid w:val="00DE14E0"/>
    <w:rsid w:val="00DE1868"/>
    <w:rsid w:val="00DE18D5"/>
    <w:rsid w:val="00DE1D26"/>
    <w:rsid w:val="00DE24CD"/>
    <w:rsid w:val="00DE2D5D"/>
    <w:rsid w:val="00DE3559"/>
    <w:rsid w:val="00DE4E41"/>
    <w:rsid w:val="00DE61D7"/>
    <w:rsid w:val="00DF0AEA"/>
    <w:rsid w:val="00DF2A78"/>
    <w:rsid w:val="00DF2BE0"/>
    <w:rsid w:val="00DF38C7"/>
    <w:rsid w:val="00DF38E1"/>
    <w:rsid w:val="00DF3D88"/>
    <w:rsid w:val="00DF56CF"/>
    <w:rsid w:val="00DF6411"/>
    <w:rsid w:val="00DF765E"/>
    <w:rsid w:val="00E01C0E"/>
    <w:rsid w:val="00E0238B"/>
    <w:rsid w:val="00E0253B"/>
    <w:rsid w:val="00E03492"/>
    <w:rsid w:val="00E04694"/>
    <w:rsid w:val="00E047D9"/>
    <w:rsid w:val="00E05180"/>
    <w:rsid w:val="00E069D1"/>
    <w:rsid w:val="00E1134C"/>
    <w:rsid w:val="00E14DCA"/>
    <w:rsid w:val="00E17081"/>
    <w:rsid w:val="00E177CD"/>
    <w:rsid w:val="00E179D6"/>
    <w:rsid w:val="00E23A1A"/>
    <w:rsid w:val="00E25339"/>
    <w:rsid w:val="00E26F9A"/>
    <w:rsid w:val="00E27145"/>
    <w:rsid w:val="00E302A2"/>
    <w:rsid w:val="00E313C9"/>
    <w:rsid w:val="00E32007"/>
    <w:rsid w:val="00E32551"/>
    <w:rsid w:val="00E32F67"/>
    <w:rsid w:val="00E34129"/>
    <w:rsid w:val="00E34334"/>
    <w:rsid w:val="00E35EE2"/>
    <w:rsid w:val="00E40913"/>
    <w:rsid w:val="00E4183E"/>
    <w:rsid w:val="00E43274"/>
    <w:rsid w:val="00E44FE6"/>
    <w:rsid w:val="00E4586D"/>
    <w:rsid w:val="00E4595C"/>
    <w:rsid w:val="00E46A44"/>
    <w:rsid w:val="00E4731C"/>
    <w:rsid w:val="00E51707"/>
    <w:rsid w:val="00E52C0B"/>
    <w:rsid w:val="00E5532E"/>
    <w:rsid w:val="00E55E70"/>
    <w:rsid w:val="00E5721D"/>
    <w:rsid w:val="00E57AF7"/>
    <w:rsid w:val="00E60C65"/>
    <w:rsid w:val="00E6132D"/>
    <w:rsid w:val="00E61500"/>
    <w:rsid w:val="00E63796"/>
    <w:rsid w:val="00E63E10"/>
    <w:rsid w:val="00E64CA1"/>
    <w:rsid w:val="00E65176"/>
    <w:rsid w:val="00E66077"/>
    <w:rsid w:val="00E66E6F"/>
    <w:rsid w:val="00E67F89"/>
    <w:rsid w:val="00E70357"/>
    <w:rsid w:val="00E71A58"/>
    <w:rsid w:val="00E7309F"/>
    <w:rsid w:val="00E74EA1"/>
    <w:rsid w:val="00E804AC"/>
    <w:rsid w:val="00E80CEE"/>
    <w:rsid w:val="00E828AD"/>
    <w:rsid w:val="00E83728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978D1"/>
    <w:rsid w:val="00E97CEB"/>
    <w:rsid w:val="00E97FA6"/>
    <w:rsid w:val="00EA0C68"/>
    <w:rsid w:val="00EA1483"/>
    <w:rsid w:val="00EA2491"/>
    <w:rsid w:val="00EA2A3F"/>
    <w:rsid w:val="00EA2F6A"/>
    <w:rsid w:val="00EA33A6"/>
    <w:rsid w:val="00EA3D63"/>
    <w:rsid w:val="00EA41D4"/>
    <w:rsid w:val="00EA48B1"/>
    <w:rsid w:val="00EA52AB"/>
    <w:rsid w:val="00EA770B"/>
    <w:rsid w:val="00EA7E97"/>
    <w:rsid w:val="00EB073A"/>
    <w:rsid w:val="00EB1BA9"/>
    <w:rsid w:val="00EB2612"/>
    <w:rsid w:val="00EB34FD"/>
    <w:rsid w:val="00EB6691"/>
    <w:rsid w:val="00EB7708"/>
    <w:rsid w:val="00EC224D"/>
    <w:rsid w:val="00EC276B"/>
    <w:rsid w:val="00EC491F"/>
    <w:rsid w:val="00EC5902"/>
    <w:rsid w:val="00EC5C84"/>
    <w:rsid w:val="00EC5D3C"/>
    <w:rsid w:val="00EC7FE7"/>
    <w:rsid w:val="00ED0206"/>
    <w:rsid w:val="00ED0329"/>
    <w:rsid w:val="00ED286F"/>
    <w:rsid w:val="00ED437A"/>
    <w:rsid w:val="00ED59A5"/>
    <w:rsid w:val="00ED7436"/>
    <w:rsid w:val="00ED7FC7"/>
    <w:rsid w:val="00EE01FF"/>
    <w:rsid w:val="00EE05ED"/>
    <w:rsid w:val="00EE1F14"/>
    <w:rsid w:val="00EE218B"/>
    <w:rsid w:val="00EE3E78"/>
    <w:rsid w:val="00EE504E"/>
    <w:rsid w:val="00EE5179"/>
    <w:rsid w:val="00EE6118"/>
    <w:rsid w:val="00EE6D0D"/>
    <w:rsid w:val="00EE7439"/>
    <w:rsid w:val="00EE7545"/>
    <w:rsid w:val="00EF0540"/>
    <w:rsid w:val="00EF1538"/>
    <w:rsid w:val="00EF194E"/>
    <w:rsid w:val="00EF1F5A"/>
    <w:rsid w:val="00EF2525"/>
    <w:rsid w:val="00EF3614"/>
    <w:rsid w:val="00EF4907"/>
    <w:rsid w:val="00EF4D97"/>
    <w:rsid w:val="00EF57CC"/>
    <w:rsid w:val="00EF63C7"/>
    <w:rsid w:val="00EF65C3"/>
    <w:rsid w:val="00EF6A33"/>
    <w:rsid w:val="00F00EA9"/>
    <w:rsid w:val="00F013B6"/>
    <w:rsid w:val="00F02FF2"/>
    <w:rsid w:val="00F04811"/>
    <w:rsid w:val="00F0488C"/>
    <w:rsid w:val="00F05C31"/>
    <w:rsid w:val="00F06DC6"/>
    <w:rsid w:val="00F07CC0"/>
    <w:rsid w:val="00F100E0"/>
    <w:rsid w:val="00F102BF"/>
    <w:rsid w:val="00F112D6"/>
    <w:rsid w:val="00F12145"/>
    <w:rsid w:val="00F12C10"/>
    <w:rsid w:val="00F12C35"/>
    <w:rsid w:val="00F12DB1"/>
    <w:rsid w:val="00F13916"/>
    <w:rsid w:val="00F143DB"/>
    <w:rsid w:val="00F15804"/>
    <w:rsid w:val="00F15BEF"/>
    <w:rsid w:val="00F1651D"/>
    <w:rsid w:val="00F17103"/>
    <w:rsid w:val="00F176FF"/>
    <w:rsid w:val="00F2260E"/>
    <w:rsid w:val="00F24FAA"/>
    <w:rsid w:val="00F26813"/>
    <w:rsid w:val="00F2719E"/>
    <w:rsid w:val="00F2751B"/>
    <w:rsid w:val="00F27845"/>
    <w:rsid w:val="00F301BC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0F10"/>
    <w:rsid w:val="00F419C2"/>
    <w:rsid w:val="00F41DE4"/>
    <w:rsid w:val="00F42ADE"/>
    <w:rsid w:val="00F4368B"/>
    <w:rsid w:val="00F4616F"/>
    <w:rsid w:val="00F4638E"/>
    <w:rsid w:val="00F4721B"/>
    <w:rsid w:val="00F543ED"/>
    <w:rsid w:val="00F57A82"/>
    <w:rsid w:val="00F61C33"/>
    <w:rsid w:val="00F632B0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6F2"/>
    <w:rsid w:val="00F76D39"/>
    <w:rsid w:val="00F76EFC"/>
    <w:rsid w:val="00F77FD7"/>
    <w:rsid w:val="00F823B2"/>
    <w:rsid w:val="00F824F1"/>
    <w:rsid w:val="00F82744"/>
    <w:rsid w:val="00F85F9A"/>
    <w:rsid w:val="00F912EF"/>
    <w:rsid w:val="00F93608"/>
    <w:rsid w:val="00F95D6D"/>
    <w:rsid w:val="00F96C39"/>
    <w:rsid w:val="00F972A8"/>
    <w:rsid w:val="00FA118E"/>
    <w:rsid w:val="00FA3917"/>
    <w:rsid w:val="00FA57C0"/>
    <w:rsid w:val="00FA5C89"/>
    <w:rsid w:val="00FA6A70"/>
    <w:rsid w:val="00FA7C55"/>
    <w:rsid w:val="00FA7D92"/>
    <w:rsid w:val="00FB03D2"/>
    <w:rsid w:val="00FB1A38"/>
    <w:rsid w:val="00FB2130"/>
    <w:rsid w:val="00FB5108"/>
    <w:rsid w:val="00FB512A"/>
    <w:rsid w:val="00FB51BC"/>
    <w:rsid w:val="00FB5428"/>
    <w:rsid w:val="00FB5667"/>
    <w:rsid w:val="00FB5FB6"/>
    <w:rsid w:val="00FB6DE3"/>
    <w:rsid w:val="00FC0E5F"/>
    <w:rsid w:val="00FC1908"/>
    <w:rsid w:val="00FC1FBC"/>
    <w:rsid w:val="00FC208C"/>
    <w:rsid w:val="00FC2A28"/>
    <w:rsid w:val="00FC30EF"/>
    <w:rsid w:val="00FC4669"/>
    <w:rsid w:val="00FC56DE"/>
    <w:rsid w:val="00FC68DB"/>
    <w:rsid w:val="00FC6F82"/>
    <w:rsid w:val="00FC7ECC"/>
    <w:rsid w:val="00FD1391"/>
    <w:rsid w:val="00FD15DF"/>
    <w:rsid w:val="00FD3B1F"/>
    <w:rsid w:val="00FD4C7D"/>
    <w:rsid w:val="00FD5FAC"/>
    <w:rsid w:val="00FD6771"/>
    <w:rsid w:val="00FD67BE"/>
    <w:rsid w:val="00FD6A7D"/>
    <w:rsid w:val="00FD7C5C"/>
    <w:rsid w:val="00FE02E9"/>
    <w:rsid w:val="00FE09B6"/>
    <w:rsid w:val="00FE1C5D"/>
    <w:rsid w:val="00FE1FC6"/>
    <w:rsid w:val="00FE26AC"/>
    <w:rsid w:val="00FE27EE"/>
    <w:rsid w:val="00FE2F78"/>
    <w:rsid w:val="00FE35E6"/>
    <w:rsid w:val="00FE5705"/>
    <w:rsid w:val="00FF0E01"/>
    <w:rsid w:val="00FF0F49"/>
    <w:rsid w:val="00FF3270"/>
    <w:rsid w:val="00FF3DCC"/>
    <w:rsid w:val="00FF475F"/>
    <w:rsid w:val="00FF5022"/>
    <w:rsid w:val="00FF5039"/>
    <w:rsid w:val="00FF526E"/>
    <w:rsid w:val="00FF5771"/>
    <w:rsid w:val="00FF66DD"/>
    <w:rsid w:val="00FF701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42BDEC1"/>
  <w15:docId w15:val="{15BC691A-8EBE-4BA4-A316-A965915E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d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  <w:style w:type="paragraph" w:customStyle="1" w:styleId="TLKontaktyerven">
    <w:name w:val="TL Kontakty červené"/>
    <w:basedOn w:val="Normln"/>
    <w:qFormat/>
    <w:rsid w:val="004A476E"/>
    <w:pPr>
      <w:spacing w:after="40" w:line="288" w:lineRule="auto"/>
      <w:contextualSpacing/>
      <w:jc w:val="left"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4A476E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Revize">
    <w:name w:val="Revision"/>
    <w:hidden/>
    <w:uiPriority w:val="71"/>
    <w:rsid w:val="00572D59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dera1350\Documents\Publikace%20Kulturn&#237;%20pr&#367;mysly%20v%20&#268;R\2020\Tabulky_2020\Graf%2065%20-%20hrani%20videoher%20V&#352;I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dera1350\Documents\Publikace%20Kulturn&#237;%20pr&#367;mysly%20v%20&#268;R\2020\Tabulky_2020\Graf%2066%20Hr&#225;&#269;i%20Eurosta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dera1350\Documents\Publikace%20Kulturn&#237;%20pr&#367;mysly%20v%20&#268;R\2020\Tabulky_2020\Graf%2067%20-%20Glob&#225;ln&#237;%20tr&#382;by%20podle%20platforem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List1!$B$7</c:f>
              <c:strCache>
                <c:ptCount val="1"/>
                <c:pt idx="0">
                  <c:v>zaměstnanost (stovky osob)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List1!$C$6:$J$6</c:f>
              <c:strCache>
                <c:ptCount val="8"/>
                <c:pt idx="0">
                  <c:v>2009</c:v>
                </c:pt>
                <c:pt idx="1">
                  <c:v>2011</c:v>
                </c:pt>
                <c:pt idx="2">
                  <c:v>2013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List1!$C$7:$J$7</c:f>
              <c:numCache>
                <c:formatCode>#,##0.00</c:formatCode>
                <c:ptCount val="8"/>
                <c:pt idx="0">
                  <c:v>0.54097462759100001</c:v>
                </c:pt>
                <c:pt idx="1">
                  <c:v>0.91003473869400009</c:v>
                </c:pt>
                <c:pt idx="2">
                  <c:v>1.9476528358300003</c:v>
                </c:pt>
                <c:pt idx="3">
                  <c:v>3.3430808484870007</c:v>
                </c:pt>
                <c:pt idx="4">
                  <c:v>3.84078025712</c:v>
                </c:pt>
                <c:pt idx="5" formatCode="General">
                  <c:v>4.3899999999999997</c:v>
                </c:pt>
                <c:pt idx="6" formatCode="General">
                  <c:v>6.72</c:v>
                </c:pt>
                <c:pt idx="7" formatCode="General">
                  <c:v>7.46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C7-4DBB-AF80-EBAFA804985D}"/>
            </c:ext>
          </c:extLst>
        </c:ser>
        <c:ser>
          <c:idx val="1"/>
          <c:order val="1"/>
          <c:tx>
            <c:strRef>
              <c:f>List1!$B$8</c:f>
              <c:strCache>
                <c:ptCount val="1"/>
                <c:pt idx="0">
                  <c:v>příjmy (mld. Kč)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9.6808166506861915E-2"/>
                  <c:y val="-2.557653977463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C7-4DBB-AF80-EBAFA804985D}"/>
                </c:ext>
              </c:extLst>
            </c:dLbl>
            <c:dLbl>
              <c:idx val="1"/>
              <c:layout>
                <c:manualLayout>
                  <c:x val="-1.808737929898984E-2"/>
                  <c:y val="-5.5651727744558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C7-4DBB-AF80-EBAFA804985D}"/>
                </c:ext>
              </c:extLst>
            </c:dLbl>
            <c:dLbl>
              <c:idx val="2"/>
              <c:layout>
                <c:manualLayout>
                  <c:x val="-1.316733009849788E-2"/>
                  <c:y val="-5.5651727744558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C7-4DBB-AF80-EBAFA804985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List1!$C$6:$J$6</c:f>
              <c:strCache>
                <c:ptCount val="8"/>
                <c:pt idx="0">
                  <c:v>2009</c:v>
                </c:pt>
                <c:pt idx="1">
                  <c:v>2011</c:v>
                </c:pt>
                <c:pt idx="2">
                  <c:v>2013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List1!$C$8:$J$8</c:f>
              <c:numCache>
                <c:formatCode>#,##0.00</c:formatCode>
                <c:ptCount val="8"/>
                <c:pt idx="0">
                  <c:v>0.17879691348077931</c:v>
                </c:pt>
                <c:pt idx="1">
                  <c:v>0.20353424943553092</c:v>
                </c:pt>
                <c:pt idx="2">
                  <c:v>1.2725045410541411</c:v>
                </c:pt>
                <c:pt idx="3">
                  <c:v>1.5154049466310637</c:v>
                </c:pt>
                <c:pt idx="4">
                  <c:v>1.4441692375046022</c:v>
                </c:pt>
                <c:pt idx="5" formatCode="General">
                  <c:v>1.27</c:v>
                </c:pt>
                <c:pt idx="6" formatCode="General">
                  <c:v>2.81</c:v>
                </c:pt>
                <c:pt idx="7" formatCode="General">
                  <c:v>2.96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3C7-4DBB-AF80-EBAFA80498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168448"/>
        <c:axId val="54879360"/>
      </c:lineChart>
      <c:catAx>
        <c:axId val="40168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879360"/>
        <c:crosses val="autoZero"/>
        <c:auto val="1"/>
        <c:lblAlgn val="ctr"/>
        <c:lblOffset val="100"/>
        <c:noMultiLvlLbl val="0"/>
      </c:catAx>
      <c:valAx>
        <c:axId val="54879360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401684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56714785651794"/>
          <c:y val="0.11516258384368623"/>
          <c:w val="0.83843285214348207"/>
          <c:h val="0.884837416156313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List1!$C$13</c:f>
              <c:strCache>
                <c:ptCount val="1"/>
                <c:pt idx="0">
                  <c:v>osoby starší 16 let používající internet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List1!$B$14:$B$21</c:f>
              <c:strCache>
                <c:ptCount val="8"/>
                <c:pt idx="0">
                  <c:v>75+</c:v>
                </c:pt>
                <c:pt idx="1">
                  <c:v>65–74 let</c:v>
                </c:pt>
                <c:pt idx="2">
                  <c:v>55–64 let</c:v>
                </c:pt>
                <c:pt idx="3">
                  <c:v>45–54 let</c:v>
                </c:pt>
                <c:pt idx="4">
                  <c:v>35–44 let</c:v>
                </c:pt>
                <c:pt idx="5">
                  <c:v>25–34 let</c:v>
                </c:pt>
                <c:pt idx="6">
                  <c:v>16–24 let</c:v>
                </c:pt>
                <c:pt idx="7">
                  <c:v>celkem</c:v>
                </c:pt>
              </c:strCache>
            </c:strRef>
          </c:cat>
          <c:val>
            <c:numRef>
              <c:f>List1!$C$14:$C$21</c:f>
              <c:numCache>
                <c:formatCode>General</c:formatCode>
                <c:ptCount val="8"/>
                <c:pt idx="0">
                  <c:v>4.6379999999999998E-2</c:v>
                </c:pt>
                <c:pt idx="1">
                  <c:v>6.2460000000000009E-2</c:v>
                </c:pt>
                <c:pt idx="2">
                  <c:v>8.584E-2</c:v>
                </c:pt>
                <c:pt idx="3">
                  <c:v>0.11928999999999999</c:v>
                </c:pt>
                <c:pt idx="4">
                  <c:v>0.25633</c:v>
                </c:pt>
                <c:pt idx="5">
                  <c:v>0.34671999999999997</c:v>
                </c:pt>
                <c:pt idx="6">
                  <c:v>0.62709999999999999</c:v>
                </c:pt>
                <c:pt idx="7">
                  <c:v>0.24087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DD-4A1A-AF5D-FB26D87E7CD8}"/>
            </c:ext>
          </c:extLst>
        </c:ser>
        <c:ser>
          <c:idx val="1"/>
          <c:order val="1"/>
          <c:tx>
            <c:strRef>
              <c:f>List1!$D$13</c:f>
              <c:strCache>
                <c:ptCount val="1"/>
                <c:pt idx="0">
                  <c:v>osoby starší 16 let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List1!$B$14:$B$21</c:f>
              <c:strCache>
                <c:ptCount val="8"/>
                <c:pt idx="0">
                  <c:v>75+</c:v>
                </c:pt>
                <c:pt idx="1">
                  <c:v>65–74 let</c:v>
                </c:pt>
                <c:pt idx="2">
                  <c:v>55–64 let</c:v>
                </c:pt>
                <c:pt idx="3">
                  <c:v>45–54 let</c:v>
                </c:pt>
                <c:pt idx="4">
                  <c:v>35–44 let</c:v>
                </c:pt>
                <c:pt idx="5">
                  <c:v>25–34 let</c:v>
                </c:pt>
                <c:pt idx="6">
                  <c:v>16–24 let</c:v>
                </c:pt>
                <c:pt idx="7">
                  <c:v>celkem</c:v>
                </c:pt>
              </c:strCache>
            </c:strRef>
          </c:cat>
          <c:val>
            <c:numRef>
              <c:f>List1!$D$14:$D$21</c:f>
              <c:numCache>
                <c:formatCode>General</c:formatCode>
                <c:ptCount val="8"/>
                <c:pt idx="0">
                  <c:v>9.1500000000000001E-3</c:v>
                </c:pt>
                <c:pt idx="1">
                  <c:v>3.3309999999999999E-2</c:v>
                </c:pt>
                <c:pt idx="2">
                  <c:v>6.9529999999999995E-2</c:v>
                </c:pt>
                <c:pt idx="3">
                  <c:v>0.11298999999999999</c:v>
                </c:pt>
                <c:pt idx="4">
                  <c:v>0.25219999999999998</c:v>
                </c:pt>
                <c:pt idx="5">
                  <c:v>0.33951999999999999</c:v>
                </c:pt>
                <c:pt idx="6">
                  <c:v>0.61843999999999999</c:v>
                </c:pt>
                <c:pt idx="7">
                  <c:v>0.19592000000000004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DD-4A1A-AF5D-FB26D87E7C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099477871"/>
        <c:axId val="1099479535"/>
      </c:barChart>
      <c:catAx>
        <c:axId val="10994778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9479535"/>
        <c:crosses val="autoZero"/>
        <c:auto val="1"/>
        <c:lblAlgn val="ctr"/>
        <c:lblOffset val="100"/>
        <c:noMultiLvlLbl val="0"/>
      </c:catAx>
      <c:valAx>
        <c:axId val="109947953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99477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2645100612423446"/>
          <c:y val="0"/>
          <c:w val="0.83006714785651792"/>
          <c:h val="0.105748031496062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D3BF-4EED-81D1-1A64ECD99546}"/>
              </c:ext>
            </c:extLst>
          </c:dPt>
          <c:dPt>
            <c:idx val="23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D3BF-4EED-81D1-1A64ECD99546}"/>
              </c:ext>
            </c:extLst>
          </c:dPt>
          <c:cat>
            <c:strRef>
              <c:f>List1!$A$2:$A$28</c:f>
              <c:strCache>
                <c:ptCount val="27"/>
                <c:pt idx="0">
                  <c:v>Nizozemsko</c:v>
                </c:pt>
                <c:pt idx="1">
                  <c:v>Dánsko</c:v>
                </c:pt>
                <c:pt idx="2">
                  <c:v>Malta</c:v>
                </c:pt>
                <c:pt idx="3">
                  <c:v>Finsko</c:v>
                </c:pt>
                <c:pt idx="4">
                  <c:v>Švédsko</c:v>
                </c:pt>
                <c:pt idx="5">
                  <c:v>Německo</c:v>
                </c:pt>
                <c:pt idx="6">
                  <c:v>Španělsko</c:v>
                </c:pt>
                <c:pt idx="7">
                  <c:v>Belgie</c:v>
                </c:pt>
                <c:pt idx="8">
                  <c:v>Lucembursko</c:v>
                </c:pt>
                <c:pt idx="9">
                  <c:v>Kypr</c:v>
                </c:pt>
                <c:pt idx="10">
                  <c:v>EU27</c:v>
                </c:pt>
                <c:pt idx="11">
                  <c:v>Portugalsko</c:v>
                </c:pt>
                <c:pt idx="12">
                  <c:v>Irsko</c:v>
                </c:pt>
                <c:pt idx="13">
                  <c:v>Estonsko</c:v>
                </c:pt>
                <c:pt idx="14">
                  <c:v>Slovinsko</c:v>
                </c:pt>
                <c:pt idx="15">
                  <c:v>Řecko</c:v>
                </c:pt>
                <c:pt idx="16">
                  <c:v>Maďarsko</c:v>
                </c:pt>
                <c:pt idx="17">
                  <c:v>Rakousko</c:v>
                </c:pt>
                <c:pt idx="18">
                  <c:v>Chorvatsko</c:v>
                </c:pt>
                <c:pt idx="19">
                  <c:v>Itálie</c:v>
                </c:pt>
                <c:pt idx="20">
                  <c:v>Lotyšsko</c:v>
                </c:pt>
                <c:pt idx="21">
                  <c:v>Litva</c:v>
                </c:pt>
                <c:pt idx="22">
                  <c:v>Rumunsko</c:v>
                </c:pt>
                <c:pt idx="23">
                  <c:v>Česko</c:v>
                </c:pt>
                <c:pt idx="24">
                  <c:v>Slovensko</c:v>
                </c:pt>
                <c:pt idx="25">
                  <c:v>Polsko</c:v>
                </c:pt>
                <c:pt idx="26">
                  <c:v>Bulharsko</c:v>
                </c:pt>
              </c:strCache>
            </c:strRef>
          </c:cat>
          <c:val>
            <c:numRef>
              <c:f>List1!$B$2:$B$28</c:f>
              <c:numCache>
                <c:formatCode>General</c:formatCode>
                <c:ptCount val="27"/>
                <c:pt idx="0">
                  <c:v>53</c:v>
                </c:pt>
                <c:pt idx="1">
                  <c:v>49</c:v>
                </c:pt>
                <c:pt idx="2">
                  <c:v>41</c:v>
                </c:pt>
                <c:pt idx="3">
                  <c:v>47</c:v>
                </c:pt>
                <c:pt idx="4">
                  <c:v>49</c:v>
                </c:pt>
                <c:pt idx="5">
                  <c:v>42</c:v>
                </c:pt>
                <c:pt idx="6">
                  <c:v>40</c:v>
                </c:pt>
                <c:pt idx="7">
                  <c:v>36</c:v>
                </c:pt>
                <c:pt idx="8">
                  <c:v>42</c:v>
                </c:pt>
                <c:pt idx="9">
                  <c:v>40</c:v>
                </c:pt>
                <c:pt idx="10">
                  <c:v>34</c:v>
                </c:pt>
                <c:pt idx="11">
                  <c:v>34</c:v>
                </c:pt>
                <c:pt idx="12">
                  <c:v>23</c:v>
                </c:pt>
                <c:pt idx="13">
                  <c:v>30</c:v>
                </c:pt>
                <c:pt idx="14">
                  <c:v>33</c:v>
                </c:pt>
                <c:pt idx="15">
                  <c:v>29</c:v>
                </c:pt>
                <c:pt idx="16">
                  <c:v>28</c:v>
                </c:pt>
                <c:pt idx="17">
                  <c:v>29</c:v>
                </c:pt>
                <c:pt idx="18">
                  <c:v>34</c:v>
                </c:pt>
                <c:pt idx="19">
                  <c:v>28</c:v>
                </c:pt>
                <c:pt idx="20">
                  <c:v>26</c:v>
                </c:pt>
                <c:pt idx="21">
                  <c:v>23</c:v>
                </c:pt>
                <c:pt idx="22">
                  <c:v>24</c:v>
                </c:pt>
                <c:pt idx="23">
                  <c:v>28</c:v>
                </c:pt>
                <c:pt idx="24">
                  <c:v>24</c:v>
                </c:pt>
                <c:pt idx="25">
                  <c:v>22</c:v>
                </c:pt>
                <c:pt idx="26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60-40E5-B8C5-A4D50E14EBB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3BF-4EED-81D1-1A64ECD99546}"/>
              </c:ext>
            </c:extLst>
          </c:dPt>
          <c:dPt>
            <c:idx val="23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accent2">
                    <a:lumMod val="20000"/>
                    <a:lumOff val="8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BF-4EED-81D1-1A64ECD99546}"/>
              </c:ext>
            </c:extLst>
          </c:dPt>
          <c:cat>
            <c:strRef>
              <c:f>List1!$A$2:$A$28</c:f>
              <c:strCache>
                <c:ptCount val="27"/>
                <c:pt idx="0">
                  <c:v>Nizozemsko</c:v>
                </c:pt>
                <c:pt idx="1">
                  <c:v>Dánsko</c:v>
                </c:pt>
                <c:pt idx="2">
                  <c:v>Malta</c:v>
                </c:pt>
                <c:pt idx="3">
                  <c:v>Finsko</c:v>
                </c:pt>
                <c:pt idx="4">
                  <c:v>Švédsko</c:v>
                </c:pt>
                <c:pt idx="5">
                  <c:v>Německo</c:v>
                </c:pt>
                <c:pt idx="6">
                  <c:v>Španělsko</c:v>
                </c:pt>
                <c:pt idx="7">
                  <c:v>Belgie</c:v>
                </c:pt>
                <c:pt idx="8">
                  <c:v>Lucembursko</c:v>
                </c:pt>
                <c:pt idx="9">
                  <c:v>Kypr</c:v>
                </c:pt>
                <c:pt idx="10">
                  <c:v>EU27</c:v>
                </c:pt>
                <c:pt idx="11">
                  <c:v>Portugalsko</c:v>
                </c:pt>
                <c:pt idx="12">
                  <c:v>Irsko</c:v>
                </c:pt>
                <c:pt idx="13">
                  <c:v>Estonsko</c:v>
                </c:pt>
                <c:pt idx="14">
                  <c:v>Slovinsko</c:v>
                </c:pt>
                <c:pt idx="15">
                  <c:v>Řecko</c:v>
                </c:pt>
                <c:pt idx="16">
                  <c:v>Maďarsko</c:v>
                </c:pt>
                <c:pt idx="17">
                  <c:v>Rakousko</c:v>
                </c:pt>
                <c:pt idx="18">
                  <c:v>Chorvatsko</c:v>
                </c:pt>
                <c:pt idx="19">
                  <c:v>Itálie</c:v>
                </c:pt>
                <c:pt idx="20">
                  <c:v>Lotyšsko</c:v>
                </c:pt>
                <c:pt idx="21">
                  <c:v>Litva</c:v>
                </c:pt>
                <c:pt idx="22">
                  <c:v>Rumunsko</c:v>
                </c:pt>
                <c:pt idx="23">
                  <c:v>Česko</c:v>
                </c:pt>
                <c:pt idx="24">
                  <c:v>Slovensko</c:v>
                </c:pt>
                <c:pt idx="25">
                  <c:v>Polsko</c:v>
                </c:pt>
                <c:pt idx="26">
                  <c:v>Bulharsko</c:v>
                </c:pt>
              </c:strCache>
            </c:strRef>
          </c:cat>
          <c:val>
            <c:numRef>
              <c:f>List1!$C$2:$C$28</c:f>
              <c:numCache>
                <c:formatCode>General</c:formatCode>
                <c:ptCount val="27"/>
                <c:pt idx="0">
                  <c:v>53</c:v>
                </c:pt>
                <c:pt idx="1">
                  <c:v>45</c:v>
                </c:pt>
                <c:pt idx="2">
                  <c:v>41</c:v>
                </c:pt>
                <c:pt idx="3">
                  <c:v>40</c:v>
                </c:pt>
                <c:pt idx="4">
                  <c:v>40</c:v>
                </c:pt>
                <c:pt idx="5">
                  <c:v>34</c:v>
                </c:pt>
                <c:pt idx="6">
                  <c:v>34</c:v>
                </c:pt>
                <c:pt idx="7">
                  <c:v>31</c:v>
                </c:pt>
                <c:pt idx="8">
                  <c:v>29</c:v>
                </c:pt>
                <c:pt idx="9">
                  <c:v>28</c:v>
                </c:pt>
                <c:pt idx="10">
                  <c:v>27</c:v>
                </c:pt>
                <c:pt idx="11">
                  <c:v>25</c:v>
                </c:pt>
                <c:pt idx="12">
                  <c:v>24</c:v>
                </c:pt>
                <c:pt idx="13">
                  <c:v>23</c:v>
                </c:pt>
                <c:pt idx="14">
                  <c:v>23</c:v>
                </c:pt>
                <c:pt idx="15">
                  <c:v>22</c:v>
                </c:pt>
                <c:pt idx="16">
                  <c:v>22</c:v>
                </c:pt>
                <c:pt idx="17">
                  <c:v>21</c:v>
                </c:pt>
                <c:pt idx="18">
                  <c:v>21</c:v>
                </c:pt>
                <c:pt idx="19">
                  <c:v>21</c:v>
                </c:pt>
                <c:pt idx="20">
                  <c:v>18</c:v>
                </c:pt>
                <c:pt idx="21">
                  <c:v>16</c:v>
                </c:pt>
                <c:pt idx="22">
                  <c:v>16</c:v>
                </c:pt>
                <c:pt idx="23">
                  <c:v>15</c:v>
                </c:pt>
                <c:pt idx="24">
                  <c:v>15</c:v>
                </c:pt>
                <c:pt idx="25">
                  <c:v>10</c:v>
                </c:pt>
                <c:pt idx="2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60-40E5-B8C5-A4D50E14E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04620560"/>
        <c:axId val="404617232"/>
      </c:barChart>
      <c:catAx>
        <c:axId val="40462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04617232"/>
        <c:crosses val="autoZero"/>
        <c:auto val="1"/>
        <c:lblAlgn val="ctr"/>
        <c:lblOffset val="100"/>
        <c:noMultiLvlLbl val="0"/>
      </c:catAx>
      <c:valAx>
        <c:axId val="40461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1">
                    <a:solidFill>
                      <a:schemeClr val="tx1"/>
                    </a:solidFill>
                  </a:rPr>
                  <a:t>Podíl</a:t>
                </a:r>
                <a:r>
                  <a:rPr lang="cs-CZ" b="1" baseline="0">
                    <a:solidFill>
                      <a:schemeClr val="tx1"/>
                    </a:solidFill>
                  </a:rPr>
                  <a:t> hŕačů/hráček</a:t>
                </a:r>
                <a:endParaRPr lang="cs-CZ" b="1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0462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něco2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List1!$B$6:$E$6</c:f>
              <c:strCache>
                <c:ptCount val="4"/>
                <c:pt idx="0">
                  <c:v>PC/konzole</c:v>
                </c:pt>
                <c:pt idx="1">
                  <c:v>mobilní</c:v>
                </c:pt>
                <c:pt idx="2">
                  <c:v>web</c:v>
                </c:pt>
                <c:pt idx="3">
                  <c:v>virtuální a rozšířená realita</c:v>
                </c:pt>
              </c:strCache>
            </c:strRef>
          </c:cat>
          <c:val>
            <c:numRef>
              <c:f>List1!$B$7:$E$7</c:f>
              <c:numCache>
                <c:formatCode>General</c:formatCode>
                <c:ptCount val="4"/>
                <c:pt idx="0">
                  <c:v>0.67</c:v>
                </c:pt>
                <c:pt idx="1">
                  <c:v>0.41</c:v>
                </c:pt>
                <c:pt idx="2">
                  <c:v>0.16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4F-49C8-97D1-A482C1764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801152"/>
        <c:axId val="120802688"/>
      </c:barChart>
      <c:catAx>
        <c:axId val="12080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802688"/>
        <c:crosses val="autoZero"/>
        <c:auto val="1"/>
        <c:lblAlgn val="ctr"/>
        <c:lblOffset val="100"/>
        <c:noMultiLvlLbl val="0"/>
      </c:catAx>
      <c:valAx>
        <c:axId val="1208026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08011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864173228346454"/>
          <c:y val="0.18760756171301371"/>
          <c:w val="0.40965320824258666"/>
          <c:h val="0.81239243828698615"/>
        </c:manualLayout>
      </c:layout>
      <c:doughnut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6DD-4F2A-BE0B-2C61E6A1383C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6DD-4F2A-BE0B-2C61E6A1383C}"/>
              </c:ext>
            </c:extLst>
          </c:dPt>
          <c:dPt>
            <c:idx val="2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6DD-4F2A-BE0B-2C61E6A1383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6DD-4F2A-BE0B-2C61E6A1383C}"/>
              </c:ext>
            </c:extLst>
          </c:dPt>
          <c:dPt>
            <c:idx val="4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6DD-4F2A-BE0B-2C61E6A1383C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List1!$B$4:$B$8</c:f>
              <c:strCache>
                <c:ptCount val="5"/>
                <c:pt idx="0">
                  <c:v>smartphone</c:v>
                </c:pt>
                <c:pt idx="1">
                  <c:v>konzole</c:v>
                </c:pt>
                <c:pt idx="2">
                  <c:v>počítač</c:v>
                </c:pt>
                <c:pt idx="3">
                  <c:v>tablet</c:v>
                </c:pt>
                <c:pt idx="4">
                  <c:v>internetový prohlížeč</c:v>
                </c:pt>
              </c:strCache>
            </c:strRef>
          </c:cat>
          <c:val>
            <c:numRef>
              <c:f>List1!$C$4:$C$8</c:f>
              <c:numCache>
                <c:formatCode>General</c:formatCode>
                <c:ptCount val="5"/>
                <c:pt idx="0">
                  <c:v>0.45</c:v>
                </c:pt>
                <c:pt idx="1">
                  <c:v>0.28000000000000003</c:v>
                </c:pt>
                <c:pt idx="2">
                  <c:v>0.19</c:v>
                </c:pt>
                <c:pt idx="3">
                  <c:v>7.0000000000000007E-2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6DD-4F2A-BE0B-2C61E6A138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8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List1!$A$2:$G$2</c:f>
              <c:strCache>
                <c:ptCount val="7"/>
                <c:pt idx="0">
                  <c:v>4. čtvrtletí 2018</c:v>
                </c:pt>
                <c:pt idx="1">
                  <c:v>1. čtvrtletí 2019</c:v>
                </c:pt>
                <c:pt idx="2">
                  <c:v>2.čtvrtletí 2019</c:v>
                </c:pt>
                <c:pt idx="3">
                  <c:v>3. čtvrtletí 2019</c:v>
                </c:pt>
                <c:pt idx="4">
                  <c:v>4. čtvrtletí 2019</c:v>
                </c:pt>
                <c:pt idx="5">
                  <c:v>1. čtvrtletí 2020</c:v>
                </c:pt>
                <c:pt idx="6">
                  <c:v>2. čtvrtletí 2020</c:v>
                </c:pt>
              </c:strCache>
            </c:strRef>
          </c:cat>
          <c:val>
            <c:numRef>
              <c:f>List1!$A$3:$G$3</c:f>
              <c:numCache>
                <c:formatCode>General</c:formatCode>
                <c:ptCount val="7"/>
                <c:pt idx="0">
                  <c:v>8.4</c:v>
                </c:pt>
                <c:pt idx="1">
                  <c:v>8.5</c:v>
                </c:pt>
                <c:pt idx="2">
                  <c:v>8.7000000000000011</c:v>
                </c:pt>
                <c:pt idx="3">
                  <c:v>8.9</c:v>
                </c:pt>
                <c:pt idx="4">
                  <c:v>8.8000000000000007</c:v>
                </c:pt>
                <c:pt idx="5">
                  <c:v>9.8000000000000007</c:v>
                </c:pt>
                <c:pt idx="6">
                  <c:v>10.200000000000001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2A-437E-A956-B7FD0E7FE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315136"/>
        <c:axId val="124316672"/>
      </c:barChart>
      <c:catAx>
        <c:axId val="124315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Průměrná</a:t>
                </a:r>
                <a:r>
                  <a:rPr lang="cs-CZ" baseline="0"/>
                  <a:t> doba hraní za týden (v hodinách) </a:t>
                </a:r>
                <a:endParaRPr lang="cs-CZ"/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24316672"/>
        <c:crosses val="autoZero"/>
        <c:auto val="1"/>
        <c:lblAlgn val="ctr"/>
        <c:lblOffset val="100"/>
        <c:noMultiLvlLbl val="0"/>
      </c:catAx>
      <c:valAx>
        <c:axId val="124316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43151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BC75-2339-4666-813D-0DA3CD8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4</Pages>
  <Words>943</Words>
  <Characters>5567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Dedera</dc:creator>
  <cp:lastModifiedBy>dedera1350</cp:lastModifiedBy>
  <cp:revision>2</cp:revision>
  <cp:lastPrinted>2021-10-27T07:47:00Z</cp:lastPrinted>
  <dcterms:created xsi:type="dcterms:W3CDTF">2021-10-27T09:21:00Z</dcterms:created>
  <dcterms:modified xsi:type="dcterms:W3CDTF">2021-10-27T09:21:00Z</dcterms:modified>
</cp:coreProperties>
</file>