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5E" w:rsidRPr="00B4472E" w:rsidRDefault="00B52F5E">
      <w:pPr>
        <w:suppressAutoHyphens/>
        <w:jc w:val="center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b/>
          <w:bCs/>
          <w:szCs w:val="23"/>
        </w:rPr>
        <w:t xml:space="preserve">29. VYBRANÉ UKAZATELE </w:t>
      </w:r>
      <w:r w:rsidR="00CD52B8" w:rsidRPr="00B4472E">
        <w:rPr>
          <w:rFonts w:ascii="Arial" w:hAnsi="Arial" w:cs="Arial"/>
          <w:b/>
          <w:bCs/>
          <w:szCs w:val="23"/>
        </w:rPr>
        <w:t xml:space="preserve">REGIONŮ SOUDRŽNOSTI </w:t>
      </w:r>
      <w:r w:rsidRPr="00B4472E">
        <w:rPr>
          <w:rFonts w:ascii="Arial" w:hAnsi="Arial" w:cs="Arial"/>
          <w:b/>
          <w:bCs/>
          <w:szCs w:val="23"/>
        </w:rPr>
        <w:t>A KRAJŮ</w:t>
      </w:r>
    </w:p>
    <w:p w:rsidR="00B52F5E" w:rsidRPr="00B4472E" w:rsidRDefault="00B52F5E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autoSpaceDE/>
        <w:autoSpaceDN/>
        <w:adjustRightInd/>
        <w:spacing w:after="0"/>
        <w:rPr>
          <w:rFonts w:ascii="Arial" w:hAnsi="Arial" w:cs="Arial"/>
          <w:szCs w:val="19"/>
        </w:rPr>
      </w:pPr>
    </w:p>
    <w:p w:rsidR="00B52F5E" w:rsidRPr="00B4472E" w:rsidRDefault="00B52F5E" w:rsidP="002E3071">
      <w:pPr>
        <w:suppressAutoHyphens/>
        <w:ind w:firstLine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>Klasifikace NUTS (</w:t>
      </w:r>
      <w:r w:rsidRPr="00B4472E">
        <w:rPr>
          <w:rFonts w:ascii="Arial" w:hAnsi="Arial" w:cs="Arial"/>
          <w:i/>
          <w:iCs/>
          <w:sz w:val="20"/>
          <w:szCs w:val="19"/>
        </w:rPr>
        <w:t>La Nomenclature des Unités Territoriales Statistiques</w:t>
      </w:r>
      <w:r w:rsidRPr="00B4472E">
        <w:rPr>
          <w:rFonts w:ascii="Arial" w:hAnsi="Arial" w:cs="Arial"/>
          <w:sz w:val="20"/>
          <w:szCs w:val="19"/>
        </w:rPr>
        <w:t>) je základním nástrojem pro poskytování statistických informací Evropské unii. S účinností od 1. </w:t>
      </w:r>
      <w:r w:rsidR="00E724EF" w:rsidRPr="00B4472E">
        <w:rPr>
          <w:rFonts w:ascii="Arial" w:hAnsi="Arial" w:cs="Arial"/>
          <w:sz w:val="20"/>
          <w:szCs w:val="19"/>
        </w:rPr>
        <w:t>ledna</w:t>
      </w:r>
      <w:r w:rsidRPr="00B4472E">
        <w:rPr>
          <w:rFonts w:ascii="Arial" w:hAnsi="Arial" w:cs="Arial"/>
          <w:sz w:val="20"/>
          <w:szCs w:val="19"/>
        </w:rPr>
        <w:t> 2008</w:t>
      </w:r>
      <w:r w:rsidR="007C12D7" w:rsidRPr="00B4472E">
        <w:rPr>
          <w:rFonts w:ascii="Arial" w:hAnsi="Arial" w:cs="Arial"/>
          <w:sz w:val="20"/>
          <w:szCs w:val="19"/>
        </w:rPr>
        <w:t>, 1</w:t>
      </w:r>
      <w:r w:rsidR="008C5D8F" w:rsidRPr="00B4472E">
        <w:rPr>
          <w:rFonts w:ascii="Arial" w:hAnsi="Arial" w:cs="Arial"/>
          <w:sz w:val="20"/>
          <w:szCs w:val="19"/>
        </w:rPr>
        <w:t>. </w:t>
      </w:r>
      <w:r w:rsidR="007C12D7" w:rsidRPr="00B4472E">
        <w:rPr>
          <w:rFonts w:ascii="Arial" w:hAnsi="Arial" w:cs="Arial"/>
          <w:sz w:val="20"/>
          <w:szCs w:val="19"/>
        </w:rPr>
        <w:t>srpna</w:t>
      </w:r>
      <w:r w:rsidR="000E09B2" w:rsidRPr="00B4472E">
        <w:rPr>
          <w:rFonts w:ascii="Arial" w:hAnsi="Arial" w:cs="Arial"/>
          <w:sz w:val="20"/>
          <w:szCs w:val="19"/>
        </w:rPr>
        <w:t> </w:t>
      </w:r>
      <w:r w:rsidR="007C12D7" w:rsidRPr="00B4472E">
        <w:rPr>
          <w:rFonts w:ascii="Arial" w:hAnsi="Arial" w:cs="Arial"/>
          <w:sz w:val="20"/>
          <w:szCs w:val="19"/>
        </w:rPr>
        <w:t>2011</w:t>
      </w:r>
      <w:r w:rsidR="009B3A3D" w:rsidRPr="00B4472E">
        <w:rPr>
          <w:rFonts w:ascii="Arial" w:hAnsi="Arial" w:cs="Arial"/>
          <w:sz w:val="20"/>
          <w:szCs w:val="19"/>
        </w:rPr>
        <w:t xml:space="preserve"> </w:t>
      </w:r>
      <w:r w:rsidR="00D4792A" w:rsidRPr="00B4472E">
        <w:rPr>
          <w:rFonts w:ascii="Arial" w:hAnsi="Arial" w:cs="Arial"/>
          <w:sz w:val="20"/>
          <w:szCs w:val="19"/>
        </w:rPr>
        <w:t xml:space="preserve">a </w:t>
      </w:r>
      <w:r w:rsidR="004F3A38" w:rsidRPr="00B4472E">
        <w:rPr>
          <w:rFonts w:ascii="Arial" w:hAnsi="Arial" w:cs="Arial"/>
          <w:sz w:val="20"/>
          <w:szCs w:val="19"/>
        </w:rPr>
        <w:t>naposledy</w:t>
      </w:r>
      <w:r w:rsidR="00D4792A" w:rsidRPr="00B4472E">
        <w:rPr>
          <w:rFonts w:ascii="Arial" w:hAnsi="Arial" w:cs="Arial"/>
          <w:sz w:val="20"/>
          <w:szCs w:val="19"/>
        </w:rPr>
        <w:t xml:space="preserve"> od 1.</w:t>
      </w:r>
      <w:r w:rsidR="000E09B2" w:rsidRPr="00B4472E">
        <w:rPr>
          <w:rFonts w:ascii="Arial" w:hAnsi="Arial" w:cs="Arial"/>
          <w:sz w:val="20"/>
          <w:szCs w:val="19"/>
        </w:rPr>
        <w:t> </w:t>
      </w:r>
      <w:r w:rsidR="007C12D7" w:rsidRPr="00B4472E">
        <w:rPr>
          <w:rFonts w:ascii="Arial" w:hAnsi="Arial" w:cs="Arial"/>
          <w:sz w:val="20"/>
          <w:szCs w:val="19"/>
        </w:rPr>
        <w:t>ledna</w:t>
      </w:r>
      <w:r w:rsidR="000E09B2" w:rsidRPr="00B4472E">
        <w:rPr>
          <w:rFonts w:ascii="Arial" w:hAnsi="Arial" w:cs="Arial"/>
          <w:sz w:val="20"/>
          <w:szCs w:val="19"/>
        </w:rPr>
        <w:t> </w:t>
      </w:r>
      <w:r w:rsidR="00D4792A" w:rsidRPr="00B4472E">
        <w:rPr>
          <w:rFonts w:ascii="Arial" w:hAnsi="Arial" w:cs="Arial"/>
          <w:sz w:val="20"/>
          <w:szCs w:val="19"/>
        </w:rPr>
        <w:t>201</w:t>
      </w:r>
      <w:r w:rsidR="007C12D7" w:rsidRPr="00B4472E">
        <w:rPr>
          <w:rFonts w:ascii="Arial" w:hAnsi="Arial" w:cs="Arial"/>
          <w:sz w:val="20"/>
          <w:szCs w:val="19"/>
        </w:rPr>
        <w:t>3</w:t>
      </w:r>
      <w:r w:rsidR="00D4792A" w:rsidRPr="00B4472E">
        <w:rPr>
          <w:rFonts w:ascii="Arial" w:hAnsi="Arial" w:cs="Arial"/>
          <w:sz w:val="20"/>
          <w:szCs w:val="19"/>
        </w:rPr>
        <w:t xml:space="preserve"> </w:t>
      </w:r>
      <w:r w:rsidRPr="00B4472E">
        <w:rPr>
          <w:rFonts w:ascii="Arial" w:hAnsi="Arial" w:cs="Arial"/>
          <w:sz w:val="20"/>
          <w:szCs w:val="19"/>
        </w:rPr>
        <w:t>byla v </w:t>
      </w:r>
      <w:r w:rsidR="00EA18AC" w:rsidRPr="00B4472E">
        <w:rPr>
          <w:rFonts w:ascii="Arial" w:hAnsi="Arial" w:cs="Arial"/>
          <w:sz w:val="20"/>
          <w:szCs w:val="19"/>
        </w:rPr>
        <w:t xml:space="preserve">České republice </w:t>
      </w:r>
      <w:r w:rsidRPr="00B4472E">
        <w:rPr>
          <w:rFonts w:ascii="Arial" w:hAnsi="Arial" w:cs="Arial"/>
          <w:sz w:val="20"/>
          <w:szCs w:val="19"/>
        </w:rPr>
        <w:t>tato klasifikace aktualizována. Nyní obsahuje 4</w:t>
      </w:r>
      <w:r w:rsidR="000E09B2" w:rsidRPr="00B4472E">
        <w:rPr>
          <w:rFonts w:ascii="Arial" w:hAnsi="Arial" w:cs="Arial"/>
          <w:sz w:val="20"/>
          <w:szCs w:val="19"/>
        </w:rPr>
        <w:t> </w:t>
      </w:r>
      <w:r w:rsidRPr="00B4472E">
        <w:rPr>
          <w:rFonts w:ascii="Arial" w:hAnsi="Arial" w:cs="Arial"/>
          <w:sz w:val="20"/>
          <w:szCs w:val="19"/>
        </w:rPr>
        <w:t xml:space="preserve">úrovně NUTS (nejnižší je úroveň NUTS 3), které představují velikostní skupiny. Nižší územní členění je řešeno novým systémem LAU </w:t>
      </w:r>
      <w:r w:rsidRPr="00B4472E">
        <w:rPr>
          <w:rFonts w:ascii="Arial" w:hAnsi="Arial" w:cs="Arial"/>
          <w:i/>
          <w:iCs/>
          <w:sz w:val="20"/>
          <w:szCs w:val="19"/>
        </w:rPr>
        <w:t>(Local Administrative Units)</w:t>
      </w:r>
      <w:r w:rsidRPr="00B4472E">
        <w:rPr>
          <w:rFonts w:ascii="Arial" w:hAnsi="Arial" w:cs="Arial"/>
          <w:sz w:val="20"/>
          <w:szCs w:val="19"/>
        </w:rPr>
        <w:t>, kde na úroveň LAU 1</w:t>
      </w:r>
      <w:r w:rsidR="008C5D8F" w:rsidRPr="00B4472E">
        <w:rPr>
          <w:rFonts w:ascii="Arial" w:hAnsi="Arial" w:cs="Arial"/>
          <w:sz w:val="20"/>
          <w:szCs w:val="19"/>
        </w:rPr>
        <w:t xml:space="preserve"> </w:t>
      </w:r>
      <w:r w:rsidRPr="00B4472E">
        <w:rPr>
          <w:rFonts w:ascii="Arial" w:hAnsi="Arial" w:cs="Arial"/>
          <w:sz w:val="20"/>
          <w:szCs w:val="19"/>
        </w:rPr>
        <w:t xml:space="preserve">byla převedena bývalá úroveň NUTS 4 a úroveň LAU 2 je tvořena obcemi. Hlavní město Praha se v systému LAU dále nečlení. Systém LAU není </w:t>
      </w:r>
      <w:r w:rsidR="00280B98" w:rsidRPr="00B4472E">
        <w:rPr>
          <w:rFonts w:ascii="Arial" w:hAnsi="Arial" w:cs="Arial"/>
          <w:sz w:val="20"/>
          <w:szCs w:val="19"/>
        </w:rPr>
        <w:t>v </w:t>
      </w:r>
      <w:r w:rsidRPr="00B4472E">
        <w:rPr>
          <w:rFonts w:ascii="Arial" w:hAnsi="Arial" w:cs="Arial"/>
          <w:sz w:val="20"/>
          <w:szCs w:val="19"/>
        </w:rPr>
        <w:t>EU zaváděn legislativními nástroji.</w:t>
      </w:r>
    </w:p>
    <w:p w:rsidR="00B52F5E" w:rsidRPr="00B4472E" w:rsidRDefault="00B52F5E">
      <w:pPr>
        <w:suppressAutoHyphens/>
        <w:jc w:val="both"/>
        <w:rPr>
          <w:rFonts w:ascii="Arial" w:hAnsi="Arial" w:cs="Arial"/>
          <w:sz w:val="20"/>
          <w:szCs w:val="19"/>
        </w:rPr>
      </w:pPr>
    </w:p>
    <w:p w:rsidR="00B52F5E" w:rsidRPr="00B4472E" w:rsidRDefault="00B52F5E">
      <w:pPr>
        <w:suppressAutoHyphens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>Vymezení jednotlivých úrovní NUTS je charakterizováno počtem obyvatel a rozlohou.</w:t>
      </w:r>
    </w:p>
    <w:p w:rsidR="00B52F5E" w:rsidRPr="00B4472E" w:rsidRDefault="00B52F5E">
      <w:pPr>
        <w:suppressAutoHyphens/>
        <w:spacing w:before="120" w:line="276" w:lineRule="auto"/>
        <w:ind w:firstLine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 xml:space="preserve">NUTS 0 = vyjadřuje </w:t>
      </w:r>
      <w:r w:rsidRPr="00B4472E">
        <w:rPr>
          <w:rFonts w:ascii="Arial" w:hAnsi="Arial" w:cs="Arial"/>
          <w:b/>
          <w:bCs/>
          <w:sz w:val="20"/>
          <w:szCs w:val="19"/>
        </w:rPr>
        <w:t>stát Českou republiku</w:t>
      </w:r>
    </w:p>
    <w:p w:rsidR="00B52F5E" w:rsidRPr="00B4472E" w:rsidRDefault="00B52F5E">
      <w:pPr>
        <w:suppressAutoHyphens/>
        <w:spacing w:line="276" w:lineRule="auto"/>
        <w:ind w:firstLine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 xml:space="preserve">NUTS 1 = vyjadřuje </w:t>
      </w:r>
      <w:r w:rsidRPr="00B4472E">
        <w:rPr>
          <w:rFonts w:ascii="Arial" w:hAnsi="Arial" w:cs="Arial"/>
          <w:b/>
          <w:bCs/>
          <w:sz w:val="20"/>
          <w:szCs w:val="19"/>
        </w:rPr>
        <w:t>území České republiky</w:t>
      </w:r>
    </w:p>
    <w:p w:rsidR="00B52F5E" w:rsidRPr="00B4472E" w:rsidRDefault="00B52F5E">
      <w:pPr>
        <w:suppressAutoHyphens/>
        <w:spacing w:line="276" w:lineRule="auto"/>
        <w:ind w:firstLine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 xml:space="preserve">NUTS 2 = vyjadřuje </w:t>
      </w:r>
      <w:r w:rsidRPr="00B4472E">
        <w:rPr>
          <w:rFonts w:ascii="Arial" w:hAnsi="Arial" w:cs="Arial"/>
          <w:b/>
          <w:bCs/>
          <w:sz w:val="20"/>
          <w:szCs w:val="19"/>
        </w:rPr>
        <w:t>regiony soudržnosti</w:t>
      </w:r>
      <w:r w:rsidRPr="00B4472E">
        <w:rPr>
          <w:rFonts w:ascii="Arial" w:hAnsi="Arial" w:cs="Arial"/>
          <w:sz w:val="20"/>
          <w:szCs w:val="19"/>
        </w:rPr>
        <w:t>, tj. celkem 8 sdružených krajů</w:t>
      </w:r>
    </w:p>
    <w:p w:rsidR="00B52F5E" w:rsidRPr="00B4472E" w:rsidRDefault="00B52F5E">
      <w:pPr>
        <w:suppressAutoHyphens/>
        <w:spacing w:line="276" w:lineRule="auto"/>
        <w:ind w:firstLine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 xml:space="preserve">NUTS 3 = vyjadřuje </w:t>
      </w:r>
      <w:r w:rsidRPr="00B4472E">
        <w:rPr>
          <w:rFonts w:ascii="Arial" w:hAnsi="Arial" w:cs="Arial"/>
          <w:b/>
          <w:bCs/>
          <w:sz w:val="20"/>
          <w:szCs w:val="19"/>
        </w:rPr>
        <w:t>kraje</w:t>
      </w:r>
      <w:r w:rsidRPr="00B4472E">
        <w:rPr>
          <w:rFonts w:ascii="Arial" w:hAnsi="Arial" w:cs="Arial"/>
          <w:sz w:val="20"/>
          <w:szCs w:val="19"/>
        </w:rPr>
        <w:t xml:space="preserve">, tj. celkem 14 vyšších územních samosprávných celků </w:t>
      </w:r>
    </w:p>
    <w:p w:rsidR="00B52F5E" w:rsidRPr="00B4472E" w:rsidRDefault="00B52F5E">
      <w:pPr>
        <w:suppressAutoHyphens/>
        <w:spacing w:line="276" w:lineRule="auto"/>
        <w:ind w:firstLine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 xml:space="preserve">LAU 1 = vyjadřuje </w:t>
      </w:r>
      <w:r w:rsidRPr="00B4472E">
        <w:rPr>
          <w:rFonts w:ascii="Arial" w:hAnsi="Arial" w:cs="Arial"/>
          <w:b/>
          <w:bCs/>
          <w:sz w:val="20"/>
          <w:szCs w:val="19"/>
        </w:rPr>
        <w:t>okresy</w:t>
      </w:r>
      <w:r w:rsidRPr="00B4472E">
        <w:rPr>
          <w:rFonts w:ascii="Arial" w:hAnsi="Arial" w:cs="Arial"/>
          <w:sz w:val="20"/>
          <w:szCs w:val="19"/>
        </w:rPr>
        <w:t>, tj. celkem 76 okresů a Hl.</w:t>
      </w:r>
      <w:r w:rsidR="000E09B2" w:rsidRPr="00B4472E">
        <w:rPr>
          <w:rFonts w:ascii="Arial" w:hAnsi="Arial" w:cs="Arial"/>
          <w:sz w:val="20"/>
          <w:szCs w:val="19"/>
        </w:rPr>
        <w:t> </w:t>
      </w:r>
      <w:r w:rsidRPr="00B4472E">
        <w:rPr>
          <w:rFonts w:ascii="Arial" w:hAnsi="Arial" w:cs="Arial"/>
          <w:sz w:val="20"/>
          <w:szCs w:val="19"/>
        </w:rPr>
        <w:t>m.</w:t>
      </w:r>
      <w:r w:rsidR="000E09B2" w:rsidRPr="00B4472E">
        <w:rPr>
          <w:rFonts w:ascii="Arial" w:hAnsi="Arial" w:cs="Arial"/>
          <w:sz w:val="20"/>
          <w:szCs w:val="19"/>
        </w:rPr>
        <w:t> </w:t>
      </w:r>
      <w:r w:rsidRPr="00B4472E">
        <w:rPr>
          <w:rFonts w:ascii="Arial" w:hAnsi="Arial" w:cs="Arial"/>
          <w:sz w:val="20"/>
          <w:szCs w:val="19"/>
        </w:rPr>
        <w:t xml:space="preserve">Praha </w:t>
      </w:r>
    </w:p>
    <w:p w:rsidR="00B52F5E" w:rsidRPr="00B4472E" w:rsidRDefault="00B52F5E" w:rsidP="00EB6080">
      <w:pPr>
        <w:suppressAutoHyphens/>
        <w:spacing w:line="276" w:lineRule="auto"/>
        <w:ind w:firstLine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>LAU 2 = vyjadřuje</w:t>
      </w:r>
      <w:r w:rsidRPr="00B4472E">
        <w:rPr>
          <w:rFonts w:ascii="Arial" w:hAnsi="Arial" w:cs="Arial"/>
          <w:b/>
          <w:bCs/>
          <w:sz w:val="20"/>
          <w:szCs w:val="19"/>
        </w:rPr>
        <w:t xml:space="preserve"> obce</w:t>
      </w:r>
      <w:r w:rsidRPr="00B4472E">
        <w:rPr>
          <w:rFonts w:ascii="Arial" w:hAnsi="Arial" w:cs="Arial"/>
          <w:sz w:val="20"/>
          <w:szCs w:val="19"/>
        </w:rPr>
        <w:t>, tj. celkem 6 </w:t>
      </w:r>
      <w:r w:rsidR="00D20AB5" w:rsidRPr="00B4472E">
        <w:rPr>
          <w:rFonts w:ascii="Arial" w:hAnsi="Arial" w:cs="Arial"/>
          <w:sz w:val="20"/>
          <w:szCs w:val="19"/>
        </w:rPr>
        <w:t>25</w:t>
      </w:r>
      <w:r w:rsidR="00461C74" w:rsidRPr="00B4472E">
        <w:rPr>
          <w:rFonts w:ascii="Arial" w:hAnsi="Arial" w:cs="Arial"/>
          <w:sz w:val="20"/>
          <w:szCs w:val="19"/>
        </w:rPr>
        <w:t>3</w:t>
      </w:r>
      <w:r w:rsidR="00D20AB5" w:rsidRPr="00B4472E">
        <w:rPr>
          <w:rFonts w:ascii="Arial" w:hAnsi="Arial" w:cs="Arial"/>
          <w:sz w:val="20"/>
          <w:szCs w:val="19"/>
        </w:rPr>
        <w:t xml:space="preserve"> </w:t>
      </w:r>
      <w:r w:rsidRPr="00B4472E">
        <w:rPr>
          <w:rFonts w:ascii="Arial" w:hAnsi="Arial" w:cs="Arial"/>
          <w:sz w:val="20"/>
          <w:szCs w:val="19"/>
        </w:rPr>
        <w:t>obcí (Hl.</w:t>
      </w:r>
      <w:r w:rsidR="000E09B2" w:rsidRPr="00B4472E">
        <w:rPr>
          <w:rFonts w:ascii="Arial" w:hAnsi="Arial" w:cs="Arial"/>
          <w:sz w:val="20"/>
          <w:szCs w:val="19"/>
        </w:rPr>
        <w:t> </w:t>
      </w:r>
      <w:r w:rsidRPr="00B4472E">
        <w:rPr>
          <w:rFonts w:ascii="Arial" w:hAnsi="Arial" w:cs="Arial"/>
          <w:sz w:val="20"/>
          <w:szCs w:val="19"/>
        </w:rPr>
        <w:t>m.</w:t>
      </w:r>
      <w:r w:rsidR="000E09B2" w:rsidRPr="00B4472E">
        <w:rPr>
          <w:rFonts w:ascii="Arial" w:hAnsi="Arial" w:cs="Arial"/>
          <w:sz w:val="20"/>
          <w:szCs w:val="19"/>
        </w:rPr>
        <w:t> </w:t>
      </w:r>
      <w:r w:rsidRPr="00B4472E">
        <w:rPr>
          <w:rFonts w:ascii="Arial" w:hAnsi="Arial" w:cs="Arial"/>
          <w:sz w:val="20"/>
          <w:szCs w:val="19"/>
        </w:rPr>
        <w:t xml:space="preserve">Praha je uvedena jako </w:t>
      </w:r>
      <w:r w:rsidR="00E724EF" w:rsidRPr="00B4472E">
        <w:rPr>
          <w:rFonts w:ascii="Arial" w:hAnsi="Arial" w:cs="Arial"/>
          <w:sz w:val="20"/>
          <w:szCs w:val="19"/>
        </w:rPr>
        <w:t>jedna </w:t>
      </w:r>
      <w:r w:rsidRPr="00B4472E">
        <w:rPr>
          <w:rFonts w:ascii="Arial" w:hAnsi="Arial" w:cs="Arial"/>
          <w:sz w:val="20"/>
          <w:szCs w:val="19"/>
        </w:rPr>
        <w:t>jednotka)</w:t>
      </w:r>
    </w:p>
    <w:p w:rsidR="00B52F5E" w:rsidRPr="00B4472E" w:rsidRDefault="00B52F5E">
      <w:pPr>
        <w:suppressAutoHyphens/>
        <w:jc w:val="both"/>
        <w:rPr>
          <w:rFonts w:ascii="Arial" w:hAnsi="Arial" w:cs="Arial"/>
          <w:sz w:val="20"/>
          <w:szCs w:val="19"/>
        </w:rPr>
      </w:pPr>
    </w:p>
    <w:p w:rsidR="00B52F5E" w:rsidRPr="00B4472E" w:rsidRDefault="00B52F5E">
      <w:pPr>
        <w:suppressAutoHyphens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b/>
          <w:bCs/>
          <w:sz w:val="20"/>
          <w:szCs w:val="19"/>
        </w:rPr>
        <w:t xml:space="preserve">Přehled </w:t>
      </w:r>
      <w:r w:rsidR="0087475A" w:rsidRPr="00B4472E">
        <w:rPr>
          <w:rFonts w:ascii="Arial" w:hAnsi="Arial" w:cs="Arial"/>
          <w:b/>
          <w:bCs/>
          <w:sz w:val="20"/>
          <w:szCs w:val="19"/>
        </w:rPr>
        <w:t xml:space="preserve">regionů soudržnosti </w:t>
      </w:r>
      <w:r w:rsidRPr="00B4472E">
        <w:rPr>
          <w:rFonts w:ascii="Arial" w:hAnsi="Arial" w:cs="Arial"/>
          <w:b/>
          <w:bCs/>
          <w:sz w:val="20"/>
          <w:szCs w:val="19"/>
        </w:rPr>
        <w:t>NUTS 2 a krajů NUTS 3:</w:t>
      </w:r>
    </w:p>
    <w:p w:rsidR="00B52F5E" w:rsidRPr="00B4472E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b/>
          <w:bCs/>
          <w:sz w:val="20"/>
          <w:szCs w:val="19"/>
        </w:rPr>
        <w:t>Praha</w:t>
      </w: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  <w:t>Hl.</w:t>
      </w:r>
      <w:r w:rsidR="000E09B2" w:rsidRPr="00B4472E">
        <w:rPr>
          <w:rFonts w:ascii="Arial" w:hAnsi="Arial" w:cs="Arial"/>
          <w:sz w:val="20"/>
          <w:szCs w:val="19"/>
        </w:rPr>
        <w:t> </w:t>
      </w:r>
      <w:r w:rsidRPr="00B4472E">
        <w:rPr>
          <w:rFonts w:ascii="Arial" w:hAnsi="Arial" w:cs="Arial"/>
          <w:sz w:val="20"/>
          <w:szCs w:val="19"/>
        </w:rPr>
        <w:t>m.</w:t>
      </w:r>
      <w:r w:rsidR="000E09B2" w:rsidRPr="00B4472E">
        <w:rPr>
          <w:rFonts w:ascii="Arial" w:hAnsi="Arial" w:cs="Arial"/>
          <w:sz w:val="20"/>
          <w:szCs w:val="19"/>
        </w:rPr>
        <w:t> </w:t>
      </w:r>
      <w:r w:rsidRPr="00B4472E">
        <w:rPr>
          <w:rFonts w:ascii="Arial" w:hAnsi="Arial" w:cs="Arial"/>
          <w:sz w:val="20"/>
          <w:szCs w:val="19"/>
        </w:rPr>
        <w:t>Praha (PHA)</w:t>
      </w:r>
    </w:p>
    <w:p w:rsidR="00B52F5E" w:rsidRPr="00B4472E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b/>
          <w:bCs/>
          <w:sz w:val="20"/>
          <w:szCs w:val="19"/>
        </w:rPr>
        <w:t>Střední Čechy</w:t>
      </w: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  <w:t>Středočeský kraj (STČ)</w:t>
      </w:r>
    </w:p>
    <w:p w:rsidR="00B52F5E" w:rsidRPr="00B4472E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b/>
          <w:bCs/>
          <w:sz w:val="20"/>
          <w:szCs w:val="19"/>
        </w:rPr>
        <w:t>Jihozápad</w:t>
      </w: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  <w:t>Jihočeský kraj (JHČ)</w:t>
      </w:r>
    </w:p>
    <w:p w:rsidR="00B52F5E" w:rsidRPr="00B4472E" w:rsidRDefault="00B52F5E">
      <w:pPr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  <w:t>Plzeňský kraj (PLK)</w:t>
      </w:r>
    </w:p>
    <w:p w:rsidR="00B52F5E" w:rsidRPr="00B4472E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b/>
          <w:bCs/>
          <w:sz w:val="20"/>
          <w:szCs w:val="19"/>
        </w:rPr>
        <w:t>Severozápad</w:t>
      </w: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  <w:t>Karlovarský kraj (KVK)</w:t>
      </w:r>
    </w:p>
    <w:p w:rsidR="00B52F5E" w:rsidRPr="00B4472E" w:rsidRDefault="00B52F5E">
      <w:pPr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  <w:t>Ústecký kraj (ULK)</w:t>
      </w:r>
    </w:p>
    <w:p w:rsidR="00B52F5E" w:rsidRPr="00B4472E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b/>
          <w:bCs/>
          <w:sz w:val="20"/>
          <w:szCs w:val="19"/>
        </w:rPr>
        <w:t>Severovýchod</w:t>
      </w: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  <w:t>Liberecký kraj (LBK)</w:t>
      </w:r>
    </w:p>
    <w:p w:rsidR="00B52F5E" w:rsidRPr="00B4472E" w:rsidRDefault="00B52F5E">
      <w:pPr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  <w:t>Královéhradecký kraj (HKK)</w:t>
      </w:r>
    </w:p>
    <w:p w:rsidR="00B52F5E" w:rsidRPr="00B4472E" w:rsidRDefault="00B52F5E">
      <w:pPr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  <w:t>Pardubický kraj (PAK)</w:t>
      </w:r>
    </w:p>
    <w:p w:rsidR="00B52F5E" w:rsidRPr="00B4472E" w:rsidRDefault="00B52F5E">
      <w:pPr>
        <w:widowControl w:val="0"/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b/>
          <w:bCs/>
          <w:sz w:val="20"/>
          <w:szCs w:val="19"/>
        </w:rPr>
        <w:t>Jihovýchod</w:t>
      </w: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</w:r>
      <w:r w:rsidR="00366862" w:rsidRPr="00B4472E">
        <w:rPr>
          <w:rFonts w:ascii="Arial" w:hAnsi="Arial" w:cs="Arial"/>
          <w:sz w:val="20"/>
          <w:szCs w:val="19"/>
        </w:rPr>
        <w:t xml:space="preserve">Kraj </w:t>
      </w:r>
      <w:r w:rsidRPr="00B4472E">
        <w:rPr>
          <w:rFonts w:ascii="Arial" w:hAnsi="Arial" w:cs="Arial"/>
          <w:sz w:val="20"/>
          <w:szCs w:val="19"/>
        </w:rPr>
        <w:t>Vysočina (VYS)</w:t>
      </w:r>
    </w:p>
    <w:p w:rsidR="00B52F5E" w:rsidRPr="00B4472E" w:rsidRDefault="00B52F5E">
      <w:pPr>
        <w:widowControl w:val="0"/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  <w:t>Jihomoravský kraj (JHM)</w:t>
      </w:r>
    </w:p>
    <w:p w:rsidR="00B52F5E" w:rsidRPr="00B4472E" w:rsidRDefault="00B52F5E">
      <w:pPr>
        <w:widowControl w:val="0"/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b/>
          <w:bCs/>
          <w:sz w:val="20"/>
          <w:szCs w:val="19"/>
        </w:rPr>
        <w:t>Střední Morava</w:t>
      </w: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  <w:t>Olomoucký kraj (OLK)</w:t>
      </w:r>
    </w:p>
    <w:p w:rsidR="00B52F5E" w:rsidRPr="00B4472E" w:rsidRDefault="00B52F5E">
      <w:pPr>
        <w:widowControl w:val="0"/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  <w:t>Zlínský kraj (ZLK)</w:t>
      </w:r>
    </w:p>
    <w:p w:rsidR="00B52F5E" w:rsidRPr="00B4472E" w:rsidRDefault="00B52F5E" w:rsidP="002E3071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b/>
          <w:bCs/>
          <w:sz w:val="20"/>
          <w:szCs w:val="19"/>
        </w:rPr>
        <w:t>Moravskoslezsko</w:t>
      </w:r>
      <w:r w:rsidRPr="00B4472E">
        <w:rPr>
          <w:rFonts w:ascii="Arial" w:hAnsi="Arial" w:cs="Arial"/>
          <w:sz w:val="20"/>
          <w:szCs w:val="19"/>
        </w:rPr>
        <w:tab/>
        <w:t>–</w:t>
      </w:r>
      <w:r w:rsidRPr="00B4472E">
        <w:rPr>
          <w:rFonts w:ascii="Arial" w:hAnsi="Arial" w:cs="Arial"/>
          <w:sz w:val="20"/>
          <w:szCs w:val="19"/>
        </w:rPr>
        <w:tab/>
        <w:t>Moravskoslezský kraj (MSK)</w:t>
      </w:r>
    </w:p>
    <w:p w:rsidR="002E3071" w:rsidRPr="00B4472E" w:rsidRDefault="002E3071" w:rsidP="002E3071">
      <w:pPr>
        <w:pStyle w:val="Nadpis1"/>
        <w:keepNext w:val="0"/>
        <w:rPr>
          <w:b w:val="0"/>
          <w:szCs w:val="19"/>
        </w:rPr>
      </w:pPr>
    </w:p>
    <w:p w:rsidR="002E3071" w:rsidRPr="00B4472E" w:rsidRDefault="002E3071" w:rsidP="002E3071">
      <w:pPr>
        <w:rPr>
          <w:rFonts w:ascii="Arial" w:hAnsi="Arial" w:cs="Arial"/>
          <w:sz w:val="20"/>
          <w:szCs w:val="20"/>
        </w:rPr>
      </w:pPr>
    </w:p>
    <w:p w:rsidR="002E3071" w:rsidRPr="00B4472E" w:rsidRDefault="002E3071" w:rsidP="002E3071">
      <w:pPr>
        <w:rPr>
          <w:rFonts w:ascii="Arial" w:hAnsi="Arial" w:cs="Arial"/>
          <w:sz w:val="20"/>
          <w:szCs w:val="20"/>
        </w:rPr>
      </w:pPr>
    </w:p>
    <w:p w:rsidR="00B52F5E" w:rsidRPr="00B4472E" w:rsidRDefault="00B52F5E" w:rsidP="002E3071">
      <w:pPr>
        <w:pStyle w:val="Nadpis1"/>
        <w:keepNext w:val="0"/>
        <w:rPr>
          <w:b w:val="0"/>
          <w:szCs w:val="19"/>
        </w:rPr>
      </w:pPr>
      <w:r w:rsidRPr="00B4472E">
        <w:rPr>
          <w:szCs w:val="19"/>
        </w:rPr>
        <w:t>Poznámky k tabulkám</w:t>
      </w:r>
    </w:p>
    <w:p w:rsidR="002E3071" w:rsidRPr="00B4472E" w:rsidRDefault="002E3071" w:rsidP="002E3071">
      <w:pPr>
        <w:rPr>
          <w:rFonts w:ascii="Arial" w:hAnsi="Arial" w:cs="Arial"/>
          <w:sz w:val="20"/>
          <w:szCs w:val="20"/>
        </w:rPr>
      </w:pPr>
    </w:p>
    <w:p w:rsidR="00BF2011" w:rsidRPr="00B4472E" w:rsidRDefault="00BF2011" w:rsidP="00BF2011">
      <w:pPr>
        <w:jc w:val="both"/>
        <w:rPr>
          <w:rFonts w:ascii="Arial" w:hAnsi="Arial" w:cs="Arial"/>
          <w:sz w:val="20"/>
          <w:szCs w:val="20"/>
        </w:rPr>
      </w:pPr>
    </w:p>
    <w:p w:rsidR="00BF2011" w:rsidRPr="00B4472E" w:rsidRDefault="00BF2011" w:rsidP="00BF2011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B4472E">
        <w:rPr>
          <w:rFonts w:ascii="Arial" w:hAnsi="Arial" w:cs="Arial"/>
          <w:b/>
          <w:sz w:val="20"/>
          <w:szCs w:val="20"/>
        </w:rPr>
        <w:t>Hrubý domácí produkt</w:t>
      </w:r>
      <w:r w:rsidRPr="00B4472E">
        <w:rPr>
          <w:rFonts w:ascii="Arial" w:hAnsi="Arial" w:cs="Arial"/>
          <w:sz w:val="20"/>
          <w:szCs w:val="20"/>
        </w:rPr>
        <w:t xml:space="preserve"> je v regionálním členění založen převážně na výrobní metodě výpočtu jako souhrn přidaných hodnot místních jednotek (pracovišť) ekonomicky aktivních na území daného regionu</w:t>
      </w:r>
      <w:r w:rsidR="008A4208" w:rsidRPr="00B4472E">
        <w:rPr>
          <w:rFonts w:ascii="Arial" w:hAnsi="Arial" w:cs="Arial"/>
          <w:sz w:val="20"/>
          <w:szCs w:val="20"/>
        </w:rPr>
        <w:t xml:space="preserve"> </w:t>
      </w:r>
      <w:r w:rsidR="008A4208" w:rsidRPr="00B4472E">
        <w:rPr>
          <w:rFonts w:ascii="Arial" w:hAnsi="Arial" w:cs="Arial"/>
          <w:sz w:val="20"/>
        </w:rPr>
        <w:t>a čistých daní z produktů.</w:t>
      </w:r>
    </w:p>
    <w:p w:rsidR="00B52F5E" w:rsidRPr="00B4472E" w:rsidRDefault="00B52F5E" w:rsidP="006204F5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709"/>
        <w:rPr>
          <w:rFonts w:cs="Arial"/>
          <w:szCs w:val="19"/>
        </w:rPr>
      </w:pPr>
      <w:r w:rsidRPr="00B4472E">
        <w:rPr>
          <w:rFonts w:cs="Arial"/>
          <w:b/>
          <w:bCs/>
          <w:szCs w:val="19"/>
        </w:rPr>
        <w:t>Čistý disponibilní důchod domácností</w:t>
      </w:r>
      <w:r w:rsidRPr="00B4472E">
        <w:rPr>
          <w:rFonts w:cs="Arial"/>
          <w:szCs w:val="19"/>
        </w:rPr>
        <w:t xml:space="preserve"> je částka, kterou mohou domácnosti </w:t>
      </w:r>
      <w:r w:rsidR="006204F5" w:rsidRPr="00B4472E">
        <w:rPr>
          <w:rFonts w:cs="Arial"/>
        </w:rPr>
        <w:t xml:space="preserve">(rezidenti na území regionu) </w:t>
      </w:r>
      <w:r w:rsidRPr="00B4472E">
        <w:rPr>
          <w:rFonts w:cs="Arial"/>
          <w:szCs w:val="19"/>
        </w:rPr>
        <w:t>věnovat na konečnou spotřebu, na úspory finančních aktiv a na akumulaci hmotných i nehmotných aktiv. Ukazuje, jak</w:t>
      </w:r>
      <w:r w:rsidR="000E09B2" w:rsidRPr="00B4472E">
        <w:rPr>
          <w:rFonts w:cs="Arial"/>
          <w:szCs w:val="19"/>
        </w:rPr>
        <w:t xml:space="preserve"> </w:t>
      </w:r>
      <w:r w:rsidRPr="00B4472E">
        <w:rPr>
          <w:rFonts w:cs="Arial"/>
          <w:szCs w:val="19"/>
        </w:rPr>
        <w:t>se saldo prvotních důchodů umísťuje znovurozdělením: běžnými daněmi, sociálními příspěvky a dávkami</w:t>
      </w:r>
      <w:r w:rsidR="00F97135" w:rsidRPr="00B4472E">
        <w:rPr>
          <w:rFonts w:cs="Arial"/>
          <w:szCs w:val="19"/>
        </w:rPr>
        <w:t xml:space="preserve"> a ostatními běžnými transfery.</w:t>
      </w:r>
    </w:p>
    <w:p w:rsidR="008A558B" w:rsidRPr="00B4472E" w:rsidRDefault="00675278" w:rsidP="00B4472E">
      <w:pPr>
        <w:widowControl w:val="0"/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B4472E">
        <w:rPr>
          <w:rFonts w:ascii="Arial" w:hAnsi="Arial" w:cs="Arial"/>
          <w:b/>
          <w:sz w:val="20"/>
          <w:szCs w:val="19"/>
        </w:rPr>
        <w:t>Průměrná měsíční výše důchodu</w:t>
      </w:r>
      <w:r w:rsidR="008A558B" w:rsidRPr="00B4472E">
        <w:rPr>
          <w:rFonts w:ascii="Arial" w:hAnsi="Arial" w:cs="Arial"/>
          <w:sz w:val="20"/>
          <w:szCs w:val="19"/>
        </w:rPr>
        <w:t xml:space="preserve"> k 31.</w:t>
      </w:r>
      <w:r w:rsidR="0005198D" w:rsidRPr="00B4472E">
        <w:rPr>
          <w:rFonts w:ascii="Arial" w:hAnsi="Arial" w:cs="Arial"/>
          <w:sz w:val="20"/>
          <w:szCs w:val="19"/>
        </w:rPr>
        <w:t xml:space="preserve"> prosinci sledovaného</w:t>
      </w:r>
      <w:r w:rsidR="008A558B" w:rsidRPr="00B4472E">
        <w:rPr>
          <w:rFonts w:ascii="Arial" w:hAnsi="Arial" w:cs="Arial"/>
          <w:sz w:val="20"/>
          <w:szCs w:val="19"/>
        </w:rPr>
        <w:t xml:space="preserve"> roku představuje průměrnou výši důchodu vypl</w:t>
      </w:r>
      <w:r w:rsidR="005E2D48" w:rsidRPr="00B4472E">
        <w:rPr>
          <w:rFonts w:ascii="Arial" w:hAnsi="Arial" w:cs="Arial"/>
          <w:sz w:val="20"/>
          <w:szCs w:val="19"/>
        </w:rPr>
        <w:t>a</w:t>
      </w:r>
      <w:r w:rsidR="008A558B" w:rsidRPr="00B4472E">
        <w:rPr>
          <w:rFonts w:ascii="Arial" w:hAnsi="Arial" w:cs="Arial"/>
          <w:sz w:val="20"/>
          <w:szCs w:val="19"/>
        </w:rPr>
        <w:t>ceného v prosinci na jednoho důchodce</w:t>
      </w:r>
      <w:r w:rsidR="0005198D" w:rsidRPr="00B4472E">
        <w:rPr>
          <w:rFonts w:ascii="Arial" w:hAnsi="Arial" w:cs="Arial"/>
          <w:sz w:val="20"/>
          <w:szCs w:val="19"/>
        </w:rPr>
        <w:t>.</w:t>
      </w:r>
    </w:p>
    <w:p w:rsidR="008C2783" w:rsidRPr="00B4472E" w:rsidRDefault="008C2783" w:rsidP="00F97135">
      <w:pPr>
        <w:suppressAutoHyphens/>
        <w:rPr>
          <w:rFonts w:ascii="Arial" w:hAnsi="Arial" w:cs="Arial"/>
          <w:bCs/>
          <w:sz w:val="20"/>
          <w:szCs w:val="19"/>
        </w:rPr>
      </w:pPr>
    </w:p>
    <w:p w:rsidR="00F97135" w:rsidRPr="00B4472E" w:rsidRDefault="00F97135" w:rsidP="00F97135">
      <w:pPr>
        <w:suppressAutoHyphens/>
        <w:rPr>
          <w:rFonts w:ascii="Arial" w:hAnsi="Arial" w:cs="Arial"/>
          <w:bCs/>
          <w:sz w:val="20"/>
          <w:szCs w:val="19"/>
        </w:rPr>
      </w:pPr>
    </w:p>
    <w:p w:rsidR="00B52F5E" w:rsidRPr="00B4472E" w:rsidRDefault="00B52F5E" w:rsidP="00D4792A">
      <w:pPr>
        <w:suppressAutoHyphens/>
        <w:jc w:val="both"/>
        <w:rPr>
          <w:rFonts w:ascii="Arial" w:hAnsi="Arial" w:cs="Arial"/>
          <w:b/>
          <w:bCs/>
          <w:sz w:val="20"/>
          <w:szCs w:val="19"/>
        </w:rPr>
      </w:pPr>
      <w:r w:rsidRPr="00B4472E">
        <w:rPr>
          <w:rFonts w:ascii="Arial" w:hAnsi="Arial" w:cs="Arial"/>
          <w:b/>
          <w:bCs/>
          <w:sz w:val="20"/>
          <w:szCs w:val="19"/>
        </w:rPr>
        <w:t>Zdroje dat:</w:t>
      </w:r>
    </w:p>
    <w:p w:rsidR="00B52F5E" w:rsidRPr="00B4472E" w:rsidRDefault="00B52F5E">
      <w:pPr>
        <w:suppressAutoHyphens/>
        <w:spacing w:before="120"/>
        <w:ind w:firstLine="709"/>
        <w:jc w:val="both"/>
        <w:rPr>
          <w:rFonts w:ascii="Arial" w:hAnsi="Arial" w:cs="Arial"/>
          <w:sz w:val="20"/>
          <w:szCs w:val="19"/>
        </w:rPr>
      </w:pPr>
      <w:r w:rsidRPr="00B4472E">
        <w:rPr>
          <w:rFonts w:ascii="Arial" w:hAnsi="Arial" w:cs="Arial"/>
          <w:sz w:val="20"/>
          <w:szCs w:val="19"/>
        </w:rPr>
        <w:t>Pokud není uveden zdroj, jedná se o údaje ČSÚ.</w:t>
      </w:r>
    </w:p>
    <w:p w:rsidR="00B52F5E" w:rsidRPr="00B4472E" w:rsidRDefault="00366862" w:rsidP="00366862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autoSpaceDE/>
        <w:autoSpaceDN/>
        <w:adjustRightInd/>
        <w:spacing w:before="120" w:after="0"/>
        <w:rPr>
          <w:rFonts w:ascii="Arial" w:hAnsi="Arial" w:cs="Arial"/>
          <w:szCs w:val="19"/>
        </w:rPr>
      </w:pPr>
      <w:r w:rsidRPr="00B4472E">
        <w:rPr>
          <w:rFonts w:ascii="Arial" w:hAnsi="Arial" w:cs="Arial"/>
          <w:szCs w:val="19"/>
        </w:rPr>
        <w:t>Nezaměstnanost</w:t>
      </w:r>
      <w:r w:rsidR="00B52F5E" w:rsidRPr="00B4472E">
        <w:rPr>
          <w:rFonts w:ascii="Arial" w:hAnsi="Arial" w:cs="Arial"/>
          <w:szCs w:val="19"/>
        </w:rPr>
        <w:t>, volná pracovní místa – Ministerstvo práce a sociálních věcí</w:t>
      </w:r>
    </w:p>
    <w:p w:rsidR="00B52F5E" w:rsidRPr="00B4472E" w:rsidRDefault="00D92FC6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autoSpaceDE/>
        <w:autoSpaceDN/>
        <w:adjustRightInd/>
        <w:spacing w:before="120" w:after="0"/>
        <w:rPr>
          <w:rFonts w:ascii="Arial" w:hAnsi="Arial" w:cs="Arial"/>
          <w:szCs w:val="19"/>
        </w:rPr>
      </w:pPr>
      <w:r w:rsidRPr="00B4472E">
        <w:rPr>
          <w:rFonts w:ascii="Arial" w:hAnsi="Arial" w:cs="Arial"/>
          <w:szCs w:val="19"/>
        </w:rPr>
        <w:lastRenderedPageBreak/>
        <w:t xml:space="preserve">Zdravotnictví </w:t>
      </w:r>
      <w:r w:rsidR="00B52F5E" w:rsidRPr="00B4472E">
        <w:rPr>
          <w:rFonts w:ascii="Arial" w:hAnsi="Arial" w:cs="Arial"/>
          <w:szCs w:val="19"/>
        </w:rPr>
        <w:t>– Ústav zdravotnických informací a statistiky ČR</w:t>
      </w:r>
    </w:p>
    <w:p w:rsidR="00B52F5E" w:rsidRPr="00B4472E" w:rsidRDefault="00D92FC6">
      <w:pPr>
        <w:pStyle w:val="podraeny"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autoSpaceDE/>
        <w:autoSpaceDN/>
        <w:adjustRightInd/>
        <w:spacing w:before="120" w:after="0"/>
        <w:rPr>
          <w:rFonts w:ascii="Arial" w:hAnsi="Arial" w:cs="Arial"/>
          <w:szCs w:val="19"/>
        </w:rPr>
      </w:pPr>
      <w:r w:rsidRPr="00B4472E">
        <w:rPr>
          <w:rFonts w:ascii="Arial" w:hAnsi="Arial" w:cs="Arial"/>
          <w:szCs w:val="19"/>
        </w:rPr>
        <w:t xml:space="preserve">Sociální </w:t>
      </w:r>
      <w:r w:rsidR="00B52F5E" w:rsidRPr="00B4472E">
        <w:rPr>
          <w:rFonts w:ascii="Arial" w:hAnsi="Arial" w:cs="Arial"/>
          <w:szCs w:val="19"/>
        </w:rPr>
        <w:t xml:space="preserve">zabezpečení – Česká správa sociálního zabezpečení </w:t>
      </w:r>
    </w:p>
    <w:p w:rsidR="00366187" w:rsidRPr="00B4472E" w:rsidRDefault="00EB6080" w:rsidP="009D73EC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0"/>
        <w:rPr>
          <w:rFonts w:cs="Arial"/>
          <w:szCs w:val="19"/>
        </w:rPr>
      </w:pPr>
      <w:r w:rsidRPr="00B4472E">
        <w:rPr>
          <w:rFonts w:cs="Arial"/>
          <w:szCs w:val="19"/>
        </w:rPr>
        <w:t>K</w:t>
      </w:r>
      <w:r w:rsidR="00366187" w:rsidRPr="00B4472E">
        <w:rPr>
          <w:rFonts w:cs="Arial"/>
          <w:szCs w:val="19"/>
        </w:rPr>
        <w:t>riminalita –</w:t>
      </w:r>
      <w:r w:rsidR="00932333" w:rsidRPr="00B4472E">
        <w:rPr>
          <w:rFonts w:cs="Arial"/>
          <w:szCs w:val="19"/>
        </w:rPr>
        <w:t xml:space="preserve"> </w:t>
      </w:r>
      <w:r w:rsidR="00366187" w:rsidRPr="00B4472E">
        <w:rPr>
          <w:rFonts w:cs="Arial"/>
          <w:szCs w:val="19"/>
        </w:rPr>
        <w:t>Policejní prezidium ČR</w:t>
      </w:r>
    </w:p>
    <w:p w:rsidR="00366187" w:rsidRPr="00B4472E" w:rsidRDefault="00EB6080" w:rsidP="009D73EC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0"/>
        <w:rPr>
          <w:rFonts w:cs="Arial"/>
          <w:szCs w:val="19"/>
        </w:rPr>
      </w:pPr>
      <w:r w:rsidRPr="00B4472E">
        <w:rPr>
          <w:rFonts w:cs="Arial"/>
          <w:szCs w:val="19"/>
        </w:rPr>
        <w:t>D</w:t>
      </w:r>
      <w:r w:rsidR="00366187" w:rsidRPr="00B4472E">
        <w:rPr>
          <w:rFonts w:cs="Arial"/>
          <w:szCs w:val="19"/>
        </w:rPr>
        <w:t>opravní nehody – Polic</w:t>
      </w:r>
      <w:r w:rsidR="00932333" w:rsidRPr="00B4472E">
        <w:rPr>
          <w:rFonts w:cs="Arial"/>
          <w:szCs w:val="19"/>
        </w:rPr>
        <w:t>e</w:t>
      </w:r>
      <w:r w:rsidR="00366187" w:rsidRPr="00B4472E">
        <w:rPr>
          <w:rFonts w:cs="Arial"/>
          <w:szCs w:val="19"/>
        </w:rPr>
        <w:t xml:space="preserve">jní prezidium ČR, </w:t>
      </w:r>
      <w:r w:rsidR="00932333" w:rsidRPr="00B4472E">
        <w:rPr>
          <w:rFonts w:cs="Arial"/>
          <w:szCs w:val="19"/>
        </w:rPr>
        <w:t>Ř</w:t>
      </w:r>
      <w:r w:rsidR="00366187" w:rsidRPr="00B4472E">
        <w:rPr>
          <w:rFonts w:cs="Arial"/>
          <w:szCs w:val="19"/>
        </w:rPr>
        <w:t>editelství služby dopravní policie</w:t>
      </w:r>
    </w:p>
    <w:p w:rsidR="00B52F5E" w:rsidRPr="00B4472E" w:rsidRDefault="00B52F5E" w:rsidP="008C2783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Cs w:val="19"/>
        </w:rPr>
      </w:pPr>
    </w:p>
    <w:p w:rsidR="002F2077" w:rsidRPr="00B4472E" w:rsidRDefault="002F2077" w:rsidP="008C2783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Cs w:val="19"/>
        </w:rPr>
      </w:pPr>
    </w:p>
    <w:p w:rsidR="00B52F5E" w:rsidRPr="00B4472E" w:rsidRDefault="00B52F5E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jc w:val="center"/>
        <w:rPr>
          <w:rFonts w:cs="Arial"/>
          <w:szCs w:val="19"/>
        </w:rPr>
      </w:pPr>
      <w:r w:rsidRPr="00B4472E">
        <w:rPr>
          <w:rFonts w:cs="Arial"/>
          <w:szCs w:val="19"/>
        </w:rPr>
        <w:t>*          *          *</w:t>
      </w:r>
    </w:p>
    <w:p w:rsidR="00B52F5E" w:rsidRPr="00B4472E" w:rsidRDefault="00B52F5E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Cs w:val="19"/>
        </w:rPr>
      </w:pPr>
    </w:p>
    <w:p w:rsidR="00B52F5E" w:rsidRPr="00B4472E" w:rsidRDefault="00B52F5E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Cs w:val="19"/>
        </w:rPr>
      </w:pPr>
    </w:p>
    <w:p w:rsidR="00B52F5E" w:rsidRPr="00B4472E" w:rsidRDefault="00E448E9" w:rsidP="008C2783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709"/>
        <w:rPr>
          <w:rFonts w:cs="Arial"/>
          <w:szCs w:val="19"/>
        </w:rPr>
      </w:pPr>
      <w:r w:rsidRPr="00B4472E">
        <w:rPr>
          <w:rFonts w:cs="Arial"/>
        </w:rPr>
        <w:t>Další informace jsou dostupné na internetových stránkách Českého statistického úřadu:</w:t>
      </w:r>
    </w:p>
    <w:p w:rsidR="00B52F5E" w:rsidRPr="00B4472E" w:rsidRDefault="00B52F5E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0"/>
        <w:rPr>
          <w:rFonts w:cs="Arial"/>
          <w:szCs w:val="19"/>
        </w:rPr>
      </w:pPr>
      <w:r w:rsidRPr="00B4472E">
        <w:rPr>
          <w:rFonts w:cs="Arial"/>
          <w:szCs w:val="19"/>
        </w:rPr>
        <w:t>– </w:t>
      </w:r>
      <w:hyperlink r:id="rId5" w:history="1">
        <w:r w:rsidR="00314AAC" w:rsidRPr="00B4472E">
          <w:rPr>
            <w:rStyle w:val="Hypertextovodkaz"/>
            <w:rFonts w:cs="Arial"/>
            <w:szCs w:val="19"/>
          </w:rPr>
          <w:t>www.czso.cz/csu/czs</w:t>
        </w:r>
        <w:r w:rsidR="00314AAC" w:rsidRPr="00B4472E">
          <w:rPr>
            <w:rStyle w:val="Hypertextovodkaz"/>
            <w:rFonts w:cs="Arial"/>
            <w:szCs w:val="19"/>
          </w:rPr>
          <w:t>o</w:t>
        </w:r>
        <w:r w:rsidR="00314AAC" w:rsidRPr="00B4472E">
          <w:rPr>
            <w:rStyle w:val="Hypertextovodkaz"/>
            <w:rFonts w:cs="Arial"/>
            <w:szCs w:val="19"/>
          </w:rPr>
          <w:t>/regiony_mesta_obce_souhrn</w:t>
        </w:r>
      </w:hyperlink>
    </w:p>
    <w:sectPr w:rsidR="00B52F5E" w:rsidRPr="00B4472E" w:rsidSect="00422A8B">
      <w:pgSz w:w="11906" w:h="16838"/>
      <w:pgMar w:top="1418" w:right="1418" w:bottom="125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F7B2B"/>
    <w:multiLevelType w:val="hybridMultilevel"/>
    <w:tmpl w:val="590EFAF2"/>
    <w:lvl w:ilvl="0" w:tplc="C122D4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517809"/>
    <w:multiLevelType w:val="hybridMultilevel"/>
    <w:tmpl w:val="4E64C7A2"/>
    <w:lvl w:ilvl="0" w:tplc="D778BE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0F39E1"/>
    <w:multiLevelType w:val="hybridMultilevel"/>
    <w:tmpl w:val="3EDE235A"/>
    <w:lvl w:ilvl="0" w:tplc="4CCCC1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EA9"/>
    <w:rsid w:val="00010C20"/>
    <w:rsid w:val="00044860"/>
    <w:rsid w:val="0005198D"/>
    <w:rsid w:val="000648C0"/>
    <w:rsid w:val="00086FD6"/>
    <w:rsid w:val="000A27DE"/>
    <w:rsid w:val="000B64B6"/>
    <w:rsid w:val="000C35E9"/>
    <w:rsid w:val="000E09B2"/>
    <w:rsid w:val="000F1D5C"/>
    <w:rsid w:val="001027AB"/>
    <w:rsid w:val="00154E99"/>
    <w:rsid w:val="001A3D3E"/>
    <w:rsid w:val="001C1F8B"/>
    <w:rsid w:val="001D4E86"/>
    <w:rsid w:val="00236503"/>
    <w:rsid w:val="00243D05"/>
    <w:rsid w:val="0025664A"/>
    <w:rsid w:val="00280B98"/>
    <w:rsid w:val="002C0E96"/>
    <w:rsid w:val="002E3071"/>
    <w:rsid w:val="002F14A5"/>
    <w:rsid w:val="002F2077"/>
    <w:rsid w:val="00314AAC"/>
    <w:rsid w:val="00343734"/>
    <w:rsid w:val="00366187"/>
    <w:rsid w:val="00366862"/>
    <w:rsid w:val="003B4A4C"/>
    <w:rsid w:val="00422A8B"/>
    <w:rsid w:val="00461C74"/>
    <w:rsid w:val="00494EA9"/>
    <w:rsid w:val="004F3A38"/>
    <w:rsid w:val="005E2D48"/>
    <w:rsid w:val="005F03D0"/>
    <w:rsid w:val="005F4351"/>
    <w:rsid w:val="006204F5"/>
    <w:rsid w:val="00675278"/>
    <w:rsid w:val="006D5AAD"/>
    <w:rsid w:val="006E3A60"/>
    <w:rsid w:val="006F3DA2"/>
    <w:rsid w:val="006F47D6"/>
    <w:rsid w:val="006F48B6"/>
    <w:rsid w:val="00730C6D"/>
    <w:rsid w:val="007C12D7"/>
    <w:rsid w:val="007D6DF7"/>
    <w:rsid w:val="0081476F"/>
    <w:rsid w:val="00822D77"/>
    <w:rsid w:val="00831E2B"/>
    <w:rsid w:val="008560D7"/>
    <w:rsid w:val="0086775D"/>
    <w:rsid w:val="0087475A"/>
    <w:rsid w:val="008A4208"/>
    <w:rsid w:val="008A558B"/>
    <w:rsid w:val="008C2783"/>
    <w:rsid w:val="008C5D8F"/>
    <w:rsid w:val="008C6D80"/>
    <w:rsid w:val="0093118F"/>
    <w:rsid w:val="00932333"/>
    <w:rsid w:val="00953D99"/>
    <w:rsid w:val="0097387D"/>
    <w:rsid w:val="009B3A3D"/>
    <w:rsid w:val="009D73EC"/>
    <w:rsid w:val="009E7D9C"/>
    <w:rsid w:val="00A228C8"/>
    <w:rsid w:val="00A97715"/>
    <w:rsid w:val="00AA6DAE"/>
    <w:rsid w:val="00AC64B3"/>
    <w:rsid w:val="00AD0637"/>
    <w:rsid w:val="00B4472E"/>
    <w:rsid w:val="00B52F5E"/>
    <w:rsid w:val="00B546DA"/>
    <w:rsid w:val="00BA444A"/>
    <w:rsid w:val="00BF2011"/>
    <w:rsid w:val="00C34317"/>
    <w:rsid w:val="00C60DE0"/>
    <w:rsid w:val="00CB52BC"/>
    <w:rsid w:val="00CD470D"/>
    <w:rsid w:val="00CD52B8"/>
    <w:rsid w:val="00D20AB5"/>
    <w:rsid w:val="00D4792A"/>
    <w:rsid w:val="00D73267"/>
    <w:rsid w:val="00D92FC6"/>
    <w:rsid w:val="00DB0777"/>
    <w:rsid w:val="00E02EEC"/>
    <w:rsid w:val="00E0728F"/>
    <w:rsid w:val="00E448E9"/>
    <w:rsid w:val="00E724EF"/>
    <w:rsid w:val="00EA18AC"/>
    <w:rsid w:val="00EB6080"/>
    <w:rsid w:val="00F32736"/>
    <w:rsid w:val="00F941B9"/>
    <w:rsid w:val="00F97135"/>
    <w:rsid w:val="00F97749"/>
    <w:rsid w:val="00FC4632"/>
    <w:rsid w:val="00FE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A8B"/>
    <w:rPr>
      <w:sz w:val="24"/>
      <w:szCs w:val="24"/>
    </w:rPr>
  </w:style>
  <w:style w:type="paragraph" w:styleId="Nadpis1">
    <w:name w:val="heading 1"/>
    <w:basedOn w:val="Normln"/>
    <w:next w:val="Normln"/>
    <w:qFormat/>
    <w:rsid w:val="00422A8B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raeny">
    <w:name w:val="podraženy"/>
    <w:rsid w:val="00422A8B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2">
    <w:name w:val="Body Text 2"/>
    <w:basedOn w:val="Normln"/>
    <w:semiHidden/>
    <w:rsid w:val="00422A8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12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semiHidden/>
    <w:rsid w:val="00422A8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spacing w:before="120"/>
      <w:ind w:firstLine="709"/>
      <w:jc w:val="both"/>
    </w:pPr>
    <w:rPr>
      <w:rFonts w:ascii="Arial" w:hAnsi="Arial"/>
      <w:sz w:val="20"/>
    </w:rPr>
  </w:style>
  <w:style w:type="paragraph" w:styleId="Zkladntextodsazen">
    <w:name w:val="Body Text Indent"/>
    <w:basedOn w:val="Normln"/>
    <w:semiHidden/>
    <w:rsid w:val="00422A8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ind w:left="284" w:hanging="284"/>
      <w:jc w:val="both"/>
    </w:pPr>
    <w:rPr>
      <w:rFonts w:ascii="Arial" w:hAnsi="Arial"/>
      <w:sz w:val="20"/>
    </w:rPr>
  </w:style>
  <w:style w:type="character" w:styleId="Hypertextovodkaz">
    <w:name w:val="Hyperlink"/>
    <w:basedOn w:val="Standardnpsmoodstavce"/>
    <w:semiHidden/>
    <w:rsid w:val="00422A8B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422A8B"/>
    <w:rPr>
      <w:color w:val="800080"/>
      <w:u w:val="single"/>
    </w:rPr>
  </w:style>
  <w:style w:type="paragraph" w:styleId="Textbubliny">
    <w:name w:val="Balloon Text"/>
    <w:basedOn w:val="Normln"/>
    <w:semiHidden/>
    <w:unhideWhenUsed/>
    <w:rsid w:val="00422A8B"/>
    <w:rPr>
      <w:rFonts w:ascii="Tahoma" w:hAnsi="Tahoma" w:cs="Tahoma"/>
      <w:sz w:val="16"/>
      <w:szCs w:val="16"/>
    </w:rPr>
  </w:style>
  <w:style w:type="character" w:customStyle="1" w:styleId="Char">
    <w:name w:val="Char"/>
    <w:basedOn w:val="Standardnpsmoodstavce"/>
    <w:semiHidden/>
    <w:rsid w:val="00422A8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A4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4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4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4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44A"/>
    <w:rPr>
      <w:b/>
      <w:bCs/>
    </w:rPr>
  </w:style>
  <w:style w:type="character" w:customStyle="1" w:styleId="Odkaznakoment1">
    <w:name w:val="Odkaz na komentář1"/>
    <w:basedOn w:val="Standardnpsmoodstavce"/>
    <w:rsid w:val="008A558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so.cz/csu/czso/regiony_mesta_obce_souh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27</vt:lpstr>
    </vt:vector>
  </TitlesOfParts>
  <Company>CSU</Company>
  <LinksUpToDate>false</LinksUpToDate>
  <CharactersWithSpaces>2991</CharactersWithSpaces>
  <SharedDoc>false</SharedDoc>
  <HLinks>
    <vt:vector size="6" baseType="variant">
      <vt:variant>
        <vt:i4>6684675</vt:i4>
      </vt:variant>
      <vt:variant>
        <vt:i4>0</vt:i4>
      </vt:variant>
      <vt:variant>
        <vt:i4>0</vt:i4>
      </vt:variant>
      <vt:variant>
        <vt:i4>5</vt:i4>
      </vt:variant>
      <vt:variant>
        <vt:lpwstr>www.czso.cz/csu/redakce.nsf/i/regiony_mesta_obce_souhrn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SystemService</dc:creator>
  <cp:lastModifiedBy>Ing. Dana Habartová</cp:lastModifiedBy>
  <cp:revision>7</cp:revision>
  <cp:lastPrinted>2015-07-31T09:57:00Z</cp:lastPrinted>
  <dcterms:created xsi:type="dcterms:W3CDTF">2015-07-31T09:55:00Z</dcterms:created>
  <dcterms:modified xsi:type="dcterms:W3CDTF">2016-06-03T08:21:00Z</dcterms:modified>
</cp:coreProperties>
</file>