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F497BC" w14:textId="77777777" w:rsidR="00FA7115" w:rsidRPr="009110F7" w:rsidRDefault="00FA7115" w:rsidP="00FA7115">
      <w:pPr>
        <w:pStyle w:val="Nadpis1"/>
      </w:pPr>
      <w:bookmarkStart w:id="0" w:name="_Toc153531177"/>
      <w:bookmarkStart w:id="1" w:name="_Toc121993822"/>
      <w:bookmarkStart w:id="2" w:name="_Toc137233031"/>
      <w:bookmarkStart w:id="3" w:name="_Toc185241002"/>
      <w:r>
        <w:t>2. Souhrnná výkonnost</w:t>
      </w:r>
      <w:bookmarkEnd w:id="3"/>
    </w:p>
    <w:tbl>
      <w:tblPr>
        <w:tblW w:w="9639" w:type="dxa"/>
        <w:tblInd w:w="-20" w:type="dxa"/>
        <w:tblCellMar>
          <w:left w:w="0" w:type="dxa"/>
          <w:right w:w="0" w:type="dxa"/>
        </w:tblCellMar>
        <w:tblLook w:val="00A0" w:firstRow="1" w:lastRow="0" w:firstColumn="1" w:lastColumn="0" w:noHBand="0" w:noVBand="0"/>
      </w:tblPr>
      <w:tblGrid>
        <w:gridCol w:w="1806"/>
        <w:gridCol w:w="210"/>
        <w:gridCol w:w="7623"/>
      </w:tblGrid>
      <w:tr w:rsidR="00FA7115" w:rsidRPr="009110F7" w14:paraId="6D6121B9" w14:textId="77777777" w:rsidTr="30D0B3BE">
        <w:trPr>
          <w:trHeight w:val="145"/>
        </w:trPr>
        <w:tc>
          <w:tcPr>
            <w:tcW w:w="1806" w:type="dxa"/>
            <w:shd w:val="clear" w:color="auto" w:fill="auto"/>
            <w:tcMar>
              <w:left w:w="0" w:type="dxa"/>
            </w:tcMar>
          </w:tcPr>
          <w:p w14:paraId="1D6DCC9C" w14:textId="35413431" w:rsidR="00FA7115" w:rsidRDefault="00FA7115" w:rsidP="0058308D">
            <w:pPr>
              <w:pStyle w:val="Marginlie"/>
            </w:pPr>
            <w:r>
              <w:t xml:space="preserve">Růst české ekonomiky </w:t>
            </w:r>
            <w:r w:rsidR="001D40D7">
              <w:t xml:space="preserve">mírně </w:t>
            </w:r>
            <w:r>
              <w:t>zrychlil.</w:t>
            </w:r>
          </w:p>
        </w:tc>
        <w:tc>
          <w:tcPr>
            <w:tcW w:w="210" w:type="dxa"/>
            <w:shd w:val="clear" w:color="auto" w:fill="auto"/>
            <w:tcMar>
              <w:left w:w="0" w:type="dxa"/>
            </w:tcMar>
          </w:tcPr>
          <w:p w14:paraId="184F30D3" w14:textId="77777777" w:rsidR="00FA7115" w:rsidRDefault="00FA7115" w:rsidP="0058308D">
            <w:pPr>
              <w:pStyle w:val="Textpoznpodarou"/>
              <w:jc w:val="both"/>
              <w:rPr>
                <w:spacing w:val="-4"/>
              </w:rPr>
            </w:pPr>
          </w:p>
        </w:tc>
        <w:tc>
          <w:tcPr>
            <w:tcW w:w="7623" w:type="dxa"/>
            <w:shd w:val="clear" w:color="auto" w:fill="auto"/>
            <w:tcMar>
              <w:left w:w="0" w:type="dxa"/>
            </w:tcMar>
          </w:tcPr>
          <w:p w14:paraId="3110D250" w14:textId="44DF7691" w:rsidR="00FA7115" w:rsidRPr="00014ED0" w:rsidRDefault="00FA7115" w:rsidP="001D40D7">
            <w:pPr>
              <w:rPr>
                <w:spacing w:val="-2"/>
              </w:rPr>
            </w:pPr>
            <w:r>
              <w:rPr>
                <w:spacing w:val="-2"/>
              </w:rPr>
              <w:t xml:space="preserve">Česká ekonomika si i ve 3. </w:t>
            </w:r>
            <w:r w:rsidR="001D40D7">
              <w:rPr>
                <w:spacing w:val="-2"/>
              </w:rPr>
              <w:t>kvartálu</w:t>
            </w:r>
            <w:r>
              <w:rPr>
                <w:spacing w:val="-2"/>
              </w:rPr>
              <w:t xml:space="preserve"> 2024 držela mírný mezičtvrtletní růst HDP (0,4 %)</w:t>
            </w:r>
            <w:r w:rsidRPr="00014ED0">
              <w:rPr>
                <w:rStyle w:val="Znakapoznpodarou"/>
                <w:rFonts w:cs="Arial"/>
                <w:spacing w:val="-2"/>
              </w:rPr>
              <w:footnoteReference w:id="1"/>
            </w:r>
            <w:r>
              <w:rPr>
                <w:spacing w:val="-2"/>
              </w:rPr>
              <w:t>. Pokračoval růst domácí spotřeby, především spotřeby domácností a k mezičtvrtletnímu růstu HDP pozitivně přispívala rovně</w:t>
            </w:r>
            <w:r w:rsidR="001D40D7">
              <w:rPr>
                <w:spacing w:val="-2"/>
              </w:rPr>
              <w:t>ž</w:t>
            </w:r>
            <w:r>
              <w:rPr>
                <w:spacing w:val="-2"/>
              </w:rPr>
              <w:t xml:space="preserve"> změna zásob. Na druhé straně došlo k poklesu investiční aktivity a nepříznivě působila i zahraniční poptávka. Meziročně se HDP ve 3. čtvrtletí zvýšil o 1,3 % a přírůstek tak posílil na nejvyšší hodnotu od 3. čtvrtletí 2022. Napomohla tomu i nižší srovnávací základna, protože 3. čtvrtletí bylo z pohledu vývoje HDP nejslabším kvartálem roku</w:t>
            </w:r>
            <w:r w:rsidR="001D40D7">
              <w:rPr>
                <w:spacing w:val="-2"/>
              </w:rPr>
              <w:t xml:space="preserve"> 2023</w:t>
            </w:r>
            <w:r>
              <w:rPr>
                <w:spacing w:val="-2"/>
              </w:rPr>
              <w:t xml:space="preserve">. Meziročně solidně rostla domácí spotřeba a k růstu HDP přispívala i zahraniční poptávka, ale kapitálové výdaje setrvávaly v meziročním poklesu. Negativně stále působila změna zásob, ale za 3. čtvrtletím 2023 reálně zaostávala též investiční aktivita.  </w:t>
            </w:r>
          </w:p>
        </w:tc>
      </w:tr>
      <w:tr w:rsidR="00FA7115" w:rsidRPr="009110F7" w14:paraId="706CC73C" w14:textId="77777777" w:rsidTr="30D0B3BE">
        <w:trPr>
          <w:trHeight w:val="170"/>
        </w:trPr>
        <w:tc>
          <w:tcPr>
            <w:tcW w:w="1806" w:type="dxa"/>
            <w:vMerge w:val="restart"/>
            <w:shd w:val="clear" w:color="auto" w:fill="auto"/>
            <w:tcMar>
              <w:left w:w="0" w:type="dxa"/>
            </w:tcMar>
          </w:tcPr>
          <w:p w14:paraId="4257AE2B" w14:textId="77777777" w:rsidR="00FA7115" w:rsidRDefault="00FA7115" w:rsidP="0058308D">
            <w:pPr>
              <w:pStyle w:val="Marginlie"/>
            </w:pPr>
          </w:p>
        </w:tc>
        <w:tc>
          <w:tcPr>
            <w:tcW w:w="210" w:type="dxa"/>
            <w:vMerge w:val="restart"/>
            <w:shd w:val="clear" w:color="auto" w:fill="auto"/>
            <w:tcMar>
              <w:left w:w="0" w:type="dxa"/>
            </w:tcMar>
          </w:tcPr>
          <w:p w14:paraId="38C17A1E" w14:textId="77777777" w:rsidR="00FA7115" w:rsidRDefault="00FA7115" w:rsidP="0058308D">
            <w:pPr>
              <w:pStyle w:val="Textpoznpodarou"/>
              <w:jc w:val="both"/>
              <w:rPr>
                <w:spacing w:val="-4"/>
              </w:rPr>
            </w:pPr>
          </w:p>
        </w:tc>
        <w:tc>
          <w:tcPr>
            <w:tcW w:w="7623" w:type="dxa"/>
            <w:shd w:val="clear" w:color="auto" w:fill="auto"/>
            <w:tcMar>
              <w:left w:w="0" w:type="dxa"/>
            </w:tcMar>
          </w:tcPr>
          <w:p w14:paraId="7176AA36" w14:textId="77777777" w:rsidR="00FA7115" w:rsidRPr="00D721B4" w:rsidRDefault="00FA7115" w:rsidP="0058308D">
            <w:pPr>
              <w:spacing w:after="0"/>
              <w:rPr>
                <w:b/>
                <w:szCs w:val="20"/>
              </w:rPr>
            </w:pPr>
            <w:r w:rsidRPr="00D721B4">
              <w:rPr>
                <w:rFonts w:cs="Arial"/>
                <w:b/>
                <w:bCs/>
                <w:color w:val="000000"/>
                <w:szCs w:val="20"/>
              </w:rPr>
              <w:t>Graf č. 1</w:t>
            </w:r>
            <w:r>
              <w:rPr>
                <w:rFonts w:cs="Arial"/>
                <w:b/>
                <w:bCs/>
                <w:color w:val="000000"/>
                <w:szCs w:val="20"/>
              </w:rPr>
              <w:t xml:space="preserve"> </w:t>
            </w:r>
            <w:r w:rsidRPr="00D721B4">
              <w:rPr>
                <w:rFonts w:cs="Arial"/>
                <w:b/>
                <w:szCs w:val="20"/>
                <w:lang w:eastAsia="en-US"/>
              </w:rPr>
              <w:t xml:space="preserve">HDP </w:t>
            </w:r>
            <w:r w:rsidRPr="00D721B4">
              <w:rPr>
                <w:rFonts w:cs="Arial"/>
                <w:bCs/>
                <w:szCs w:val="20"/>
                <w:lang w:eastAsia="en-US"/>
              </w:rPr>
              <w:t>(objemové indexy, očištěno o sezónní a kalendářní vlivy, v</w:t>
            </w:r>
            <w:r>
              <w:rPr>
                <w:rFonts w:cs="Arial"/>
                <w:bCs/>
                <w:szCs w:val="20"/>
                <w:lang w:eastAsia="en-US"/>
              </w:rPr>
              <w:t> %</w:t>
            </w:r>
            <w:r w:rsidRPr="00D721B4">
              <w:rPr>
                <w:rFonts w:cs="Arial"/>
                <w:bCs/>
                <w:szCs w:val="20"/>
                <w:lang w:eastAsia="en-US"/>
              </w:rPr>
              <w:t>)</w:t>
            </w:r>
          </w:p>
        </w:tc>
      </w:tr>
      <w:tr w:rsidR="00FA7115" w:rsidRPr="009110F7" w14:paraId="0DD7B7BB" w14:textId="77777777" w:rsidTr="30D0B3BE">
        <w:tblPrEx>
          <w:tblCellMar>
            <w:left w:w="70" w:type="dxa"/>
            <w:right w:w="70" w:type="dxa"/>
          </w:tblCellMar>
        </w:tblPrEx>
        <w:trPr>
          <w:trHeight w:val="170"/>
        </w:trPr>
        <w:tc>
          <w:tcPr>
            <w:tcW w:w="1806" w:type="dxa"/>
            <w:vMerge/>
          </w:tcPr>
          <w:p w14:paraId="18243F1D" w14:textId="77777777" w:rsidR="00FA7115" w:rsidRPr="009110F7" w:rsidRDefault="00FA7115" w:rsidP="0058308D">
            <w:pPr>
              <w:pStyle w:val="Marginlie"/>
            </w:pPr>
          </w:p>
        </w:tc>
        <w:tc>
          <w:tcPr>
            <w:tcW w:w="210" w:type="dxa"/>
            <w:vMerge/>
          </w:tcPr>
          <w:p w14:paraId="4195E7D1" w14:textId="77777777" w:rsidR="00FA7115" w:rsidRPr="009110F7" w:rsidRDefault="00FA7115" w:rsidP="0058308D">
            <w:pPr>
              <w:pStyle w:val="Textpoznpodarou"/>
              <w:jc w:val="both"/>
              <w:rPr>
                <w:spacing w:val="-4"/>
              </w:rPr>
            </w:pPr>
          </w:p>
        </w:tc>
        <w:tc>
          <w:tcPr>
            <w:tcW w:w="7623" w:type="dxa"/>
            <w:shd w:val="clear" w:color="auto" w:fill="auto"/>
          </w:tcPr>
          <w:p w14:paraId="2EEB242E" w14:textId="77777777" w:rsidR="00FA7115" w:rsidRPr="009110F7" w:rsidRDefault="00FA7115" w:rsidP="0058308D">
            <w:pPr>
              <w:spacing w:after="0"/>
            </w:pPr>
            <w:r>
              <w:rPr>
                <w:noProof/>
              </w:rPr>
              <w:drawing>
                <wp:inline distT="0" distB="0" distL="0" distR="0" wp14:anchorId="3A5064A8" wp14:editId="39324CC9">
                  <wp:extent cx="4737600" cy="3456000"/>
                  <wp:effectExtent l="0" t="0" r="6350" b="0"/>
                  <wp:docPr id="11" name="Graf 1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r w:rsidR="00FA7115" w:rsidRPr="009110F7" w14:paraId="4E70C0B6" w14:textId="77777777" w:rsidTr="30D0B3BE">
        <w:trPr>
          <w:trHeight w:val="170"/>
        </w:trPr>
        <w:tc>
          <w:tcPr>
            <w:tcW w:w="1806" w:type="dxa"/>
            <w:vMerge/>
            <w:tcMar>
              <w:left w:w="0" w:type="dxa"/>
            </w:tcMar>
          </w:tcPr>
          <w:p w14:paraId="27B02B32" w14:textId="77777777" w:rsidR="00FA7115" w:rsidRPr="009110F7" w:rsidRDefault="00FA7115" w:rsidP="0058308D">
            <w:pPr>
              <w:pStyle w:val="Marginlie"/>
            </w:pPr>
          </w:p>
        </w:tc>
        <w:tc>
          <w:tcPr>
            <w:tcW w:w="210" w:type="dxa"/>
            <w:vMerge/>
            <w:tcMar>
              <w:left w:w="0" w:type="dxa"/>
            </w:tcMar>
          </w:tcPr>
          <w:p w14:paraId="2C75E1BA" w14:textId="77777777" w:rsidR="00FA7115" w:rsidRPr="009110F7" w:rsidRDefault="00FA7115" w:rsidP="0058308D">
            <w:pPr>
              <w:pStyle w:val="Textpoznpodarou"/>
              <w:jc w:val="both"/>
              <w:rPr>
                <w:spacing w:val="-4"/>
              </w:rPr>
            </w:pPr>
          </w:p>
        </w:tc>
        <w:tc>
          <w:tcPr>
            <w:tcW w:w="7623" w:type="dxa"/>
            <w:shd w:val="clear" w:color="auto" w:fill="auto"/>
            <w:tcMar>
              <w:left w:w="0" w:type="dxa"/>
            </w:tcMar>
          </w:tcPr>
          <w:p w14:paraId="416157C4" w14:textId="77777777" w:rsidR="00FA7115" w:rsidRPr="009110F7" w:rsidRDefault="00FA7115" w:rsidP="0058308D">
            <w:pPr>
              <w:spacing w:after="220"/>
              <w:rPr>
                <w:sz w:val="14"/>
                <w:szCs w:val="14"/>
              </w:rPr>
            </w:pPr>
            <w:r>
              <w:rPr>
                <w:sz w:val="14"/>
                <w:szCs w:val="14"/>
              </w:rPr>
              <w:t>Zdroj: ČSÚ, Eurostat</w:t>
            </w:r>
          </w:p>
        </w:tc>
      </w:tr>
      <w:tr w:rsidR="00FA7115" w:rsidRPr="009110F7" w14:paraId="7088CB7A" w14:textId="77777777" w:rsidTr="30D0B3BE">
        <w:trPr>
          <w:trHeight w:val="145"/>
        </w:trPr>
        <w:tc>
          <w:tcPr>
            <w:tcW w:w="1806" w:type="dxa"/>
            <w:shd w:val="clear" w:color="auto" w:fill="auto"/>
            <w:tcMar>
              <w:left w:w="0" w:type="dxa"/>
            </w:tcMar>
          </w:tcPr>
          <w:p w14:paraId="569DDD08" w14:textId="77777777" w:rsidR="00FA7115" w:rsidRDefault="00FA7115" w:rsidP="0058308D">
            <w:pPr>
              <w:pStyle w:val="Marginlie"/>
            </w:pPr>
            <w:r>
              <w:t>Meziroční růst HDP v EU posílil.</w:t>
            </w:r>
          </w:p>
        </w:tc>
        <w:tc>
          <w:tcPr>
            <w:tcW w:w="210" w:type="dxa"/>
            <w:shd w:val="clear" w:color="auto" w:fill="auto"/>
            <w:tcMar>
              <w:left w:w="0" w:type="dxa"/>
            </w:tcMar>
          </w:tcPr>
          <w:p w14:paraId="013570B9" w14:textId="77777777" w:rsidR="00FA7115" w:rsidRDefault="00FA7115" w:rsidP="0058308D">
            <w:pPr>
              <w:pStyle w:val="Textpoznpodarou"/>
              <w:jc w:val="both"/>
              <w:rPr>
                <w:spacing w:val="-4"/>
              </w:rPr>
            </w:pPr>
          </w:p>
        </w:tc>
        <w:tc>
          <w:tcPr>
            <w:tcW w:w="7623" w:type="dxa"/>
            <w:shd w:val="clear" w:color="auto" w:fill="auto"/>
            <w:tcMar>
              <w:left w:w="0" w:type="dxa"/>
            </w:tcMar>
          </w:tcPr>
          <w:p w14:paraId="7A32237F" w14:textId="2A8BA916" w:rsidR="00FA7115" w:rsidRDefault="00FA7115" w:rsidP="00E53874">
            <w:r>
              <w:t>Hrubý domácí produkt v EU vzrostl ve 3. kvartálu mezičtvrtletně o 0,</w:t>
            </w:r>
            <w:r w:rsidR="009855E1">
              <w:t>4</w:t>
            </w:r>
            <w:r>
              <w:t> %, stejně jako v 1. a 2. čtvrtletí 2024. Nejvýraznější přírůstek byl zaznamenán v Irsku (</w:t>
            </w:r>
            <w:r w:rsidR="009855E1">
              <w:t>3,5</w:t>
            </w:r>
            <w:r>
              <w:t> %</w:t>
            </w:r>
            <w:r w:rsidR="009855E1">
              <w:t>), Dánsku (1,2 %) a v Litvě (1,2</w:t>
            </w:r>
            <w:r>
              <w:t xml:space="preserve"> %). K mezičtvrtletnímu poklesu HDP došlo naopak v Maďarsku (−0,7 %), Lotyšsku (−0,4 %), </w:t>
            </w:r>
            <w:r w:rsidR="009855E1">
              <w:t xml:space="preserve">Rakousku (-0,1 %), </w:t>
            </w:r>
            <w:r>
              <w:t>Polsku (−0,</w:t>
            </w:r>
            <w:r w:rsidR="009855E1">
              <w:t>1</w:t>
            </w:r>
            <w:r>
              <w:t xml:space="preserve"> %) a </w:t>
            </w:r>
            <w:r w:rsidR="009855E1">
              <w:t xml:space="preserve">Rumunsku </w:t>
            </w:r>
            <w:r>
              <w:t>(−0,1 %). Ostře sledovaná německá ekonomika s</w:t>
            </w:r>
            <w:r w:rsidR="009855E1">
              <w:t>e pohybovala v pásmu stagnace (</w:t>
            </w:r>
            <w:r>
              <w:t>0,1 %), podobně jako Itálie (0,0 %). Česko spolu se Slovenskem</w:t>
            </w:r>
            <w:r w:rsidR="009855E1">
              <w:t xml:space="preserve"> (0,3 %)</w:t>
            </w:r>
            <w:r>
              <w:t xml:space="preserve"> </w:t>
            </w:r>
            <w:r w:rsidR="009855E1">
              <w:t>dosáhly přírůstku HDP blízko</w:t>
            </w:r>
            <w:r>
              <w:t xml:space="preserve"> unijního průměru. Meziroční dynamika HDP v EU ve 3. čtvrtletí zrychlila na 1,0 %. Nejvíce se meziročně zvýšil HDP </w:t>
            </w:r>
            <w:r w:rsidR="009855E1">
              <w:t xml:space="preserve">na Maltě (5,4 %), v Chorvatsku (4,1 %) a </w:t>
            </w:r>
            <w:r>
              <w:t>v</w:t>
            </w:r>
            <w:r w:rsidR="009855E1">
              <w:t> </w:t>
            </w:r>
            <w:r>
              <w:t>Dánsku</w:t>
            </w:r>
            <w:r w:rsidR="009855E1">
              <w:t xml:space="preserve"> (3,9 %).</w:t>
            </w:r>
            <w:r>
              <w:t xml:space="preserve"> Za úrovní 3. čtvrtletí 2023 zaostávala nejvíce lotyšská ekonomika </w:t>
            </w:r>
            <w:r w:rsidR="009855E1">
              <w:t>(−1,0</w:t>
            </w:r>
            <w:r>
              <w:t xml:space="preserve"> %) a dále </w:t>
            </w:r>
            <w:r w:rsidR="009855E1">
              <w:t xml:space="preserve">Rakousko (-0,8 %), </w:t>
            </w:r>
            <w:r>
              <w:t>Maďarsko (</w:t>
            </w:r>
            <w:r w:rsidR="009855E1">
              <w:t>-</w:t>
            </w:r>
            <w:r>
              <w:t>0,7 %),</w:t>
            </w:r>
            <w:r w:rsidR="009855E1">
              <w:t xml:space="preserve"> Estonsko (-0,6 %), Rumunsko a</w:t>
            </w:r>
            <w:r>
              <w:t xml:space="preserve"> Německo (</w:t>
            </w:r>
            <w:r w:rsidR="009855E1">
              <w:t xml:space="preserve">shodně o </w:t>
            </w:r>
            <w:r>
              <w:t xml:space="preserve">−0,3 %, </w:t>
            </w:r>
            <w:r w:rsidR="009855E1">
              <w:t xml:space="preserve">u Německa </w:t>
            </w:r>
            <w:r>
              <w:t>šlo o pátý meziroční pokles v</w:t>
            </w:r>
            <w:r w:rsidR="00E53874">
              <w:t> </w:t>
            </w:r>
            <w:r>
              <w:t>řadě)</w:t>
            </w:r>
            <w:r w:rsidR="009855E1">
              <w:t>.</w:t>
            </w:r>
            <w:r>
              <w:t xml:space="preserve"> Polsko a Slovensko (u obou shodně vzrostl HDP meziročně o 1,7 %) spolu s Českem se z pohledu dynamiky HDP dostaly na čelo v rámci střední Evropy.    </w:t>
            </w:r>
          </w:p>
        </w:tc>
      </w:tr>
      <w:tr w:rsidR="00FA7115" w:rsidRPr="009110F7" w14:paraId="6297C8D2" w14:textId="77777777" w:rsidTr="30D0B3BE">
        <w:trPr>
          <w:trHeight w:val="145"/>
        </w:trPr>
        <w:tc>
          <w:tcPr>
            <w:tcW w:w="1806" w:type="dxa"/>
            <w:shd w:val="clear" w:color="auto" w:fill="auto"/>
            <w:tcMar>
              <w:left w:w="0" w:type="dxa"/>
            </w:tcMar>
          </w:tcPr>
          <w:p w14:paraId="4AF2F4F1" w14:textId="77777777" w:rsidR="00FA7115" w:rsidRDefault="00FA7115" w:rsidP="0058308D">
            <w:pPr>
              <w:pStyle w:val="Marginlie"/>
            </w:pPr>
            <w:r>
              <w:lastRenderedPageBreak/>
              <w:t>Mzdy a platy již více než rok reálně rostly.</w:t>
            </w:r>
          </w:p>
        </w:tc>
        <w:tc>
          <w:tcPr>
            <w:tcW w:w="210" w:type="dxa"/>
            <w:shd w:val="clear" w:color="auto" w:fill="auto"/>
            <w:tcMar>
              <w:left w:w="0" w:type="dxa"/>
            </w:tcMar>
          </w:tcPr>
          <w:p w14:paraId="65AB917F" w14:textId="77777777" w:rsidR="00FA7115" w:rsidRDefault="00FA7115" w:rsidP="0058308D">
            <w:pPr>
              <w:pStyle w:val="Textpoznpodarou"/>
              <w:jc w:val="both"/>
              <w:rPr>
                <w:spacing w:val="-4"/>
              </w:rPr>
            </w:pPr>
          </w:p>
        </w:tc>
        <w:tc>
          <w:tcPr>
            <w:tcW w:w="7623" w:type="dxa"/>
            <w:shd w:val="clear" w:color="auto" w:fill="auto"/>
            <w:tcMar>
              <w:left w:w="0" w:type="dxa"/>
            </w:tcMar>
          </w:tcPr>
          <w:p w14:paraId="01F9AE13" w14:textId="0C86FE8E" w:rsidR="00FA7115" w:rsidRPr="00014ED0" w:rsidRDefault="00FA7115" w:rsidP="0058308D">
            <w:r>
              <w:t>Ve formě mezd a platů bylo ve 3. čtvrtletí vyplaceno meziročně o 6,6 % více při současném přírůstku celkové zaměstnanosti o 0,4 %</w:t>
            </w:r>
            <w:r w:rsidRPr="00014ED0">
              <w:rPr>
                <w:rStyle w:val="Znakapoznpodarou"/>
                <w:spacing w:val="-2"/>
              </w:rPr>
              <w:footnoteReference w:id="2"/>
            </w:r>
            <w:r>
              <w:t>. Pokračující zvolňování cenového růstu přitom znamenalo, že reálně mzdy a platy meziročně vzrostly o 3,7 %</w:t>
            </w:r>
            <w:r>
              <w:rPr>
                <w:rStyle w:val="Znakapoznpodarou"/>
                <w:spacing w:val="-2"/>
              </w:rPr>
              <w:footnoteReference w:id="3"/>
            </w:r>
            <w:r>
              <w:t>, nejvíce od 4. čtvrtletí 2019. Meziroční reálný přírůstek byl pátý v řadě. V rámci celé ekonomiky byla silnější dynamika mezd ve službách. Z hlediska velikosti byl výrazně před ostatními sekcemi meziroční přírůstek mezd a platů v činnostech v oblasti nemovitostí (27,2 % při růstu zaměstnanosti o 0,4 %), kde jsou výdělky navázány mimo jiné na vývoj cen nemovitostí. Nadprůměrně dále rostly mzdy a platy v uskupení profesní, vědecké, technické a administrativní činnosti (9,8 %, zaměstnanost o 1,0 %), v ostatních činnostech</w:t>
            </w:r>
            <w:r>
              <w:rPr>
                <w:rStyle w:val="Znakapoznpodarou"/>
                <w:spacing w:val="-2"/>
              </w:rPr>
              <w:footnoteReference w:id="4"/>
            </w:r>
            <w:r>
              <w:t xml:space="preserve"> (8,6 %, zaměstnanost o 2,3 %), ve stavebnictví (7,6 %, zaměstnanost o 0,2 %), v uskup</w:t>
            </w:r>
            <w:r w:rsidR="00F04854">
              <w:t xml:space="preserve">ení obchod, doprava, ubytování </w:t>
            </w:r>
            <w:r>
              <w:t>a pohostinství (7,2 %, zaměstnanost o 1,0 %), v peněžnictví a pojišťovnictví (6,9 %, zaměstnanost o 1,2 %) a informačních a komunikačních činnostech (6,7 %, zaměstnanost o 0,1 %). Mírněji pak rostly mzdy a platy ve v</w:t>
            </w:r>
            <w:r w:rsidRPr="00AC0203">
              <w:t>eřejn</w:t>
            </w:r>
            <w:r>
              <w:t>é správě a obraně</w:t>
            </w:r>
            <w:r w:rsidRPr="00AC0203">
              <w:t>, vzdělávání, zdravotní a sociální péč</w:t>
            </w:r>
            <w:r>
              <w:t xml:space="preserve">i (5,9 % při růstu zaměstnanosti o 2,1 %), v průmyslu (5,0 % při poklesu zaměstnanosti o 1,4 %, z toho ve zpracovatelském průmyslu mzdy vzrostly o 4,6 % a zaměstnanost klesla o 1,6 %) a v zemědělství, lesnictví a rybářství (1,8 %, zaměstnanost −0,6 %).   </w:t>
            </w:r>
          </w:p>
        </w:tc>
      </w:tr>
      <w:tr w:rsidR="00FA7115" w:rsidRPr="009110F7" w14:paraId="3A8E1CCC" w14:textId="77777777" w:rsidTr="30D0B3BE">
        <w:trPr>
          <w:trHeight w:val="145"/>
        </w:trPr>
        <w:tc>
          <w:tcPr>
            <w:tcW w:w="1806" w:type="dxa"/>
            <w:shd w:val="clear" w:color="auto" w:fill="auto"/>
            <w:tcMar>
              <w:left w:w="0" w:type="dxa"/>
            </w:tcMar>
          </w:tcPr>
          <w:p w14:paraId="740009CA" w14:textId="77777777" w:rsidR="00FA7115" w:rsidRDefault="00FA7115" w:rsidP="0058308D">
            <w:pPr>
              <w:pStyle w:val="Marginlie"/>
            </w:pPr>
            <w:r>
              <w:t>Objem mezd a platy výrazněji mezičtvrtletně rostly ve službách.</w:t>
            </w:r>
          </w:p>
        </w:tc>
        <w:tc>
          <w:tcPr>
            <w:tcW w:w="210" w:type="dxa"/>
            <w:shd w:val="clear" w:color="auto" w:fill="auto"/>
            <w:tcMar>
              <w:left w:w="0" w:type="dxa"/>
            </w:tcMar>
          </w:tcPr>
          <w:p w14:paraId="408471A2" w14:textId="77777777" w:rsidR="00FA7115" w:rsidRDefault="00FA7115" w:rsidP="0058308D">
            <w:pPr>
              <w:pStyle w:val="Textpoznpodarou"/>
              <w:jc w:val="both"/>
              <w:rPr>
                <w:spacing w:val="-4"/>
              </w:rPr>
            </w:pPr>
          </w:p>
        </w:tc>
        <w:tc>
          <w:tcPr>
            <w:tcW w:w="7623" w:type="dxa"/>
            <w:shd w:val="clear" w:color="auto" w:fill="auto"/>
            <w:tcMar>
              <w:left w:w="0" w:type="dxa"/>
            </w:tcMar>
          </w:tcPr>
          <w:p w14:paraId="34083961" w14:textId="2AE460B2" w:rsidR="00FA7115" w:rsidRDefault="00FA7115" w:rsidP="0058308D">
            <w:r>
              <w:t>Mezičtvrtletně se vyplacené mzdy a platy ve 3. čtvrtletí zvýšily o 1,8 % a celková zaměstnanost se nezměnila. Reálný přírůstek mezd a platů dosáhl 1,2 %. Nejvíce se mezičtvrtletně zvýšily mzdy a platy v činnostech v oblasti nemovitostí (8,0 %, zaměstnanost klesla o 2,5 %), v pro</w:t>
            </w:r>
            <w:r w:rsidR="00F04854">
              <w:t xml:space="preserve">fesních, vědeckých, technických </w:t>
            </w:r>
            <w:bookmarkStart w:id="4" w:name="_GoBack"/>
            <w:bookmarkEnd w:id="4"/>
            <w:r>
              <w:t>a administrativních činnostech (4,0 %, zaměstnanost vzrostla o 1,2 %), ve stavebnictví (3,2 %, zaměstnanost o 0,7 %), v</w:t>
            </w:r>
            <w:r w:rsidRPr="00AC0203">
              <w:t>eřejn</w:t>
            </w:r>
            <w:r>
              <w:t>é správě a obraně</w:t>
            </w:r>
            <w:r w:rsidRPr="00AC0203">
              <w:t>, vzdělávání, zdravotní a</w:t>
            </w:r>
            <w:r>
              <w:t> </w:t>
            </w:r>
            <w:r w:rsidRPr="00AC0203">
              <w:t>sociální péč</w:t>
            </w:r>
            <w:r>
              <w:t>i (2,3 %, zaměstnanost o 0,7 %), v uskupení obchod, doprava, ubytování a pohostinství (2,1 %, zaměstnanost −0,8 %), v informačních a komunikačních činnostech (1,8 %, zaměstnanost vzrostla o 0,2 %) a v ostatních činnostech (1,0 %, zaměstnanost −1,8 %). Mírně se zvyšovaly mzdy a platy v průmyslu (0,4 % při stagnaci zaměstnanosti, z toho zpracovatelský průmysl vykázal růst mezd a platů o 0,1 % a zaměstnanosti o 0,3 %). Mezičtvrtletní pokles byl zaznamenán v zemědělství, lesnictví a rybářství (−0,2 %, zaměstnanost −2,4 %) a v peněžnictví a pojišťovnictví (−0,1 %, zaměstnanost vzrostla o 1,8 %).</w:t>
            </w:r>
          </w:p>
        </w:tc>
      </w:tr>
      <w:tr w:rsidR="00FA7115" w:rsidRPr="009110F7" w14:paraId="281B0346" w14:textId="77777777" w:rsidTr="30D0B3BE">
        <w:trPr>
          <w:trHeight w:val="145"/>
        </w:trPr>
        <w:tc>
          <w:tcPr>
            <w:tcW w:w="1806" w:type="dxa"/>
            <w:shd w:val="clear" w:color="auto" w:fill="auto"/>
            <w:tcMar>
              <w:left w:w="0" w:type="dxa"/>
            </w:tcMar>
          </w:tcPr>
          <w:p w14:paraId="78F3A0C9" w14:textId="77777777" w:rsidR="00FA7115" w:rsidRDefault="00FA7115" w:rsidP="0058308D">
            <w:pPr>
              <w:pStyle w:val="Marginlie"/>
            </w:pPr>
            <w:r>
              <w:t>Spotřeba domácností posílila.</w:t>
            </w:r>
          </w:p>
        </w:tc>
        <w:tc>
          <w:tcPr>
            <w:tcW w:w="210" w:type="dxa"/>
            <w:shd w:val="clear" w:color="auto" w:fill="auto"/>
            <w:tcMar>
              <w:left w:w="0" w:type="dxa"/>
            </w:tcMar>
          </w:tcPr>
          <w:p w14:paraId="356C47B1" w14:textId="77777777" w:rsidR="00FA7115" w:rsidRDefault="00FA7115" w:rsidP="0058308D">
            <w:pPr>
              <w:pStyle w:val="Textpoznpodarou"/>
              <w:jc w:val="both"/>
              <w:rPr>
                <w:spacing w:val="-4"/>
              </w:rPr>
            </w:pPr>
          </w:p>
        </w:tc>
        <w:tc>
          <w:tcPr>
            <w:tcW w:w="7623" w:type="dxa"/>
            <w:shd w:val="clear" w:color="auto" w:fill="auto"/>
            <w:tcMar>
              <w:left w:w="0" w:type="dxa"/>
            </w:tcMar>
          </w:tcPr>
          <w:p w14:paraId="160710C5" w14:textId="77777777" w:rsidR="00FA7115" w:rsidRDefault="00FA7115" w:rsidP="0058308D">
            <w:r>
              <w:rPr>
                <w:spacing w:val="-2"/>
              </w:rPr>
              <w:t>Spotřeba ve 3. čtvrtletí celkově meziročně vzrostla o 2,5 % a ve směru růstu HDP přispěla 2,0 p. b.</w:t>
            </w:r>
            <w:r w:rsidRPr="00014ED0">
              <w:rPr>
                <w:rStyle w:val="Znakapoznpodarou"/>
                <w:spacing w:val="-2"/>
              </w:rPr>
              <w:footnoteReference w:id="5"/>
            </w:r>
            <w:r>
              <w:rPr>
                <w:spacing w:val="-2"/>
              </w:rPr>
              <w:t>. Spotřeba domácností meziročně stoupla o 2,2 % a spotřeba vládních institucí o 3,0 %. Mezičtvrtletně se domácí spotřeba zvýšila o 0,5 % a růst poháněly zejména výdaje domácností (0,7 %), zatímco u vládních institucí spotřeba v zásadě mezičtvrtletně stagnovala (−0,1 %). Za posílením meziročního růstu spotřeby domácností stály zejména výdaje na předměty střednědobé spotřeby (1,9 %)</w:t>
            </w:r>
            <w:r>
              <w:rPr>
                <w:rStyle w:val="Znakapoznpodarou"/>
              </w:rPr>
              <w:footnoteReference w:id="6"/>
            </w:r>
            <w:r>
              <w:rPr>
                <w:spacing w:val="-2"/>
              </w:rPr>
              <w:t xml:space="preserve"> a netrvanlivého zboží (4,8 %). U střednědobé spotřeby šlo o první meziroční přírůstek od 1. čtvrtletí 2022. Mírně meziročně rostly také výdaje na služby. Meziročně nižší ale byly výdaje na předměty dlouhodobé spotřeby. Mezičtvrtletně vyšší byly výdaje na předměty střednědobé (1,9 %) i krátkodobé spotřeby (1,8 %). Klesla spotřeba služeb (−1,5 %) a po předchozím silném přírůstku ve 3. čtvrtletí v zásadě stagnovala dlouhodobá spotřeba (−0,1 %).</w:t>
            </w:r>
          </w:p>
        </w:tc>
      </w:tr>
      <w:tr w:rsidR="00FA7115" w:rsidRPr="009110F7" w14:paraId="6F895643" w14:textId="77777777" w:rsidTr="30D0B3BE">
        <w:trPr>
          <w:trHeight w:val="145"/>
        </w:trPr>
        <w:tc>
          <w:tcPr>
            <w:tcW w:w="1806" w:type="dxa"/>
            <w:shd w:val="clear" w:color="auto" w:fill="auto"/>
            <w:tcMar>
              <w:left w:w="0" w:type="dxa"/>
            </w:tcMar>
          </w:tcPr>
          <w:p w14:paraId="2F5966A1" w14:textId="77777777" w:rsidR="00FA7115" w:rsidRDefault="00FA7115" w:rsidP="0058308D">
            <w:pPr>
              <w:pStyle w:val="Marginlie"/>
            </w:pPr>
            <w:r>
              <w:t xml:space="preserve">Investiční aktivita ve </w:t>
            </w:r>
            <w:r>
              <w:br/>
              <w:t>3. čtvrtletí brzdila.</w:t>
            </w:r>
          </w:p>
        </w:tc>
        <w:tc>
          <w:tcPr>
            <w:tcW w:w="210" w:type="dxa"/>
            <w:shd w:val="clear" w:color="auto" w:fill="auto"/>
            <w:tcMar>
              <w:left w:w="0" w:type="dxa"/>
            </w:tcMar>
          </w:tcPr>
          <w:p w14:paraId="13C2EBEF" w14:textId="77777777" w:rsidR="00FA7115" w:rsidRDefault="00FA7115" w:rsidP="0058308D">
            <w:pPr>
              <w:pStyle w:val="Textpoznpodarou"/>
              <w:jc w:val="both"/>
              <w:rPr>
                <w:spacing w:val="-4"/>
              </w:rPr>
            </w:pPr>
          </w:p>
        </w:tc>
        <w:tc>
          <w:tcPr>
            <w:tcW w:w="7623" w:type="dxa"/>
            <w:shd w:val="clear" w:color="auto" w:fill="auto"/>
            <w:tcMar>
              <w:left w:w="0" w:type="dxa"/>
            </w:tcMar>
          </w:tcPr>
          <w:p w14:paraId="37E1E134" w14:textId="02592830" w:rsidR="00FA7115" w:rsidRDefault="00FA7115" w:rsidP="001D40D7">
            <w:pPr>
              <w:rPr>
                <w:spacing w:val="-2"/>
              </w:rPr>
            </w:pPr>
            <w:r>
              <w:t>Výdaje na tvorbu hrubého kapitálu se ve 3. čtvrtletí celkově meziročně snížily o 3,4 % a ve směru poklesu HDP působily −0,9 p.</w:t>
            </w:r>
            <w:r w:rsidR="001D40D7">
              <w:t xml:space="preserve"> </w:t>
            </w:r>
            <w:r>
              <w:t xml:space="preserve">b. Nejvíce k tomuto poklesu přispěla změna </w:t>
            </w:r>
            <w:r>
              <w:lastRenderedPageBreak/>
              <w:t>zásob</w:t>
            </w:r>
            <w:r>
              <w:rPr>
                <w:rStyle w:val="Znakapoznpodarou"/>
              </w:rPr>
              <w:footnoteReference w:id="7"/>
            </w:r>
            <w:r>
              <w:t xml:space="preserve">. Negativní vliv změny zásob ale postupně slábne, což se také odráží na zmírnění propadu kapitálových výdajů v posledních několika čtvrtletích (od 4. kvartálu 2023 postupně −14,2 %, −9,9 %, −6,9 %). Výdaje na tvorbu hrubého fixního kapitálu (investice) ve 3. čtvrtletí 2024 meziročně klesly o 0,8 %. Mezičtvrtletně se výdaje na tvorbu hrubého kapitálu reálně zvýšily o 3,0 % a tvorba zásob naopak hrála klíčovou pozitivní roli, zatímco investice klesly o 1,2 %. Na mezičtvrtletním vývoji investiční aktivity je od 3. čtvrtletí 2023 patrné zbrždění. Ve druhém pololetí 2023 se růst zcela zastavil, v 1. čtvrtletí 2024 došlo k výraznému poklesu a na mezičtvrtletní oživení </w:t>
            </w:r>
            <w:r w:rsidR="001D40D7">
              <w:t>ve</w:t>
            </w:r>
            <w:r>
              <w:t xml:space="preserve"> 2. kvartálu investice navázaly aktuálním propadem. Věcná struktura výdajů na tvorbu hrubého fixního kapitálu ukazuje hluboký meziroční pokles investic do ICT a ostatních strojů a zařízení (−12,5 %). Propad zde trvá už od poloviny roku 2023 a zčásti se projevuje nižší dynamikou dovozu. Nižší byly také investice do obydlí (−1,1 %). Naopak meziročně rostly výdaje na dopravní prostředky a zařízení (18,1 %), ostatní budovy a stavby (2,4 %) a produkty duševního vlastnictví (2,2 %). Mezičtvrtletně nižší byly investice do ICT a ostatních strojů a zařízení (−10,8 %) a obydlí (−2,6 %). Vzrostly výdaje na dopravní prostředky a zařízení (20,6 %), ostatní budovy a stavby (0,5 %) a produkty duševního vlastnictví (0,4 %).   </w:t>
            </w:r>
          </w:p>
        </w:tc>
      </w:tr>
      <w:tr w:rsidR="00FA7115" w:rsidRPr="009110F7" w14:paraId="0AD51EE2" w14:textId="77777777" w:rsidTr="30D0B3BE">
        <w:trPr>
          <w:trHeight w:val="154"/>
        </w:trPr>
        <w:tc>
          <w:tcPr>
            <w:tcW w:w="1806" w:type="dxa"/>
            <w:vMerge w:val="restart"/>
            <w:shd w:val="clear" w:color="auto" w:fill="auto"/>
            <w:tcMar>
              <w:left w:w="0" w:type="dxa"/>
            </w:tcMar>
          </w:tcPr>
          <w:p w14:paraId="02BF4865" w14:textId="77777777" w:rsidR="00FA7115" w:rsidRDefault="00FA7115" w:rsidP="0058308D">
            <w:pPr>
              <w:pStyle w:val="Marginlie"/>
            </w:pPr>
          </w:p>
        </w:tc>
        <w:tc>
          <w:tcPr>
            <w:tcW w:w="210" w:type="dxa"/>
            <w:vMerge w:val="restart"/>
            <w:shd w:val="clear" w:color="auto" w:fill="auto"/>
            <w:tcMar>
              <w:left w:w="0" w:type="dxa"/>
            </w:tcMar>
          </w:tcPr>
          <w:p w14:paraId="7F490E7F" w14:textId="77777777" w:rsidR="00FA7115" w:rsidRDefault="00FA7115" w:rsidP="0058308D">
            <w:pPr>
              <w:pStyle w:val="Textpoznpodarou"/>
              <w:jc w:val="both"/>
              <w:rPr>
                <w:spacing w:val="-4"/>
              </w:rPr>
            </w:pPr>
          </w:p>
        </w:tc>
        <w:tc>
          <w:tcPr>
            <w:tcW w:w="7623" w:type="dxa"/>
            <w:shd w:val="clear" w:color="auto" w:fill="auto"/>
            <w:tcMar>
              <w:left w:w="0" w:type="dxa"/>
            </w:tcMar>
          </w:tcPr>
          <w:p w14:paraId="30BE2D1A" w14:textId="77777777" w:rsidR="00FA7115" w:rsidRDefault="00FA7115" w:rsidP="0058308D">
            <w:pPr>
              <w:spacing w:after="0"/>
            </w:pPr>
            <w:r w:rsidRPr="00D721B4">
              <w:rPr>
                <w:b/>
                <w:szCs w:val="20"/>
              </w:rPr>
              <w:t>Graf č. 2</w:t>
            </w:r>
            <w:r>
              <w:rPr>
                <w:b/>
                <w:szCs w:val="20"/>
              </w:rPr>
              <w:t xml:space="preserve"> </w:t>
            </w:r>
            <w:r w:rsidRPr="00D721B4">
              <w:rPr>
                <w:rFonts w:cs="Arial"/>
                <w:b/>
                <w:szCs w:val="20"/>
                <w:lang w:eastAsia="en-US"/>
              </w:rPr>
              <w:t xml:space="preserve">Příspěvky výdajových složek k reálné změně HDP* </w:t>
            </w:r>
            <w:r w:rsidRPr="00D721B4">
              <w:rPr>
                <w:rFonts w:cs="Arial"/>
                <w:bCs/>
                <w:szCs w:val="20"/>
                <w:lang w:eastAsia="en-US"/>
              </w:rPr>
              <w:t>(objemové indexy, meziroční růst, příspěvky v p. b., HDP v</w:t>
            </w:r>
            <w:r>
              <w:rPr>
                <w:rFonts w:cs="Arial"/>
                <w:bCs/>
                <w:szCs w:val="20"/>
                <w:lang w:eastAsia="en-US"/>
              </w:rPr>
              <w:t> %</w:t>
            </w:r>
            <w:r w:rsidRPr="00D721B4">
              <w:rPr>
                <w:rFonts w:cs="Arial"/>
                <w:bCs/>
                <w:szCs w:val="20"/>
                <w:lang w:eastAsia="en-US"/>
              </w:rPr>
              <w:t>)</w:t>
            </w:r>
          </w:p>
        </w:tc>
      </w:tr>
      <w:tr w:rsidR="00FA7115" w:rsidRPr="009110F7" w14:paraId="01FC89C5" w14:textId="77777777" w:rsidTr="30D0B3BE">
        <w:tblPrEx>
          <w:tblCellMar>
            <w:left w:w="70" w:type="dxa"/>
            <w:right w:w="70" w:type="dxa"/>
          </w:tblCellMar>
        </w:tblPrEx>
        <w:trPr>
          <w:trHeight w:val="154"/>
        </w:trPr>
        <w:tc>
          <w:tcPr>
            <w:tcW w:w="1806" w:type="dxa"/>
            <w:vMerge/>
          </w:tcPr>
          <w:p w14:paraId="2D0E6ED0" w14:textId="77777777" w:rsidR="00FA7115" w:rsidRDefault="00FA7115" w:rsidP="0058308D">
            <w:pPr>
              <w:pStyle w:val="Marginlie"/>
            </w:pPr>
          </w:p>
        </w:tc>
        <w:tc>
          <w:tcPr>
            <w:tcW w:w="210" w:type="dxa"/>
            <w:vMerge/>
          </w:tcPr>
          <w:p w14:paraId="1DBDE992" w14:textId="77777777" w:rsidR="00FA7115" w:rsidRDefault="00FA7115" w:rsidP="0058308D">
            <w:pPr>
              <w:pStyle w:val="Textpoznpodarou"/>
              <w:jc w:val="both"/>
              <w:rPr>
                <w:spacing w:val="-4"/>
              </w:rPr>
            </w:pPr>
          </w:p>
        </w:tc>
        <w:tc>
          <w:tcPr>
            <w:tcW w:w="7623" w:type="dxa"/>
            <w:shd w:val="clear" w:color="auto" w:fill="auto"/>
          </w:tcPr>
          <w:p w14:paraId="19B64EDF" w14:textId="77777777" w:rsidR="00FA7115" w:rsidRDefault="00FA7115" w:rsidP="0058308D">
            <w:pPr>
              <w:spacing w:after="0"/>
            </w:pPr>
            <w:r>
              <w:rPr>
                <w:noProof/>
              </w:rPr>
              <w:drawing>
                <wp:inline distT="0" distB="0" distL="0" distR="0" wp14:anchorId="59B886FF" wp14:editId="171FC586">
                  <wp:extent cx="4737600" cy="3456000"/>
                  <wp:effectExtent l="0" t="0" r="6350" b="0"/>
                  <wp:docPr id="14" name="Graf 14">
                    <a:extLst xmlns:a="http://schemas.openxmlformats.org/drawingml/2006/main">
                      <a:ext uri="{FF2B5EF4-FFF2-40B4-BE49-F238E27FC236}">
                        <a16:creationId xmlns:a16="http://schemas.microsoft.com/office/drawing/2014/main" id="{00000000-0008-0000-0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r w:rsidR="00FA7115" w:rsidRPr="009110F7" w14:paraId="137BAE77" w14:textId="77777777" w:rsidTr="30D0B3BE">
        <w:trPr>
          <w:trHeight w:val="154"/>
        </w:trPr>
        <w:tc>
          <w:tcPr>
            <w:tcW w:w="1806" w:type="dxa"/>
            <w:vMerge/>
            <w:tcMar>
              <w:left w:w="0" w:type="dxa"/>
            </w:tcMar>
          </w:tcPr>
          <w:p w14:paraId="503E0C5A" w14:textId="77777777" w:rsidR="00FA7115" w:rsidRDefault="00FA7115" w:rsidP="0058308D">
            <w:pPr>
              <w:pStyle w:val="Marginlie"/>
            </w:pPr>
          </w:p>
        </w:tc>
        <w:tc>
          <w:tcPr>
            <w:tcW w:w="210" w:type="dxa"/>
            <w:vMerge/>
            <w:tcMar>
              <w:left w:w="0" w:type="dxa"/>
            </w:tcMar>
          </w:tcPr>
          <w:p w14:paraId="776CC4F7" w14:textId="77777777" w:rsidR="00FA7115" w:rsidRDefault="00FA7115" w:rsidP="0058308D">
            <w:pPr>
              <w:pStyle w:val="Textpoznpodarou"/>
              <w:jc w:val="both"/>
              <w:rPr>
                <w:spacing w:val="-4"/>
              </w:rPr>
            </w:pPr>
          </w:p>
        </w:tc>
        <w:tc>
          <w:tcPr>
            <w:tcW w:w="7623" w:type="dxa"/>
            <w:shd w:val="clear" w:color="auto" w:fill="auto"/>
            <w:tcMar>
              <w:left w:w="0" w:type="dxa"/>
            </w:tcMar>
          </w:tcPr>
          <w:p w14:paraId="22CD3AA2" w14:textId="77777777" w:rsidR="00FA7115" w:rsidRDefault="00FA7115" w:rsidP="0058308D">
            <w:pPr>
              <w:spacing w:after="0"/>
              <w:rPr>
                <w:sz w:val="14"/>
                <w:szCs w:val="14"/>
              </w:rPr>
            </w:pPr>
            <w:r>
              <w:rPr>
                <w:sz w:val="14"/>
                <w:szCs w:val="14"/>
              </w:rPr>
              <w:t>Zdroj: ČSÚ</w:t>
            </w:r>
          </w:p>
          <w:p w14:paraId="364F18EB" w14:textId="77777777" w:rsidR="00FA7115" w:rsidRDefault="00FA7115" w:rsidP="0058308D">
            <w:r>
              <w:rPr>
                <w:sz w:val="14"/>
                <w:szCs w:val="14"/>
              </w:rPr>
              <w:t>* po vyloučení dovozu pro konečné užití</w:t>
            </w:r>
          </w:p>
        </w:tc>
      </w:tr>
      <w:tr w:rsidR="00FA7115" w:rsidRPr="009110F7" w14:paraId="69CBF70D" w14:textId="77777777" w:rsidTr="30D0B3BE">
        <w:trPr>
          <w:trHeight w:val="145"/>
        </w:trPr>
        <w:tc>
          <w:tcPr>
            <w:tcW w:w="1806" w:type="dxa"/>
            <w:shd w:val="clear" w:color="auto" w:fill="auto"/>
            <w:tcMar>
              <w:left w:w="0" w:type="dxa"/>
            </w:tcMar>
          </w:tcPr>
          <w:p w14:paraId="0AE0BC76" w14:textId="77777777" w:rsidR="00FA7115" w:rsidRDefault="00FA7115" w:rsidP="0058308D">
            <w:pPr>
              <w:pStyle w:val="Marginlie"/>
            </w:pPr>
            <w:r>
              <w:t xml:space="preserve">Bilance zahraničního obchodu se zbožím </w:t>
            </w:r>
            <w:r>
              <w:br/>
              <w:t>a službami skončila v přebytku.</w:t>
            </w:r>
          </w:p>
        </w:tc>
        <w:tc>
          <w:tcPr>
            <w:tcW w:w="210" w:type="dxa"/>
            <w:shd w:val="clear" w:color="auto" w:fill="auto"/>
            <w:tcMar>
              <w:left w:w="0" w:type="dxa"/>
            </w:tcMar>
          </w:tcPr>
          <w:p w14:paraId="6AAABB4E" w14:textId="77777777" w:rsidR="00FA7115" w:rsidRDefault="00FA7115" w:rsidP="0058308D">
            <w:pPr>
              <w:pStyle w:val="Textpoznpodarou"/>
              <w:jc w:val="both"/>
              <w:rPr>
                <w:spacing w:val="-4"/>
              </w:rPr>
            </w:pPr>
          </w:p>
        </w:tc>
        <w:tc>
          <w:tcPr>
            <w:tcW w:w="7623" w:type="dxa"/>
            <w:shd w:val="clear" w:color="auto" w:fill="auto"/>
            <w:tcMar>
              <w:left w:w="0" w:type="dxa"/>
            </w:tcMar>
          </w:tcPr>
          <w:p w14:paraId="32E08145" w14:textId="6A7D7D68" w:rsidR="00FA7115" w:rsidRDefault="00FA7115" w:rsidP="001D40D7">
            <w:r>
              <w:t>Vývoz zboží a služeb</w:t>
            </w:r>
            <w:r w:rsidRPr="009110F7">
              <w:rPr>
                <w:rStyle w:val="Znakapoznpodarou"/>
              </w:rPr>
              <w:footnoteReference w:id="8"/>
            </w:r>
            <w:r>
              <w:t xml:space="preserve"> ve 3. čtvrtletí reálně meziročně vzrostl o 4,0 % a tempo tak výrazně posílilo oproti předchozím čtyřem kvartálům. Solidně rostl vývoz zboží (2,6 %) a ještě více se zvýšil export služeb (5,8 %). Meziroční přírůstek dovozu také ve 3. čtvrtletí zrychlil, ale za exportem dynamika zaostávala (3,4 %), takže celkový příspěvek zahraniční poptávky k meziročnímu růstu HDP byl pozitivní. Import zboží vzrostl o 2,3 % a služeb o 8,8 %. Mezičtvrtletní přírůstek vývozu zboží a služeb ve 3. čtvrtletí zrychlil na 1,9 %, přičemž vývoz zboží byl vyšší o 2,2 %, zatímco u služeb došlo ke zpomalení růstu na 0,3 %. Mezičtvrtletní přírůstek dovozu (3,2 %) byl ale </w:t>
            </w:r>
            <w:r>
              <w:lastRenderedPageBreak/>
              <w:t xml:space="preserve">výraznější než dynamika exportu, takže celkový vliv zahraniční poptávky na mezičtvrtletní růst HDP byl ve 3. čtvrtletí nepříznivý. Dovoz zboží mezičtvrtletně vzrostl o 3,2 % a služeb o 2,7 %. </w:t>
            </w:r>
            <w:r w:rsidR="001D40D7">
              <w:t>Celková b</w:t>
            </w:r>
            <w:r>
              <w:t xml:space="preserve">ilance zahraničního obchodu se zbožím a službami dosáhla ve 3. čtvrtletí přebytku 121,8 mld. korun a meziročně se kladné saldo zvýšilo </w:t>
            </w:r>
            <w:r>
              <w:br/>
              <w:t xml:space="preserve">o 29,9 mld. korun. Za tímto zlepšením stál z naprosté většiny obchod se zbožím </w:t>
            </w:r>
            <w:r>
              <w:br/>
              <w:t xml:space="preserve">(+29,2 mld. korun), u služeb přebytek meziročně stagnoval (+0,7 mld.). Mezičtvrtletně se přebytek bilance zahraničního obchodu zmírňoval.       </w:t>
            </w:r>
          </w:p>
        </w:tc>
      </w:tr>
      <w:tr w:rsidR="00FA7115" w:rsidRPr="009110F7" w14:paraId="24E36990" w14:textId="77777777" w:rsidTr="30D0B3BE">
        <w:trPr>
          <w:trHeight w:val="145"/>
        </w:trPr>
        <w:tc>
          <w:tcPr>
            <w:tcW w:w="1806" w:type="dxa"/>
            <w:shd w:val="clear" w:color="auto" w:fill="auto"/>
            <w:tcMar>
              <w:left w:w="0" w:type="dxa"/>
            </w:tcMar>
          </w:tcPr>
          <w:p w14:paraId="50D19666" w14:textId="77777777" w:rsidR="00FA7115" w:rsidRDefault="00FA7115" w:rsidP="0058308D">
            <w:pPr>
              <w:pStyle w:val="Marginlie"/>
            </w:pPr>
            <w:r>
              <w:lastRenderedPageBreak/>
              <w:t>Ve většině sledovaných odvětví HPH mezičtvrtletně rostla.</w:t>
            </w:r>
          </w:p>
        </w:tc>
        <w:tc>
          <w:tcPr>
            <w:tcW w:w="210" w:type="dxa"/>
            <w:shd w:val="clear" w:color="auto" w:fill="auto"/>
            <w:tcMar>
              <w:left w:w="0" w:type="dxa"/>
            </w:tcMar>
          </w:tcPr>
          <w:p w14:paraId="13839761" w14:textId="77777777" w:rsidR="00FA7115" w:rsidRDefault="00FA7115" w:rsidP="0058308D">
            <w:pPr>
              <w:pStyle w:val="Textpoznpodarou"/>
              <w:jc w:val="both"/>
              <w:rPr>
                <w:spacing w:val="-4"/>
              </w:rPr>
            </w:pPr>
          </w:p>
        </w:tc>
        <w:tc>
          <w:tcPr>
            <w:tcW w:w="7623" w:type="dxa"/>
            <w:shd w:val="clear" w:color="auto" w:fill="auto"/>
            <w:tcMar>
              <w:left w:w="0" w:type="dxa"/>
            </w:tcMar>
          </w:tcPr>
          <w:p w14:paraId="3A53334A" w14:textId="77777777" w:rsidR="00FA7115" w:rsidRDefault="00FA7115" w:rsidP="0058308D">
            <w:r>
              <w:t>Mezičtvrtletní růst hrubé přidané hodnoty (HPH) ve 3. čtvrtletí zrychlil na 0,8 %. Růst byl zaznamenán v řadě odvětví, nejvíce v peněžnictví a pojišťovnictví (2,8 %) a ve zpracovatelském průmyslu (2,5 %, HPH celého průmyslu mezičtvrtletně rostla o 1,5 %). Nadprůměrný přírůstek byl zaznamenán také v informačních a komunikačních činnostech (1,5 %) a v zemědělství, lesnictví a rybářství (1,2 %). Výraznější mezičtvrtletní přírůstky byly zachyceny v uskupení obchod, doprava, ubytování a pohostinství (0,7 %) a ve stavebnictví (0,5 %). Ostatní odvětví se pohybovala spíše v pásmu stagnace. HPH tak rostla v ostatních činnostech (0,3 %), ve v</w:t>
            </w:r>
            <w:r w:rsidRPr="00AC0203">
              <w:t>eřejn</w:t>
            </w:r>
            <w:r>
              <w:t>é správě a obraně</w:t>
            </w:r>
            <w:r w:rsidRPr="00AC0203">
              <w:t>, vzdělávání, zdravotní a sociální péč</w:t>
            </w:r>
            <w:r>
              <w:t>i (0,2 %) a v činnostech v oblasti nemovitostí (0,1 %). V profesních, vědeckých, technických a administrativních činnostech byl zaznamenán pokles o 0,1 %.</w:t>
            </w:r>
          </w:p>
        </w:tc>
      </w:tr>
      <w:tr w:rsidR="00FA7115" w:rsidRPr="009110F7" w14:paraId="0A157AFF" w14:textId="77777777" w:rsidTr="30D0B3BE">
        <w:trPr>
          <w:trHeight w:val="170"/>
        </w:trPr>
        <w:tc>
          <w:tcPr>
            <w:tcW w:w="1806" w:type="dxa"/>
            <w:vMerge w:val="restart"/>
            <w:shd w:val="clear" w:color="auto" w:fill="auto"/>
            <w:tcMar>
              <w:left w:w="0" w:type="dxa"/>
            </w:tcMar>
          </w:tcPr>
          <w:p w14:paraId="43557E52" w14:textId="77777777" w:rsidR="00FA7115" w:rsidRDefault="00FA7115" w:rsidP="0058308D">
            <w:pPr>
              <w:pStyle w:val="Marginlie"/>
            </w:pPr>
          </w:p>
        </w:tc>
        <w:tc>
          <w:tcPr>
            <w:tcW w:w="210" w:type="dxa"/>
            <w:vMerge w:val="restart"/>
            <w:shd w:val="clear" w:color="auto" w:fill="auto"/>
            <w:tcMar>
              <w:left w:w="0" w:type="dxa"/>
            </w:tcMar>
          </w:tcPr>
          <w:p w14:paraId="41DBF4CB" w14:textId="77777777" w:rsidR="00FA7115" w:rsidRDefault="00FA7115" w:rsidP="0058308D">
            <w:pPr>
              <w:pStyle w:val="Textpoznpodarou"/>
              <w:jc w:val="both"/>
              <w:rPr>
                <w:spacing w:val="-4"/>
              </w:rPr>
            </w:pPr>
          </w:p>
        </w:tc>
        <w:tc>
          <w:tcPr>
            <w:tcW w:w="7623" w:type="dxa"/>
            <w:shd w:val="clear" w:color="auto" w:fill="auto"/>
            <w:tcMar>
              <w:left w:w="0" w:type="dxa"/>
            </w:tcMar>
          </w:tcPr>
          <w:p w14:paraId="2E4AE3E4" w14:textId="77777777" w:rsidR="00FA7115" w:rsidRDefault="00FA7115" w:rsidP="0058308D">
            <w:pPr>
              <w:spacing w:after="0"/>
            </w:pPr>
            <w:r w:rsidRPr="00D721B4">
              <w:rPr>
                <w:b/>
                <w:szCs w:val="20"/>
              </w:rPr>
              <w:t>Graf č. 3</w:t>
            </w:r>
            <w:r>
              <w:rPr>
                <w:b/>
                <w:szCs w:val="20"/>
              </w:rPr>
              <w:t xml:space="preserve"> </w:t>
            </w:r>
            <w:r w:rsidRPr="00D721B4">
              <w:rPr>
                <w:rFonts w:cs="Arial"/>
                <w:b/>
                <w:szCs w:val="20"/>
                <w:lang w:eastAsia="en-US"/>
              </w:rPr>
              <w:t xml:space="preserve">Příspěvky odvětví k reálné změně HPH </w:t>
            </w:r>
            <w:r w:rsidRPr="00D721B4">
              <w:rPr>
                <w:rFonts w:cs="Arial"/>
                <w:bCs/>
                <w:szCs w:val="20"/>
                <w:lang w:eastAsia="en-US"/>
              </w:rPr>
              <w:t>(objemové indexy, meziroční příspěvky v p. b., HPH v</w:t>
            </w:r>
            <w:r>
              <w:rPr>
                <w:rFonts w:cs="Arial"/>
                <w:bCs/>
                <w:szCs w:val="20"/>
                <w:lang w:eastAsia="en-US"/>
              </w:rPr>
              <w:t> %</w:t>
            </w:r>
            <w:r w:rsidRPr="00D721B4">
              <w:rPr>
                <w:rFonts w:cs="Arial"/>
                <w:bCs/>
                <w:szCs w:val="20"/>
                <w:lang w:eastAsia="en-US"/>
              </w:rPr>
              <w:t>)</w:t>
            </w:r>
          </w:p>
        </w:tc>
      </w:tr>
      <w:tr w:rsidR="00FA7115" w:rsidRPr="009110F7" w14:paraId="17D87FFC" w14:textId="77777777" w:rsidTr="30D0B3BE">
        <w:tblPrEx>
          <w:tblCellMar>
            <w:left w:w="70" w:type="dxa"/>
            <w:right w:w="70" w:type="dxa"/>
          </w:tblCellMar>
        </w:tblPrEx>
        <w:trPr>
          <w:trHeight w:val="170"/>
        </w:trPr>
        <w:tc>
          <w:tcPr>
            <w:tcW w:w="1806" w:type="dxa"/>
            <w:vMerge/>
          </w:tcPr>
          <w:p w14:paraId="751C41F4" w14:textId="77777777" w:rsidR="00FA7115" w:rsidRDefault="00FA7115" w:rsidP="0058308D">
            <w:pPr>
              <w:pStyle w:val="Marginlie"/>
            </w:pPr>
          </w:p>
        </w:tc>
        <w:tc>
          <w:tcPr>
            <w:tcW w:w="210" w:type="dxa"/>
            <w:vMerge/>
          </w:tcPr>
          <w:p w14:paraId="581B2C1E" w14:textId="77777777" w:rsidR="00FA7115" w:rsidRDefault="00FA7115" w:rsidP="0058308D">
            <w:pPr>
              <w:pStyle w:val="Textpoznpodarou"/>
              <w:jc w:val="both"/>
              <w:rPr>
                <w:spacing w:val="-4"/>
              </w:rPr>
            </w:pPr>
          </w:p>
        </w:tc>
        <w:tc>
          <w:tcPr>
            <w:tcW w:w="7623" w:type="dxa"/>
            <w:shd w:val="clear" w:color="auto" w:fill="auto"/>
          </w:tcPr>
          <w:p w14:paraId="25786C1E" w14:textId="77777777" w:rsidR="00FA7115" w:rsidRDefault="00FA7115" w:rsidP="0058308D">
            <w:pPr>
              <w:spacing w:after="0"/>
            </w:pPr>
            <w:r>
              <w:rPr>
                <w:noProof/>
              </w:rPr>
              <w:drawing>
                <wp:inline distT="0" distB="0" distL="0" distR="0" wp14:anchorId="38E953D6" wp14:editId="6A420E62">
                  <wp:extent cx="4737600" cy="3456000"/>
                  <wp:effectExtent l="0" t="0" r="6350" b="0"/>
                  <wp:docPr id="17" name="Graf 17">
                    <a:extLst xmlns:a="http://schemas.openxmlformats.org/drawingml/2006/main">
                      <a:ext uri="{FF2B5EF4-FFF2-40B4-BE49-F238E27FC236}">
                        <a16:creationId xmlns:a16="http://schemas.microsoft.com/office/drawing/2014/main" id="{00000000-0008-0000-03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r w:rsidR="00FA7115" w:rsidRPr="009110F7" w14:paraId="3E14BECA" w14:textId="77777777" w:rsidTr="30D0B3BE">
        <w:trPr>
          <w:trHeight w:val="170"/>
        </w:trPr>
        <w:tc>
          <w:tcPr>
            <w:tcW w:w="1806" w:type="dxa"/>
            <w:vMerge/>
            <w:tcMar>
              <w:left w:w="0" w:type="dxa"/>
            </w:tcMar>
          </w:tcPr>
          <w:p w14:paraId="67B2AC27" w14:textId="77777777" w:rsidR="00FA7115" w:rsidRDefault="00FA7115" w:rsidP="0058308D">
            <w:pPr>
              <w:pStyle w:val="Marginlie"/>
            </w:pPr>
          </w:p>
        </w:tc>
        <w:tc>
          <w:tcPr>
            <w:tcW w:w="210" w:type="dxa"/>
            <w:vMerge/>
            <w:tcMar>
              <w:left w:w="0" w:type="dxa"/>
            </w:tcMar>
          </w:tcPr>
          <w:p w14:paraId="4C834A8E" w14:textId="77777777" w:rsidR="00FA7115" w:rsidRDefault="00FA7115" w:rsidP="0058308D">
            <w:pPr>
              <w:pStyle w:val="Textpoznpodarou"/>
              <w:jc w:val="both"/>
              <w:rPr>
                <w:spacing w:val="-4"/>
              </w:rPr>
            </w:pPr>
          </w:p>
        </w:tc>
        <w:tc>
          <w:tcPr>
            <w:tcW w:w="7623" w:type="dxa"/>
            <w:shd w:val="clear" w:color="auto" w:fill="auto"/>
            <w:tcMar>
              <w:left w:w="0" w:type="dxa"/>
            </w:tcMar>
          </w:tcPr>
          <w:p w14:paraId="63D00320" w14:textId="77777777" w:rsidR="00FA7115" w:rsidRDefault="00FA7115" w:rsidP="0058308D">
            <w:r w:rsidRPr="00A85DE1">
              <w:rPr>
                <w:sz w:val="14"/>
                <w:szCs w:val="14"/>
              </w:rPr>
              <w:t>Zdroj: ČSÚ</w:t>
            </w:r>
          </w:p>
        </w:tc>
      </w:tr>
      <w:tr w:rsidR="00FA7115" w:rsidRPr="009110F7" w14:paraId="66F02149" w14:textId="77777777" w:rsidTr="30D0B3BE">
        <w:trPr>
          <w:trHeight w:val="145"/>
        </w:trPr>
        <w:tc>
          <w:tcPr>
            <w:tcW w:w="1806" w:type="dxa"/>
            <w:shd w:val="clear" w:color="auto" w:fill="auto"/>
            <w:tcMar>
              <w:left w:w="0" w:type="dxa"/>
            </w:tcMar>
          </w:tcPr>
          <w:p w14:paraId="3CE80EE5" w14:textId="77777777" w:rsidR="00FA7115" w:rsidRDefault="00FA7115" w:rsidP="0058308D">
            <w:pPr>
              <w:pStyle w:val="Marginlie"/>
            </w:pPr>
            <w:r>
              <w:t>Zpracovatelský průmysl meziročně zaostával.</w:t>
            </w:r>
          </w:p>
        </w:tc>
        <w:tc>
          <w:tcPr>
            <w:tcW w:w="210" w:type="dxa"/>
            <w:shd w:val="clear" w:color="auto" w:fill="auto"/>
            <w:tcMar>
              <w:left w:w="0" w:type="dxa"/>
            </w:tcMar>
          </w:tcPr>
          <w:p w14:paraId="2D9033EB" w14:textId="77777777" w:rsidR="00FA7115" w:rsidRDefault="00FA7115" w:rsidP="0058308D">
            <w:pPr>
              <w:pStyle w:val="Textpoznpodarou"/>
              <w:jc w:val="both"/>
              <w:rPr>
                <w:spacing w:val="-4"/>
              </w:rPr>
            </w:pPr>
          </w:p>
        </w:tc>
        <w:tc>
          <w:tcPr>
            <w:tcW w:w="7623" w:type="dxa"/>
            <w:shd w:val="clear" w:color="auto" w:fill="auto"/>
            <w:tcMar>
              <w:left w:w="0" w:type="dxa"/>
            </w:tcMar>
          </w:tcPr>
          <w:p w14:paraId="10249837" w14:textId="77777777" w:rsidR="00FA7115" w:rsidRDefault="00FA7115" w:rsidP="0058308D">
            <w:pPr>
              <w:spacing w:after="0"/>
            </w:pPr>
            <w:r>
              <w:t>Hrubá přidaná hodnota ve 3. čtvrtletí meziročně vzrostla o 1,0 %. Nejvíce rostla HPH v peněžnictví a pojišťovnictví (3,2 %). Posilující domácí spotřeba se projevila zvýšením HPH v uskupení obchod, doprava, ubytování a pohostinství (2,6 %) a v ostatních činnostech (2,6 %). Mírně se zvyšoval také výkon v oblasti v</w:t>
            </w:r>
            <w:r w:rsidRPr="00AC0203">
              <w:t>eřejn</w:t>
            </w:r>
            <w:r>
              <w:t>é správy a obrany</w:t>
            </w:r>
            <w:r w:rsidRPr="00AC0203">
              <w:t>, vzdělávání, zdravotní a sociální péč</w:t>
            </w:r>
            <w:r>
              <w:t>e (1,0 %), v profesních, vědeckých, technických a administrativních činnostech (0,8 %) a v činnostech v oblasti nemovitostí (0,5 %). Hrubá přidaná hodnota ve zpracovatelském průmyslu i v průmyslu jako celku meziročně zaostávala o 0,1 % a stejně na tom bylo stavebnictví. Nejhlouběji meziročně klesla HPH v zemědělství, lesnictví a rybářství (−1,8 %).</w:t>
            </w:r>
          </w:p>
        </w:tc>
      </w:tr>
      <w:bookmarkEnd w:id="0"/>
      <w:bookmarkEnd w:id="1"/>
      <w:bookmarkEnd w:id="2"/>
    </w:tbl>
    <w:p w14:paraId="2143296F" w14:textId="0998AD84" w:rsidR="00A50D73" w:rsidRDefault="00A50D73" w:rsidP="00973C8A"/>
    <w:sectPr w:rsidR="00A50D73" w:rsidSect="00973C8A">
      <w:headerReference w:type="even" r:id="rId14"/>
      <w:headerReference w:type="default" r:id="rId15"/>
      <w:footerReference w:type="even" r:id="rId16"/>
      <w:footerReference w:type="default" r:id="rId17"/>
      <w:pgSz w:w="11906" w:h="16838" w:code="9"/>
      <w:pgMar w:top="1134" w:right="1134" w:bottom="1418" w:left="1134" w:header="680" w:footer="680" w:gutter="0"/>
      <w:pgNumType w:start="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32EF3C" w14:textId="77777777" w:rsidR="00DC48F1" w:rsidRDefault="00DC48F1" w:rsidP="00E71A58">
      <w:r>
        <w:separator/>
      </w:r>
    </w:p>
  </w:endnote>
  <w:endnote w:type="continuationSeparator" w:id="0">
    <w:p w14:paraId="70B7E2B6" w14:textId="77777777" w:rsidR="00DC48F1" w:rsidRDefault="00DC48F1"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32988" w14:textId="5DF6D698" w:rsidR="009855E1" w:rsidRPr="00932443" w:rsidRDefault="009855E1" w:rsidP="00A418BC">
    <w:pPr>
      <w:pStyle w:val="Zpat"/>
      <w:rPr>
        <w:szCs w:val="16"/>
      </w:rPr>
    </w:pPr>
    <w:r>
      <w:rPr>
        <w:szCs w:val="16"/>
        <w:lang w:eastAsia="cs-CZ"/>
      </w:rPr>
      <w:drawing>
        <wp:anchor distT="0" distB="0" distL="114300" distR="114300" simplePos="0" relativeHeight="251658240" behindDoc="0" locked="0" layoutInCell="1" allowOverlap="1" wp14:anchorId="2143298A" wp14:editId="2143298B">
          <wp:simplePos x="0" y="0"/>
          <wp:positionH relativeFrom="column">
            <wp:align>right</wp:align>
          </wp:positionH>
          <wp:positionV relativeFrom="paragraph">
            <wp:posOffset>-64770</wp:posOffset>
          </wp:positionV>
          <wp:extent cx="428625" cy="201295"/>
          <wp:effectExtent l="0" t="0" r="3175" b="1905"/>
          <wp:wrapNone/>
          <wp:docPr id="21" name="Picture 15" descr="CSU RGB CZ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SU RGB CZ logo-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2012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2443">
      <w:rPr>
        <w:szCs w:val="16"/>
      </w:rPr>
      <w:fldChar w:fldCharType="begin"/>
    </w:r>
    <w:r w:rsidRPr="00932443">
      <w:rPr>
        <w:szCs w:val="16"/>
      </w:rPr>
      <w:instrText>PAGE   \* MERGEFORMAT</w:instrText>
    </w:r>
    <w:r w:rsidRPr="00932443">
      <w:rPr>
        <w:szCs w:val="16"/>
      </w:rPr>
      <w:fldChar w:fldCharType="separate"/>
    </w:r>
    <w:r w:rsidR="00F04854">
      <w:rPr>
        <w:szCs w:val="16"/>
      </w:rPr>
      <w:t>6</w:t>
    </w:r>
    <w:r w:rsidRPr="00932443">
      <w:rPr>
        <w:szCs w:val="16"/>
      </w:rPr>
      <w:fldChar w:fldCharType="end"/>
    </w:r>
    <w:r w:rsidRPr="00932443">
      <w:rPr>
        <w:szCs w:val="16"/>
      </w:rPr>
      <w:tab/>
    </w:r>
    <w:r>
      <w:rPr>
        <w:szCs w:val="16"/>
      </w:rPr>
      <w:t>1. až 3. čtvrtletí 2024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32989" w14:textId="72B1BA91" w:rsidR="009855E1" w:rsidRPr="00932443" w:rsidRDefault="009855E1" w:rsidP="00A418BC">
    <w:pPr>
      <w:pStyle w:val="Zpat"/>
      <w:rPr>
        <w:szCs w:val="16"/>
      </w:rPr>
    </w:pPr>
    <w:r>
      <w:rPr>
        <w:szCs w:val="16"/>
        <w:lang w:eastAsia="cs-CZ"/>
      </w:rPr>
      <w:drawing>
        <wp:anchor distT="0" distB="0" distL="114300" distR="114300" simplePos="0" relativeHeight="251657216" behindDoc="0" locked="0" layoutInCell="1" allowOverlap="1" wp14:anchorId="2143298C" wp14:editId="2143298D">
          <wp:simplePos x="0" y="0"/>
          <wp:positionH relativeFrom="column">
            <wp:align>left</wp:align>
          </wp:positionH>
          <wp:positionV relativeFrom="paragraph">
            <wp:posOffset>-122555</wp:posOffset>
          </wp:positionV>
          <wp:extent cx="510540" cy="272415"/>
          <wp:effectExtent l="0" t="0" r="0" b="6985"/>
          <wp:wrapNone/>
          <wp:docPr id="22" name="Picture 16" descr="CSU RGB CZ 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SU RGB CZ logo-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2724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2443">
      <w:rPr>
        <w:szCs w:val="16"/>
      </w:rPr>
      <w:tab/>
    </w:r>
    <w:r>
      <w:rPr>
        <w:szCs w:val="16"/>
      </w:rPr>
      <w:t>1. až 3.čtvrtletí 2024</w:t>
    </w:r>
    <w:r w:rsidRPr="00932443">
      <w:rPr>
        <w:szCs w:val="16"/>
      </w:rPr>
      <w:tab/>
    </w:r>
    <w:r w:rsidRPr="00932443">
      <w:rPr>
        <w:rStyle w:val="ZpatChar"/>
        <w:szCs w:val="16"/>
      </w:rPr>
      <w:fldChar w:fldCharType="begin"/>
    </w:r>
    <w:r w:rsidRPr="00932443">
      <w:rPr>
        <w:rStyle w:val="ZpatChar"/>
        <w:szCs w:val="16"/>
      </w:rPr>
      <w:instrText>PAGE   \* MERGEFORMAT</w:instrText>
    </w:r>
    <w:r w:rsidRPr="00932443">
      <w:rPr>
        <w:rStyle w:val="ZpatChar"/>
        <w:szCs w:val="16"/>
      </w:rPr>
      <w:fldChar w:fldCharType="separate"/>
    </w:r>
    <w:r w:rsidR="00F04854">
      <w:rPr>
        <w:rStyle w:val="ZpatChar"/>
        <w:szCs w:val="16"/>
      </w:rPr>
      <w:t>7</w:t>
    </w:r>
    <w:r w:rsidRPr="00932443">
      <w:rPr>
        <w:rStyle w:val="ZpatChar"/>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70D8F6" w14:textId="77777777" w:rsidR="00DC48F1" w:rsidRDefault="00DC48F1" w:rsidP="00EA4302">
      <w:pPr>
        <w:spacing w:after="0"/>
      </w:pPr>
      <w:r>
        <w:separator/>
      </w:r>
    </w:p>
  </w:footnote>
  <w:footnote w:type="continuationSeparator" w:id="0">
    <w:p w14:paraId="70CDBF0C" w14:textId="77777777" w:rsidR="00DC48F1" w:rsidRDefault="00DC48F1" w:rsidP="00E71A58">
      <w:r>
        <w:continuationSeparator/>
      </w:r>
    </w:p>
  </w:footnote>
  <w:footnote w:id="1">
    <w:p w14:paraId="032EB70C" w14:textId="77777777" w:rsidR="009855E1" w:rsidRPr="000348AF" w:rsidRDefault="009855E1" w:rsidP="00FA7115">
      <w:pPr>
        <w:pStyle w:val="Textpoznpodarou"/>
        <w:rPr>
          <w:sz w:val="16"/>
          <w:szCs w:val="16"/>
        </w:rPr>
      </w:pPr>
      <w:r w:rsidRPr="000348AF">
        <w:rPr>
          <w:rStyle w:val="Znakapoznpodarou"/>
          <w:sz w:val="16"/>
          <w:szCs w:val="16"/>
        </w:rPr>
        <w:footnoteRef/>
      </w:r>
      <w:r w:rsidRPr="000348AF">
        <w:rPr>
          <w:sz w:val="16"/>
          <w:szCs w:val="16"/>
        </w:rPr>
        <w:t xml:space="preserve"> Vývoj HDP, hrubé přidané hodnoty a jejich složek je vyjádřen prostřednictvím objemových indexů (tj. očištěn o vliv cen) a po očištění o sezónní a kalendářní vlivy. Údaje jsou platné k</w:t>
      </w:r>
      <w:r>
        <w:rPr>
          <w:sz w:val="16"/>
          <w:szCs w:val="16"/>
        </w:rPr>
        <w:t xml:space="preserve"> 29. 11. </w:t>
      </w:r>
      <w:r w:rsidRPr="000348AF">
        <w:rPr>
          <w:sz w:val="16"/>
          <w:szCs w:val="16"/>
        </w:rPr>
        <w:t>202</w:t>
      </w:r>
      <w:r>
        <w:rPr>
          <w:sz w:val="16"/>
          <w:szCs w:val="16"/>
        </w:rPr>
        <w:t>4</w:t>
      </w:r>
      <w:r w:rsidRPr="000348AF">
        <w:rPr>
          <w:sz w:val="16"/>
          <w:szCs w:val="16"/>
        </w:rPr>
        <w:t>.</w:t>
      </w:r>
    </w:p>
  </w:footnote>
  <w:footnote w:id="2">
    <w:p w14:paraId="3230FAFC" w14:textId="77777777" w:rsidR="009855E1" w:rsidRDefault="009855E1" w:rsidP="00FA7115">
      <w:pPr>
        <w:pStyle w:val="Textpoznpodarou"/>
      </w:pPr>
      <w:r w:rsidRPr="009C6EA8">
        <w:rPr>
          <w:rStyle w:val="Znakapoznpodarou"/>
          <w:sz w:val="16"/>
          <w:szCs w:val="16"/>
        </w:rPr>
        <w:footnoteRef/>
      </w:r>
      <w:r w:rsidRPr="009C6EA8">
        <w:rPr>
          <w:sz w:val="16"/>
          <w:szCs w:val="16"/>
        </w:rPr>
        <w:t xml:space="preserve"> </w:t>
      </w:r>
      <w:r>
        <w:rPr>
          <w:sz w:val="16"/>
          <w:szCs w:val="16"/>
        </w:rPr>
        <w:t>Zaměstnanost v</w:t>
      </w:r>
      <w:r w:rsidRPr="009C6EA8">
        <w:rPr>
          <w:sz w:val="16"/>
          <w:szCs w:val="16"/>
        </w:rPr>
        <w:t> pojetí národních účtů</w:t>
      </w:r>
      <w:r>
        <w:rPr>
          <w:sz w:val="16"/>
          <w:szCs w:val="16"/>
        </w:rPr>
        <w:t xml:space="preserve"> (osoby)</w:t>
      </w:r>
      <w:r w:rsidRPr="009C6EA8">
        <w:rPr>
          <w:sz w:val="16"/>
          <w:szCs w:val="16"/>
        </w:rPr>
        <w:t xml:space="preserve">, </w:t>
      </w:r>
      <w:r>
        <w:rPr>
          <w:sz w:val="16"/>
          <w:szCs w:val="16"/>
        </w:rPr>
        <w:t xml:space="preserve">údaj je </w:t>
      </w:r>
      <w:r w:rsidRPr="009C6EA8">
        <w:rPr>
          <w:sz w:val="16"/>
          <w:szCs w:val="16"/>
        </w:rPr>
        <w:t>sezónně očištěn</w:t>
      </w:r>
      <w:r w:rsidRPr="00004BA8">
        <w:rPr>
          <w:sz w:val="16"/>
        </w:rPr>
        <w:t>.</w:t>
      </w:r>
    </w:p>
  </w:footnote>
  <w:footnote w:id="3">
    <w:p w14:paraId="1C197529" w14:textId="77777777" w:rsidR="009855E1" w:rsidRPr="005F75B1" w:rsidRDefault="009855E1" w:rsidP="00FA7115">
      <w:pPr>
        <w:pStyle w:val="Textpoznpodarou"/>
        <w:rPr>
          <w:sz w:val="16"/>
          <w:szCs w:val="16"/>
        </w:rPr>
      </w:pPr>
      <w:r w:rsidRPr="005F75B1">
        <w:rPr>
          <w:rStyle w:val="Znakapoznpodarou"/>
          <w:sz w:val="16"/>
          <w:szCs w:val="16"/>
        </w:rPr>
        <w:footnoteRef/>
      </w:r>
      <w:r w:rsidRPr="005F75B1">
        <w:rPr>
          <w:sz w:val="16"/>
          <w:szCs w:val="16"/>
        </w:rPr>
        <w:t xml:space="preserve"> Do reálného vyjádření převedeno s pomocí deflátoru spotřeby domácností.</w:t>
      </w:r>
    </w:p>
  </w:footnote>
  <w:footnote w:id="4">
    <w:p w14:paraId="17B067AF" w14:textId="77777777" w:rsidR="009855E1" w:rsidRPr="0053191D" w:rsidRDefault="009855E1" w:rsidP="00FA7115">
      <w:pPr>
        <w:pStyle w:val="Textpoznpodarou"/>
        <w:rPr>
          <w:sz w:val="16"/>
          <w:szCs w:val="16"/>
        </w:rPr>
      </w:pPr>
      <w:r w:rsidRPr="0053191D">
        <w:rPr>
          <w:rStyle w:val="Znakapoznpodarou"/>
          <w:sz w:val="16"/>
          <w:szCs w:val="16"/>
        </w:rPr>
        <w:footnoteRef/>
      </w:r>
      <w:r w:rsidRPr="0053191D">
        <w:rPr>
          <w:sz w:val="16"/>
          <w:szCs w:val="16"/>
        </w:rPr>
        <w:t xml:space="preserve"> Tato sekce zahrnuje činnosti organizací sdružujících osoby za účelem prosazování společných zájmů, opravy počítačů a výrobků pro osobní potřebu a převážně pro domácnost a řadu jiných osobních služeb</w:t>
      </w:r>
      <w:r>
        <w:rPr>
          <w:sz w:val="16"/>
          <w:szCs w:val="16"/>
        </w:rPr>
        <w:t xml:space="preserve"> (kosmetické, kadeřnické apod.).</w:t>
      </w:r>
    </w:p>
  </w:footnote>
  <w:footnote w:id="5">
    <w:p w14:paraId="65866A7B" w14:textId="77777777" w:rsidR="009855E1" w:rsidRPr="009C6EA8" w:rsidRDefault="009855E1" w:rsidP="00FA7115">
      <w:pPr>
        <w:pStyle w:val="Textpoznpodarou"/>
        <w:rPr>
          <w:sz w:val="16"/>
          <w:szCs w:val="16"/>
        </w:rPr>
      </w:pPr>
      <w:r w:rsidRPr="009C6EA8">
        <w:rPr>
          <w:rStyle w:val="Znakapoznpodarou"/>
          <w:sz w:val="16"/>
          <w:szCs w:val="16"/>
        </w:rPr>
        <w:footnoteRef/>
      </w:r>
      <w:r w:rsidRPr="009C6EA8">
        <w:rPr>
          <w:sz w:val="16"/>
          <w:szCs w:val="16"/>
        </w:rPr>
        <w:t xml:space="preserve"> Příspěvky ke změně HDP po vyloučení dovozu pro konečné užití.</w:t>
      </w:r>
    </w:p>
  </w:footnote>
  <w:footnote w:id="6">
    <w:p w14:paraId="70AFDC94" w14:textId="77777777" w:rsidR="009855E1" w:rsidRPr="00954992" w:rsidRDefault="009855E1" w:rsidP="00FA7115">
      <w:pPr>
        <w:pStyle w:val="Textpoznpodarou"/>
        <w:rPr>
          <w:sz w:val="16"/>
          <w:szCs w:val="16"/>
        </w:rPr>
      </w:pPr>
      <w:r w:rsidRPr="00954992">
        <w:rPr>
          <w:rStyle w:val="Znakapoznpodarou"/>
          <w:sz w:val="16"/>
          <w:szCs w:val="16"/>
        </w:rPr>
        <w:footnoteRef/>
      </w:r>
      <w:r w:rsidRPr="00954992">
        <w:rPr>
          <w:sz w:val="16"/>
          <w:szCs w:val="16"/>
        </w:rPr>
        <w:t xml:space="preserve"> Údaje o</w:t>
      </w:r>
      <w:r>
        <w:rPr>
          <w:sz w:val="16"/>
          <w:szCs w:val="16"/>
        </w:rPr>
        <w:t> </w:t>
      </w:r>
      <w:r w:rsidRPr="00954992">
        <w:rPr>
          <w:sz w:val="16"/>
          <w:szCs w:val="16"/>
        </w:rPr>
        <w:t>spotřebě dle trvanlivosti jsou v domácím pojetí</w:t>
      </w:r>
      <w:r>
        <w:rPr>
          <w:sz w:val="16"/>
          <w:szCs w:val="16"/>
        </w:rPr>
        <w:t>.</w:t>
      </w:r>
    </w:p>
  </w:footnote>
  <w:footnote w:id="7">
    <w:p w14:paraId="25AE0930" w14:textId="77777777" w:rsidR="009855E1" w:rsidRPr="004831F6" w:rsidRDefault="009855E1" w:rsidP="00FA7115">
      <w:pPr>
        <w:pStyle w:val="Textpoznpodarou"/>
        <w:rPr>
          <w:sz w:val="16"/>
          <w:szCs w:val="16"/>
        </w:rPr>
      </w:pPr>
      <w:r w:rsidRPr="004831F6">
        <w:rPr>
          <w:rStyle w:val="Znakapoznpodarou"/>
          <w:sz w:val="16"/>
          <w:szCs w:val="16"/>
        </w:rPr>
        <w:footnoteRef/>
      </w:r>
      <w:r w:rsidRPr="004831F6">
        <w:rPr>
          <w:sz w:val="16"/>
          <w:szCs w:val="16"/>
        </w:rPr>
        <w:t xml:space="preserve"> Změna zásob</w:t>
      </w:r>
      <w:r>
        <w:rPr>
          <w:sz w:val="16"/>
          <w:szCs w:val="16"/>
        </w:rPr>
        <w:t xml:space="preserve"> (v běžných cenách a sezónně neočištěná)</w:t>
      </w:r>
      <w:r w:rsidRPr="004831F6">
        <w:rPr>
          <w:sz w:val="16"/>
          <w:szCs w:val="16"/>
        </w:rPr>
        <w:t xml:space="preserve"> </w:t>
      </w:r>
      <w:r>
        <w:rPr>
          <w:sz w:val="16"/>
          <w:szCs w:val="16"/>
        </w:rPr>
        <w:t xml:space="preserve">ve 3. čtvrtletí 2024 dosáhla 63,6 mld. korun a v roce 2023 to bylo 75,9 mld. </w:t>
      </w:r>
    </w:p>
  </w:footnote>
  <w:footnote w:id="8">
    <w:p w14:paraId="20A32DD0" w14:textId="77777777" w:rsidR="009855E1" w:rsidRPr="00167B30" w:rsidRDefault="009855E1" w:rsidP="00FA7115">
      <w:pPr>
        <w:pStyle w:val="Textpoznpodarou"/>
        <w:rPr>
          <w:sz w:val="16"/>
          <w:szCs w:val="16"/>
        </w:rPr>
      </w:pPr>
      <w:r w:rsidRPr="00167B30">
        <w:rPr>
          <w:rStyle w:val="Znakapoznpodarou"/>
          <w:sz w:val="16"/>
          <w:szCs w:val="16"/>
        </w:rPr>
        <w:footnoteRef/>
      </w:r>
      <w:r w:rsidRPr="00167B30">
        <w:rPr>
          <w:sz w:val="16"/>
          <w:szCs w:val="16"/>
        </w:rPr>
        <w:t xml:space="preserve"> Podle metodiky čtvrtletních národních účtů (vývoz a</w:t>
      </w:r>
      <w:r>
        <w:rPr>
          <w:sz w:val="16"/>
          <w:szCs w:val="16"/>
        </w:rPr>
        <w:t> </w:t>
      </w:r>
      <w:r w:rsidRPr="00167B30">
        <w:rPr>
          <w:sz w:val="16"/>
          <w:szCs w:val="16"/>
        </w:rPr>
        <w:t>dovoz v ocenění FOB/FOB)</w:t>
      </w:r>
      <w:r>
        <w:rPr>
          <w:sz w:val="16"/>
          <w:szCs w:val="16"/>
        </w:rPr>
        <w:t xml:space="preserve">. Bilance zahraničního obchodu v běžných cenách </w:t>
      </w:r>
      <w:r>
        <w:rPr>
          <w:sz w:val="16"/>
          <w:szCs w:val="16"/>
        </w:rPr>
        <w:br/>
        <w:t>a po sezónním očištění.</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32986" w14:textId="3C11EE3B" w:rsidR="009855E1" w:rsidRPr="00C27E4F" w:rsidRDefault="009855E1" w:rsidP="00C27E4F">
    <w:pPr>
      <w:pStyle w:val="Zhlav"/>
    </w:pPr>
    <w:r>
      <w:t>Vývoj ekonomiky České republiky</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32987" w14:textId="4F78F164" w:rsidR="009855E1" w:rsidRPr="006F5416" w:rsidRDefault="009855E1" w:rsidP="00937AE2">
    <w:pPr>
      <w:pStyle w:val="Zhlav"/>
    </w:pPr>
    <w:r>
      <w:t>Vývoj ekonomiky České republiky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FAAF"/>
      </v:shape>
    </w:pict>
  </w:numPicBullet>
  <w:abstractNum w:abstractNumId="0" w15:restartNumberingAfterBreak="0">
    <w:nsid w:val="FFFFFF7C"/>
    <w:multiLevelType w:val="singleLevel"/>
    <w:tmpl w:val="49CEEC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C69A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7A1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623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C8EE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B35353"/>
    <w:multiLevelType w:val="multilevel"/>
    <w:tmpl w:val="1C0E9EAE"/>
    <w:name w:val="Analyza"/>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i w:val="0"/>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pStyle w:val="Nadpis5"/>
      <w:suff w:val="space"/>
      <w:lvlText w:val="%1.%2.%3.%4.%5"/>
      <w:lvlJc w:val="left"/>
      <w:pPr>
        <w:ind w:left="1008" w:hanging="1008"/>
      </w:pPr>
      <w:rPr>
        <w:rFonts w:hint="default"/>
      </w:rPr>
    </w:lvl>
    <w:lvl w:ilvl="5">
      <w:start w:val="1"/>
      <w:numFmt w:val="decimal"/>
      <w:pStyle w:val="Nadpis6"/>
      <w:suff w:val="space"/>
      <w:lvlText w:val="%1.%2.%3.%4.%5.%6"/>
      <w:lvlJc w:val="left"/>
      <w:pPr>
        <w:ind w:left="1152" w:hanging="1152"/>
      </w:pPr>
      <w:rPr>
        <w:rFonts w:hint="default"/>
      </w:rPr>
    </w:lvl>
    <w:lvl w:ilvl="6">
      <w:start w:val="1"/>
      <w:numFmt w:val="decimal"/>
      <w:pStyle w:val="Nadpis7"/>
      <w:suff w:val="space"/>
      <w:lvlText w:val="%1.%2.%3.%4.%5.%6.%7"/>
      <w:lvlJc w:val="left"/>
      <w:pPr>
        <w:ind w:left="1296" w:hanging="1296"/>
      </w:pPr>
      <w:rPr>
        <w:rFonts w:hint="default"/>
      </w:rPr>
    </w:lvl>
    <w:lvl w:ilvl="7">
      <w:start w:val="1"/>
      <w:numFmt w:val="decimal"/>
      <w:pStyle w:val="Nadpis8"/>
      <w:suff w:val="space"/>
      <w:lvlText w:val="%1.%2.%3.%4.%5.%6.%7.%8"/>
      <w:lvlJc w:val="left"/>
      <w:pPr>
        <w:ind w:left="1440" w:hanging="1440"/>
      </w:pPr>
      <w:rPr>
        <w:rFonts w:hint="default"/>
      </w:rPr>
    </w:lvl>
    <w:lvl w:ilvl="8">
      <w:start w:val="1"/>
      <w:numFmt w:val="decimal"/>
      <w:pStyle w:val="Nadpis9"/>
      <w:suff w:val="space"/>
      <w:lvlText w:val="%1.%2.%3.%4.%5.%6.%7.%8.%9"/>
      <w:lvlJc w:val="left"/>
      <w:pPr>
        <w:ind w:left="1584" w:hanging="1584"/>
      </w:pPr>
      <w:rPr>
        <w:rFonts w:hint="default"/>
      </w:rPr>
    </w:lvl>
  </w:abstractNum>
  <w:abstractNum w:abstractNumId="11" w15:restartNumberingAfterBreak="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8352333"/>
    <w:multiLevelType w:val="multilevel"/>
    <w:tmpl w:val="D0ACFA4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2A5A7A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C2420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D106EA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11355C0"/>
    <w:multiLevelType w:val="multilevel"/>
    <w:tmpl w:val="697E8BE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39914012"/>
    <w:multiLevelType w:val="multilevel"/>
    <w:tmpl w:val="F380FB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ADA4287"/>
    <w:multiLevelType w:val="multilevel"/>
    <w:tmpl w:val="1C0E9EAE"/>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i w:val="0"/>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20" w15:restartNumberingAfterBreak="0">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E490F3B"/>
    <w:multiLevelType w:val="hybridMultilevel"/>
    <w:tmpl w:val="D64CB604"/>
    <w:lvl w:ilvl="0" w:tplc="67AC8A1C">
      <w:start w:val="1"/>
      <w:numFmt w:val="bullet"/>
      <w:lvlText w:val=""/>
      <w:lvlJc w:val="left"/>
      <w:pPr>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CB210F"/>
    <w:multiLevelType w:val="multilevel"/>
    <w:tmpl w:val="D64CB604"/>
    <w:lvl w:ilvl="0">
      <w:start w:val="1"/>
      <w:numFmt w:val="bullet"/>
      <w:lvlText w:val=""/>
      <w:lvlJc w:val="left"/>
      <w:pPr>
        <w:ind w:left="357" w:hanging="35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9B048D2"/>
    <w:multiLevelType w:val="hybridMultilevel"/>
    <w:tmpl w:val="D2A0FC6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87747AF"/>
    <w:multiLevelType w:val="hybridMultilevel"/>
    <w:tmpl w:val="76204D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B651B2D"/>
    <w:multiLevelType w:val="hybridMultilevel"/>
    <w:tmpl w:val="054EEC40"/>
    <w:lvl w:ilvl="0" w:tplc="B01A5632">
      <w:start w:val="1"/>
      <w:numFmt w:val="bullet"/>
      <w:pStyle w:val="Normalodrka"/>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1"/>
  </w:num>
  <w:num w:numId="13">
    <w:abstractNumId w:val="20"/>
  </w:num>
  <w:num w:numId="14">
    <w:abstractNumId w:val="10"/>
  </w:num>
  <w:num w:numId="15">
    <w:abstractNumId w:val="16"/>
  </w:num>
  <w:num w:numId="16">
    <w:abstractNumId w:val="12"/>
  </w:num>
  <w:num w:numId="17">
    <w:abstractNumId w:val="21"/>
  </w:num>
  <w:num w:numId="18">
    <w:abstractNumId w:val="17"/>
  </w:num>
  <w:num w:numId="19">
    <w:abstractNumId w:val="22"/>
  </w:num>
  <w:num w:numId="20">
    <w:abstractNumId w:val="25"/>
  </w:num>
  <w:num w:numId="21">
    <w:abstractNumId w:val="19"/>
  </w:num>
  <w:num w:numId="22">
    <w:abstractNumId w:val="15"/>
  </w:num>
  <w:num w:numId="23">
    <w:abstractNumId w:val="13"/>
  </w:num>
  <w:num w:numId="24">
    <w:abstractNumId w:val="14"/>
  </w:num>
  <w:num w:numId="25">
    <w:abstractNumId w:val="23"/>
  </w:num>
  <w:num w:numId="26">
    <w:abstractNumId w:val="24"/>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evenAndOddHeaders/>
  <w:drawingGridHorizontalSpacing w:val="110"/>
  <w:displayHorizontalDrawingGridEvery w:val="2"/>
  <w:characterSpacingControl w:val="doNotCompress"/>
  <w:hdrShapeDefaults>
    <o:shapedefaults v:ext="edit" spidmax="4097">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062"/>
    <w:rsid w:val="0000209D"/>
    <w:rsid w:val="00004D5A"/>
    <w:rsid w:val="000056D5"/>
    <w:rsid w:val="00006ABD"/>
    <w:rsid w:val="0000767A"/>
    <w:rsid w:val="00010256"/>
    <w:rsid w:val="00010702"/>
    <w:rsid w:val="00011912"/>
    <w:rsid w:val="0002195D"/>
    <w:rsid w:val="000234D6"/>
    <w:rsid w:val="00023D29"/>
    <w:rsid w:val="00026389"/>
    <w:rsid w:val="00031AE0"/>
    <w:rsid w:val="000322EF"/>
    <w:rsid w:val="00033FCD"/>
    <w:rsid w:val="00040D10"/>
    <w:rsid w:val="00041CEC"/>
    <w:rsid w:val="0004694F"/>
    <w:rsid w:val="000522E4"/>
    <w:rsid w:val="000610E1"/>
    <w:rsid w:val="00062EC5"/>
    <w:rsid w:val="00062F22"/>
    <w:rsid w:val="000712B3"/>
    <w:rsid w:val="0008263E"/>
    <w:rsid w:val="00082C19"/>
    <w:rsid w:val="00085395"/>
    <w:rsid w:val="00087634"/>
    <w:rsid w:val="00087F2B"/>
    <w:rsid w:val="00095135"/>
    <w:rsid w:val="000974D1"/>
    <w:rsid w:val="0009799E"/>
    <w:rsid w:val="000A1183"/>
    <w:rsid w:val="000A256D"/>
    <w:rsid w:val="000A3A2C"/>
    <w:rsid w:val="000A5265"/>
    <w:rsid w:val="000A57D4"/>
    <w:rsid w:val="000B7C8D"/>
    <w:rsid w:val="000C3408"/>
    <w:rsid w:val="000C6AFD"/>
    <w:rsid w:val="000D5637"/>
    <w:rsid w:val="000E6FBD"/>
    <w:rsid w:val="00100F5C"/>
    <w:rsid w:val="00101CDA"/>
    <w:rsid w:val="00102C41"/>
    <w:rsid w:val="00104C4C"/>
    <w:rsid w:val="00117623"/>
    <w:rsid w:val="0012192F"/>
    <w:rsid w:val="00125D69"/>
    <w:rsid w:val="001405FA"/>
    <w:rsid w:val="001425C3"/>
    <w:rsid w:val="001476BD"/>
    <w:rsid w:val="001612F4"/>
    <w:rsid w:val="0016256B"/>
    <w:rsid w:val="00163793"/>
    <w:rsid w:val="001706D6"/>
    <w:rsid w:val="001714F2"/>
    <w:rsid w:val="00175B9F"/>
    <w:rsid w:val="00181BBC"/>
    <w:rsid w:val="00184B08"/>
    <w:rsid w:val="00185010"/>
    <w:rsid w:val="0019143B"/>
    <w:rsid w:val="001A0487"/>
    <w:rsid w:val="001A552F"/>
    <w:rsid w:val="001B2CA9"/>
    <w:rsid w:val="001B3110"/>
    <w:rsid w:val="001B4729"/>
    <w:rsid w:val="001B6310"/>
    <w:rsid w:val="001B6C09"/>
    <w:rsid w:val="001C05CD"/>
    <w:rsid w:val="001D40D7"/>
    <w:rsid w:val="001D48D4"/>
    <w:rsid w:val="001D68B2"/>
    <w:rsid w:val="001E1C2E"/>
    <w:rsid w:val="001E504C"/>
    <w:rsid w:val="001E6062"/>
    <w:rsid w:val="001F4597"/>
    <w:rsid w:val="00203DA4"/>
    <w:rsid w:val="002118B9"/>
    <w:rsid w:val="00214CF7"/>
    <w:rsid w:val="00217C5B"/>
    <w:rsid w:val="0022139E"/>
    <w:rsid w:val="00222729"/>
    <w:rsid w:val="002252E0"/>
    <w:rsid w:val="002255F6"/>
    <w:rsid w:val="00227850"/>
    <w:rsid w:val="00227A53"/>
    <w:rsid w:val="00230C6E"/>
    <w:rsid w:val="00236443"/>
    <w:rsid w:val="00241B06"/>
    <w:rsid w:val="00242C10"/>
    <w:rsid w:val="002436BA"/>
    <w:rsid w:val="00244A15"/>
    <w:rsid w:val="00247319"/>
    <w:rsid w:val="0024799E"/>
    <w:rsid w:val="00253C0F"/>
    <w:rsid w:val="002558C1"/>
    <w:rsid w:val="00271465"/>
    <w:rsid w:val="0028207A"/>
    <w:rsid w:val="00285412"/>
    <w:rsid w:val="00291640"/>
    <w:rsid w:val="002A16D4"/>
    <w:rsid w:val="002A230C"/>
    <w:rsid w:val="002A66B0"/>
    <w:rsid w:val="002B2299"/>
    <w:rsid w:val="002B4845"/>
    <w:rsid w:val="002C43BD"/>
    <w:rsid w:val="002D0E59"/>
    <w:rsid w:val="002E02A1"/>
    <w:rsid w:val="002E42AC"/>
    <w:rsid w:val="002E4E4C"/>
    <w:rsid w:val="00302ADD"/>
    <w:rsid w:val="00304771"/>
    <w:rsid w:val="0030495D"/>
    <w:rsid w:val="003052D4"/>
    <w:rsid w:val="00306C5B"/>
    <w:rsid w:val="003103E0"/>
    <w:rsid w:val="00314F9F"/>
    <w:rsid w:val="003209D6"/>
    <w:rsid w:val="00321924"/>
    <w:rsid w:val="0032656E"/>
    <w:rsid w:val="00332190"/>
    <w:rsid w:val="0034335E"/>
    <w:rsid w:val="00344668"/>
    <w:rsid w:val="003462D9"/>
    <w:rsid w:val="00360C86"/>
    <w:rsid w:val="00360FBC"/>
    <w:rsid w:val="00362E90"/>
    <w:rsid w:val="00364FA0"/>
    <w:rsid w:val="003657F3"/>
    <w:rsid w:val="0038123E"/>
    <w:rsid w:val="003818DC"/>
    <w:rsid w:val="00384327"/>
    <w:rsid w:val="00385D98"/>
    <w:rsid w:val="003A2B4D"/>
    <w:rsid w:val="003A2D12"/>
    <w:rsid w:val="003A478C"/>
    <w:rsid w:val="003A5525"/>
    <w:rsid w:val="003A6B38"/>
    <w:rsid w:val="003B461F"/>
    <w:rsid w:val="003B5A32"/>
    <w:rsid w:val="003C3490"/>
    <w:rsid w:val="003C6550"/>
    <w:rsid w:val="003C7E62"/>
    <w:rsid w:val="003D6920"/>
    <w:rsid w:val="003E48F2"/>
    <w:rsid w:val="003E4C91"/>
    <w:rsid w:val="003E62A5"/>
    <w:rsid w:val="003F313C"/>
    <w:rsid w:val="003F37FC"/>
    <w:rsid w:val="003F4B2C"/>
    <w:rsid w:val="003F551C"/>
    <w:rsid w:val="003F62B0"/>
    <w:rsid w:val="003F72ED"/>
    <w:rsid w:val="003F7D23"/>
    <w:rsid w:val="00400DF4"/>
    <w:rsid w:val="00407C13"/>
    <w:rsid w:val="0041041D"/>
    <w:rsid w:val="00410638"/>
    <w:rsid w:val="0041501E"/>
    <w:rsid w:val="004159C3"/>
    <w:rsid w:val="00416EB7"/>
    <w:rsid w:val="00432A58"/>
    <w:rsid w:val="00434617"/>
    <w:rsid w:val="00440900"/>
    <w:rsid w:val="00441BF6"/>
    <w:rsid w:val="00443556"/>
    <w:rsid w:val="004441A0"/>
    <w:rsid w:val="004455BA"/>
    <w:rsid w:val="0045078A"/>
    <w:rsid w:val="0045086D"/>
    <w:rsid w:val="00451504"/>
    <w:rsid w:val="00460FB3"/>
    <w:rsid w:val="0046627E"/>
    <w:rsid w:val="00476240"/>
    <w:rsid w:val="00476439"/>
    <w:rsid w:val="0047735C"/>
    <w:rsid w:val="004776BC"/>
    <w:rsid w:val="0048139F"/>
    <w:rsid w:val="00481E40"/>
    <w:rsid w:val="00484ECE"/>
    <w:rsid w:val="00485567"/>
    <w:rsid w:val="004915CB"/>
    <w:rsid w:val="004924DC"/>
    <w:rsid w:val="004A14E4"/>
    <w:rsid w:val="004A3212"/>
    <w:rsid w:val="004A5494"/>
    <w:rsid w:val="004A61C5"/>
    <w:rsid w:val="004A77DF"/>
    <w:rsid w:val="004B1417"/>
    <w:rsid w:val="004B55B7"/>
    <w:rsid w:val="004B5A60"/>
    <w:rsid w:val="004B6468"/>
    <w:rsid w:val="004B7125"/>
    <w:rsid w:val="004C384C"/>
    <w:rsid w:val="004C3867"/>
    <w:rsid w:val="004C4CD0"/>
    <w:rsid w:val="004C70DC"/>
    <w:rsid w:val="004D0211"/>
    <w:rsid w:val="004D0794"/>
    <w:rsid w:val="004D5C93"/>
    <w:rsid w:val="004E7C6B"/>
    <w:rsid w:val="004F06F5"/>
    <w:rsid w:val="004F33A0"/>
    <w:rsid w:val="0050689D"/>
    <w:rsid w:val="005108C0"/>
    <w:rsid w:val="00511873"/>
    <w:rsid w:val="00512A2F"/>
    <w:rsid w:val="00513B7E"/>
    <w:rsid w:val="00515C74"/>
    <w:rsid w:val="0052007E"/>
    <w:rsid w:val="0052337A"/>
    <w:rsid w:val="00525137"/>
    <w:rsid w:val="005251DD"/>
    <w:rsid w:val="00532CE7"/>
    <w:rsid w:val="0053324C"/>
    <w:rsid w:val="00534A28"/>
    <w:rsid w:val="00541508"/>
    <w:rsid w:val="00543498"/>
    <w:rsid w:val="0055599F"/>
    <w:rsid w:val="00556D68"/>
    <w:rsid w:val="00563EB8"/>
    <w:rsid w:val="005647BF"/>
    <w:rsid w:val="00564AF1"/>
    <w:rsid w:val="0057364B"/>
    <w:rsid w:val="00574773"/>
    <w:rsid w:val="0058308D"/>
    <w:rsid w:val="00583FFD"/>
    <w:rsid w:val="005911BE"/>
    <w:rsid w:val="00593152"/>
    <w:rsid w:val="005A10F2"/>
    <w:rsid w:val="005A21E0"/>
    <w:rsid w:val="005A28FF"/>
    <w:rsid w:val="005A3DF8"/>
    <w:rsid w:val="005A5113"/>
    <w:rsid w:val="005A5549"/>
    <w:rsid w:val="005A7038"/>
    <w:rsid w:val="005B121D"/>
    <w:rsid w:val="005C06ED"/>
    <w:rsid w:val="005C2609"/>
    <w:rsid w:val="005D5802"/>
    <w:rsid w:val="005D7119"/>
    <w:rsid w:val="005D7890"/>
    <w:rsid w:val="005E7C78"/>
    <w:rsid w:val="005F18C5"/>
    <w:rsid w:val="005F3EB1"/>
    <w:rsid w:val="005F46D8"/>
    <w:rsid w:val="005F5469"/>
    <w:rsid w:val="00603FF5"/>
    <w:rsid w:val="00604307"/>
    <w:rsid w:val="0060487F"/>
    <w:rsid w:val="00604EAD"/>
    <w:rsid w:val="006104FB"/>
    <w:rsid w:val="00612A2F"/>
    <w:rsid w:val="00616E05"/>
    <w:rsid w:val="00622275"/>
    <w:rsid w:val="00624093"/>
    <w:rsid w:val="00625F8F"/>
    <w:rsid w:val="006350D5"/>
    <w:rsid w:val="006404A7"/>
    <w:rsid w:val="006451E4"/>
    <w:rsid w:val="00645B33"/>
    <w:rsid w:val="006516CB"/>
    <w:rsid w:val="00656FC8"/>
    <w:rsid w:val="00657E87"/>
    <w:rsid w:val="00664803"/>
    <w:rsid w:val="0066504F"/>
    <w:rsid w:val="00665BA4"/>
    <w:rsid w:val="00667AF2"/>
    <w:rsid w:val="006710C9"/>
    <w:rsid w:val="006741AC"/>
    <w:rsid w:val="00674D89"/>
    <w:rsid w:val="00675E37"/>
    <w:rsid w:val="0068174E"/>
    <w:rsid w:val="00681DCE"/>
    <w:rsid w:val="0068260E"/>
    <w:rsid w:val="00695BEF"/>
    <w:rsid w:val="006977F6"/>
    <w:rsid w:val="00697A13"/>
    <w:rsid w:val="006A109C"/>
    <w:rsid w:val="006B0F92"/>
    <w:rsid w:val="006B344A"/>
    <w:rsid w:val="006B78D8"/>
    <w:rsid w:val="006C113F"/>
    <w:rsid w:val="006C123E"/>
    <w:rsid w:val="006C1752"/>
    <w:rsid w:val="006C56D4"/>
    <w:rsid w:val="006C6924"/>
    <w:rsid w:val="006C7CA6"/>
    <w:rsid w:val="006D3E8A"/>
    <w:rsid w:val="006D61F6"/>
    <w:rsid w:val="006E279A"/>
    <w:rsid w:val="006E313B"/>
    <w:rsid w:val="006E7227"/>
    <w:rsid w:val="006F438E"/>
    <w:rsid w:val="006F5416"/>
    <w:rsid w:val="006F7076"/>
    <w:rsid w:val="00705242"/>
    <w:rsid w:val="00706AD4"/>
    <w:rsid w:val="00707150"/>
    <w:rsid w:val="007140BE"/>
    <w:rsid w:val="007211F5"/>
    <w:rsid w:val="00723946"/>
    <w:rsid w:val="007240E2"/>
    <w:rsid w:val="00725BB5"/>
    <w:rsid w:val="00730AE8"/>
    <w:rsid w:val="00730F1B"/>
    <w:rsid w:val="00741493"/>
    <w:rsid w:val="00752180"/>
    <w:rsid w:val="00753CAB"/>
    <w:rsid w:val="00755202"/>
    <w:rsid w:val="00755D3A"/>
    <w:rsid w:val="007578D3"/>
    <w:rsid w:val="007609C6"/>
    <w:rsid w:val="00760EA4"/>
    <w:rsid w:val="0076175D"/>
    <w:rsid w:val="00763B85"/>
    <w:rsid w:val="00764744"/>
    <w:rsid w:val="0076521E"/>
    <w:rsid w:val="007661E9"/>
    <w:rsid w:val="00776169"/>
    <w:rsid w:val="00776527"/>
    <w:rsid w:val="00780EF1"/>
    <w:rsid w:val="00790711"/>
    <w:rsid w:val="00790764"/>
    <w:rsid w:val="0079124F"/>
    <w:rsid w:val="0079453C"/>
    <w:rsid w:val="00794677"/>
    <w:rsid w:val="00797445"/>
    <w:rsid w:val="007A516D"/>
    <w:rsid w:val="007B6689"/>
    <w:rsid w:val="007C6BBD"/>
    <w:rsid w:val="007D40DF"/>
    <w:rsid w:val="007E29B4"/>
    <w:rsid w:val="007E435A"/>
    <w:rsid w:val="007E7E61"/>
    <w:rsid w:val="007E7FCE"/>
    <w:rsid w:val="007F0845"/>
    <w:rsid w:val="007F708D"/>
    <w:rsid w:val="00800216"/>
    <w:rsid w:val="00801E13"/>
    <w:rsid w:val="00807C82"/>
    <w:rsid w:val="00814B15"/>
    <w:rsid w:val="00816905"/>
    <w:rsid w:val="00821777"/>
    <w:rsid w:val="00821FF6"/>
    <w:rsid w:val="00822574"/>
    <w:rsid w:val="00825C4D"/>
    <w:rsid w:val="0083143E"/>
    <w:rsid w:val="00831CDE"/>
    <w:rsid w:val="00834304"/>
    <w:rsid w:val="00834FAA"/>
    <w:rsid w:val="00836086"/>
    <w:rsid w:val="00846121"/>
    <w:rsid w:val="008462A8"/>
    <w:rsid w:val="0084708F"/>
    <w:rsid w:val="008477C8"/>
    <w:rsid w:val="0085114D"/>
    <w:rsid w:val="00852217"/>
    <w:rsid w:val="00855408"/>
    <w:rsid w:val="00856D65"/>
    <w:rsid w:val="00861B41"/>
    <w:rsid w:val="00861BE3"/>
    <w:rsid w:val="00863434"/>
    <w:rsid w:val="00865E4C"/>
    <w:rsid w:val="008701E4"/>
    <w:rsid w:val="00871069"/>
    <w:rsid w:val="00875A32"/>
    <w:rsid w:val="00876086"/>
    <w:rsid w:val="008825B0"/>
    <w:rsid w:val="00884AD6"/>
    <w:rsid w:val="008873D4"/>
    <w:rsid w:val="0089126C"/>
    <w:rsid w:val="0089296D"/>
    <w:rsid w:val="00893E85"/>
    <w:rsid w:val="00894031"/>
    <w:rsid w:val="00895508"/>
    <w:rsid w:val="008A6CB4"/>
    <w:rsid w:val="008B5CF6"/>
    <w:rsid w:val="008B7C02"/>
    <w:rsid w:val="008B7D2B"/>
    <w:rsid w:val="008C0049"/>
    <w:rsid w:val="008C0E88"/>
    <w:rsid w:val="008C53CB"/>
    <w:rsid w:val="008D1E6A"/>
    <w:rsid w:val="008D2A16"/>
    <w:rsid w:val="008E2C57"/>
    <w:rsid w:val="008E31FF"/>
    <w:rsid w:val="008E6F06"/>
    <w:rsid w:val="008E7FC9"/>
    <w:rsid w:val="008F029B"/>
    <w:rsid w:val="008F3FC9"/>
    <w:rsid w:val="008F585B"/>
    <w:rsid w:val="009003A8"/>
    <w:rsid w:val="00902500"/>
    <w:rsid w:val="00902EFF"/>
    <w:rsid w:val="00906401"/>
    <w:rsid w:val="0091155E"/>
    <w:rsid w:val="00912A92"/>
    <w:rsid w:val="0091728D"/>
    <w:rsid w:val="0092180B"/>
    <w:rsid w:val="00921F14"/>
    <w:rsid w:val="009231A3"/>
    <w:rsid w:val="00924AC8"/>
    <w:rsid w:val="0092597A"/>
    <w:rsid w:val="00925E75"/>
    <w:rsid w:val="00930FB1"/>
    <w:rsid w:val="0093139F"/>
    <w:rsid w:val="00932443"/>
    <w:rsid w:val="00937AE2"/>
    <w:rsid w:val="0094427A"/>
    <w:rsid w:val="00945245"/>
    <w:rsid w:val="0095759C"/>
    <w:rsid w:val="009721DB"/>
    <w:rsid w:val="0097239B"/>
    <w:rsid w:val="00973C8A"/>
    <w:rsid w:val="00974923"/>
    <w:rsid w:val="009808F7"/>
    <w:rsid w:val="00980D3D"/>
    <w:rsid w:val="009855E1"/>
    <w:rsid w:val="00987A30"/>
    <w:rsid w:val="00992CF3"/>
    <w:rsid w:val="00994868"/>
    <w:rsid w:val="009968D6"/>
    <w:rsid w:val="009A1CAB"/>
    <w:rsid w:val="009A60D1"/>
    <w:rsid w:val="009B6FD3"/>
    <w:rsid w:val="009C1750"/>
    <w:rsid w:val="009C2E29"/>
    <w:rsid w:val="009C554B"/>
    <w:rsid w:val="009C719E"/>
    <w:rsid w:val="009C7A10"/>
    <w:rsid w:val="009D3ACD"/>
    <w:rsid w:val="009E5273"/>
    <w:rsid w:val="009E5DDB"/>
    <w:rsid w:val="009F4CA7"/>
    <w:rsid w:val="00A10D66"/>
    <w:rsid w:val="00A14114"/>
    <w:rsid w:val="00A1537C"/>
    <w:rsid w:val="00A16413"/>
    <w:rsid w:val="00A16E1D"/>
    <w:rsid w:val="00A17D5B"/>
    <w:rsid w:val="00A23E43"/>
    <w:rsid w:val="00A25216"/>
    <w:rsid w:val="00A30F65"/>
    <w:rsid w:val="00A33A89"/>
    <w:rsid w:val="00A40EAC"/>
    <w:rsid w:val="00A418BC"/>
    <w:rsid w:val="00A46DE0"/>
    <w:rsid w:val="00A47FCA"/>
    <w:rsid w:val="00A50D73"/>
    <w:rsid w:val="00A52CAD"/>
    <w:rsid w:val="00A53FC7"/>
    <w:rsid w:val="00A62CE1"/>
    <w:rsid w:val="00A668A3"/>
    <w:rsid w:val="00A6741E"/>
    <w:rsid w:val="00A75E40"/>
    <w:rsid w:val="00A77D1D"/>
    <w:rsid w:val="00A84A6A"/>
    <w:rsid w:val="00A857C0"/>
    <w:rsid w:val="00A90FED"/>
    <w:rsid w:val="00AA2996"/>
    <w:rsid w:val="00AA52BF"/>
    <w:rsid w:val="00AA559A"/>
    <w:rsid w:val="00AB2AF1"/>
    <w:rsid w:val="00AB535B"/>
    <w:rsid w:val="00AC45BD"/>
    <w:rsid w:val="00AD168E"/>
    <w:rsid w:val="00AD306C"/>
    <w:rsid w:val="00AD4F16"/>
    <w:rsid w:val="00AD68C4"/>
    <w:rsid w:val="00AE09B3"/>
    <w:rsid w:val="00AE0ED3"/>
    <w:rsid w:val="00AE1A83"/>
    <w:rsid w:val="00AE31A7"/>
    <w:rsid w:val="00AF6128"/>
    <w:rsid w:val="00B00913"/>
    <w:rsid w:val="00B01593"/>
    <w:rsid w:val="00B023F2"/>
    <w:rsid w:val="00B04705"/>
    <w:rsid w:val="00B07BBB"/>
    <w:rsid w:val="00B10A4D"/>
    <w:rsid w:val="00B14BC1"/>
    <w:rsid w:val="00B17E71"/>
    <w:rsid w:val="00B17FDE"/>
    <w:rsid w:val="00B2379C"/>
    <w:rsid w:val="00B25189"/>
    <w:rsid w:val="00B2687D"/>
    <w:rsid w:val="00B32DDB"/>
    <w:rsid w:val="00B34528"/>
    <w:rsid w:val="00B34CC9"/>
    <w:rsid w:val="00B402FC"/>
    <w:rsid w:val="00B439DA"/>
    <w:rsid w:val="00B46604"/>
    <w:rsid w:val="00B530CD"/>
    <w:rsid w:val="00B55F5E"/>
    <w:rsid w:val="00B5752E"/>
    <w:rsid w:val="00B63A11"/>
    <w:rsid w:val="00B63B6A"/>
    <w:rsid w:val="00B64C24"/>
    <w:rsid w:val="00B6608F"/>
    <w:rsid w:val="00B679FB"/>
    <w:rsid w:val="00B71EF7"/>
    <w:rsid w:val="00B76D1E"/>
    <w:rsid w:val="00B8028A"/>
    <w:rsid w:val="00B80EC6"/>
    <w:rsid w:val="00B84CF6"/>
    <w:rsid w:val="00B92D1D"/>
    <w:rsid w:val="00B938C5"/>
    <w:rsid w:val="00B95940"/>
    <w:rsid w:val="00BA6C2B"/>
    <w:rsid w:val="00BB46F3"/>
    <w:rsid w:val="00BB4CB1"/>
    <w:rsid w:val="00BB4F98"/>
    <w:rsid w:val="00BC5C12"/>
    <w:rsid w:val="00BC7154"/>
    <w:rsid w:val="00BC731E"/>
    <w:rsid w:val="00BD366B"/>
    <w:rsid w:val="00BD6D50"/>
    <w:rsid w:val="00BE18B9"/>
    <w:rsid w:val="00BE2495"/>
    <w:rsid w:val="00BF1578"/>
    <w:rsid w:val="00BF723F"/>
    <w:rsid w:val="00C21F94"/>
    <w:rsid w:val="00C27913"/>
    <w:rsid w:val="00C27E4F"/>
    <w:rsid w:val="00C32964"/>
    <w:rsid w:val="00C33B68"/>
    <w:rsid w:val="00C36A79"/>
    <w:rsid w:val="00C401D2"/>
    <w:rsid w:val="00C405D4"/>
    <w:rsid w:val="00C4431F"/>
    <w:rsid w:val="00C4513B"/>
    <w:rsid w:val="00C5390B"/>
    <w:rsid w:val="00C54697"/>
    <w:rsid w:val="00C65535"/>
    <w:rsid w:val="00C71E85"/>
    <w:rsid w:val="00C72884"/>
    <w:rsid w:val="00C73885"/>
    <w:rsid w:val="00C747B1"/>
    <w:rsid w:val="00C82191"/>
    <w:rsid w:val="00C83134"/>
    <w:rsid w:val="00C85545"/>
    <w:rsid w:val="00C90CF4"/>
    <w:rsid w:val="00C92EB6"/>
    <w:rsid w:val="00C93389"/>
    <w:rsid w:val="00CA0914"/>
    <w:rsid w:val="00CA6AB4"/>
    <w:rsid w:val="00CB4930"/>
    <w:rsid w:val="00CC2E7D"/>
    <w:rsid w:val="00CD10A5"/>
    <w:rsid w:val="00CD2076"/>
    <w:rsid w:val="00CD29B5"/>
    <w:rsid w:val="00CD6331"/>
    <w:rsid w:val="00CE670B"/>
    <w:rsid w:val="00CF4908"/>
    <w:rsid w:val="00CF51EC"/>
    <w:rsid w:val="00CF73AE"/>
    <w:rsid w:val="00D040DD"/>
    <w:rsid w:val="00D075BE"/>
    <w:rsid w:val="00D13986"/>
    <w:rsid w:val="00D21D83"/>
    <w:rsid w:val="00D235B7"/>
    <w:rsid w:val="00D23C02"/>
    <w:rsid w:val="00D25F28"/>
    <w:rsid w:val="00D26071"/>
    <w:rsid w:val="00D27973"/>
    <w:rsid w:val="00D35E1A"/>
    <w:rsid w:val="00D42211"/>
    <w:rsid w:val="00D50F46"/>
    <w:rsid w:val="00D57677"/>
    <w:rsid w:val="00D66223"/>
    <w:rsid w:val="00D71625"/>
    <w:rsid w:val="00D751DA"/>
    <w:rsid w:val="00D8084C"/>
    <w:rsid w:val="00D915EA"/>
    <w:rsid w:val="00DA7C0C"/>
    <w:rsid w:val="00DB08A9"/>
    <w:rsid w:val="00DB2EC8"/>
    <w:rsid w:val="00DB6566"/>
    <w:rsid w:val="00DC48F1"/>
    <w:rsid w:val="00DC5B3B"/>
    <w:rsid w:val="00DD129F"/>
    <w:rsid w:val="00DD4EFE"/>
    <w:rsid w:val="00DE02BD"/>
    <w:rsid w:val="00DF42FF"/>
    <w:rsid w:val="00E01C0E"/>
    <w:rsid w:val="00E03F9A"/>
    <w:rsid w:val="00E04694"/>
    <w:rsid w:val="00E063CE"/>
    <w:rsid w:val="00E12B1E"/>
    <w:rsid w:val="00E17262"/>
    <w:rsid w:val="00E253A2"/>
    <w:rsid w:val="00E3309D"/>
    <w:rsid w:val="00E43C1C"/>
    <w:rsid w:val="00E47EBA"/>
    <w:rsid w:val="00E50156"/>
    <w:rsid w:val="00E51643"/>
    <w:rsid w:val="00E53470"/>
    <w:rsid w:val="00E53874"/>
    <w:rsid w:val="00E539F6"/>
    <w:rsid w:val="00E6519D"/>
    <w:rsid w:val="00E67696"/>
    <w:rsid w:val="00E71A58"/>
    <w:rsid w:val="00E72A7A"/>
    <w:rsid w:val="00E75C94"/>
    <w:rsid w:val="00E93820"/>
    <w:rsid w:val="00E94A86"/>
    <w:rsid w:val="00E96143"/>
    <w:rsid w:val="00EA0987"/>
    <w:rsid w:val="00EA0C68"/>
    <w:rsid w:val="00EA32BC"/>
    <w:rsid w:val="00EA4302"/>
    <w:rsid w:val="00EB39C7"/>
    <w:rsid w:val="00EB3D8F"/>
    <w:rsid w:val="00EB4511"/>
    <w:rsid w:val="00EC03D7"/>
    <w:rsid w:val="00ED62C6"/>
    <w:rsid w:val="00ED64C1"/>
    <w:rsid w:val="00EE3446"/>
    <w:rsid w:val="00EE3E78"/>
    <w:rsid w:val="00EE4B1B"/>
    <w:rsid w:val="00EE7F19"/>
    <w:rsid w:val="00EF150D"/>
    <w:rsid w:val="00EF1F5A"/>
    <w:rsid w:val="00EF47BF"/>
    <w:rsid w:val="00EF6DB3"/>
    <w:rsid w:val="00F04811"/>
    <w:rsid w:val="00F04854"/>
    <w:rsid w:val="00F0488C"/>
    <w:rsid w:val="00F10F11"/>
    <w:rsid w:val="00F15AAA"/>
    <w:rsid w:val="00F15BEF"/>
    <w:rsid w:val="00F24407"/>
    <w:rsid w:val="00F24931"/>
    <w:rsid w:val="00F24FAA"/>
    <w:rsid w:val="00F3364D"/>
    <w:rsid w:val="00F437CC"/>
    <w:rsid w:val="00F44537"/>
    <w:rsid w:val="00F44B6A"/>
    <w:rsid w:val="00F47067"/>
    <w:rsid w:val="00F50FC3"/>
    <w:rsid w:val="00F525EB"/>
    <w:rsid w:val="00F63DDE"/>
    <w:rsid w:val="00F63FB7"/>
    <w:rsid w:val="00F6421B"/>
    <w:rsid w:val="00F649D2"/>
    <w:rsid w:val="00F6602B"/>
    <w:rsid w:val="00F67C4E"/>
    <w:rsid w:val="00F73A0C"/>
    <w:rsid w:val="00F756DB"/>
    <w:rsid w:val="00F84E7D"/>
    <w:rsid w:val="00F85066"/>
    <w:rsid w:val="00F87A4D"/>
    <w:rsid w:val="00F9785E"/>
    <w:rsid w:val="00FA5D4D"/>
    <w:rsid w:val="00FA7115"/>
    <w:rsid w:val="00FB0EE2"/>
    <w:rsid w:val="00FB4423"/>
    <w:rsid w:val="00FB542E"/>
    <w:rsid w:val="00FC0E5F"/>
    <w:rsid w:val="00FC1A95"/>
    <w:rsid w:val="00FC56DE"/>
    <w:rsid w:val="00FC684B"/>
    <w:rsid w:val="00FD3265"/>
    <w:rsid w:val="00FD5F92"/>
    <w:rsid w:val="00FD66F9"/>
    <w:rsid w:val="00FE2F78"/>
    <w:rsid w:val="00FF7B96"/>
    <w:rsid w:val="11D0C0D9"/>
    <w:rsid w:val="30D0B3BE"/>
    <w:rsid w:val="7BDB84E4"/>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colormru v:ext="edit" colors="#ecf4dd,#eaecee,#fcec0a,#fcecdb,#f1daf5"/>
    </o:shapedefaults>
    <o:shapelayout v:ext="edit">
      <o:idmap v:ext="edit" data="2"/>
    </o:shapelayout>
  </w:shapeDefaults>
  <w:decimalSymbol w:val=","/>
  <w:listSeparator w:val=";"/>
  <w14:docId w14:val="21432897"/>
  <w15:docId w15:val="{3A7C6927-7F52-4209-ABA9-A0ACA8657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64FA0"/>
    <w:pPr>
      <w:spacing w:after="240" w:line="276" w:lineRule="auto"/>
      <w:jc w:val="both"/>
    </w:pPr>
    <w:rPr>
      <w:rFonts w:ascii="Arial" w:eastAsia="Times New Roman" w:hAnsi="Arial"/>
      <w:szCs w:val="24"/>
      <w:lang w:eastAsia="cs-CZ"/>
    </w:rPr>
  </w:style>
  <w:style w:type="paragraph" w:styleId="Nadpis1">
    <w:name w:val="heading 1"/>
    <w:next w:val="Normln"/>
    <w:link w:val="Nadpis1Char"/>
    <w:uiPriority w:val="9"/>
    <w:qFormat/>
    <w:rsid w:val="00EA0987"/>
    <w:pPr>
      <w:keepNext/>
      <w:keepLines/>
      <w:spacing w:after="100" w:line="276" w:lineRule="auto"/>
      <w:contextualSpacing/>
      <w:outlineLvl w:val="0"/>
    </w:pPr>
    <w:rPr>
      <w:rFonts w:ascii="Arial" w:eastAsia="MS Gothic" w:hAnsi="Arial"/>
      <w:b/>
      <w:bCs/>
      <w:color w:val="86BF5E"/>
      <w:sz w:val="32"/>
      <w:szCs w:val="28"/>
      <w:lang w:eastAsia="cs-CZ"/>
    </w:rPr>
  </w:style>
  <w:style w:type="paragraph" w:styleId="Nadpis2">
    <w:name w:val="heading 2"/>
    <w:next w:val="Normln"/>
    <w:link w:val="Nadpis2Char"/>
    <w:uiPriority w:val="9"/>
    <w:qFormat/>
    <w:rsid w:val="00EA0987"/>
    <w:pPr>
      <w:keepNext/>
      <w:keepLines/>
      <w:spacing w:line="276" w:lineRule="auto"/>
      <w:outlineLvl w:val="1"/>
    </w:pPr>
    <w:rPr>
      <w:rFonts w:ascii="Arial" w:eastAsia="MS Gothic" w:hAnsi="Arial"/>
      <w:b/>
      <w:bCs/>
      <w:color w:val="86BF5E"/>
      <w:sz w:val="28"/>
      <w:szCs w:val="26"/>
      <w:lang w:eastAsia="cs-CZ"/>
    </w:rPr>
  </w:style>
  <w:style w:type="paragraph" w:styleId="Nadpis3">
    <w:name w:val="heading 3"/>
    <w:next w:val="Normln"/>
    <w:link w:val="Nadpis3Char"/>
    <w:uiPriority w:val="9"/>
    <w:qFormat/>
    <w:rsid w:val="00EA0987"/>
    <w:pPr>
      <w:keepNext/>
      <w:keepLines/>
      <w:spacing w:line="276" w:lineRule="auto"/>
      <w:outlineLvl w:val="2"/>
    </w:pPr>
    <w:rPr>
      <w:rFonts w:ascii="Arial" w:eastAsia="MS Gothic" w:hAnsi="Arial"/>
      <w:b/>
      <w:bCs/>
      <w:color w:val="86BF5E"/>
      <w:sz w:val="24"/>
      <w:szCs w:val="24"/>
      <w:lang w:eastAsia="cs-CZ"/>
    </w:rPr>
  </w:style>
  <w:style w:type="paragraph" w:styleId="Nadpis4">
    <w:name w:val="heading 4"/>
    <w:next w:val="Normln"/>
    <w:link w:val="Nadpis4Char"/>
    <w:uiPriority w:val="9"/>
    <w:qFormat/>
    <w:rsid w:val="0041041D"/>
    <w:pPr>
      <w:keepNext/>
      <w:keepLines/>
      <w:spacing w:line="276" w:lineRule="auto"/>
      <w:outlineLvl w:val="3"/>
    </w:pPr>
    <w:rPr>
      <w:rFonts w:ascii="Arial" w:eastAsia="MS Gothic" w:hAnsi="Arial"/>
      <w:b/>
      <w:bCs/>
      <w:iCs/>
      <w:color w:val="86BF5E"/>
      <w:szCs w:val="24"/>
      <w:lang w:eastAsia="cs-CZ"/>
    </w:rPr>
  </w:style>
  <w:style w:type="paragraph" w:styleId="Nadpis5">
    <w:name w:val="heading 5"/>
    <w:basedOn w:val="Normln"/>
    <w:next w:val="Normln"/>
    <w:link w:val="Nadpis5Char"/>
    <w:uiPriority w:val="9"/>
    <w:semiHidden/>
    <w:unhideWhenUsed/>
    <w:rsid w:val="007A516D"/>
    <w:pPr>
      <w:keepNext/>
      <w:keepLines/>
      <w:numPr>
        <w:ilvl w:val="4"/>
        <w:numId w:val="14"/>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7A516D"/>
    <w:pPr>
      <w:keepNext/>
      <w:keepLines/>
      <w:numPr>
        <w:ilvl w:val="5"/>
        <w:numId w:val="14"/>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7A516D"/>
    <w:pPr>
      <w:keepNext/>
      <w:keepLines/>
      <w:numPr>
        <w:ilvl w:val="6"/>
        <w:numId w:val="14"/>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7A516D"/>
    <w:pPr>
      <w:keepNext/>
      <w:keepLines/>
      <w:numPr>
        <w:ilvl w:val="7"/>
        <w:numId w:val="14"/>
      </w:numPr>
      <w:spacing w:before="200" w:after="0"/>
      <w:outlineLvl w:val="7"/>
    </w:pPr>
    <w:rPr>
      <w:rFonts w:asciiTheme="majorHAnsi" w:eastAsiaTheme="majorEastAsia" w:hAnsiTheme="majorHAnsi" w:cstheme="majorBidi"/>
      <w:color w:val="404040" w:themeColor="text1" w:themeTint="BF"/>
      <w:szCs w:val="20"/>
    </w:rPr>
  </w:style>
  <w:style w:type="paragraph" w:styleId="Nadpis9">
    <w:name w:val="heading 9"/>
    <w:basedOn w:val="Normln"/>
    <w:next w:val="Normln"/>
    <w:link w:val="Nadpis9Char"/>
    <w:uiPriority w:val="9"/>
    <w:semiHidden/>
    <w:unhideWhenUsed/>
    <w:qFormat/>
    <w:rsid w:val="007A516D"/>
    <w:pPr>
      <w:numPr>
        <w:ilvl w:val="8"/>
        <w:numId w:val="14"/>
      </w:num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EA0987"/>
    <w:rPr>
      <w:rFonts w:ascii="Arial" w:eastAsia="MS Gothic" w:hAnsi="Arial"/>
      <w:b/>
      <w:bCs/>
      <w:color w:val="86BF5E"/>
      <w:sz w:val="32"/>
      <w:szCs w:val="28"/>
      <w:lang w:eastAsia="cs-CZ"/>
    </w:rPr>
  </w:style>
  <w:style w:type="character" w:customStyle="1" w:styleId="Nadpis2Char">
    <w:name w:val="Nadpis 2 Char"/>
    <w:link w:val="Nadpis2"/>
    <w:uiPriority w:val="9"/>
    <w:rsid w:val="00EA0987"/>
    <w:rPr>
      <w:rFonts w:ascii="Arial" w:eastAsia="MS Gothic" w:hAnsi="Arial"/>
      <w:b/>
      <w:bCs/>
      <w:color w:val="86BF5E"/>
      <w:sz w:val="28"/>
      <w:szCs w:val="26"/>
      <w:lang w:eastAsia="cs-CZ"/>
    </w:rPr>
  </w:style>
  <w:style w:type="character" w:customStyle="1" w:styleId="Nadpis3Char">
    <w:name w:val="Nadpis 3 Char"/>
    <w:link w:val="Nadpis3"/>
    <w:uiPriority w:val="9"/>
    <w:rsid w:val="00EA0987"/>
    <w:rPr>
      <w:rFonts w:ascii="Arial" w:eastAsia="MS Gothic" w:hAnsi="Arial"/>
      <w:b/>
      <w:bCs/>
      <w:color w:val="86BF5E"/>
      <w:sz w:val="24"/>
      <w:szCs w:val="24"/>
      <w:lang w:eastAsia="cs-CZ"/>
    </w:rPr>
  </w:style>
  <w:style w:type="character" w:customStyle="1" w:styleId="Nadpis4Char">
    <w:name w:val="Nadpis 4 Char"/>
    <w:link w:val="Nadpis4"/>
    <w:uiPriority w:val="9"/>
    <w:rsid w:val="0041041D"/>
    <w:rPr>
      <w:rFonts w:ascii="Arial" w:eastAsia="MS Gothic" w:hAnsi="Arial"/>
      <w:b/>
      <w:bCs/>
      <w:iCs/>
      <w:color w:val="86BF5E"/>
      <w:szCs w:val="24"/>
      <w:lang w:eastAsia="cs-CZ"/>
    </w:rPr>
  </w:style>
  <w:style w:type="character" w:customStyle="1" w:styleId="Nadpis9Char">
    <w:name w:val="Nadpis 9 Char"/>
    <w:link w:val="Nadpis9"/>
    <w:uiPriority w:val="9"/>
    <w:semiHidden/>
    <w:rsid w:val="007A516D"/>
    <w:rPr>
      <w:rFonts w:ascii="Cambria" w:eastAsia="Times New Roman" w:hAnsi="Cambria"/>
      <w:sz w:val="22"/>
      <w:szCs w:val="22"/>
      <w:lang w:eastAsia="cs-CZ"/>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lang w:val="x-none" w:eastAsia="x-none"/>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0A57D4"/>
    <w:pPr>
      <w:spacing w:after="80" w:line="288" w:lineRule="auto"/>
    </w:pPr>
    <w:rPr>
      <w:rFonts w:ascii="Arial" w:eastAsia="Times New Roman" w:hAnsi="Arial"/>
      <w:b/>
      <w:color w:val="86BF5E"/>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A-Box1">
    <w:name w:val="A-Box 1"/>
    <w:next w:val="Normln"/>
    <w:qFormat/>
    <w:rsid w:val="00EA0987"/>
    <w:pPr>
      <w:shd w:val="clear" w:color="auto" w:fill="F0F6E9"/>
      <w:spacing w:before="240" w:after="240" w:line="276" w:lineRule="auto"/>
      <w:contextualSpacing/>
      <w:jc w:val="both"/>
    </w:pPr>
    <w:rPr>
      <w:rFonts w:ascii="Arial" w:hAnsi="Arial" w:cs="Arial"/>
      <w:lang w:eastAsia="cs-CZ"/>
    </w:rPr>
  </w:style>
  <w:style w:type="paragraph" w:customStyle="1" w:styleId="A-Box2">
    <w:name w:val="A-Box 2"/>
    <w:next w:val="Normln"/>
    <w:qFormat/>
    <w:rsid w:val="00EA0987"/>
    <w:pPr>
      <w:spacing w:before="240" w:after="240" w:line="276" w:lineRule="auto"/>
      <w:contextualSpacing/>
      <w:jc w:val="both"/>
    </w:pPr>
    <w:rPr>
      <w:rFonts w:ascii="Arial" w:hAnsi="Arial" w:cs="Arial"/>
      <w:color w:val="86BF5E"/>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0A57D4"/>
    <w:pPr>
      <w:spacing w:after="40"/>
      <w:contextualSpacing/>
    </w:pPr>
    <w:rPr>
      <w:b/>
      <w:caps/>
      <w:sz w:val="24"/>
    </w:rPr>
  </w:style>
  <w:style w:type="paragraph" w:customStyle="1" w:styleId="TLKontakty">
    <w:name w:val="TL Kontakty"/>
    <w:qFormat/>
    <w:rsid w:val="000A57D4"/>
    <w:pPr>
      <w:spacing w:after="160" w:line="259" w:lineRule="auto"/>
      <w:contextualSpacing/>
    </w:pPr>
    <w:rPr>
      <w:rFonts w:ascii="Arial" w:eastAsia="Times New Roman" w:hAnsi="Arial"/>
      <w:b/>
      <w:color w:val="86BF5E"/>
      <w:lang w:eastAsia="cs-CZ"/>
    </w:rPr>
  </w:style>
  <w:style w:type="paragraph" w:styleId="Nzev">
    <w:name w:val="Title"/>
    <w:link w:val="NzevChar"/>
    <w:uiPriority w:val="10"/>
    <w:qFormat/>
    <w:rsid w:val="001E6062"/>
    <w:pPr>
      <w:spacing w:line="288" w:lineRule="auto"/>
    </w:pPr>
    <w:rPr>
      <w:rFonts w:ascii="Arial" w:eastAsia="Times New Roman" w:hAnsi="Arial"/>
      <w:b/>
      <w:bCs/>
      <w:caps/>
      <w:color w:val="000000" w:themeColor="text1"/>
      <w:kern w:val="28"/>
      <w:sz w:val="56"/>
      <w:szCs w:val="32"/>
      <w:lang w:eastAsia="cs-CZ"/>
    </w:rPr>
  </w:style>
  <w:style w:type="character" w:customStyle="1" w:styleId="NzevChar">
    <w:name w:val="Název Char"/>
    <w:link w:val="Nzev"/>
    <w:uiPriority w:val="10"/>
    <w:rsid w:val="001E6062"/>
    <w:rPr>
      <w:rFonts w:ascii="Arial" w:eastAsia="Times New Roman" w:hAnsi="Arial"/>
      <w:b/>
      <w:bCs/>
      <w:caps/>
      <w:color w:val="000000" w:themeColor="text1"/>
      <w:kern w:val="28"/>
      <w:sz w:val="56"/>
      <w:szCs w:val="32"/>
      <w:lang w:eastAsia="cs-CZ"/>
    </w:rPr>
  </w:style>
  <w:style w:type="paragraph" w:styleId="Podnadpis">
    <w:name w:val="Subtitle"/>
    <w:link w:val="PodnadpisChar"/>
    <w:uiPriority w:val="11"/>
    <w:qFormat/>
    <w:rsid w:val="001E6062"/>
    <w:pPr>
      <w:spacing w:line="288" w:lineRule="auto"/>
    </w:pPr>
    <w:rPr>
      <w:rFonts w:ascii="Arial" w:eastAsia="Times New Roman" w:hAnsi="Arial" w:cs="Arial"/>
      <w:b/>
      <w:color w:val="000000" w:themeColor="text1"/>
      <w:sz w:val="28"/>
      <w:szCs w:val="24"/>
      <w:lang w:eastAsia="cs-CZ"/>
    </w:rPr>
  </w:style>
  <w:style w:type="character" w:customStyle="1" w:styleId="PodnadpisChar">
    <w:name w:val="Podnadpis Char"/>
    <w:link w:val="Podnadpis"/>
    <w:uiPriority w:val="11"/>
    <w:rsid w:val="001E6062"/>
    <w:rPr>
      <w:rFonts w:ascii="Arial" w:eastAsia="Times New Roman" w:hAnsi="Arial" w:cs="Arial"/>
      <w:b/>
      <w:color w:val="000000" w:themeColor="text1"/>
      <w:sz w:val="28"/>
      <w:szCs w:val="24"/>
      <w:lang w:eastAsia="cs-CZ"/>
    </w:rPr>
  </w:style>
  <w:style w:type="paragraph" w:styleId="Obsah2">
    <w:name w:val="toc 2"/>
    <w:basedOn w:val="Obsahpoloky"/>
    <w:next w:val="Obsahpoloky"/>
    <w:autoRedefine/>
    <w:uiPriority w:val="39"/>
    <w:unhideWhenUsed/>
    <w:rsid w:val="00FC1A95"/>
    <w:pPr>
      <w:ind w:left="200"/>
    </w:pPr>
  </w:style>
  <w:style w:type="paragraph" w:styleId="Obsah3">
    <w:name w:val="toc 3"/>
    <w:basedOn w:val="Obsahpoloky"/>
    <w:next w:val="Obsahpoloky"/>
    <w:autoRedefine/>
    <w:uiPriority w:val="39"/>
    <w:unhideWhenUsed/>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7A516D"/>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7A516D"/>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7A516D"/>
    <w:rPr>
      <w:rFonts w:asciiTheme="majorHAnsi" w:eastAsiaTheme="majorEastAsia" w:hAnsiTheme="majorHAnsi" w:cstheme="majorBidi"/>
      <w:i/>
      <w:iCs/>
      <w:color w:val="404040" w:themeColor="text1" w:themeTint="BF"/>
      <w:szCs w:val="24"/>
      <w:lang w:eastAsia="cs-CZ"/>
    </w:rPr>
  </w:style>
  <w:style w:type="character" w:customStyle="1" w:styleId="Nadpis8Char">
    <w:name w:val="Nadpis 8 Char"/>
    <w:basedOn w:val="Standardnpsmoodstavce"/>
    <w:link w:val="Nadpis8"/>
    <w:uiPriority w:val="9"/>
    <w:semiHidden/>
    <w:rsid w:val="007A516D"/>
    <w:rPr>
      <w:rFonts w:asciiTheme="majorHAnsi" w:eastAsiaTheme="majorEastAsia" w:hAnsiTheme="majorHAnsi" w:cstheme="majorBidi"/>
      <w:color w:val="404040" w:themeColor="text1" w:themeTint="BF"/>
      <w:lang w:eastAsia="cs-CZ"/>
    </w:rPr>
  </w:style>
  <w:style w:type="paragraph" w:styleId="Textpoznpodarou">
    <w:name w:val="footnote text"/>
    <w:aliases w:val="Text pozn. pod čarou_martin_ang"/>
    <w:basedOn w:val="Normln"/>
    <w:link w:val="TextpoznpodarouChar"/>
    <w:qFormat/>
    <w:rsid w:val="008E7FC9"/>
    <w:pPr>
      <w:spacing w:after="0" w:line="240" w:lineRule="auto"/>
      <w:jc w:val="left"/>
    </w:pPr>
    <w:rPr>
      <w:rFonts w:eastAsia="Calibri"/>
      <w:szCs w:val="20"/>
    </w:rPr>
  </w:style>
  <w:style w:type="character" w:customStyle="1" w:styleId="TextpoznpodarouChar">
    <w:name w:val="Text pozn. pod čarou Char"/>
    <w:aliases w:val="Text pozn. pod čarou_martin_ang Char"/>
    <w:basedOn w:val="Standardnpsmoodstavce"/>
    <w:link w:val="Textpoznpodarou"/>
    <w:qFormat/>
    <w:rsid w:val="008E7FC9"/>
    <w:rPr>
      <w:rFonts w:ascii="Arial" w:hAnsi="Arial"/>
      <w:lang w:eastAsia="cs-CZ"/>
    </w:rPr>
  </w:style>
  <w:style w:type="paragraph" w:styleId="Bezmezer">
    <w:name w:val="No Spacing"/>
    <w:uiPriority w:val="1"/>
    <w:qFormat/>
    <w:rsid w:val="00AD68C4"/>
    <w:pPr>
      <w:jc w:val="both"/>
    </w:pPr>
    <w:rPr>
      <w:rFonts w:ascii="Arial" w:eastAsia="Times New Roman" w:hAnsi="Arial"/>
      <w:szCs w:val="24"/>
      <w:lang w:eastAsia="cs-CZ"/>
    </w:rPr>
  </w:style>
  <w:style w:type="paragraph" w:customStyle="1" w:styleId="Marginlie">
    <w:name w:val="Marginálie"/>
    <w:basedOn w:val="Normln"/>
    <w:qFormat/>
    <w:rsid w:val="0089296D"/>
    <w:pPr>
      <w:spacing w:after="0"/>
      <w:jc w:val="left"/>
    </w:pPr>
    <w:rPr>
      <w:spacing w:val="-2"/>
      <w:sz w:val="16"/>
      <w:szCs w:val="16"/>
    </w:rPr>
  </w:style>
  <w:style w:type="paragraph" w:styleId="Odstavecseseznamem">
    <w:name w:val="List Paragraph"/>
    <w:basedOn w:val="Normln"/>
    <w:uiPriority w:val="34"/>
    <w:rsid w:val="006B0F92"/>
    <w:pPr>
      <w:ind w:left="720"/>
      <w:contextualSpacing/>
    </w:pPr>
  </w:style>
  <w:style w:type="paragraph" w:customStyle="1" w:styleId="Normalodrka">
    <w:name w:val="Normal odrážka"/>
    <w:qFormat/>
    <w:rsid w:val="006B0F92"/>
    <w:pPr>
      <w:numPr>
        <w:numId w:val="27"/>
      </w:numPr>
      <w:spacing w:after="240" w:line="276" w:lineRule="auto"/>
      <w:jc w:val="both"/>
    </w:pPr>
    <w:rPr>
      <w:rFonts w:ascii="Arial" w:eastAsia="Times New Roman" w:hAnsi="Arial"/>
      <w:szCs w:val="24"/>
      <w:lang w:eastAsia="cs-CZ"/>
    </w:rPr>
  </w:style>
  <w:style w:type="paragraph" w:customStyle="1" w:styleId="Box1">
    <w:name w:val="Box 1"/>
    <w:next w:val="Normln"/>
    <w:qFormat/>
    <w:rsid w:val="00EA0987"/>
    <w:pPr>
      <w:shd w:val="clear" w:color="auto" w:fill="F0F6E9"/>
      <w:spacing w:before="240" w:after="240" w:line="276" w:lineRule="auto"/>
      <w:ind w:left="709"/>
      <w:contextualSpacing/>
      <w:jc w:val="both"/>
    </w:pPr>
    <w:rPr>
      <w:rFonts w:ascii="Arial" w:hAnsi="Arial" w:cs="Arial"/>
      <w:lang w:eastAsia="cs-CZ"/>
    </w:rPr>
  </w:style>
  <w:style w:type="paragraph" w:customStyle="1" w:styleId="Box2">
    <w:name w:val="Box 2"/>
    <w:next w:val="Normln"/>
    <w:qFormat/>
    <w:rsid w:val="00EA0987"/>
    <w:pPr>
      <w:spacing w:before="240" w:after="240" w:line="276" w:lineRule="auto"/>
      <w:ind w:left="709"/>
      <w:contextualSpacing/>
      <w:jc w:val="both"/>
    </w:pPr>
    <w:rPr>
      <w:rFonts w:ascii="Arial" w:hAnsi="Arial" w:cs="Arial"/>
      <w:b/>
      <w:color w:val="86BF5E"/>
      <w:lang w:eastAsia="cs-CZ"/>
    </w:rPr>
  </w:style>
  <w:style w:type="character" w:styleId="Zdraznnintenzivn">
    <w:name w:val="Intense Emphasis"/>
    <w:basedOn w:val="Standardnpsmoodstavce"/>
    <w:uiPriority w:val="21"/>
    <w:qFormat/>
    <w:rsid w:val="001E6062"/>
    <w:rPr>
      <w:i/>
      <w:iCs/>
      <w:color w:val="000000" w:themeColor="text1"/>
    </w:rPr>
  </w:style>
  <w:style w:type="character" w:styleId="Odkazintenzivn">
    <w:name w:val="Intense Reference"/>
    <w:basedOn w:val="Standardnpsmoodstavce"/>
    <w:uiPriority w:val="32"/>
    <w:qFormat/>
    <w:rsid w:val="001E6062"/>
    <w:rPr>
      <w:b/>
      <w:bCs/>
      <w:smallCaps/>
      <w:color w:val="000000" w:themeColor="text1"/>
      <w:spacing w:val="5"/>
    </w:rPr>
  </w:style>
  <w:style w:type="character" w:styleId="Znakapoznpodarou">
    <w:name w:val="footnote reference"/>
    <w:basedOn w:val="Standardnpsmoodstavce"/>
    <w:rsid w:val="00E063CE"/>
    <w:rPr>
      <w:rFonts w:cs="Times New Roman"/>
      <w:vertAlign w:val="superscript"/>
    </w:rPr>
  </w:style>
  <w:style w:type="paragraph" w:customStyle="1" w:styleId="Nadpis11">
    <w:name w:val="Nadpis 11"/>
    <w:basedOn w:val="Normln"/>
    <w:uiPriority w:val="9"/>
    <w:qFormat/>
    <w:rsid w:val="008A6CB4"/>
    <w:pPr>
      <w:keepNext/>
      <w:keepLines/>
      <w:spacing w:after="100"/>
      <w:contextualSpacing/>
      <w:jc w:val="left"/>
      <w:outlineLvl w:val="0"/>
    </w:pPr>
    <w:rPr>
      <w:rFonts w:eastAsia="MS Gothic"/>
      <w:b/>
      <w:bCs/>
      <w:color w:val="71818C"/>
      <w:sz w:val="32"/>
      <w:szCs w:val="28"/>
    </w:rPr>
  </w:style>
  <w:style w:type="paragraph" w:customStyle="1" w:styleId="Textpoznpodarou1">
    <w:name w:val="Text pozn. pod čarou1"/>
    <w:basedOn w:val="Normln"/>
    <w:qFormat/>
    <w:rsid w:val="008A6CB4"/>
    <w:pPr>
      <w:spacing w:after="0" w:line="240" w:lineRule="auto"/>
      <w:jc w:val="left"/>
    </w:pPr>
    <w:rPr>
      <w:rFonts w:eastAsia="Calibri"/>
      <w:szCs w:val="20"/>
    </w:rPr>
  </w:style>
  <w:style w:type="character" w:styleId="Zdraznn">
    <w:name w:val="Emphasis"/>
    <w:basedOn w:val="Standardnpsmoodstavce"/>
    <w:uiPriority w:val="20"/>
    <w:qFormat/>
    <w:rsid w:val="00C4431F"/>
    <w:rPr>
      <w:i/>
      <w:iCs/>
    </w:rPr>
  </w:style>
  <w:style w:type="character" w:customStyle="1" w:styleId="normaltextrun">
    <w:name w:val="normaltextrun"/>
    <w:basedOn w:val="Standardnpsmoodstavce"/>
    <w:rsid w:val="00C4431F"/>
  </w:style>
  <w:style w:type="paragraph" w:customStyle="1" w:styleId="paragraph">
    <w:name w:val="paragraph"/>
    <w:basedOn w:val="Normln"/>
    <w:rsid w:val="00C4431F"/>
    <w:pPr>
      <w:spacing w:before="100" w:beforeAutospacing="1" w:after="100" w:afterAutospacing="1" w:line="240" w:lineRule="auto"/>
      <w:jc w:val="left"/>
    </w:pPr>
    <w:rPr>
      <w:rFonts w:ascii="Times New Roman" w:hAnsi="Times New Roman"/>
      <w:sz w:val="24"/>
    </w:rPr>
  </w:style>
  <w:style w:type="character" w:customStyle="1" w:styleId="eop">
    <w:name w:val="eop"/>
    <w:basedOn w:val="Standardnpsmoodstavce"/>
    <w:rsid w:val="00C4431F"/>
  </w:style>
  <w:style w:type="table" w:styleId="Mkatabulky">
    <w:name w:val="Table Grid"/>
    <w:basedOn w:val="Normlntabulka"/>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adpisobsahu">
    <w:name w:val="TOC Heading"/>
    <w:basedOn w:val="Nadpis1"/>
    <w:next w:val="Normln"/>
    <w:uiPriority w:val="39"/>
    <w:unhideWhenUsed/>
    <w:qFormat/>
    <w:rsid w:val="00603FF5"/>
    <w:pPr>
      <w:spacing w:before="240" w:after="0" w:line="259" w:lineRule="auto"/>
      <w:contextualSpacing w:val="0"/>
      <w:outlineLvl w:val="9"/>
    </w:pPr>
    <w:rPr>
      <w:rFonts w:asciiTheme="majorHAnsi" w:eastAsiaTheme="majorEastAsia" w:hAnsiTheme="majorHAnsi" w:cstheme="majorBidi"/>
      <w:b w:val="0"/>
      <w:bCs w:val="0"/>
      <w:color w:val="365F91" w:themeColor="accent1" w:themeShade="BF"/>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66344914">
      <w:bodyDiv w:val="1"/>
      <w:marLeft w:val="0"/>
      <w:marRight w:val="0"/>
      <w:marTop w:val="0"/>
      <w:marBottom w:val="0"/>
      <w:divBdr>
        <w:top w:val="none" w:sz="0" w:space="0" w:color="auto"/>
        <w:left w:val="none" w:sz="0" w:space="0" w:color="auto"/>
        <w:bottom w:val="none" w:sz="0" w:space="0" w:color="auto"/>
        <w:right w:val="none" w:sz="0" w:space="0" w:color="auto"/>
      </w:divBdr>
    </w:div>
    <w:div w:id="110517919">
      <w:bodyDiv w:val="1"/>
      <w:marLeft w:val="0"/>
      <w:marRight w:val="0"/>
      <w:marTop w:val="0"/>
      <w:marBottom w:val="0"/>
      <w:divBdr>
        <w:top w:val="none" w:sz="0" w:space="0" w:color="auto"/>
        <w:left w:val="none" w:sz="0" w:space="0" w:color="auto"/>
        <w:bottom w:val="none" w:sz="0" w:space="0" w:color="auto"/>
        <w:right w:val="none" w:sz="0" w:space="0" w:color="auto"/>
      </w:divBdr>
    </w:div>
    <w:div w:id="112676334">
      <w:bodyDiv w:val="1"/>
      <w:marLeft w:val="0"/>
      <w:marRight w:val="0"/>
      <w:marTop w:val="0"/>
      <w:marBottom w:val="0"/>
      <w:divBdr>
        <w:top w:val="none" w:sz="0" w:space="0" w:color="auto"/>
        <w:left w:val="none" w:sz="0" w:space="0" w:color="auto"/>
        <w:bottom w:val="none" w:sz="0" w:space="0" w:color="auto"/>
        <w:right w:val="none" w:sz="0" w:space="0" w:color="auto"/>
      </w:divBdr>
    </w:div>
    <w:div w:id="243729605">
      <w:bodyDiv w:val="1"/>
      <w:marLeft w:val="0"/>
      <w:marRight w:val="0"/>
      <w:marTop w:val="0"/>
      <w:marBottom w:val="0"/>
      <w:divBdr>
        <w:top w:val="none" w:sz="0" w:space="0" w:color="auto"/>
        <w:left w:val="none" w:sz="0" w:space="0" w:color="auto"/>
        <w:bottom w:val="none" w:sz="0" w:space="0" w:color="auto"/>
        <w:right w:val="none" w:sz="0" w:space="0" w:color="auto"/>
      </w:divBdr>
    </w:div>
    <w:div w:id="255015632">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387458773">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883518353">
      <w:bodyDiv w:val="1"/>
      <w:marLeft w:val="0"/>
      <w:marRight w:val="0"/>
      <w:marTop w:val="0"/>
      <w:marBottom w:val="0"/>
      <w:divBdr>
        <w:top w:val="none" w:sz="0" w:space="0" w:color="auto"/>
        <w:left w:val="none" w:sz="0" w:space="0" w:color="auto"/>
        <w:bottom w:val="none" w:sz="0" w:space="0" w:color="auto"/>
        <w:right w:val="none" w:sz="0" w:space="0" w:color="auto"/>
      </w:divBdr>
    </w:div>
    <w:div w:id="932319695">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276136441">
      <w:bodyDiv w:val="1"/>
      <w:marLeft w:val="0"/>
      <w:marRight w:val="0"/>
      <w:marTop w:val="0"/>
      <w:marBottom w:val="0"/>
      <w:divBdr>
        <w:top w:val="none" w:sz="0" w:space="0" w:color="auto"/>
        <w:left w:val="none" w:sz="0" w:space="0" w:color="auto"/>
        <w:bottom w:val="none" w:sz="0" w:space="0" w:color="auto"/>
        <w:right w:val="none" w:sz="0" w:space="0" w:color="auto"/>
      </w:divBdr>
    </w:div>
    <w:div w:id="128300063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716924412">
      <w:bodyDiv w:val="1"/>
      <w:marLeft w:val="0"/>
      <w:marRight w:val="0"/>
      <w:marTop w:val="0"/>
      <w:marBottom w:val="0"/>
      <w:divBdr>
        <w:top w:val="none" w:sz="0" w:space="0" w:color="auto"/>
        <w:left w:val="none" w:sz="0" w:space="0" w:color="auto"/>
        <w:bottom w:val="none" w:sz="0" w:space="0" w:color="auto"/>
        <w:right w:val="none" w:sz="0" w:space="0" w:color="auto"/>
      </w:divBdr>
    </w:div>
    <w:div w:id="1856962653">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06206753">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3.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hart" Target="charts/chart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https://czsocz-my.sharepoint.com/personal/karolina_zabojnikova_czso_cz/Documents/Dokumenty/Anal&#253;za/Q/2024Q3/Makroanal&#253;za%20grafy.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czsocz-my.sharepoint.com/personal/karolina_zabojnikova_czso_cz/Documents/Dokumenty/Anal&#253;za/Q/2024Q3/Makroanal&#253;za%20grafy.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czsocz-my.sharepoint.com/personal/karolina_zabojnikova_czso_cz/Documents/Dokumenty/Anal&#253;za/Q/2024Q3/Makroanal&#253;za%20grafy.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8324257007767645E-2"/>
          <c:y val="2.3046636085626952E-2"/>
          <c:w val="0.92008633063154344"/>
          <c:h val="0.74192840256671611"/>
        </c:manualLayout>
      </c:layout>
      <c:barChart>
        <c:barDir val="col"/>
        <c:grouping val="clustered"/>
        <c:varyColors val="0"/>
        <c:ser>
          <c:idx val="0"/>
          <c:order val="0"/>
          <c:tx>
            <c:strRef>
              <c:f>'souhrnná výkonnost 1'!$C$4</c:f>
              <c:strCache>
                <c:ptCount val="1"/>
                <c:pt idx="0">
                  <c:v>ČR meziroční změna</c:v>
                </c:pt>
              </c:strCache>
            </c:strRef>
          </c:tx>
          <c:spPr>
            <a:solidFill>
              <a:srgbClr val="A6A6A6"/>
            </a:solidFill>
            <a:ln>
              <a:noFill/>
            </a:ln>
          </c:spPr>
          <c:invertIfNegative val="0"/>
          <c:cat>
            <c:multiLvlStrRef>
              <c:f>'souhrnná výkonnost 1'!$A$9:$B$31</c:f>
              <c:multiLvlStrCache>
                <c:ptCount val="23"/>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lvl>
                <c:lvl>
                  <c:pt idx="0">
                    <c:v>2019</c:v>
                  </c:pt>
                  <c:pt idx="4">
                    <c:v>2020</c:v>
                  </c:pt>
                  <c:pt idx="8">
                    <c:v>2021</c:v>
                  </c:pt>
                  <c:pt idx="12">
                    <c:v>2022</c:v>
                  </c:pt>
                  <c:pt idx="16">
                    <c:v>2023</c:v>
                  </c:pt>
                  <c:pt idx="20">
                    <c:v>2024</c:v>
                  </c:pt>
                </c:lvl>
              </c:multiLvlStrCache>
            </c:multiLvlStrRef>
          </c:cat>
          <c:val>
            <c:numRef>
              <c:f>'souhrnná výkonnost 1'!$C$9:$C$31</c:f>
              <c:numCache>
                <c:formatCode>0.0</c:formatCode>
                <c:ptCount val="23"/>
                <c:pt idx="0">
                  <c:v>3.4189856936099829</c:v>
                </c:pt>
                <c:pt idx="1">
                  <c:v>3.6131741333642537</c:v>
                </c:pt>
                <c:pt idx="2">
                  <c:v>3.6825803056472921</c:v>
                </c:pt>
                <c:pt idx="3">
                  <c:v>3.3199919158713271</c:v>
                </c:pt>
                <c:pt idx="4">
                  <c:v>-1.5501786832516729</c:v>
                </c:pt>
                <c:pt idx="5">
                  <c:v>-10.594932915034789</c:v>
                </c:pt>
                <c:pt idx="6">
                  <c:v>-4.7011751782364399</c:v>
                </c:pt>
                <c:pt idx="7">
                  <c:v>-4.4366398308301314</c:v>
                </c:pt>
                <c:pt idx="8">
                  <c:v>-1.2288638498452684</c:v>
                </c:pt>
                <c:pt idx="9">
                  <c:v>9.7404575003667162</c:v>
                </c:pt>
                <c:pt idx="10">
                  <c:v>3.9736849039729805</c:v>
                </c:pt>
                <c:pt idx="11">
                  <c:v>3.9029603596385698</c:v>
                </c:pt>
                <c:pt idx="12">
                  <c:v>4.8437098358771209</c:v>
                </c:pt>
                <c:pt idx="13">
                  <c:v>3.6483773841026448</c:v>
                </c:pt>
                <c:pt idx="14">
                  <c:v>2.0520198238941418</c:v>
                </c:pt>
                <c:pt idx="15">
                  <c:v>0.95157210327245423</c:v>
                </c:pt>
                <c:pt idx="16">
                  <c:v>0.28194122653326303</c:v>
                </c:pt>
                <c:pt idx="17">
                  <c:v>0.17520468854441162</c:v>
                </c:pt>
                <c:pt idx="18" formatCode="General">
                  <c:v>-0.36641834862845712</c:v>
                </c:pt>
                <c:pt idx="19" formatCode="General">
                  <c:v>4.80414775099689E-2</c:v>
                </c:pt>
                <c:pt idx="20" formatCode="General">
                  <c:v>0.40751651556183788</c:v>
                </c:pt>
                <c:pt idx="21" formatCode="General">
                  <c:v>0.48843497920493917</c:v>
                </c:pt>
                <c:pt idx="22" formatCode="General">
                  <c:v>1.2883793303377473</c:v>
                </c:pt>
              </c:numCache>
            </c:numRef>
          </c:val>
          <c:extLst>
            <c:ext xmlns:c16="http://schemas.microsoft.com/office/drawing/2014/chart" uri="{C3380CC4-5D6E-409C-BE32-E72D297353CC}">
              <c16:uniqueId val="{00000000-6CE9-4224-8FBC-95523140F1ED}"/>
            </c:ext>
          </c:extLst>
        </c:ser>
        <c:ser>
          <c:idx val="1"/>
          <c:order val="1"/>
          <c:tx>
            <c:strRef>
              <c:f>'souhrnná výkonnost 1'!$D$4</c:f>
              <c:strCache>
                <c:ptCount val="1"/>
                <c:pt idx="0">
                  <c:v>EU27 meziroční změna</c:v>
                </c:pt>
              </c:strCache>
            </c:strRef>
          </c:tx>
          <c:spPr>
            <a:solidFill>
              <a:srgbClr val="808080"/>
            </a:solidFill>
            <a:ln>
              <a:noFill/>
            </a:ln>
          </c:spPr>
          <c:invertIfNegative val="0"/>
          <c:cat>
            <c:multiLvlStrRef>
              <c:f>'souhrnná výkonnost 1'!$A$9:$B$31</c:f>
              <c:multiLvlStrCache>
                <c:ptCount val="23"/>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lvl>
                <c:lvl>
                  <c:pt idx="0">
                    <c:v>2019</c:v>
                  </c:pt>
                  <c:pt idx="4">
                    <c:v>2020</c:v>
                  </c:pt>
                  <c:pt idx="8">
                    <c:v>2021</c:v>
                  </c:pt>
                  <c:pt idx="12">
                    <c:v>2022</c:v>
                  </c:pt>
                  <c:pt idx="16">
                    <c:v>2023</c:v>
                  </c:pt>
                  <c:pt idx="20">
                    <c:v>2024</c:v>
                  </c:pt>
                </c:lvl>
              </c:multiLvlStrCache>
            </c:multiLvlStrRef>
          </c:cat>
          <c:val>
            <c:numRef>
              <c:f>'souhrnná výkonnost 1'!$D$9:$D$31</c:f>
              <c:numCache>
                <c:formatCode>#\ ##0.0</c:formatCode>
                <c:ptCount val="23"/>
                <c:pt idx="0" formatCode="#\ ##0.##########">
                  <c:v>2.1</c:v>
                </c:pt>
                <c:pt idx="1">
                  <c:v>2</c:v>
                </c:pt>
                <c:pt idx="2" formatCode="#\ ##0.##########">
                  <c:v>2</c:v>
                </c:pt>
                <c:pt idx="3" formatCode="#\ ##0.##########">
                  <c:v>1.5</c:v>
                </c:pt>
                <c:pt idx="4" formatCode="#\ ##0.##########">
                  <c:v>-2.2000000000000002</c:v>
                </c:pt>
                <c:pt idx="5" formatCode="#\ ##0.##########">
                  <c:v>-13.2</c:v>
                </c:pt>
                <c:pt idx="6" formatCode="#\ ##0.##########">
                  <c:v>-3.9</c:v>
                </c:pt>
                <c:pt idx="7" formatCode="#\ ##0.##########">
                  <c:v>-3.5</c:v>
                </c:pt>
                <c:pt idx="8" formatCode="#\ ##0.##########">
                  <c:v>0.2</c:v>
                </c:pt>
                <c:pt idx="9" formatCode="#\ ##0.##########">
                  <c:v>14.8</c:v>
                </c:pt>
                <c:pt idx="10" formatCode="#\ ##0.##########">
                  <c:v>5.3</c:v>
                </c:pt>
                <c:pt idx="11" formatCode="#\ ##0.##########">
                  <c:v>5.8</c:v>
                </c:pt>
                <c:pt idx="12" formatCode="#\ ##0.##########">
                  <c:v>5.6</c:v>
                </c:pt>
                <c:pt idx="13" formatCode="#\ ##0.##########">
                  <c:v>4.0999999999999996</c:v>
                </c:pt>
                <c:pt idx="14" formatCode="#\ ##0.##########">
                  <c:v>2.8</c:v>
                </c:pt>
                <c:pt idx="15" formatCode="#\ ##0.##########">
                  <c:v>1.7</c:v>
                </c:pt>
                <c:pt idx="16" formatCode="#\ ##0.##########">
                  <c:v>1.2</c:v>
                </c:pt>
                <c:pt idx="17" formatCode="#\ ##0.##########">
                  <c:v>0.5</c:v>
                </c:pt>
                <c:pt idx="18" formatCode="#\ ##0.##########">
                  <c:v>0.1</c:v>
                </c:pt>
                <c:pt idx="19" formatCode="#\ ##0.##########">
                  <c:v>0.4</c:v>
                </c:pt>
                <c:pt idx="20" formatCode="#\ ##0.##########">
                  <c:v>0.6</c:v>
                </c:pt>
                <c:pt idx="21" formatCode="#\ ##0.##########">
                  <c:v>0.8</c:v>
                </c:pt>
                <c:pt idx="22" formatCode="General">
                  <c:v>1</c:v>
                </c:pt>
              </c:numCache>
            </c:numRef>
          </c:val>
          <c:extLst>
            <c:ext xmlns:c16="http://schemas.microsoft.com/office/drawing/2014/chart" uri="{C3380CC4-5D6E-409C-BE32-E72D297353CC}">
              <c16:uniqueId val="{00000001-6CE9-4224-8FBC-95523140F1ED}"/>
            </c:ext>
          </c:extLst>
        </c:ser>
        <c:dLbls>
          <c:showLegendKey val="0"/>
          <c:showVal val="0"/>
          <c:showCatName val="0"/>
          <c:showSerName val="0"/>
          <c:showPercent val="0"/>
          <c:showBubbleSize val="0"/>
        </c:dLbls>
        <c:gapWidth val="100"/>
        <c:axId val="267753344"/>
        <c:axId val="267767808"/>
      </c:barChart>
      <c:lineChart>
        <c:grouping val="standard"/>
        <c:varyColors val="0"/>
        <c:ser>
          <c:idx val="2"/>
          <c:order val="2"/>
          <c:tx>
            <c:strRef>
              <c:f>'souhrnná výkonnost 1'!$E$4</c:f>
              <c:strCache>
                <c:ptCount val="1"/>
                <c:pt idx="0">
                  <c:v>ČR mezičtvrtletní změna</c:v>
                </c:pt>
              </c:strCache>
            </c:strRef>
          </c:tx>
          <c:spPr>
            <a:ln w="19050">
              <a:noFill/>
            </a:ln>
          </c:spPr>
          <c:marker>
            <c:symbol val="dash"/>
            <c:size val="8"/>
            <c:spPr>
              <a:solidFill>
                <a:srgbClr val="0071BC"/>
              </a:solidFill>
              <a:ln>
                <a:noFill/>
              </a:ln>
            </c:spPr>
          </c:marker>
          <c:cat>
            <c:multiLvlStrRef>
              <c:f>'souhrnná výkonnost 1'!$A$9:$B$31</c:f>
              <c:multiLvlStrCache>
                <c:ptCount val="23"/>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lvl>
                <c:lvl>
                  <c:pt idx="0">
                    <c:v>2019</c:v>
                  </c:pt>
                  <c:pt idx="4">
                    <c:v>2020</c:v>
                  </c:pt>
                  <c:pt idx="8">
                    <c:v>2021</c:v>
                  </c:pt>
                  <c:pt idx="12">
                    <c:v>2022</c:v>
                  </c:pt>
                  <c:pt idx="16">
                    <c:v>2023</c:v>
                  </c:pt>
                  <c:pt idx="20">
                    <c:v>2024</c:v>
                  </c:pt>
                </c:lvl>
              </c:multiLvlStrCache>
            </c:multiLvlStrRef>
          </c:cat>
          <c:val>
            <c:numRef>
              <c:f>'souhrnná výkonnost 1'!$E$9:$E$31</c:f>
              <c:numCache>
                <c:formatCode>0.0</c:formatCode>
                <c:ptCount val="23"/>
                <c:pt idx="0">
                  <c:v>1.3072240756125382</c:v>
                </c:pt>
                <c:pt idx="1">
                  <c:v>0.49696583288741181</c:v>
                </c:pt>
                <c:pt idx="2">
                  <c:v>0.73496507853789694</c:v>
                </c:pt>
                <c:pt idx="3">
                  <c:v>0.74204395610576057</c:v>
                </c:pt>
                <c:pt idx="4">
                  <c:v>-3.4680711506351827</c:v>
                </c:pt>
                <c:pt idx="5">
                  <c:v>-8.7358630828085069</c:v>
                </c:pt>
                <c:pt idx="6">
                  <c:v>7.3756119585801656</c:v>
                </c:pt>
                <c:pt idx="7">
                  <c:v>1.0216888693163071</c:v>
                </c:pt>
                <c:pt idx="8">
                  <c:v>-0.22778321796964462</c:v>
                </c:pt>
                <c:pt idx="9">
                  <c:v>1.3997462117176838</c:v>
                </c:pt>
                <c:pt idx="10">
                  <c:v>1.7331100894615759</c:v>
                </c:pt>
                <c:pt idx="11">
                  <c:v>0.95297231935684579</c:v>
                </c:pt>
                <c:pt idx="12">
                  <c:v>0.67556602593998605</c:v>
                </c:pt>
                <c:pt idx="13">
                  <c:v>0.24367869523720742</c:v>
                </c:pt>
                <c:pt idx="14">
                  <c:v>0.16625083402912821</c:v>
                </c:pt>
                <c:pt idx="15">
                  <c:v>-0.13562414811659096</c:v>
                </c:pt>
                <c:pt idx="16">
                  <c:v>7.7659497292046353E-3</c:v>
                </c:pt>
                <c:pt idx="17">
                  <c:v>0.13698288252822977</c:v>
                </c:pt>
                <c:pt idx="18" formatCode="General">
                  <c:v>-0.37532379182387388</c:v>
                </c:pt>
                <c:pt idx="19" formatCode="General">
                  <c:v>0.27979574512603733</c:v>
                </c:pt>
                <c:pt idx="20" formatCode="General">
                  <c:v>0.36709627683354995</c:v>
                </c:pt>
                <c:pt idx="21" formatCode="General">
                  <c:v>0.21768332299232895</c:v>
                </c:pt>
                <c:pt idx="22" formatCode="General">
                  <c:v>0.41774455462469007</c:v>
                </c:pt>
              </c:numCache>
            </c:numRef>
          </c:val>
          <c:smooth val="0"/>
          <c:extLst>
            <c:ext xmlns:c16="http://schemas.microsoft.com/office/drawing/2014/chart" uri="{C3380CC4-5D6E-409C-BE32-E72D297353CC}">
              <c16:uniqueId val="{00000002-6CE9-4224-8FBC-95523140F1ED}"/>
            </c:ext>
          </c:extLst>
        </c:ser>
        <c:ser>
          <c:idx val="3"/>
          <c:order val="3"/>
          <c:tx>
            <c:strRef>
              <c:f>'souhrnná výkonnost 1'!$F$4</c:f>
              <c:strCache>
                <c:ptCount val="1"/>
                <c:pt idx="0">
                  <c:v>EU27 mezičtvrtletní změna</c:v>
                </c:pt>
              </c:strCache>
            </c:strRef>
          </c:tx>
          <c:spPr>
            <a:ln w="19050">
              <a:noFill/>
            </a:ln>
          </c:spPr>
          <c:marker>
            <c:symbol val="dash"/>
            <c:size val="8"/>
            <c:spPr>
              <a:solidFill>
                <a:srgbClr val="BD1B21"/>
              </a:solidFill>
              <a:ln>
                <a:noFill/>
              </a:ln>
            </c:spPr>
          </c:marker>
          <c:cat>
            <c:multiLvlStrRef>
              <c:f>'souhrnná výkonnost 1'!$A$9:$B$31</c:f>
              <c:multiLvlStrCache>
                <c:ptCount val="23"/>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lvl>
                <c:lvl>
                  <c:pt idx="0">
                    <c:v>2019</c:v>
                  </c:pt>
                  <c:pt idx="4">
                    <c:v>2020</c:v>
                  </c:pt>
                  <c:pt idx="8">
                    <c:v>2021</c:v>
                  </c:pt>
                  <c:pt idx="12">
                    <c:v>2022</c:v>
                  </c:pt>
                  <c:pt idx="16">
                    <c:v>2023</c:v>
                  </c:pt>
                  <c:pt idx="20">
                    <c:v>2024</c:v>
                  </c:pt>
                </c:lvl>
              </c:multiLvlStrCache>
            </c:multiLvlStrRef>
          </c:cat>
          <c:val>
            <c:numRef>
              <c:f>'souhrnná výkonnost 1'!$F$9:$F$31</c:f>
              <c:numCache>
                <c:formatCode>#\ ##0.##########</c:formatCode>
                <c:ptCount val="23"/>
                <c:pt idx="0">
                  <c:v>0.7</c:v>
                </c:pt>
                <c:pt idx="1">
                  <c:v>0.4</c:v>
                </c:pt>
                <c:pt idx="2">
                  <c:v>0.2</c:v>
                </c:pt>
                <c:pt idx="3">
                  <c:v>0.1</c:v>
                </c:pt>
                <c:pt idx="4" formatCode="#\ ##0.0">
                  <c:v>-3</c:v>
                </c:pt>
                <c:pt idx="5">
                  <c:v>-10.8</c:v>
                </c:pt>
                <c:pt idx="6" formatCode="#\ ##0.0">
                  <c:v>11</c:v>
                </c:pt>
                <c:pt idx="7">
                  <c:v>0.5</c:v>
                </c:pt>
                <c:pt idx="8">
                  <c:v>0.7</c:v>
                </c:pt>
                <c:pt idx="9">
                  <c:v>2.2000000000000002</c:v>
                </c:pt>
                <c:pt idx="10">
                  <c:v>1.8</c:v>
                </c:pt>
                <c:pt idx="11">
                  <c:v>0.9</c:v>
                </c:pt>
                <c:pt idx="12">
                  <c:v>0.6</c:v>
                </c:pt>
                <c:pt idx="13">
                  <c:v>0.8</c:v>
                </c:pt>
                <c:pt idx="14">
                  <c:v>0.5</c:v>
                </c:pt>
                <c:pt idx="15">
                  <c:v>-0.2</c:v>
                </c:pt>
                <c:pt idx="16">
                  <c:v>0.1</c:v>
                </c:pt>
                <c:pt idx="17" formatCode="#\ ##0.0">
                  <c:v>0</c:v>
                </c:pt>
                <c:pt idx="18">
                  <c:v>0.2</c:v>
                </c:pt>
                <c:pt idx="19">
                  <c:v>0.1</c:v>
                </c:pt>
                <c:pt idx="20">
                  <c:v>0.3</c:v>
                </c:pt>
                <c:pt idx="21">
                  <c:v>0.3</c:v>
                </c:pt>
                <c:pt idx="22">
                  <c:v>0.3</c:v>
                </c:pt>
              </c:numCache>
            </c:numRef>
          </c:val>
          <c:smooth val="0"/>
          <c:extLst>
            <c:ext xmlns:c16="http://schemas.microsoft.com/office/drawing/2014/chart" uri="{C3380CC4-5D6E-409C-BE32-E72D297353CC}">
              <c16:uniqueId val="{00000003-6CE9-4224-8FBC-95523140F1ED}"/>
            </c:ext>
          </c:extLst>
        </c:ser>
        <c:dLbls>
          <c:showLegendKey val="0"/>
          <c:showVal val="0"/>
          <c:showCatName val="0"/>
          <c:showSerName val="0"/>
          <c:showPercent val="0"/>
          <c:showBubbleSize val="0"/>
        </c:dLbls>
        <c:marker val="1"/>
        <c:smooth val="0"/>
        <c:axId val="267753344"/>
        <c:axId val="267767808"/>
      </c:lineChart>
      <c:catAx>
        <c:axId val="267753344"/>
        <c:scaling>
          <c:orientation val="minMax"/>
        </c:scaling>
        <c:delete val="0"/>
        <c:axPos val="b"/>
        <c:numFmt formatCode="General" sourceLinked="0"/>
        <c:majorTickMark val="out"/>
        <c:minorTickMark val="none"/>
        <c:tickLblPos val="low"/>
        <c:spPr>
          <a:ln>
            <a:solidFill>
              <a:schemeClr val="tx1"/>
            </a:solidFill>
          </a:ln>
        </c:spPr>
        <c:txPr>
          <a:bodyPr rot="0" vert="horz"/>
          <a:lstStyle/>
          <a:p>
            <a:pPr>
              <a:defRPr/>
            </a:pPr>
            <a:endParaRPr lang="cs-CZ"/>
          </a:p>
        </c:txPr>
        <c:crossAx val="267767808"/>
        <c:crosses val="autoZero"/>
        <c:auto val="1"/>
        <c:lblAlgn val="ctr"/>
        <c:lblOffset val="100"/>
        <c:noMultiLvlLbl val="0"/>
      </c:catAx>
      <c:valAx>
        <c:axId val="267767808"/>
        <c:scaling>
          <c:orientation val="minMax"/>
          <c:max val="15"/>
          <c:min val="-15"/>
        </c:scaling>
        <c:delete val="0"/>
        <c:axPos val="l"/>
        <c:majorGridlines>
          <c:spPr>
            <a:ln w="6350">
              <a:solidFill>
                <a:schemeClr val="bg1">
                  <a:lumMod val="75000"/>
                </a:schemeClr>
              </a:solidFill>
            </a:ln>
          </c:spPr>
        </c:majorGridlines>
        <c:numFmt formatCode="0" sourceLinked="0"/>
        <c:majorTickMark val="out"/>
        <c:minorTickMark val="none"/>
        <c:tickLblPos val="nextTo"/>
        <c:spPr>
          <a:ln>
            <a:solidFill>
              <a:schemeClr val="tx1"/>
            </a:solidFill>
          </a:ln>
        </c:spPr>
        <c:crossAx val="267753344"/>
        <c:crosses val="autoZero"/>
        <c:crossBetween val="between"/>
        <c:majorUnit val="3"/>
      </c:valAx>
      <c:spPr>
        <a:ln>
          <a:solidFill>
            <a:schemeClr val="tx1"/>
          </a:solidFill>
        </a:ln>
      </c:spPr>
    </c:plotArea>
    <c:legend>
      <c:legendPos val="b"/>
      <c:layout>
        <c:manualLayout>
          <c:xMode val="edge"/>
          <c:yMode val="edge"/>
          <c:x val="5.8431906450523471E-2"/>
          <c:y val="0.89437255125717996"/>
          <c:w val="0.91838441404930771"/>
          <c:h val="9.0301755758791014E-2"/>
        </c:manualLayout>
      </c:layout>
      <c:overlay val="0"/>
      <c:spPr>
        <a:ln w="6350">
          <a:solidFill>
            <a:schemeClr val="tx1"/>
          </a:solidFill>
        </a:ln>
      </c:spPr>
    </c:legend>
    <c:plotVisOnly val="1"/>
    <c:dispBlanksAs val="gap"/>
    <c:showDLblsOverMax val="0"/>
  </c:chart>
  <c:spPr>
    <a:ln>
      <a:noFill/>
    </a:ln>
  </c:spPr>
  <c:txPr>
    <a:bodyPr/>
    <a:lstStyle/>
    <a:p>
      <a:pPr>
        <a:defRPr sz="800" baseline="0">
          <a:latin typeface="Arial" pitchFamily="34" charset="0"/>
        </a:defRPr>
      </a:pPr>
      <a:endParaRPr lang="cs-CZ"/>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4.9629137115839245E-2"/>
          <c:y val="2.8458510079622041E-2"/>
          <c:w val="0.93688386524822698"/>
          <c:h val="0.67476668918158278"/>
        </c:manualLayout>
      </c:layout>
      <c:barChart>
        <c:barDir val="col"/>
        <c:grouping val="stacked"/>
        <c:varyColors val="0"/>
        <c:ser>
          <c:idx val="1"/>
          <c:order val="1"/>
          <c:tx>
            <c:strRef>
              <c:f>'souhrnná výkonnost 3'!$F$5</c:f>
              <c:strCache>
                <c:ptCount val="1"/>
                <c:pt idx="0">
                  <c:v>Bilance zahraničního obchodu</c:v>
                </c:pt>
              </c:strCache>
            </c:strRef>
          </c:tx>
          <c:spPr>
            <a:solidFill>
              <a:srgbClr val="7DBB2D"/>
            </a:solidFill>
            <a:ln>
              <a:noFill/>
            </a:ln>
          </c:spPr>
          <c:invertIfNegative val="0"/>
          <c:cat>
            <c:multiLvlStrRef>
              <c:f>'souhrnná výkonnost 3'!$A$10:$B$32</c:f>
              <c:multiLvlStrCache>
                <c:ptCount val="23"/>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lvl>
                <c:lvl>
                  <c:pt idx="0">
                    <c:v>2019</c:v>
                  </c:pt>
                  <c:pt idx="4">
                    <c:v>2020</c:v>
                  </c:pt>
                  <c:pt idx="8">
                    <c:v>2021</c:v>
                  </c:pt>
                  <c:pt idx="12">
                    <c:v>2022</c:v>
                  </c:pt>
                  <c:pt idx="16">
                    <c:v>2023</c:v>
                  </c:pt>
                  <c:pt idx="20">
                    <c:v>2024</c:v>
                  </c:pt>
                </c:lvl>
              </c:multiLvlStrCache>
            </c:multiLvlStrRef>
          </c:cat>
          <c:val>
            <c:numRef>
              <c:f>'souhrnná výkonnost 3'!$F$10:$F$32</c:f>
              <c:numCache>
                <c:formatCode>#\ ##0.0</c:formatCode>
                <c:ptCount val="23"/>
                <c:pt idx="0">
                  <c:v>-6.5470917658757233E-2</c:v>
                </c:pt>
                <c:pt idx="1">
                  <c:v>1.4494397815262756</c:v>
                </c:pt>
                <c:pt idx="2">
                  <c:v>1.519520930710476</c:v>
                </c:pt>
                <c:pt idx="3">
                  <c:v>-1.1386552968129167</c:v>
                </c:pt>
                <c:pt idx="4">
                  <c:v>-1.5054961152095412</c:v>
                </c:pt>
                <c:pt idx="5">
                  <c:v>-8.5652935026312509</c:v>
                </c:pt>
                <c:pt idx="6">
                  <c:v>-0.91701615307186923</c:v>
                </c:pt>
                <c:pt idx="7">
                  <c:v>1.6441945082634004</c:v>
                </c:pt>
                <c:pt idx="8">
                  <c:v>0.90880127021110413</c:v>
                </c:pt>
                <c:pt idx="9">
                  <c:v>6.124141351147399</c:v>
                </c:pt>
                <c:pt idx="10">
                  <c:v>-3.6522086207896334</c:v>
                </c:pt>
                <c:pt idx="11">
                  <c:v>-3.5019135769376728</c:v>
                </c:pt>
                <c:pt idx="12">
                  <c:v>-1.6832006565895616</c:v>
                </c:pt>
                <c:pt idx="13">
                  <c:v>-0.3806378126415233</c:v>
                </c:pt>
                <c:pt idx="14">
                  <c:v>3.408239118939032</c:v>
                </c:pt>
                <c:pt idx="15">
                  <c:v>1.4700226511684527</c:v>
                </c:pt>
                <c:pt idx="16">
                  <c:v>0.99148226513822246</c:v>
                </c:pt>
                <c:pt idx="17">
                  <c:v>1.5486267337540123</c:v>
                </c:pt>
                <c:pt idx="18">
                  <c:v>-0.56176321449408628</c:v>
                </c:pt>
                <c:pt idx="19">
                  <c:v>1.6209759868613784</c:v>
                </c:pt>
                <c:pt idx="20">
                  <c:v>0.69528733822130662</c:v>
                </c:pt>
                <c:pt idx="21">
                  <c:v>0.18555902701665564</c:v>
                </c:pt>
                <c:pt idx="22">
                  <c:v>0.1723867280314817</c:v>
                </c:pt>
              </c:numCache>
            </c:numRef>
          </c:val>
          <c:extLst>
            <c:ext xmlns:c16="http://schemas.microsoft.com/office/drawing/2014/chart" uri="{C3380CC4-5D6E-409C-BE32-E72D297353CC}">
              <c16:uniqueId val="{00000000-ED3F-412C-8C54-E80B0E54AA10}"/>
            </c:ext>
          </c:extLst>
        </c:ser>
        <c:ser>
          <c:idx val="2"/>
          <c:order val="2"/>
          <c:tx>
            <c:strRef>
              <c:f>'souhrnná výkonnost 3'!$H$5</c:f>
              <c:strCache>
                <c:ptCount val="1"/>
                <c:pt idx="0">
                  <c:v>Změna zásob</c:v>
                </c:pt>
              </c:strCache>
            </c:strRef>
          </c:tx>
          <c:spPr>
            <a:solidFill>
              <a:srgbClr val="E8AFB2"/>
            </a:solidFill>
            <a:ln>
              <a:noFill/>
            </a:ln>
          </c:spPr>
          <c:invertIfNegative val="0"/>
          <c:cat>
            <c:multiLvlStrRef>
              <c:f>'souhrnná výkonnost 3'!$A$10:$B$32</c:f>
              <c:multiLvlStrCache>
                <c:ptCount val="23"/>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lvl>
                <c:lvl>
                  <c:pt idx="0">
                    <c:v>2019</c:v>
                  </c:pt>
                  <c:pt idx="4">
                    <c:v>2020</c:v>
                  </c:pt>
                  <c:pt idx="8">
                    <c:v>2021</c:v>
                  </c:pt>
                  <c:pt idx="12">
                    <c:v>2022</c:v>
                  </c:pt>
                  <c:pt idx="16">
                    <c:v>2023</c:v>
                  </c:pt>
                  <c:pt idx="20">
                    <c:v>2024</c:v>
                  </c:pt>
                </c:lvl>
              </c:multiLvlStrCache>
            </c:multiLvlStrRef>
          </c:cat>
          <c:val>
            <c:numRef>
              <c:f>'souhrnná výkonnost 3'!$H$10:$H$32</c:f>
              <c:numCache>
                <c:formatCode>#\ ##0.0</c:formatCode>
                <c:ptCount val="23"/>
                <c:pt idx="0">
                  <c:v>-3.4866839032703018E-2</c:v>
                </c:pt>
                <c:pt idx="1">
                  <c:v>-1.2132673218827674</c:v>
                </c:pt>
                <c:pt idx="2">
                  <c:v>-0.61640554015347881</c:v>
                </c:pt>
                <c:pt idx="3">
                  <c:v>1.8990615757299067</c:v>
                </c:pt>
                <c:pt idx="4">
                  <c:v>-0.40340689033643318</c:v>
                </c:pt>
                <c:pt idx="5">
                  <c:v>0.49746610716149758</c:v>
                </c:pt>
                <c:pt idx="6">
                  <c:v>-1.209597715652736</c:v>
                </c:pt>
                <c:pt idx="7">
                  <c:v>-2.2124027001017974</c:v>
                </c:pt>
                <c:pt idx="8">
                  <c:v>0.41264966656715685</c:v>
                </c:pt>
                <c:pt idx="9">
                  <c:v>0.57206005966288753</c:v>
                </c:pt>
                <c:pt idx="10">
                  <c:v>2.5716584196045469</c:v>
                </c:pt>
                <c:pt idx="11">
                  <c:v>1.3737502139548177</c:v>
                </c:pt>
                <c:pt idx="12">
                  <c:v>0.60915917645428019</c:v>
                </c:pt>
                <c:pt idx="13">
                  <c:v>1.6317613698141717</c:v>
                </c:pt>
                <c:pt idx="14">
                  <c:v>-0.7854278742999391</c:v>
                </c:pt>
                <c:pt idx="15">
                  <c:v>1.1886488133455293</c:v>
                </c:pt>
                <c:pt idx="16">
                  <c:v>0.43754644515722202</c:v>
                </c:pt>
                <c:pt idx="17">
                  <c:v>-1.3395842037813757</c:v>
                </c:pt>
                <c:pt idx="18">
                  <c:v>-0.17438299598556015</c:v>
                </c:pt>
                <c:pt idx="19">
                  <c:v>-3.4468378946903475</c:v>
                </c:pt>
                <c:pt idx="20">
                  <c:v>-2.7735470600555918</c:v>
                </c:pt>
                <c:pt idx="21">
                  <c:v>-1.9242397758118626</c:v>
                </c:pt>
                <c:pt idx="22">
                  <c:v>-0.67644093997057575</c:v>
                </c:pt>
              </c:numCache>
            </c:numRef>
          </c:val>
          <c:extLst>
            <c:ext xmlns:c16="http://schemas.microsoft.com/office/drawing/2014/chart" uri="{C3380CC4-5D6E-409C-BE32-E72D297353CC}">
              <c16:uniqueId val="{00000001-ED3F-412C-8C54-E80B0E54AA10}"/>
            </c:ext>
          </c:extLst>
        </c:ser>
        <c:ser>
          <c:idx val="3"/>
          <c:order val="3"/>
          <c:tx>
            <c:strRef>
              <c:f>'souhrnná výkonnost 3'!$G$5</c:f>
              <c:strCache>
                <c:ptCount val="1"/>
                <c:pt idx="0">
                  <c:v>Tvorba hrubého fixního kapitálu</c:v>
                </c:pt>
              </c:strCache>
            </c:strRef>
          </c:tx>
          <c:spPr>
            <a:solidFill>
              <a:srgbClr val="BD1B21"/>
            </a:solidFill>
            <a:ln>
              <a:noFill/>
            </a:ln>
          </c:spPr>
          <c:invertIfNegative val="0"/>
          <c:cat>
            <c:multiLvlStrRef>
              <c:f>'souhrnná výkonnost 3'!$A$10:$B$32</c:f>
              <c:multiLvlStrCache>
                <c:ptCount val="23"/>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lvl>
                <c:lvl>
                  <c:pt idx="0">
                    <c:v>2019</c:v>
                  </c:pt>
                  <c:pt idx="4">
                    <c:v>2020</c:v>
                  </c:pt>
                  <c:pt idx="8">
                    <c:v>2021</c:v>
                  </c:pt>
                  <c:pt idx="12">
                    <c:v>2022</c:v>
                  </c:pt>
                  <c:pt idx="16">
                    <c:v>2023</c:v>
                  </c:pt>
                  <c:pt idx="20">
                    <c:v>2024</c:v>
                  </c:pt>
                </c:lvl>
              </c:multiLvlStrCache>
            </c:multiLvlStrRef>
          </c:cat>
          <c:val>
            <c:numRef>
              <c:f>'souhrnná výkonnost 3'!$G$10:$G$32</c:f>
              <c:numCache>
                <c:formatCode>#\ ##0.0</c:formatCode>
                <c:ptCount val="23"/>
                <c:pt idx="0">
                  <c:v>1.8598270900589087</c:v>
                </c:pt>
                <c:pt idx="1">
                  <c:v>1.4526192483422518</c:v>
                </c:pt>
                <c:pt idx="2">
                  <c:v>1.0268088605058696</c:v>
                </c:pt>
                <c:pt idx="3">
                  <c:v>0.94075204306872073</c:v>
                </c:pt>
                <c:pt idx="4">
                  <c:v>-0.26111659305966983</c:v>
                </c:pt>
                <c:pt idx="5">
                  <c:v>0.14044234588323476</c:v>
                </c:pt>
                <c:pt idx="6">
                  <c:v>-1.1114194663634265</c:v>
                </c:pt>
                <c:pt idx="7">
                  <c:v>-1.2151629007980274</c:v>
                </c:pt>
                <c:pt idx="8">
                  <c:v>0.15781509790362797</c:v>
                </c:pt>
                <c:pt idx="9">
                  <c:v>7.3809702465127386E-2</c:v>
                </c:pt>
                <c:pt idx="10">
                  <c:v>1.9668146761327148</c:v>
                </c:pt>
                <c:pt idx="11">
                  <c:v>2.0385637566612256</c:v>
                </c:pt>
                <c:pt idx="12">
                  <c:v>2.1230773688868023</c:v>
                </c:pt>
                <c:pt idx="13">
                  <c:v>1.4912941413364145</c:v>
                </c:pt>
                <c:pt idx="14">
                  <c:v>0.94577481141240138</c:v>
                </c:pt>
                <c:pt idx="15">
                  <c:v>0.73322343987834782</c:v>
                </c:pt>
                <c:pt idx="16">
                  <c:v>0.4888139719141027</c:v>
                </c:pt>
                <c:pt idx="17">
                  <c:v>0.90164501226849947</c:v>
                </c:pt>
                <c:pt idx="18">
                  <c:v>0.75955977787894546</c:v>
                </c:pt>
                <c:pt idx="19">
                  <c:v>0.85240290842308541</c:v>
                </c:pt>
                <c:pt idx="20">
                  <c:v>0.28169901050659935</c:v>
                </c:pt>
                <c:pt idx="21">
                  <c:v>0.26732012507503761</c:v>
                </c:pt>
                <c:pt idx="22">
                  <c:v>-0.25571985080217535</c:v>
                </c:pt>
              </c:numCache>
            </c:numRef>
          </c:val>
          <c:extLst>
            <c:ext xmlns:c16="http://schemas.microsoft.com/office/drawing/2014/chart" uri="{C3380CC4-5D6E-409C-BE32-E72D297353CC}">
              <c16:uniqueId val="{00000002-ED3F-412C-8C54-E80B0E54AA10}"/>
            </c:ext>
          </c:extLst>
        </c:ser>
        <c:ser>
          <c:idx val="5"/>
          <c:order val="4"/>
          <c:tx>
            <c:strRef>
              <c:f>'souhrnná výkonnost 3'!$D$5</c:f>
              <c:strCache>
                <c:ptCount val="1"/>
                <c:pt idx="0">
                  <c:v>Výdaje na konečnou spotřebu domácností (vč. nezisk. inst.)</c:v>
                </c:pt>
              </c:strCache>
            </c:strRef>
          </c:tx>
          <c:spPr>
            <a:solidFill>
              <a:srgbClr val="0071BC"/>
            </a:solidFill>
            <a:ln>
              <a:noFill/>
            </a:ln>
          </c:spPr>
          <c:invertIfNegative val="0"/>
          <c:cat>
            <c:multiLvlStrRef>
              <c:f>'souhrnná výkonnost 3'!$A$10:$B$32</c:f>
              <c:multiLvlStrCache>
                <c:ptCount val="23"/>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lvl>
                <c:lvl>
                  <c:pt idx="0">
                    <c:v>2019</c:v>
                  </c:pt>
                  <c:pt idx="4">
                    <c:v>2020</c:v>
                  </c:pt>
                  <c:pt idx="8">
                    <c:v>2021</c:v>
                  </c:pt>
                  <c:pt idx="12">
                    <c:v>2022</c:v>
                  </c:pt>
                  <c:pt idx="16">
                    <c:v>2023</c:v>
                  </c:pt>
                  <c:pt idx="20">
                    <c:v>2024</c:v>
                  </c:pt>
                </c:lvl>
              </c:multiLvlStrCache>
            </c:multiLvlStrRef>
          </c:cat>
          <c:val>
            <c:numRef>
              <c:f>'souhrnná výkonnost 3'!$D$10:$D$32</c:f>
              <c:numCache>
                <c:formatCode>#\ ##0.0</c:formatCode>
                <c:ptCount val="23"/>
                <c:pt idx="0">
                  <c:v>1.0610692201073997</c:v>
                </c:pt>
                <c:pt idx="1">
                  <c:v>1.3164628896440984</c:v>
                </c:pt>
                <c:pt idx="2">
                  <c:v>1.1800657067488647</c:v>
                </c:pt>
                <c:pt idx="3">
                  <c:v>1.3325646204971671</c:v>
                </c:pt>
                <c:pt idx="4">
                  <c:v>-0.2398228716655057</c:v>
                </c:pt>
                <c:pt idx="5">
                  <c:v>-3.2567035122644707</c:v>
                </c:pt>
                <c:pt idx="6">
                  <c:v>-1.7740710022653545</c:v>
                </c:pt>
                <c:pt idx="7">
                  <c:v>-4.0888509658039061</c:v>
                </c:pt>
                <c:pt idx="8">
                  <c:v>-2.6303429796363251</c:v>
                </c:pt>
                <c:pt idx="9">
                  <c:v>3.0130078291252422</c:v>
                </c:pt>
                <c:pt idx="10">
                  <c:v>1.9847068901687124</c:v>
                </c:pt>
                <c:pt idx="11">
                  <c:v>3.7365176773416025</c:v>
                </c:pt>
                <c:pt idx="12">
                  <c:v>3.291044005952056</c:v>
                </c:pt>
                <c:pt idx="13">
                  <c:v>0.17808535886856286</c:v>
                </c:pt>
                <c:pt idx="14">
                  <c:v>-1.2688125161868613</c:v>
                </c:pt>
                <c:pt idx="15">
                  <c:v>-2.1014518367129478</c:v>
                </c:pt>
                <c:pt idx="16">
                  <c:v>-2.3008050226579631</c:v>
                </c:pt>
                <c:pt idx="17">
                  <c:v>-1.4637608387691801</c:v>
                </c:pt>
                <c:pt idx="18">
                  <c:v>-1.0832185050335064</c:v>
                </c:pt>
                <c:pt idx="19">
                  <c:v>0.19677657995487871</c:v>
                </c:pt>
                <c:pt idx="20">
                  <c:v>1.5771014655961191</c:v>
                </c:pt>
                <c:pt idx="21">
                  <c:v>1.0531479577441343</c:v>
                </c:pt>
                <c:pt idx="22">
                  <c:v>1.4034195568598644</c:v>
                </c:pt>
              </c:numCache>
            </c:numRef>
          </c:val>
          <c:extLst>
            <c:ext xmlns:c16="http://schemas.microsoft.com/office/drawing/2014/chart" uri="{C3380CC4-5D6E-409C-BE32-E72D297353CC}">
              <c16:uniqueId val="{00000003-ED3F-412C-8C54-E80B0E54AA10}"/>
            </c:ext>
          </c:extLst>
        </c:ser>
        <c:ser>
          <c:idx val="4"/>
          <c:order val="5"/>
          <c:tx>
            <c:strRef>
              <c:f>'souhrnná výkonnost 3'!$E$5</c:f>
              <c:strCache>
                <c:ptCount val="1"/>
                <c:pt idx="0">
                  <c:v>Výdaje na konečnou spotřebu vládních institucí</c:v>
                </c:pt>
              </c:strCache>
            </c:strRef>
          </c:tx>
          <c:spPr>
            <a:solidFill>
              <a:srgbClr val="A6CDE8"/>
            </a:solidFill>
            <a:ln>
              <a:noFill/>
            </a:ln>
          </c:spPr>
          <c:invertIfNegative val="0"/>
          <c:cat>
            <c:multiLvlStrRef>
              <c:f>'souhrnná výkonnost 3'!$A$10:$B$32</c:f>
              <c:multiLvlStrCache>
                <c:ptCount val="23"/>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lvl>
                <c:lvl>
                  <c:pt idx="0">
                    <c:v>2019</c:v>
                  </c:pt>
                  <c:pt idx="4">
                    <c:v>2020</c:v>
                  </c:pt>
                  <c:pt idx="8">
                    <c:v>2021</c:v>
                  </c:pt>
                  <c:pt idx="12">
                    <c:v>2022</c:v>
                  </c:pt>
                  <c:pt idx="16">
                    <c:v>2023</c:v>
                  </c:pt>
                  <c:pt idx="20">
                    <c:v>2024</c:v>
                  </c:pt>
                </c:lvl>
              </c:multiLvlStrCache>
            </c:multiLvlStrRef>
          </c:cat>
          <c:val>
            <c:numRef>
              <c:f>'souhrnná výkonnost 3'!$E$10:$E$32</c:f>
              <c:numCache>
                <c:formatCode>#\ ##0.0</c:formatCode>
                <c:ptCount val="23"/>
                <c:pt idx="0">
                  <c:v>0.52373870610125262</c:v>
                </c:pt>
                <c:pt idx="1">
                  <c:v>0.54525241929613355</c:v>
                </c:pt>
                <c:pt idx="2">
                  <c:v>0.53390853668406757</c:v>
                </c:pt>
                <c:pt idx="3">
                  <c:v>0.2780405319991846</c:v>
                </c:pt>
                <c:pt idx="4">
                  <c:v>0.85273575497086629</c:v>
                </c:pt>
                <c:pt idx="5">
                  <c:v>0.57219907272847048</c:v>
                </c:pt>
                <c:pt idx="6">
                  <c:v>0.31382004358461796</c:v>
                </c:pt>
                <c:pt idx="7">
                  <c:v>1.4192241054465731</c:v>
                </c:pt>
                <c:pt idx="8">
                  <c:v>-0.12340214907979793</c:v>
                </c:pt>
                <c:pt idx="9">
                  <c:v>-7.2907474861005656E-2</c:v>
                </c:pt>
                <c:pt idx="10">
                  <c:v>1.000714083725422</c:v>
                </c:pt>
                <c:pt idx="11">
                  <c:v>8.8247719969204746E-2</c:v>
                </c:pt>
                <c:pt idx="12">
                  <c:v>0.37181697618378928</c:v>
                </c:pt>
                <c:pt idx="13">
                  <c:v>0.57371034145730837</c:v>
                </c:pt>
                <c:pt idx="14">
                  <c:v>-0.32873762938072321</c:v>
                </c:pt>
                <c:pt idx="15">
                  <c:v>-0.30389432882498219</c:v>
                </c:pt>
                <c:pt idx="16">
                  <c:v>0.62053959222904453</c:v>
                </c:pt>
                <c:pt idx="17">
                  <c:v>0.55825256660682321</c:v>
                </c:pt>
                <c:pt idx="18">
                  <c:v>0.71530175534262508</c:v>
                </c:pt>
                <c:pt idx="19">
                  <c:v>0.74432066621940118</c:v>
                </c:pt>
                <c:pt idx="20">
                  <c:v>0.64576039278556396</c:v>
                </c:pt>
                <c:pt idx="21">
                  <c:v>0.84763259222540521</c:v>
                </c:pt>
                <c:pt idx="22">
                  <c:v>0.57409931604495146</c:v>
                </c:pt>
              </c:numCache>
            </c:numRef>
          </c:val>
          <c:extLst>
            <c:ext xmlns:c16="http://schemas.microsoft.com/office/drawing/2014/chart" uri="{C3380CC4-5D6E-409C-BE32-E72D297353CC}">
              <c16:uniqueId val="{00000004-ED3F-412C-8C54-E80B0E54AA10}"/>
            </c:ext>
          </c:extLst>
        </c:ser>
        <c:dLbls>
          <c:showLegendKey val="0"/>
          <c:showVal val="0"/>
          <c:showCatName val="0"/>
          <c:showSerName val="0"/>
          <c:showPercent val="0"/>
          <c:showBubbleSize val="0"/>
        </c:dLbls>
        <c:gapWidth val="90"/>
        <c:overlap val="100"/>
        <c:axId val="267591040"/>
        <c:axId val="267605120"/>
      </c:barChart>
      <c:lineChart>
        <c:grouping val="standard"/>
        <c:varyColors val="0"/>
        <c:ser>
          <c:idx val="0"/>
          <c:order val="0"/>
          <c:tx>
            <c:strRef>
              <c:f>'souhrnná výkonnost 3'!$C$5</c:f>
              <c:strCache>
                <c:ptCount val="1"/>
                <c:pt idx="0">
                  <c:v>HDP</c:v>
                </c:pt>
              </c:strCache>
            </c:strRef>
          </c:tx>
          <c:spPr>
            <a:ln>
              <a:solidFill>
                <a:prstClr val="black"/>
              </a:solidFill>
            </a:ln>
          </c:spPr>
          <c:marker>
            <c:symbol val="none"/>
          </c:marker>
          <c:cat>
            <c:multiLvlStrRef>
              <c:f>'souhrnná výkonnost 3'!$A$10:$B$32</c:f>
              <c:multiLvlStrCache>
                <c:ptCount val="23"/>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lvl>
                <c:lvl>
                  <c:pt idx="0">
                    <c:v>2019</c:v>
                  </c:pt>
                  <c:pt idx="4">
                    <c:v>2020</c:v>
                  </c:pt>
                  <c:pt idx="8">
                    <c:v>2021</c:v>
                  </c:pt>
                  <c:pt idx="12">
                    <c:v>2022</c:v>
                  </c:pt>
                  <c:pt idx="16">
                    <c:v>2023</c:v>
                  </c:pt>
                  <c:pt idx="20">
                    <c:v>2024</c:v>
                  </c:pt>
                </c:lvl>
              </c:multiLvlStrCache>
            </c:multiLvlStrRef>
          </c:cat>
          <c:val>
            <c:numRef>
              <c:f>'souhrnná výkonnost 3'!$C$10:$C$32</c:f>
              <c:numCache>
                <c:formatCode>#\ ##0.0</c:formatCode>
                <c:ptCount val="23"/>
                <c:pt idx="0">
                  <c:v>3.4189743822717418</c:v>
                </c:pt>
                <c:pt idx="1">
                  <c:v>3.6132085037347395</c:v>
                </c:pt>
                <c:pt idx="2">
                  <c:v>3.68258658026825</c:v>
                </c:pt>
                <c:pt idx="3">
                  <c:v>3.3200025771466812</c:v>
                </c:pt>
                <c:pt idx="4">
                  <c:v>-1.5502005609675251</c:v>
                </c:pt>
                <c:pt idx="5">
                  <c:v>-10.594910497246218</c:v>
                </c:pt>
                <c:pt idx="6">
                  <c:v>-4.701156102682063</c:v>
                </c:pt>
                <c:pt idx="7">
                  <c:v>-4.4366371482296927</c:v>
                </c:pt>
                <c:pt idx="8">
                  <c:v>-1.2288405930294743</c:v>
                </c:pt>
                <c:pt idx="9">
                  <c:v>9.7404194240672268</c:v>
                </c:pt>
                <c:pt idx="10">
                  <c:v>3.9736917575390152</c:v>
                </c:pt>
                <c:pt idx="11">
                  <c:v>3.9029621018868283</c:v>
                </c:pt>
                <c:pt idx="12">
                  <c:v>4.8436882638427221</c:v>
                </c:pt>
                <c:pt idx="13">
                  <c:v>3.6483483455527903</c:v>
                </c:pt>
                <c:pt idx="14">
                  <c:v>2.0520278440471884</c:v>
                </c:pt>
                <c:pt idx="15">
                  <c:v>0.95155160469528255</c:v>
                </c:pt>
                <c:pt idx="16">
                  <c:v>0.28193578758093452</c:v>
                </c:pt>
                <c:pt idx="17">
                  <c:v>0.17520415357661534</c:v>
                </c:pt>
                <c:pt idx="18">
                  <c:v>-0.36641485385997896</c:v>
                </c:pt>
                <c:pt idx="19">
                  <c:v>4.8036623275507395E-2</c:v>
                </c:pt>
                <c:pt idx="20">
                  <c:v>0.4075421265811201</c:v>
                </c:pt>
                <c:pt idx="21">
                  <c:v>0.4884456068714087</c:v>
                </c:pt>
                <c:pt idx="22">
                  <c:v>1.2883575979799815</c:v>
                </c:pt>
              </c:numCache>
            </c:numRef>
          </c:val>
          <c:smooth val="0"/>
          <c:extLst>
            <c:ext xmlns:c16="http://schemas.microsoft.com/office/drawing/2014/chart" uri="{C3380CC4-5D6E-409C-BE32-E72D297353CC}">
              <c16:uniqueId val="{00000005-ED3F-412C-8C54-E80B0E54AA10}"/>
            </c:ext>
          </c:extLst>
        </c:ser>
        <c:dLbls>
          <c:showLegendKey val="0"/>
          <c:showVal val="0"/>
          <c:showCatName val="0"/>
          <c:showSerName val="0"/>
          <c:showPercent val="0"/>
          <c:showBubbleSize val="0"/>
        </c:dLbls>
        <c:marker val="1"/>
        <c:smooth val="0"/>
        <c:axId val="267591040"/>
        <c:axId val="267605120"/>
      </c:lineChart>
      <c:catAx>
        <c:axId val="267591040"/>
        <c:scaling>
          <c:orientation val="minMax"/>
        </c:scaling>
        <c:delete val="0"/>
        <c:axPos val="b"/>
        <c:numFmt formatCode="General" sourceLinked="1"/>
        <c:majorTickMark val="out"/>
        <c:minorTickMark val="none"/>
        <c:tickLblPos val="low"/>
        <c:spPr>
          <a:ln>
            <a:solidFill>
              <a:schemeClr val="tx1"/>
            </a:solidFill>
          </a:ln>
        </c:spPr>
        <c:txPr>
          <a:bodyPr rot="0" vert="horz"/>
          <a:lstStyle/>
          <a:p>
            <a:pPr>
              <a:defRPr/>
            </a:pPr>
            <a:endParaRPr lang="cs-CZ"/>
          </a:p>
        </c:txPr>
        <c:crossAx val="267605120"/>
        <c:crosses val="autoZero"/>
        <c:auto val="1"/>
        <c:lblAlgn val="ctr"/>
        <c:lblOffset val="100"/>
        <c:noMultiLvlLbl val="0"/>
      </c:catAx>
      <c:valAx>
        <c:axId val="267605120"/>
        <c:scaling>
          <c:orientation val="minMax"/>
          <c:max val="10"/>
          <c:min val="-12"/>
        </c:scaling>
        <c:delete val="0"/>
        <c:axPos val="l"/>
        <c:majorGridlines>
          <c:spPr>
            <a:ln w="6350">
              <a:solidFill>
                <a:schemeClr val="bg1">
                  <a:lumMod val="75000"/>
                </a:schemeClr>
              </a:solidFill>
            </a:ln>
          </c:spPr>
        </c:majorGridlines>
        <c:numFmt formatCode="#,##0" sourceLinked="0"/>
        <c:majorTickMark val="out"/>
        <c:minorTickMark val="none"/>
        <c:tickLblPos val="nextTo"/>
        <c:spPr>
          <a:ln>
            <a:solidFill>
              <a:schemeClr val="tx1"/>
            </a:solidFill>
          </a:ln>
        </c:spPr>
        <c:crossAx val="267591040"/>
        <c:crosses val="autoZero"/>
        <c:crossBetween val="between"/>
        <c:majorUnit val="2"/>
      </c:valAx>
      <c:spPr>
        <a:ln>
          <a:solidFill>
            <a:schemeClr val="tx1"/>
          </a:solidFill>
        </a:ln>
      </c:spPr>
    </c:plotArea>
    <c:legend>
      <c:legendPos val="b"/>
      <c:layout>
        <c:manualLayout>
          <c:xMode val="edge"/>
          <c:yMode val="edge"/>
          <c:x val="4.7571766295170556E-2"/>
          <c:y val="0.81445992344928519"/>
          <c:w val="0.94432624113475194"/>
          <c:h val="0.17481734774287963"/>
        </c:manualLayout>
      </c:layout>
      <c:overlay val="0"/>
      <c:spPr>
        <a:ln w="6350">
          <a:solidFill>
            <a:schemeClr val="tx1"/>
          </a:solidFill>
        </a:ln>
      </c:spPr>
    </c:legend>
    <c:plotVisOnly val="1"/>
    <c:dispBlanksAs val="gap"/>
    <c:showDLblsOverMax val="0"/>
  </c:chart>
  <c:spPr>
    <a:ln>
      <a:noFill/>
    </a:ln>
  </c:spPr>
  <c:txPr>
    <a:bodyPr/>
    <a:lstStyle/>
    <a:p>
      <a:pPr>
        <a:defRPr sz="800" baseline="0">
          <a:latin typeface="Arial" pitchFamily="34" charset="0"/>
        </a:defRPr>
      </a:pPr>
      <a:endParaRPr lang="cs-CZ"/>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5126857480580882E-2"/>
          <c:y val="2.9499886988623526E-2"/>
          <c:w val="0.9260266801756164"/>
          <c:h val="0.63445260610154264"/>
        </c:manualLayout>
      </c:layout>
      <c:barChart>
        <c:barDir val="col"/>
        <c:grouping val="stacked"/>
        <c:varyColors val="0"/>
        <c:ser>
          <c:idx val="4"/>
          <c:order val="0"/>
          <c:tx>
            <c:strRef>
              <c:f>'souhrnná výkonnost 4'!$C$5</c:f>
              <c:strCache>
                <c:ptCount val="1"/>
                <c:pt idx="0">
                  <c:v>Zemědělství, lesnictví a rybářství</c:v>
                </c:pt>
              </c:strCache>
            </c:strRef>
          </c:tx>
          <c:spPr>
            <a:solidFill>
              <a:srgbClr val="0071BC"/>
            </a:solidFill>
            <a:ln>
              <a:noFill/>
            </a:ln>
          </c:spPr>
          <c:invertIfNegative val="0"/>
          <c:val>
            <c:numRef>
              <c:f>'souhrnná výkonnost 4'!$C$10:$C$32</c:f>
              <c:numCache>
                <c:formatCode>#\ ##0.0</c:formatCode>
                <c:ptCount val="23"/>
                <c:pt idx="0">
                  <c:v>6.9952669722000996E-2</c:v>
                </c:pt>
                <c:pt idx="1">
                  <c:v>8.174334759303449E-2</c:v>
                </c:pt>
                <c:pt idx="2">
                  <c:v>0.11063000390967299</c:v>
                </c:pt>
                <c:pt idx="3">
                  <c:v>0.14033996982585203</c:v>
                </c:pt>
                <c:pt idx="4">
                  <c:v>0.15822035579434848</c:v>
                </c:pt>
                <c:pt idx="5">
                  <c:v>0.16572640891485885</c:v>
                </c:pt>
                <c:pt idx="6">
                  <c:v>0.14884192396827553</c:v>
                </c:pt>
                <c:pt idx="7">
                  <c:v>0.10349029376913045</c:v>
                </c:pt>
                <c:pt idx="8">
                  <c:v>-0.20943707470562339</c:v>
                </c:pt>
                <c:pt idx="9">
                  <c:v>-0.34449179443466599</c:v>
                </c:pt>
                <c:pt idx="10">
                  <c:v>-0.32209602561974893</c:v>
                </c:pt>
                <c:pt idx="11">
                  <c:v>-0.29333634112949242</c:v>
                </c:pt>
                <c:pt idx="12">
                  <c:v>1.4650416130809454E-3</c:v>
                </c:pt>
                <c:pt idx="13">
                  <c:v>7.8507188492409424E-2</c:v>
                </c:pt>
                <c:pt idx="14">
                  <c:v>3.9960777137645544E-2</c:v>
                </c:pt>
                <c:pt idx="15">
                  <c:v>-2.0459404335135881E-2</c:v>
                </c:pt>
                <c:pt idx="16">
                  <c:v>-3.2655587870534268E-3</c:v>
                </c:pt>
                <c:pt idx="17">
                  <c:v>-3.3619257921654828E-2</c:v>
                </c:pt>
                <c:pt idx="18">
                  <c:v>-3.1390438780173682E-2</c:v>
                </c:pt>
                <c:pt idx="19">
                  <c:v>-1.8726041672651388E-2</c:v>
                </c:pt>
                <c:pt idx="20">
                  <c:v>2.5899734689125427E-3</c:v>
                </c:pt>
                <c:pt idx="21">
                  <c:v>-6.2457577432536882E-2</c:v>
                </c:pt>
                <c:pt idx="22">
                  <c:v>-3.3641281584525777E-2</c:v>
                </c:pt>
              </c:numCache>
            </c:numRef>
          </c:val>
          <c:extLst>
            <c:ext xmlns:c16="http://schemas.microsoft.com/office/drawing/2014/chart" uri="{C3380CC4-5D6E-409C-BE32-E72D297353CC}">
              <c16:uniqueId val="{00000000-5710-4648-8FC1-50E3D78D75C8}"/>
            </c:ext>
          </c:extLst>
        </c:ser>
        <c:ser>
          <c:idx val="3"/>
          <c:order val="1"/>
          <c:tx>
            <c:strRef>
              <c:f>'souhrnná výkonnost 4'!$D$5</c:f>
              <c:strCache>
                <c:ptCount val="1"/>
                <c:pt idx="0">
                  <c:v>Zpracovatelský průmysl (CZ-NACE C)</c:v>
                </c:pt>
              </c:strCache>
            </c:strRef>
          </c:tx>
          <c:spPr>
            <a:solidFill>
              <a:srgbClr val="A6CDE8"/>
            </a:solidFill>
            <a:ln>
              <a:noFill/>
            </a:ln>
          </c:spPr>
          <c:invertIfNegative val="0"/>
          <c:val>
            <c:numRef>
              <c:f>'souhrnná výkonnost 4'!$D$10:$D$32</c:f>
              <c:numCache>
                <c:formatCode>#\ ##0.0</c:formatCode>
                <c:ptCount val="23"/>
                <c:pt idx="0">
                  <c:v>0.79286837781479091</c:v>
                </c:pt>
                <c:pt idx="1">
                  <c:v>1.3034853573072027</c:v>
                </c:pt>
                <c:pt idx="2">
                  <c:v>1.2859805485632667</c:v>
                </c:pt>
                <c:pt idx="3">
                  <c:v>0.76399660901596278</c:v>
                </c:pt>
                <c:pt idx="4">
                  <c:v>-1.006029365184558</c:v>
                </c:pt>
                <c:pt idx="5">
                  <c:v>-5.8707476654845019</c:v>
                </c:pt>
                <c:pt idx="6">
                  <c:v>-2.1566635032660484</c:v>
                </c:pt>
                <c:pt idx="7">
                  <c:v>-1.5364269842490534</c:v>
                </c:pt>
                <c:pt idx="8">
                  <c:v>-0.81082301657390887</c:v>
                </c:pt>
                <c:pt idx="9">
                  <c:v>3.9743747095561068</c:v>
                </c:pt>
                <c:pt idx="10">
                  <c:v>-0.74888372469617781</c:v>
                </c:pt>
                <c:pt idx="11">
                  <c:v>-0.87291327125667473</c:v>
                </c:pt>
                <c:pt idx="12">
                  <c:v>0.64528350075532714</c:v>
                </c:pt>
                <c:pt idx="13">
                  <c:v>1.5767749269534403</c:v>
                </c:pt>
                <c:pt idx="14">
                  <c:v>2.2578630988104651</c:v>
                </c:pt>
                <c:pt idx="15">
                  <c:v>2.6492927635274892</c:v>
                </c:pt>
                <c:pt idx="16">
                  <c:v>1.5080733306136302</c:v>
                </c:pt>
                <c:pt idx="17">
                  <c:v>0.73424780372392695</c:v>
                </c:pt>
                <c:pt idx="18">
                  <c:v>0.18208075989036024</c:v>
                </c:pt>
                <c:pt idx="19">
                  <c:v>0.32030491527239691</c:v>
                </c:pt>
                <c:pt idx="20">
                  <c:v>-0.40635422888252737</c:v>
                </c:pt>
                <c:pt idx="21">
                  <c:v>-0.62245911595116221</c:v>
                </c:pt>
                <c:pt idx="22">
                  <c:v>-1.7463326173814721E-2</c:v>
                </c:pt>
              </c:numCache>
            </c:numRef>
          </c:val>
          <c:extLst>
            <c:ext xmlns:c16="http://schemas.microsoft.com/office/drawing/2014/chart" uri="{C3380CC4-5D6E-409C-BE32-E72D297353CC}">
              <c16:uniqueId val="{00000001-5710-4648-8FC1-50E3D78D75C8}"/>
            </c:ext>
          </c:extLst>
        </c:ser>
        <c:ser>
          <c:idx val="2"/>
          <c:order val="2"/>
          <c:tx>
            <c:strRef>
              <c:f>'souhrnná výkonnost 4'!$E$5</c:f>
              <c:strCache>
                <c:ptCount val="1"/>
                <c:pt idx="0">
                  <c:v>Ostatní průmyslová odvětví (CZ-NACE B, D, E)</c:v>
                </c:pt>
              </c:strCache>
            </c:strRef>
          </c:tx>
          <c:spPr>
            <a:solidFill>
              <a:srgbClr val="BD1B21"/>
            </a:solidFill>
            <a:ln>
              <a:noFill/>
            </a:ln>
          </c:spPr>
          <c:invertIfNegative val="0"/>
          <c:val>
            <c:numRef>
              <c:f>'souhrnná výkonnost 4'!$E$10:$E$32</c:f>
              <c:numCache>
                <c:formatCode>General</c:formatCode>
                <c:ptCount val="23"/>
                <c:pt idx="0">
                  <c:v>4.5459612013585282E-3</c:v>
                </c:pt>
                <c:pt idx="1">
                  <c:v>-5.4299843239147494E-2</c:v>
                </c:pt>
                <c:pt idx="2">
                  <c:v>-0.26283098752928491</c:v>
                </c:pt>
                <c:pt idx="3">
                  <c:v>-9.8219621966424864E-2</c:v>
                </c:pt>
                <c:pt idx="4">
                  <c:v>-0.17620696396261137</c:v>
                </c:pt>
                <c:pt idx="5">
                  <c:v>-0.24771149792454139</c:v>
                </c:pt>
                <c:pt idx="6">
                  <c:v>-6.0935554321396967E-2</c:v>
                </c:pt>
                <c:pt idx="7">
                  <c:v>6.5525594099085982E-2</c:v>
                </c:pt>
                <c:pt idx="8">
                  <c:v>0.38896231887529847</c:v>
                </c:pt>
                <c:pt idx="9">
                  <c:v>0.46371609807310366</c:v>
                </c:pt>
                <c:pt idx="10">
                  <c:v>0.33807449475314627</c:v>
                </c:pt>
                <c:pt idx="11">
                  <c:v>-5.8765796805848813E-2</c:v>
                </c:pt>
                <c:pt idx="12">
                  <c:v>-0.43983407410669084</c:v>
                </c:pt>
                <c:pt idx="13">
                  <c:v>-0.35269776369716466</c:v>
                </c:pt>
                <c:pt idx="14">
                  <c:v>-0.58798697249592147</c:v>
                </c:pt>
                <c:pt idx="15">
                  <c:v>-0.91369938251265959</c:v>
                </c:pt>
                <c:pt idx="16">
                  <c:v>-1.0565359725214909</c:v>
                </c:pt>
                <c:pt idx="17">
                  <c:v>-1.1922043462900702</c:v>
                </c:pt>
                <c:pt idx="18">
                  <c:v>-1.1433067648135005</c:v>
                </c:pt>
                <c:pt idx="19">
                  <c:v>-0.88617705016962645</c:v>
                </c:pt>
                <c:pt idx="20">
                  <c:v>-0.36173671865889367</c:v>
                </c:pt>
                <c:pt idx="21">
                  <c:v>-5.8172483516192308E-2</c:v>
                </c:pt>
                <c:pt idx="22">
                  <c:v>-2.8198778832435774E-2</c:v>
                </c:pt>
              </c:numCache>
            </c:numRef>
          </c:val>
          <c:extLst>
            <c:ext xmlns:c16="http://schemas.microsoft.com/office/drawing/2014/chart" uri="{C3380CC4-5D6E-409C-BE32-E72D297353CC}">
              <c16:uniqueId val="{00000002-5710-4648-8FC1-50E3D78D75C8}"/>
            </c:ext>
          </c:extLst>
        </c:ser>
        <c:ser>
          <c:idx val="1"/>
          <c:order val="3"/>
          <c:tx>
            <c:strRef>
              <c:f>'souhrnná výkonnost 4'!$F$5</c:f>
              <c:strCache>
                <c:ptCount val="1"/>
                <c:pt idx="0">
                  <c:v>Stavebnictví</c:v>
                </c:pt>
              </c:strCache>
            </c:strRef>
          </c:tx>
          <c:spPr>
            <a:solidFill>
              <a:srgbClr val="E8AFB2"/>
            </a:solidFill>
            <a:ln>
              <a:noFill/>
            </a:ln>
          </c:spPr>
          <c:invertIfNegative val="0"/>
          <c:val>
            <c:numRef>
              <c:f>'souhrnná výkonnost 4'!$F$10:$F$32</c:f>
              <c:numCache>
                <c:formatCode>#\ ##0.0</c:formatCode>
                <c:ptCount val="23"/>
                <c:pt idx="0">
                  <c:v>-0.15836437304914164</c:v>
                </c:pt>
                <c:pt idx="1">
                  <c:v>-0.12253502255257109</c:v>
                </c:pt>
                <c:pt idx="2">
                  <c:v>-7.1242684146133939E-2</c:v>
                </c:pt>
                <c:pt idx="3">
                  <c:v>-0.10866493986218721</c:v>
                </c:pt>
                <c:pt idx="4">
                  <c:v>-0.30004627661730132</c:v>
                </c:pt>
                <c:pt idx="5">
                  <c:v>-0.48068129994946118</c:v>
                </c:pt>
                <c:pt idx="6">
                  <c:v>-0.45523791005942654</c:v>
                </c:pt>
                <c:pt idx="7">
                  <c:v>-0.43581518565318822</c:v>
                </c:pt>
                <c:pt idx="8">
                  <c:v>-0.33836863825135816</c:v>
                </c:pt>
                <c:pt idx="9">
                  <c:v>-6.7143304167931656E-2</c:v>
                </c:pt>
                <c:pt idx="10">
                  <c:v>-5.8092008458518342E-2</c:v>
                </c:pt>
                <c:pt idx="11">
                  <c:v>-0.10853391292600841</c:v>
                </c:pt>
                <c:pt idx="12">
                  <c:v>-9.0417570306820225E-2</c:v>
                </c:pt>
                <c:pt idx="13">
                  <c:v>-0.27691175914342508</c:v>
                </c:pt>
                <c:pt idx="14">
                  <c:v>-0.42875648302719638</c:v>
                </c:pt>
                <c:pt idx="15">
                  <c:v>-0.37973365169110213</c:v>
                </c:pt>
                <c:pt idx="16">
                  <c:v>-0.17978597945941827</c:v>
                </c:pt>
                <c:pt idx="17">
                  <c:v>-0.15007885157470846</c:v>
                </c:pt>
                <c:pt idx="18">
                  <c:v>-7.2453853961446754E-2</c:v>
                </c:pt>
                <c:pt idx="19">
                  <c:v>-0.13175576942044118</c:v>
                </c:pt>
                <c:pt idx="20">
                  <c:v>-0.20793222116020077</c:v>
                </c:pt>
                <c:pt idx="21">
                  <c:v>-7.8389714888052381E-2</c:v>
                </c:pt>
                <c:pt idx="22">
                  <c:v>-7.3432513504702122E-3</c:v>
                </c:pt>
              </c:numCache>
            </c:numRef>
          </c:val>
          <c:extLst>
            <c:ext xmlns:c16="http://schemas.microsoft.com/office/drawing/2014/chart" uri="{C3380CC4-5D6E-409C-BE32-E72D297353CC}">
              <c16:uniqueId val="{00000003-5710-4648-8FC1-50E3D78D75C8}"/>
            </c:ext>
          </c:extLst>
        </c:ser>
        <c:ser>
          <c:idx val="0"/>
          <c:order val="4"/>
          <c:tx>
            <c:strRef>
              <c:f>'souhrnná výkonnost 4'!$G$5</c:f>
              <c:strCache>
                <c:ptCount val="1"/>
                <c:pt idx="0">
                  <c:v>Služby (CZ-NACE G až U)</c:v>
                </c:pt>
              </c:strCache>
            </c:strRef>
          </c:tx>
          <c:spPr>
            <a:solidFill>
              <a:srgbClr val="7DBB2D"/>
            </a:solidFill>
            <a:ln>
              <a:noFill/>
            </a:ln>
          </c:spPr>
          <c:invertIfNegative val="0"/>
          <c:val>
            <c:numRef>
              <c:f>'souhrnná výkonnost 4'!$G$10:$G$32</c:f>
              <c:numCache>
                <c:formatCode>General</c:formatCode>
                <c:ptCount val="23"/>
                <c:pt idx="0">
                  <c:v>2.7152016193024755</c:v>
                </c:pt>
                <c:pt idx="1">
                  <c:v>2.5568894010177439</c:v>
                </c:pt>
                <c:pt idx="2">
                  <c:v>2.5806630267772652</c:v>
                </c:pt>
                <c:pt idx="3">
                  <c:v>2.6155761339131312</c:v>
                </c:pt>
                <c:pt idx="4">
                  <c:v>0.1069034272001633</c:v>
                </c:pt>
                <c:pt idx="5">
                  <c:v>-4.2921319772752993</c:v>
                </c:pt>
                <c:pt idx="6">
                  <c:v>-1.7505754010952781</c:v>
                </c:pt>
                <c:pt idx="7">
                  <c:v>-2.2464479137063273</c:v>
                </c:pt>
                <c:pt idx="8">
                  <c:v>-0.13953156252945553</c:v>
                </c:pt>
                <c:pt idx="9">
                  <c:v>5.9943506299525042</c:v>
                </c:pt>
                <c:pt idx="10">
                  <c:v>4.4243917423347074</c:v>
                </c:pt>
                <c:pt idx="11">
                  <c:v>4.7971483856259507</c:v>
                </c:pt>
                <c:pt idx="12">
                  <c:v>4.2170828841115204</c:v>
                </c:pt>
                <c:pt idx="13">
                  <c:v>2.6617211255203492</c:v>
                </c:pt>
                <c:pt idx="14">
                  <c:v>0.7676089117890853</c:v>
                </c:pt>
                <c:pt idx="15">
                  <c:v>0.29041678067472676</c:v>
                </c:pt>
                <c:pt idx="16">
                  <c:v>1.2589748995853525</c:v>
                </c:pt>
                <c:pt idx="17">
                  <c:v>1.2817734210173399</c:v>
                </c:pt>
                <c:pt idx="18">
                  <c:v>1.3261284382955532</c:v>
                </c:pt>
                <c:pt idx="19">
                  <c:v>0.56483538142502965</c:v>
                </c:pt>
                <c:pt idx="20">
                  <c:v>0.38504274661553867</c:v>
                </c:pt>
                <c:pt idx="21">
                  <c:v>0.73477237406088802</c:v>
                </c:pt>
                <c:pt idx="22">
                  <c:v>1.0513089166729623</c:v>
                </c:pt>
              </c:numCache>
            </c:numRef>
          </c:val>
          <c:extLst>
            <c:ext xmlns:c16="http://schemas.microsoft.com/office/drawing/2014/chart" uri="{C3380CC4-5D6E-409C-BE32-E72D297353CC}">
              <c16:uniqueId val="{00000004-5710-4648-8FC1-50E3D78D75C8}"/>
            </c:ext>
          </c:extLst>
        </c:ser>
        <c:dLbls>
          <c:showLegendKey val="0"/>
          <c:showVal val="0"/>
          <c:showCatName val="0"/>
          <c:showSerName val="0"/>
          <c:showPercent val="0"/>
          <c:showBubbleSize val="0"/>
        </c:dLbls>
        <c:gapWidth val="70"/>
        <c:overlap val="100"/>
        <c:axId val="269005952"/>
        <c:axId val="269007488"/>
      </c:barChart>
      <c:lineChart>
        <c:grouping val="standard"/>
        <c:varyColors val="0"/>
        <c:ser>
          <c:idx val="5"/>
          <c:order val="5"/>
          <c:tx>
            <c:strRef>
              <c:f>'souhrnná výkonnost 4'!$H$5</c:f>
              <c:strCache>
                <c:ptCount val="1"/>
                <c:pt idx="0">
                  <c:v>Hrubá přidaná hodnota celkem</c:v>
                </c:pt>
              </c:strCache>
            </c:strRef>
          </c:tx>
          <c:spPr>
            <a:ln w="19050">
              <a:solidFill>
                <a:prstClr val="black"/>
              </a:solidFill>
            </a:ln>
          </c:spPr>
          <c:marker>
            <c:symbol val="none"/>
          </c:marker>
          <c:cat>
            <c:multiLvlStrRef>
              <c:f>'souhrnná výkonnost 4'!$A$10:$B$32</c:f>
              <c:multiLvlStrCache>
                <c:ptCount val="23"/>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lvl>
                <c:lvl>
                  <c:pt idx="0">
                    <c:v>2019</c:v>
                  </c:pt>
                  <c:pt idx="4">
                    <c:v>2020</c:v>
                  </c:pt>
                  <c:pt idx="8">
                    <c:v>2021</c:v>
                  </c:pt>
                  <c:pt idx="12">
                    <c:v>2022</c:v>
                  </c:pt>
                  <c:pt idx="16">
                    <c:v>2023</c:v>
                  </c:pt>
                  <c:pt idx="20">
                    <c:v>2024</c:v>
                  </c:pt>
                </c:lvl>
              </c:multiLvlStrCache>
            </c:multiLvlStrRef>
          </c:cat>
          <c:val>
            <c:numRef>
              <c:f>'souhrnná výkonnost 4'!$H$10:$H$32</c:f>
              <c:numCache>
                <c:formatCode>#\ ##0.0</c:formatCode>
                <c:ptCount val="23"/>
                <c:pt idx="0">
                  <c:v>3.4241020823594539</c:v>
                </c:pt>
                <c:pt idx="1">
                  <c:v>3.7654261763610037</c:v>
                </c:pt>
                <c:pt idx="2">
                  <c:v>3.6432533192545407</c:v>
                </c:pt>
                <c:pt idx="3">
                  <c:v>3.3129891367830879</c:v>
                </c:pt>
                <c:pt idx="4">
                  <c:v>-1.2169604796506661</c:v>
                </c:pt>
                <c:pt idx="5">
                  <c:v>-10.72573587437293</c:v>
                </c:pt>
                <c:pt idx="6">
                  <c:v>-4.2745842128591107</c:v>
                </c:pt>
                <c:pt idx="7">
                  <c:v>-4.0497053295080292</c:v>
                </c:pt>
                <c:pt idx="8">
                  <c:v>-1.1092326662295733</c:v>
                </c:pt>
                <c:pt idx="9">
                  <c:v>10.020922752811231</c:v>
                </c:pt>
                <c:pt idx="10">
                  <c:v>3.6334340143173023</c:v>
                </c:pt>
                <c:pt idx="11">
                  <c:v>3.4636121873782457</c:v>
                </c:pt>
                <c:pt idx="12">
                  <c:v>4.3335548202223748</c:v>
                </c:pt>
                <c:pt idx="13">
                  <c:v>3.6873115442208899</c:v>
                </c:pt>
                <c:pt idx="14">
                  <c:v>2.0486348171819628</c:v>
                </c:pt>
                <c:pt idx="15">
                  <c:v>1.6260683441280008</c:v>
                </c:pt>
                <c:pt idx="16">
                  <c:v>1.5274059601490251</c:v>
                </c:pt>
                <c:pt idx="17">
                  <c:v>0.64023838798151189</c:v>
                </c:pt>
                <c:pt idx="18">
                  <c:v>0.26107587152959866</c:v>
                </c:pt>
                <c:pt idx="19">
                  <c:v>-0.15185209829762414</c:v>
                </c:pt>
                <c:pt idx="20">
                  <c:v>-0.58827633846647132</c:v>
                </c:pt>
                <c:pt idx="21">
                  <c:v>-8.6784794688583133E-2</c:v>
                </c:pt>
                <c:pt idx="22">
                  <c:v>0.96469197917113547</c:v>
                </c:pt>
              </c:numCache>
            </c:numRef>
          </c:val>
          <c:smooth val="0"/>
          <c:extLst>
            <c:ext xmlns:c16="http://schemas.microsoft.com/office/drawing/2014/chart" uri="{C3380CC4-5D6E-409C-BE32-E72D297353CC}">
              <c16:uniqueId val="{00000005-5710-4648-8FC1-50E3D78D75C8}"/>
            </c:ext>
          </c:extLst>
        </c:ser>
        <c:dLbls>
          <c:showLegendKey val="0"/>
          <c:showVal val="0"/>
          <c:showCatName val="0"/>
          <c:showSerName val="0"/>
          <c:showPercent val="0"/>
          <c:showBubbleSize val="0"/>
        </c:dLbls>
        <c:marker val="1"/>
        <c:smooth val="0"/>
        <c:axId val="269005952"/>
        <c:axId val="269007488"/>
      </c:lineChart>
      <c:catAx>
        <c:axId val="269005952"/>
        <c:scaling>
          <c:orientation val="minMax"/>
        </c:scaling>
        <c:delete val="0"/>
        <c:axPos val="b"/>
        <c:majorTickMark val="out"/>
        <c:minorTickMark val="none"/>
        <c:tickLblPos val="low"/>
        <c:spPr>
          <a:ln>
            <a:solidFill>
              <a:schemeClr val="tx1"/>
            </a:solidFill>
          </a:ln>
        </c:spPr>
        <c:txPr>
          <a:bodyPr rot="0" vert="horz"/>
          <a:lstStyle/>
          <a:p>
            <a:pPr>
              <a:defRPr/>
            </a:pPr>
            <a:endParaRPr lang="cs-CZ"/>
          </a:p>
        </c:txPr>
        <c:crossAx val="269007488"/>
        <c:crosses val="autoZero"/>
        <c:auto val="1"/>
        <c:lblAlgn val="ctr"/>
        <c:lblOffset val="100"/>
        <c:noMultiLvlLbl val="0"/>
      </c:catAx>
      <c:valAx>
        <c:axId val="269007488"/>
        <c:scaling>
          <c:orientation val="minMax"/>
        </c:scaling>
        <c:delete val="0"/>
        <c:axPos val="l"/>
        <c:majorGridlines>
          <c:spPr>
            <a:ln w="6350">
              <a:solidFill>
                <a:schemeClr val="bg1">
                  <a:lumMod val="75000"/>
                </a:schemeClr>
              </a:solidFill>
            </a:ln>
          </c:spPr>
        </c:majorGridlines>
        <c:numFmt formatCode="0" sourceLinked="0"/>
        <c:majorTickMark val="out"/>
        <c:minorTickMark val="none"/>
        <c:tickLblPos val="nextTo"/>
        <c:spPr>
          <a:ln>
            <a:solidFill>
              <a:schemeClr val="tx1"/>
            </a:solidFill>
          </a:ln>
        </c:spPr>
        <c:crossAx val="269005952"/>
        <c:crosses val="autoZero"/>
        <c:crossBetween val="between"/>
        <c:majorUnit val="2"/>
      </c:valAx>
      <c:spPr>
        <a:ln>
          <a:solidFill>
            <a:schemeClr val="tx1"/>
          </a:solidFill>
        </a:ln>
      </c:spPr>
    </c:plotArea>
    <c:legend>
      <c:legendPos val="b"/>
      <c:layout>
        <c:manualLayout>
          <c:xMode val="edge"/>
          <c:yMode val="edge"/>
          <c:x val="5.4144292468760548E-2"/>
          <c:y val="0.79016604750647301"/>
          <c:w val="0.92386482607227283"/>
          <c:h val="0.19462484520994944"/>
        </c:manualLayout>
      </c:layout>
      <c:overlay val="0"/>
      <c:spPr>
        <a:ln w="6350">
          <a:solidFill>
            <a:schemeClr val="tx1"/>
          </a:solidFill>
        </a:ln>
      </c:spPr>
    </c:legend>
    <c:plotVisOnly val="1"/>
    <c:dispBlanksAs val="gap"/>
    <c:showDLblsOverMax val="0"/>
  </c:chart>
  <c:spPr>
    <a:ln>
      <a:noFill/>
    </a:ln>
  </c:spPr>
  <c:txPr>
    <a:bodyPr/>
    <a:lstStyle/>
    <a:p>
      <a:pPr>
        <a:defRPr sz="800" baseline="0">
          <a:latin typeface="Arial" pitchFamily="34" charset="0"/>
        </a:defRPr>
      </a:pPr>
      <a:endParaRPr lang="cs-CZ"/>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0204C7C21F48A488F44995C5F8FB06D" ma:contentTypeVersion="11" ma:contentTypeDescription="Vytvoří nový dokument" ma:contentTypeScope="" ma:versionID="1df8c39b067b5d25b5f5e865a8e6deb3">
  <xsd:schema xmlns:xsd="http://www.w3.org/2001/XMLSchema" xmlns:xs="http://www.w3.org/2001/XMLSchema" xmlns:p="http://schemas.microsoft.com/office/2006/metadata/properties" xmlns:ns3="b8c0c86d-151e-4fca-b0d5-747e6692fa1d" targetNamespace="http://schemas.microsoft.com/office/2006/metadata/properties" ma:root="true" ma:fieldsID="0a1e36cc980726b26aea9439dfb6e5b7" ns3:_="">
    <xsd:import namespace="b8c0c86d-151e-4fca-b0d5-747e6692fa1d"/>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GenerationTime" minOccurs="0"/>
                <xsd:element ref="ns3:MediaServiceEventHashCode" minOccurs="0"/>
                <xsd:element ref="ns3:MediaLengthInSeconds"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c0c86d-151e-4fca-b0d5-747e6692fa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A8A1E1-1E99-4B4F-B9B5-70567730AA3A}">
  <ds:schemaRefs>
    <ds:schemaRef ds:uri="http://schemas.microsoft.com/sharepoint/v3/contenttype/forms"/>
  </ds:schemaRefs>
</ds:datastoreItem>
</file>

<file path=customXml/itemProps2.xml><?xml version="1.0" encoding="utf-8"?>
<ds:datastoreItem xmlns:ds="http://schemas.openxmlformats.org/officeDocument/2006/customXml" ds:itemID="{1E7681AD-41B0-431A-9D34-CF6700A12FAC}">
  <ds:schemaRefs>
    <ds:schemaRef ds:uri="http://schemas.microsoft.com/office/2006/documentManagement/types"/>
    <ds:schemaRef ds:uri="http://purl.org/dc/elements/1.1/"/>
    <ds:schemaRef ds:uri="http://purl.org/dc/terms/"/>
    <ds:schemaRef ds:uri="http://purl.org/dc/dcmitype/"/>
    <ds:schemaRef ds:uri="http://schemas.openxmlformats.org/package/2006/metadata/core-properties"/>
    <ds:schemaRef ds:uri="http://schemas.microsoft.com/office/2006/metadata/properties"/>
    <ds:schemaRef ds:uri="http://www.w3.org/XML/1998/namespace"/>
    <ds:schemaRef ds:uri="http://schemas.microsoft.com/office/infopath/2007/PartnerControls"/>
    <ds:schemaRef ds:uri="b8c0c86d-151e-4fca-b0d5-747e6692fa1d"/>
  </ds:schemaRefs>
</ds:datastoreItem>
</file>

<file path=customXml/itemProps3.xml><?xml version="1.0" encoding="utf-8"?>
<ds:datastoreItem xmlns:ds="http://schemas.openxmlformats.org/officeDocument/2006/customXml" ds:itemID="{C217542A-452A-49A6-BD70-25B5200F35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c0c86d-151e-4fca-b0d5-747e6692fa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C43BB0-1FE2-457E-A424-E2AC9027A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1530</Words>
  <Characters>9031</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
    </vt:vector>
  </TitlesOfParts>
  <Company>CSU</Company>
  <LinksUpToDate>false</LinksUpToDate>
  <CharactersWithSpaces>10540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Kučerová Jana</dc:creator>
  <cp:keywords/>
  <cp:lastModifiedBy>Zábojníková Karolína</cp:lastModifiedBy>
  <cp:revision>4</cp:revision>
  <cp:lastPrinted>2014-07-17T14:07:00Z</cp:lastPrinted>
  <dcterms:created xsi:type="dcterms:W3CDTF">2024-12-16T10:31:00Z</dcterms:created>
  <dcterms:modified xsi:type="dcterms:W3CDTF">2024-12-16T10:38:00Z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0x01010070204C7C21F48A488F44995C5F8FB06D</vt:lpwstr>
  </property>
  <property fmtid="{D5CDD505-2E9C-101B-9397-08002B2CF9AE}" pid="3" name="Názevformuláře">
    <vt:lpwstr>Publikace CZ barevné - vícetematické analýzy
</vt:lpwstr>
  </property>
  <property fmtid="{D5CDD505-2E9C-101B-9397-08002B2CF9AE}" pid="4" name="Vazbanaprocesnídoménu">
    <vt:lpwstr>;#4. Komunikace a propagace;#</vt:lpwstr>
  </property>
  <property fmtid="{D5CDD505-2E9C-101B-9397-08002B2CF9AE}" pid="5" name="Vazbanadefiničnípředpis">
    <vt:lpwstr>Manuál ke zveřejňování produktů ČSÚ
</vt:lpwstr>
  </property>
  <property fmtid="{D5CDD505-2E9C-101B-9397-08002B2CF9AE}" pid="6" name="Ustanovení">
    <vt:lpwstr>část první čl. 2, odst. 3b,c; část pátá; příloha 1
</vt:lpwstr>
  </property>
  <property fmtid="{D5CDD505-2E9C-101B-9397-08002B2CF9AE}" pid="7" name="Účinnostod">
    <vt:filetime>2018-04-17T07:00:00Z</vt:filetime>
  </property>
  <property fmtid="{D5CDD505-2E9C-101B-9397-08002B2CF9AE}" pid="8" name="Označení">
    <vt:lpwstr>Form_c444</vt:lpwstr>
  </property>
  <property fmtid="{D5CDD505-2E9C-101B-9397-08002B2CF9AE}" pid="9" name="MediaServiceImageTags">
    <vt:lpwstr/>
  </property>
  <property fmtid="{D5CDD505-2E9C-101B-9397-08002B2CF9AE}" pid="10" name="xd_ProgID">
    <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y fmtid="{D5CDD505-2E9C-101B-9397-08002B2CF9AE}" pid="14" name="TriggerFlowInfo">
    <vt:lpwstr/>
  </property>
  <property fmtid="{D5CDD505-2E9C-101B-9397-08002B2CF9AE}" pid="15" name="xd_Signature">
    <vt:bool>false</vt:bool>
  </property>
</Properties>
</file>