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A74192" w:rsidRDefault="00576A3E" w:rsidP="00D94859">
      <w:pPr>
        <w:pStyle w:val="Styl1"/>
        <w:rPr>
          <w:rFonts w:cs="Arial"/>
          <w:sz w:val="20"/>
        </w:rPr>
      </w:pPr>
    </w:p>
    <w:p w:rsidR="00576A3E" w:rsidRPr="00A74192" w:rsidRDefault="002E72FC" w:rsidP="00D94859">
      <w:pPr>
        <w:spacing w:line="240" w:lineRule="auto"/>
        <w:rPr>
          <w:rFonts w:cs="Arial"/>
          <w:lang w:eastAsia="ar-SA"/>
        </w:rPr>
      </w:pPr>
      <w:r w:rsidRPr="002E72FC">
        <w:rPr>
          <w:noProof/>
        </w:rPr>
        <w:pict>
          <v:shapetype id="_x0000_t202" coordsize="21600,21600" o:spt="202" path="m,l,21600r21600,l21600,xe">
            <v:stroke joinstyle="miter"/>
            <v:path gradientshapeok="t" o:connecttype="rect"/>
          </v:shapetype>
          <v:shape id="Textové pole 2" o:spid="_x0000_s1040"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D667A0" w:rsidRPr="005251DD" w:rsidRDefault="00D667A0" w:rsidP="004F191F">
                  <w:r w:rsidRPr="005251DD">
                    <w:t xml:space="preserve">Český statistický úřad, </w:t>
                  </w:r>
                  <w:r>
                    <w:t>Praha, 2017</w:t>
                  </w:r>
                </w:p>
              </w:txbxContent>
            </v:textbox>
            <w10:wrap anchorx="page" anchory="page"/>
            <w10:anchorlock/>
          </v:shape>
        </w:pict>
      </w:r>
      <w:r w:rsidRPr="002E72FC">
        <w:rPr>
          <w:noProof/>
        </w:rPr>
        <w:pict>
          <v:shape id="_x0000_s1039"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" filled="f" stroked="f">
            <v:textbox inset="0,0,0,0">
              <w:txbxContent>
                <w:p w:rsidR="00D667A0" w:rsidRPr="006C5577" w:rsidRDefault="00D667A0" w:rsidP="004F2A73">
                  <w:pPr>
                    <w:pStyle w:val="TL-Identifikace-dole"/>
                  </w:pPr>
                  <w:r>
                    <w:t>Z</w:t>
                  </w:r>
                  <w:r w:rsidRPr="006C5577">
                    <w:t>pracoval: Odbor</w:t>
                  </w:r>
                  <w:r>
                    <w:t xml:space="preserve"> Kancelář předsedkyně, Oddělení svodných analýz</w:t>
                  </w:r>
                </w:p>
                <w:p w:rsidR="00D667A0" w:rsidRPr="006C5577" w:rsidRDefault="00D667A0" w:rsidP="004F191F">
                  <w:pPr>
                    <w:pStyle w:val="TL-Identifikace-dole"/>
                  </w:pPr>
                  <w:r w:rsidRPr="006C5577">
                    <w:t xml:space="preserve">Ředitel odboru: </w:t>
                  </w:r>
                  <w:r>
                    <w:tab/>
                    <w:t>Egor Sidorov, Ph.D.</w:t>
                  </w:r>
                </w:p>
                <w:p w:rsidR="00D667A0" w:rsidRPr="009F63D2" w:rsidRDefault="00D667A0" w:rsidP="004F191F">
                  <w:pPr>
                    <w:pStyle w:val="TL-Identifikace-dole"/>
                    <w:rPr>
                      <w:rFonts w:cs="Arial"/>
                    </w:rPr>
                  </w:pPr>
                  <w:r>
                    <w:t xml:space="preserve">Autorský tým: Bc. Jiří Kamenický, Mgr. Bc. Karolína </w:t>
                  </w:r>
                  <w:proofErr w:type="spellStart"/>
                  <w:r>
                    <w:t>Súkupová</w:t>
                  </w:r>
                  <w:proofErr w:type="spellEnd"/>
                </w:p>
                <w:p w:rsidR="00D667A0" w:rsidRDefault="00D667A0" w:rsidP="00225F36">
                  <w:pPr>
                    <w:pStyle w:val="TL-Identifikace-dole"/>
                  </w:pPr>
                  <w:r w:rsidRPr="006C5577">
                    <w:t xml:space="preserve">Kontaktní osoba: </w:t>
                  </w:r>
                  <w:r>
                    <w:t xml:space="preserve">Bc. Jiří Kamenický, e-mail: </w:t>
                  </w:r>
                  <w:proofErr w:type="spellStart"/>
                  <w:r w:rsidRPr="006B5E5B">
                    <w:t>jiri.kamenicky</w:t>
                  </w:r>
                  <w:proofErr w:type="spellEnd"/>
                  <w:r w:rsidRPr="006B5E5B">
                    <w:t>@czso.</w:t>
                  </w:r>
                  <w:proofErr w:type="gramStart"/>
                  <w:r w:rsidRPr="006B5E5B">
                    <w:t>cz</w:t>
                  </w:r>
                  <w:r>
                    <w:t>,  tel.</w:t>
                  </w:r>
                  <w:proofErr w:type="gramEnd"/>
                  <w:r>
                    <w:t xml:space="preserve"> 274 052 741</w:t>
                  </w:r>
                </w:p>
                <w:p w:rsidR="00D667A0" w:rsidRDefault="00D667A0" w:rsidP="004F191F">
                  <w:pPr>
                    <w:pStyle w:val="TL-Identifikace-dole"/>
                  </w:pPr>
                </w:p>
                <w:p w:rsidR="00D667A0" w:rsidRDefault="00D667A0" w:rsidP="004F191F">
                  <w:pPr>
                    <w:pStyle w:val="TL-Identifikace-dole"/>
                  </w:pPr>
                  <w:r>
                    <w:t xml:space="preserve">                            e-mail</w:t>
                  </w:r>
                  <w:r w:rsidRPr="006C5577">
                    <w:t>:</w:t>
                  </w:r>
                  <w:r>
                    <w:t xml:space="preserve"> </w:t>
                  </w:r>
                  <w:hyperlink r:id="rId9" w:history="1">
                    <w:r w:rsidRPr="004640D1">
                      <w:rPr>
                        <w:rStyle w:val="Hypertextovodkaz"/>
                      </w:rPr>
                      <w:t>jiri.kamenicky@czso.cz</w:t>
                    </w:r>
                  </w:hyperlink>
                  <w:r>
                    <w:t>, tel: 274 052 741</w:t>
                  </w:r>
                </w:p>
              </w:txbxContent>
            </v:textbox>
            <w10:wrap anchorx="page" anchory="page"/>
            <w10:anchorlock/>
          </v:shape>
        </w:pict>
      </w:r>
      <w:r w:rsidRPr="002E72FC">
        <w:rPr>
          <w:noProof/>
        </w:rPr>
        <w:pict>
          <v:shape id="Text Box 25" o:spid="_x0000_s103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swIAALM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" filled="f" stroked="f">
            <v:textbox inset="0,0,0,0">
              <w:txbxContent>
                <w:p w:rsidR="00D667A0" w:rsidRPr="00D31445" w:rsidRDefault="00D667A0" w:rsidP="004F191F">
                  <w:pPr>
                    <w:pStyle w:val="TL-identifikace-sted"/>
                  </w:pPr>
                  <w:r>
                    <w:t>Souhrnná data o České republice</w:t>
                  </w:r>
                </w:p>
                <w:p w:rsidR="00D667A0" w:rsidRPr="00473E94" w:rsidRDefault="00D667A0" w:rsidP="004F191F">
                  <w:pPr>
                    <w:pStyle w:val="TL-identifikace-sted"/>
                    <w:rPr>
                      <w:color w:val="000000"/>
                    </w:rPr>
                  </w:pPr>
                  <w:r>
                    <w:rPr>
                      <w:color w:val="000000"/>
                    </w:rPr>
                    <w:t>Praha, 21. 6. 2017</w:t>
                  </w:r>
                </w:p>
                <w:p w:rsidR="00D667A0" w:rsidRPr="004E1415" w:rsidRDefault="00D667A0" w:rsidP="004F191F">
                  <w:pPr>
                    <w:pStyle w:val="TL-identifikace-sted"/>
                  </w:pPr>
                  <w:r w:rsidRPr="00D31445">
                    <w:t xml:space="preserve">Kód </w:t>
                  </w:r>
                  <w:r>
                    <w:t xml:space="preserve">publikace: </w:t>
                  </w:r>
                  <w:r w:rsidRPr="004E1415">
                    <w:t>320193-17</w:t>
                  </w:r>
                </w:p>
                <w:p w:rsidR="00D667A0" w:rsidRPr="004117CE" w:rsidRDefault="008C17B8" w:rsidP="004F191F">
                  <w:pPr>
                    <w:spacing w:after="200"/>
                    <w:rPr>
                      <w:color w:val="0D0D0D"/>
                      <w:sz w:val="24"/>
                    </w:rPr>
                  </w:pPr>
                  <w:r>
                    <w:rPr>
                      <w:color w:val="0D0D0D"/>
                      <w:sz w:val="24"/>
                    </w:rPr>
                    <w:t xml:space="preserve">Č. </w:t>
                  </w:r>
                  <w:proofErr w:type="spellStart"/>
                  <w:r>
                    <w:rPr>
                      <w:color w:val="0D0D0D"/>
                      <w:sz w:val="24"/>
                    </w:rPr>
                    <w:t>j</w:t>
                  </w:r>
                  <w:proofErr w:type="spellEnd"/>
                  <w:r>
                    <w:rPr>
                      <w:color w:val="0D0D0D"/>
                      <w:sz w:val="24"/>
                    </w:rPr>
                    <w:t>.: 11-1526/2017</w:t>
                  </w:r>
                </w:p>
                <w:p w:rsidR="00D667A0" w:rsidRPr="00D31445" w:rsidRDefault="00D667A0" w:rsidP="004F191F">
                  <w:pPr>
                    <w:spacing w:after="200"/>
                    <w:rPr>
                      <w:sz w:val="24"/>
                    </w:rPr>
                  </w:pPr>
                  <w:r>
                    <w:rPr>
                      <w:sz w:val="24"/>
                    </w:rPr>
                    <w:t>Pořadové číslo v roce: 1</w:t>
                  </w:r>
                </w:p>
              </w:txbxContent>
            </v:textbox>
            <w10:wrap anchorx="page" anchory="page"/>
            <w10:anchorlock/>
          </v:shape>
        </w:pict>
      </w:r>
      <w:r w:rsidRPr="002E72FC">
        <w:rPr>
          <w:noProof/>
        </w:rPr>
        <w:pict>
          <v:shape id="_x0000_s1037"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D667A0" w:rsidRDefault="00D667A0" w:rsidP="001C357A">
                  <w:pPr>
                    <w:pStyle w:val="Podtitul"/>
                    <w:rPr>
                      <w:sz w:val="56"/>
                      <w:szCs w:val="56"/>
                    </w:rPr>
                  </w:pPr>
                  <w:r>
                    <w:rPr>
                      <w:sz w:val="56"/>
                      <w:szCs w:val="56"/>
                    </w:rPr>
                    <w:t>VÝVOJ EKONOMIKY Č</w:t>
                  </w:r>
                  <w:r w:rsidRPr="001C357A">
                    <w:rPr>
                      <w:sz w:val="56"/>
                      <w:szCs w:val="56"/>
                    </w:rPr>
                    <w:t>E</w:t>
                  </w:r>
                  <w:r>
                    <w:rPr>
                      <w:sz w:val="56"/>
                      <w:szCs w:val="56"/>
                    </w:rPr>
                    <w:t xml:space="preserve">SKÉ REPUBLIKY </w:t>
                  </w:r>
                </w:p>
                <w:p w:rsidR="00D667A0" w:rsidRPr="001C357A" w:rsidRDefault="00D667A0" w:rsidP="001C357A">
                  <w:pPr>
                    <w:pStyle w:val="Podtitul"/>
                    <w:rPr>
                      <w:sz w:val="56"/>
                      <w:szCs w:val="56"/>
                    </w:rPr>
                  </w:pPr>
                  <w:r>
                    <w:rPr>
                      <w:sz w:val="56"/>
                      <w:szCs w:val="56"/>
                    </w:rPr>
                    <w:t>V 1. ČTVRTLETÍ 2017</w:t>
                  </w:r>
                </w:p>
                <w:p w:rsidR="00D667A0" w:rsidRPr="009B04D0" w:rsidRDefault="00D667A0" w:rsidP="004F191F">
                  <w:pPr>
                    <w:pStyle w:val="Podtitul"/>
                  </w:pPr>
                </w:p>
              </w:txbxContent>
            </v:textbox>
            <w10:wrap anchorx="page" anchory="page"/>
            <w10:anchorlock/>
          </v:shape>
        </w:pict>
      </w:r>
      <w:r w:rsidRPr="002E72FC">
        <w:rPr>
          <w:noProof/>
        </w:rPr>
        <w:pict>
          <v:group id="Group 24" o:spid="_x0000_s1030"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xJoicAAIv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">
            <o:lock v:ext="edit" aspectratio="t"/>
            <v:rect id="Rectangle 9" o:spid="_x0000_s1031"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dfb4A&#10;AADaAAAADwAAAGRycy9kb3ducmV2LnhtbERPTYvCMBC9L/gfwgje1lQPrlTTIooguB62Cl7HZmyD&#10;zaQ00Xb/vTks7PHxvtf5YBvxos4bxwpm0wQEcem04UrB5bz/XILwAVlj45gU/JKHPBt9rDHVrucf&#10;ehWhEjGEfYoK6hDaVEpf1mTRT11LHLm76yyGCLtK6g77GG4bOU+ShbRoODbU2NK2pvJRPK0CI797&#10;W5yuO5c827O5ft2WPhyVmoyHzQpEoCH8i//cB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HX2+AAAA2gAAAA8AAAAAAAAAAAAAAAAAmAIAAGRycy9kb3ducmV2&#10;LnhtbFBLBQYAAAAABAAEAPUAAACDAwAAAAA=&#10;" fillcolor="#0071bc" stroked="f">
              <o:lock v:ext="edit" aspectratio="t"/>
            </v:rect>
            <v:rect id="Rectangle 10" o:spid="_x0000_s1032"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45sIA&#10;AADaAAAADwAAAGRycy9kb3ducmV2LnhtbESPT4vCMBTE74LfITzBm6Z68E/XKIuysLB6sApen83b&#10;NmzzUppou9/eCILHYWZ+w6w2na3EnRpvHCuYjBMQxLnThgsF59PXaAHCB2SNlWNS8E8eNut+b4Wp&#10;di0f6Z6FQkQI+xQVlCHUqZQ+L8miH7uaOHq/rrEYomwKqRtsI9xWcpokM2nRcFwosaZtSflfdrMK&#10;jNy3Njtcdi651SdzmV8XPvwoNRx0nx8gAnXhHX61v7WCJ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bjmwgAAANoAAAAPAAAAAAAAAAAAAAAAAJgCAABkcnMvZG93&#10;bnJldi54bWxQSwUGAAAAAAQABAD1AAAAhwMAAAAA&#10;" fillcolor="#0071bc" stroked="f">
              <o:lock v:ext="edit" aspectratio="t"/>
            </v:rect>
            <v:rect id="Rectangle 11" o:spid="_x0000_s1033"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mR8QA&#10;AADbAAAADwAAAGRycy9kb3ducmV2LnhtbESPQWvCQBSE7wX/w/KE3pqNUtoQXUUshULbQxMh12f2&#10;mSxm34bsauK/dwuFHoeZ+YZZbyfbiSsN3jhWsEhSEMS104YbBYfy/SkD4QOyxs4xKbiRh+1m9rDG&#10;XLuRf+hahEZECPscFbQh9LmUvm7Jok9cTxy9kxsshiiHRuoBxwi3nVym6Yu0aDgutNjTvqX6XFys&#10;AiO/Rlt8V28uvfSlqV6PmQ+fSj3Op90KRKAp/If/2h9awfI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pkfEAAAA2wAAAA8AAAAAAAAAAAAAAAAAmAIAAGRycy9k&#10;b3ducmV2LnhtbFBLBQYAAAAABAAEAPUAAACJAwAAAAA=&#10;" fillcolor="#0071bc" stroked="f">
              <o:lock v:ext="edit" aspectratio="t"/>
            </v:rect>
            <v:shape id="Freeform 12" o:spid="_x0000_s1034"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8EA&#10;AADbAAAADwAAAGRycy9kb3ducmV2LnhtbESPQYvCMBSE78L+h/AEb5paUJauUYqs7IqnrfX+aN42&#10;xealNFHrvzeC4HGYmW+Y1WawrbhS7xvHCuazBARx5XTDtYLyuJt+gvABWWPrmBTcycNm/TFaYabd&#10;jf/oWoRaRAj7DBWYELpMSl8ZsuhnriOO3r/rLYYo+1rqHm8RbluZJslSWmw4LhjsaGuoOhcXq+A7&#10;J0N52W0L3renn9P5kDb7g1KT8ZB/gQg0hHf41f7VCtIF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HDf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AMYA&#10;AADbAAAADwAAAGRycy9kb3ducmV2LnhtbESPQWvCQBSE7wX/w/KEXqRuVBBJ3YSiFKQqqGkPvT2y&#10;r0lo9m3Y3Zr033cFocdhZr5h1vlgWnEl5xvLCmbTBARxaXXDlYL34vVpBcIHZI2tZVLwSx7ybPSw&#10;xlTbns90vYRKRAj7FBXUIXSplL6syaCf2o44el/WGQxRukpqh32Em1bOk2QpDTYcF2rsaFNT+X35&#10;MQo2RfvhFod+f3aT7e7t81jJ4nhS6nE8vDyDCDSE//C9vdMK5ku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aAM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GsMA&#10;AADbAAAADwAAAGRycy9kb3ducmV2LnhtbESPQWvCQBSE74L/YXmCF6mbetCSukpVot5KVXp+zT6T&#10;0OzbdHc18d+7BcHjMPPNMPNlZ2pxJecrywpexwkI4tzqigsFp2P28gbCB2SNtWVScCMPy0W/N8dU&#10;25a/6HoIhYgl7FNUUIbQpFL6vCSDfmwb4uidrTMYonSF1A7bWG5qOUmSqTRYcVwosaF1Sfnv4WIU&#10;TKbfP7tsX6w+6+3fyOnzJhu1G6WGg+7jHUSgLjzDD3qvIzeD/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zGsMAAADbAAAADwAAAAAAAAAAAAAAAACYAgAAZHJzL2Rv&#10;d25yZXYueG1sUEsFBgAAAAAEAAQA9QAAAIgD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autoSpaceDE w:val="0"/>
        <w:autoSpaceDN w:val="0"/>
        <w:adjustRightInd w:val="0"/>
        <w:spacing w:line="240" w:lineRule="auto"/>
        <w:jc w:val="both"/>
        <w:rPr>
          <w:rFonts w:cs="Arial"/>
        </w:rPr>
      </w:pPr>
    </w:p>
    <w:p w:rsidR="00576A3E" w:rsidRPr="00A74192" w:rsidRDefault="002E72FC" w:rsidP="00D94859">
      <w:pPr>
        <w:autoSpaceDE w:val="0"/>
        <w:autoSpaceDN w:val="0"/>
        <w:adjustRightInd w:val="0"/>
        <w:spacing w:line="240" w:lineRule="auto"/>
        <w:jc w:val="both"/>
        <w:rPr>
          <w:rFonts w:cs="Arial"/>
          <w:lang w:eastAsia="ar-SA"/>
        </w:rPr>
      </w:pPr>
      <w:r w:rsidRPr="002E72FC">
        <w:rPr>
          <w:noProof/>
        </w:rPr>
        <w:pict>
          <v:line id="Přímá spojnice 33" o:spid="_x0000_s1029" style="position:absolute;left:0;text-align:left;z-index:251656704;visibility:visible;mso-wrap-distance-top:-3e-5mm;mso-wrap-distance-bottom:-3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sidRPr="00A74192">
        <w:rPr>
          <w:rFonts w:cs="Arial"/>
        </w:rPr>
        <w:br w:type="page"/>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spacing w:line="240" w:lineRule="auto"/>
        <w:rPr>
          <w:rFonts w:cs="Arial"/>
          <w:lang w:eastAsia="ar-SA"/>
        </w:rPr>
      </w:pPr>
    </w:p>
    <w:p w:rsidR="00576A3E" w:rsidRPr="00A74192" w:rsidRDefault="00576A3E" w:rsidP="00D94859">
      <w:pPr>
        <w:pStyle w:val="Styl1"/>
        <w:rPr>
          <w:rFonts w:cs="Arial"/>
          <w:sz w:val="20"/>
        </w:rPr>
      </w:pPr>
    </w:p>
    <w:p w:rsidR="00576A3E" w:rsidRPr="00A74192" w:rsidRDefault="002E72FC" w:rsidP="00D94859">
      <w:pPr>
        <w:pStyle w:val="Styl1"/>
        <w:rPr>
          <w:rFonts w:cs="Arial"/>
          <w:color w:val="7DB41E"/>
          <w:sz w:val="20"/>
          <w:szCs w:val="20"/>
        </w:rPr>
      </w:pPr>
      <w:r w:rsidRPr="002E72FC">
        <w:rPr>
          <w:noProof/>
          <w:lang w:eastAsia="cs-CZ"/>
        </w:rPr>
        <w:pict>
          <v:shape id="_x0000_s1028"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KbQ3ii9AgAAtwUAAA4AAAAAAAAAAAAAAAAALgIAAGRycy9lMm9Eb2MueG1sUEsBAi0AFAAGAAgA&#10;AAAhADy8ZjjhAAAADQEAAA8AAAAAAAAAAAAAAAAAFwUAAGRycy9kb3ducmV2LnhtbFBLBQYAAAAA&#10;BAAEAPMAAAAlBgAAAAA=&#10;" filled="f" stroked="f">
            <v:textbox inset="0,0,0,0">
              <w:txbxContent>
                <w:p w:rsidR="00D667A0" w:rsidRPr="00D766EF" w:rsidRDefault="00D667A0" w:rsidP="00437C76">
                  <w:pPr>
                    <w:pStyle w:val="TL-Kontakty"/>
                  </w:pPr>
                  <w:r w:rsidRPr="00D766EF">
                    <w:rPr>
                      <w:caps w:val="0"/>
                    </w:rPr>
                    <w:t>KONTAKTY V</w:t>
                  </w:r>
                  <w:r w:rsidRPr="00D766EF">
                    <w:t> ÚSTŘEDÍ</w:t>
                  </w:r>
                </w:p>
                <w:p w:rsidR="00D667A0" w:rsidRPr="00EA4153" w:rsidRDefault="00D667A0"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D667A0" w:rsidRPr="00B27293" w:rsidRDefault="00D667A0" w:rsidP="00BD366B">
                  <w:pPr>
                    <w:spacing w:after="80" w:line="240" w:lineRule="auto"/>
                  </w:pPr>
                  <w:r w:rsidRPr="00100014">
                    <w:rPr>
                      <w:b/>
                    </w:rPr>
                    <w:t>Oddělení informačních služeb</w:t>
                  </w:r>
                  <w:r w:rsidRPr="00EA4153">
                    <w:t xml:space="preserve"> |</w:t>
                  </w:r>
                  <w:r>
                    <w:rPr>
                      <w:b/>
                    </w:rPr>
                    <w:t xml:space="preserve"> </w:t>
                  </w:r>
                  <w:r>
                    <w:t>tel.: 274 052 304, 274 052 451 | e-mail: infoservis@czso.cz</w:t>
                  </w:r>
                </w:p>
                <w:p w:rsidR="00D667A0" w:rsidRPr="00EA4153" w:rsidRDefault="00D667A0" w:rsidP="00BD366B">
                  <w:pPr>
                    <w:spacing w:after="80" w:line="240" w:lineRule="auto"/>
                    <w:rPr>
                      <w:b/>
                    </w:rPr>
                  </w:pPr>
                  <w:r w:rsidRPr="00100014">
                    <w:rPr>
                      <w:b/>
                    </w:rPr>
                    <w:t>Prodejna publikací ČSÚ</w:t>
                  </w:r>
                  <w:r>
                    <w:t xml:space="preserve"> | tel.: 274 052 361 | e-mail: prodejna@czso.cz</w:t>
                  </w:r>
                </w:p>
                <w:p w:rsidR="00D667A0" w:rsidRPr="00EA4153" w:rsidRDefault="00D667A0"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D667A0" w:rsidRPr="00EA4153" w:rsidRDefault="00D667A0" w:rsidP="00BD366B">
                  <w:pPr>
                    <w:spacing w:after="80" w:line="240" w:lineRule="auto"/>
                    <w:rPr>
                      <w:b/>
                    </w:rPr>
                  </w:pPr>
                  <w:r w:rsidRPr="00100014">
                    <w:rPr>
                      <w:b/>
                    </w:rPr>
                    <w:t>Ústřední statistická knihovna</w:t>
                  </w:r>
                  <w:r>
                    <w:t xml:space="preserve"> | tel.: 274 052 361 | e-mail: knihovna@czso.cz</w:t>
                  </w:r>
                </w:p>
                <w:p w:rsidR="00D667A0" w:rsidRDefault="00D667A0" w:rsidP="00BD366B">
                  <w:pPr>
                    <w:spacing w:line="240" w:lineRule="auto"/>
                  </w:pPr>
                </w:p>
                <w:p w:rsidR="00D667A0" w:rsidRPr="0071229A" w:rsidRDefault="00D667A0" w:rsidP="004F06F5">
                  <w:pPr>
                    <w:pStyle w:val="TL-Kontakty"/>
                  </w:pPr>
                  <w:r w:rsidRPr="0071229A">
                    <w:t>INFORMAČNÍ SLUŽBY V REGIONECH</w:t>
                  </w:r>
                </w:p>
                <w:p w:rsidR="00D667A0" w:rsidRDefault="00D667A0" w:rsidP="00BD366B">
                  <w:pPr>
                    <w:spacing w:line="240" w:lineRule="auto"/>
                  </w:pPr>
                  <w:r w:rsidRPr="00100014">
                    <w:rPr>
                      <w:b/>
                      <w:color w:val="0071BC"/>
                    </w:rPr>
                    <w:t>Hl. m. Praha</w:t>
                  </w:r>
                  <w:r>
                    <w:t xml:space="preserve"> | Na padesátém 81, 100 82 Praha 10 | tel.: 274 052 673, 274 054 223</w:t>
                  </w:r>
                </w:p>
                <w:p w:rsidR="00D667A0" w:rsidRPr="00100014" w:rsidRDefault="00D667A0" w:rsidP="00BD366B">
                  <w:pPr>
                    <w:spacing w:line="240" w:lineRule="auto"/>
                    <w:rPr>
                      <w:b/>
                    </w:rPr>
                  </w:pPr>
                  <w:r>
                    <w:t xml:space="preserve">e-mail: infoservispraha@czso.cz | </w:t>
                  </w:r>
                  <w:r w:rsidRPr="00100014">
                    <w:rPr>
                      <w:b/>
                    </w:rPr>
                    <w:t>www.praha.czso.cz</w:t>
                  </w:r>
                </w:p>
                <w:p w:rsidR="00D667A0" w:rsidRDefault="00D667A0" w:rsidP="00BD366B">
                  <w:pPr>
                    <w:spacing w:line="240" w:lineRule="auto"/>
                  </w:pPr>
                </w:p>
                <w:p w:rsidR="00D667A0" w:rsidRPr="00B27293" w:rsidRDefault="00D667A0"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D667A0" w:rsidRPr="00B27293" w:rsidRDefault="00D667A0" w:rsidP="00BD366B">
                  <w:pPr>
                    <w:spacing w:line="240" w:lineRule="auto"/>
                  </w:pPr>
                  <w:r>
                    <w:t xml:space="preserve">e-mail: infoservisstc@czso.cz | </w:t>
                  </w:r>
                  <w:r w:rsidRPr="00100014">
                    <w:rPr>
                      <w:b/>
                    </w:rPr>
                    <w:t>www.stredocesky.czso.cz</w:t>
                  </w:r>
                </w:p>
                <w:p w:rsidR="00D667A0" w:rsidRDefault="00D667A0" w:rsidP="00BD366B">
                  <w:pPr>
                    <w:spacing w:line="240" w:lineRule="auto"/>
                  </w:pPr>
                </w:p>
                <w:p w:rsidR="00D667A0" w:rsidRPr="00B27293" w:rsidRDefault="00D667A0" w:rsidP="00BD366B">
                  <w:pPr>
                    <w:spacing w:line="240" w:lineRule="auto"/>
                    <w:rPr>
                      <w:b/>
                      <w:color w:val="0071BC"/>
                    </w:rPr>
                  </w:pPr>
                  <w:r w:rsidRPr="00100014">
                    <w:rPr>
                      <w:b/>
                      <w:color w:val="0071BC"/>
                    </w:rPr>
                    <w:t>České Budějovice</w:t>
                  </w:r>
                  <w:r>
                    <w:t xml:space="preserve"> | Žižkova 1, 370 77 České Budějovice | tel.: 386 718 440</w:t>
                  </w:r>
                </w:p>
                <w:p w:rsidR="00D667A0" w:rsidRPr="00B27293" w:rsidRDefault="00D667A0" w:rsidP="00BD366B">
                  <w:pPr>
                    <w:spacing w:line="240" w:lineRule="auto"/>
                  </w:pPr>
                  <w:r>
                    <w:t xml:space="preserve">e-mail: infoserviscb@czso.cz | </w:t>
                  </w:r>
                  <w:r w:rsidRPr="00100014">
                    <w:rPr>
                      <w:b/>
                    </w:rPr>
                    <w:t>www.cbudejovice.czso.cz</w:t>
                  </w:r>
                </w:p>
                <w:p w:rsidR="00D667A0" w:rsidRDefault="00D667A0" w:rsidP="00BD366B">
                  <w:pPr>
                    <w:spacing w:line="240" w:lineRule="auto"/>
                  </w:pPr>
                </w:p>
                <w:p w:rsidR="00D667A0" w:rsidRPr="00B27293" w:rsidRDefault="00D667A0" w:rsidP="00BD366B">
                  <w:pPr>
                    <w:spacing w:line="240" w:lineRule="auto"/>
                    <w:rPr>
                      <w:b/>
                      <w:color w:val="0071BC"/>
                    </w:rPr>
                  </w:pPr>
                  <w:r w:rsidRPr="0071229A">
                    <w:rPr>
                      <w:b/>
                      <w:color w:val="0071BC"/>
                    </w:rPr>
                    <w:t>Plzeň</w:t>
                  </w:r>
                  <w:r>
                    <w:t xml:space="preserve"> | Slovanská alej 36, 326 64 Plzeň | tel.: 377 612 108, 377 612 249</w:t>
                  </w:r>
                </w:p>
                <w:p w:rsidR="00D667A0" w:rsidRPr="00B27293" w:rsidRDefault="00D667A0" w:rsidP="00BD366B">
                  <w:pPr>
                    <w:spacing w:line="240" w:lineRule="auto"/>
                  </w:pPr>
                  <w:r>
                    <w:t xml:space="preserve">e-mail: infoservisplzen@czso.cz | </w:t>
                  </w:r>
                  <w:r w:rsidRPr="0071229A">
                    <w:rPr>
                      <w:b/>
                    </w:rPr>
                    <w:t>www.plzen.czso.cz</w:t>
                  </w:r>
                </w:p>
                <w:p w:rsidR="00D667A0" w:rsidRDefault="00D667A0" w:rsidP="00BD366B">
                  <w:pPr>
                    <w:spacing w:line="240" w:lineRule="auto"/>
                  </w:pPr>
                </w:p>
                <w:p w:rsidR="00D667A0" w:rsidRPr="00B27293" w:rsidRDefault="00D667A0" w:rsidP="00BD366B">
                  <w:pPr>
                    <w:spacing w:line="240" w:lineRule="auto"/>
                    <w:rPr>
                      <w:b/>
                      <w:color w:val="0071BC"/>
                    </w:rPr>
                  </w:pPr>
                  <w:r w:rsidRPr="0071229A">
                    <w:rPr>
                      <w:b/>
                      <w:color w:val="0071BC"/>
                    </w:rPr>
                    <w:t>Karlovy Vary</w:t>
                  </w:r>
                  <w:r>
                    <w:t xml:space="preserve"> | Závodní 360/94, 360 06 Karlovy Vary | tel.: 353 114 529, 353 114 525</w:t>
                  </w:r>
                </w:p>
                <w:p w:rsidR="00D667A0" w:rsidRDefault="00D667A0" w:rsidP="00BD366B">
                  <w:pPr>
                    <w:spacing w:line="240" w:lineRule="auto"/>
                    <w:rPr>
                      <w:b/>
                    </w:rPr>
                  </w:pPr>
                  <w:r>
                    <w:t xml:space="preserve">e-mail: infoserviskv@czso.cz | </w:t>
                  </w:r>
                  <w:r>
                    <w:rPr>
                      <w:b/>
                    </w:rPr>
                    <w:t>www.kvary.czso.cz</w:t>
                  </w:r>
                </w:p>
                <w:p w:rsidR="00D667A0" w:rsidRDefault="00D667A0" w:rsidP="00BD366B">
                  <w:pPr>
                    <w:spacing w:line="240" w:lineRule="auto"/>
                  </w:pPr>
                </w:p>
                <w:p w:rsidR="00D667A0" w:rsidRPr="00B27293" w:rsidRDefault="00D667A0"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D667A0" w:rsidRPr="00B27293" w:rsidRDefault="00D667A0" w:rsidP="00BD366B">
                  <w:pPr>
                    <w:spacing w:line="240" w:lineRule="auto"/>
                    <w:rPr>
                      <w:bCs/>
                    </w:rPr>
                  </w:pPr>
                  <w:r w:rsidRPr="0071229A">
                    <w:rPr>
                      <w:bCs/>
                    </w:rPr>
                    <w:t>e-mail: infoservisul@czso.cz</w:t>
                  </w:r>
                  <w:r>
                    <w:t xml:space="preserve"> | </w:t>
                  </w:r>
                  <w:r w:rsidRPr="0071229A">
                    <w:rPr>
                      <w:b/>
                      <w:bCs/>
                    </w:rPr>
                    <w:t>www.ustinadlabem.czso.cz</w:t>
                  </w:r>
                </w:p>
                <w:p w:rsidR="00D667A0" w:rsidRPr="0071229A" w:rsidRDefault="00D667A0" w:rsidP="00BD366B">
                  <w:pPr>
                    <w:spacing w:line="240" w:lineRule="auto"/>
                    <w:rPr>
                      <w:bCs/>
                    </w:rPr>
                  </w:pPr>
                </w:p>
                <w:p w:rsidR="00D667A0" w:rsidRPr="00B27293" w:rsidRDefault="00D667A0"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D667A0" w:rsidRPr="00B27293" w:rsidRDefault="00D667A0" w:rsidP="00BD366B">
                  <w:pPr>
                    <w:spacing w:line="240" w:lineRule="auto"/>
                    <w:rPr>
                      <w:bCs/>
                    </w:rPr>
                  </w:pPr>
                  <w:r w:rsidRPr="0071229A">
                    <w:rPr>
                      <w:bCs/>
                    </w:rPr>
                    <w:t>e-mail: infoservislbc@czso.cz</w:t>
                  </w:r>
                  <w:r>
                    <w:t xml:space="preserve"> | </w:t>
                  </w:r>
                  <w:r w:rsidRPr="0071229A">
                    <w:rPr>
                      <w:b/>
                      <w:bCs/>
                    </w:rPr>
                    <w:t>www.liberec.czso.cz</w:t>
                  </w:r>
                </w:p>
                <w:p w:rsidR="00D667A0" w:rsidRPr="0071229A" w:rsidRDefault="00D667A0" w:rsidP="00BD366B">
                  <w:pPr>
                    <w:spacing w:line="240" w:lineRule="auto"/>
                    <w:rPr>
                      <w:bCs/>
                    </w:rPr>
                  </w:pPr>
                </w:p>
                <w:p w:rsidR="00D667A0" w:rsidRPr="00B27293" w:rsidRDefault="00D667A0"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D667A0" w:rsidRPr="00B27293" w:rsidRDefault="00D667A0" w:rsidP="00BD366B">
                  <w:pPr>
                    <w:spacing w:line="240" w:lineRule="auto"/>
                    <w:rPr>
                      <w:bCs/>
                    </w:rPr>
                  </w:pPr>
                  <w:r w:rsidRPr="0071229A">
                    <w:rPr>
                      <w:bCs/>
                    </w:rPr>
                    <w:t>e-mail: infoservishk@czso.cz</w:t>
                  </w:r>
                  <w:r>
                    <w:t xml:space="preserve"> | </w:t>
                  </w:r>
                  <w:r w:rsidRPr="0071229A">
                    <w:rPr>
                      <w:b/>
                      <w:bCs/>
                    </w:rPr>
                    <w:t>www.hradeckralove.czso.cz</w:t>
                  </w:r>
                </w:p>
                <w:p w:rsidR="00D667A0" w:rsidRPr="0071229A" w:rsidRDefault="00D667A0" w:rsidP="00BD366B">
                  <w:pPr>
                    <w:spacing w:line="240" w:lineRule="auto"/>
                    <w:rPr>
                      <w:bCs/>
                    </w:rPr>
                  </w:pPr>
                </w:p>
                <w:p w:rsidR="00D667A0" w:rsidRPr="00B27293" w:rsidRDefault="00D667A0"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D667A0" w:rsidRPr="00B27293" w:rsidRDefault="00D667A0" w:rsidP="00BD366B">
                  <w:pPr>
                    <w:spacing w:line="240" w:lineRule="auto"/>
                    <w:rPr>
                      <w:bCs/>
                    </w:rPr>
                  </w:pPr>
                  <w:r w:rsidRPr="0071229A">
                    <w:rPr>
                      <w:bCs/>
                    </w:rPr>
                    <w:t>e-mail: infoservispa@czso.cz</w:t>
                  </w:r>
                  <w:r>
                    <w:t xml:space="preserve"> | </w:t>
                  </w:r>
                  <w:r w:rsidRPr="0071229A">
                    <w:rPr>
                      <w:b/>
                      <w:bCs/>
                    </w:rPr>
                    <w:t>www.pardubice.czso.cz</w:t>
                  </w:r>
                </w:p>
                <w:p w:rsidR="00D667A0" w:rsidRPr="0071229A" w:rsidRDefault="00D667A0" w:rsidP="00BD366B">
                  <w:pPr>
                    <w:spacing w:line="240" w:lineRule="auto"/>
                    <w:rPr>
                      <w:bCs/>
                    </w:rPr>
                  </w:pPr>
                </w:p>
                <w:p w:rsidR="00D667A0" w:rsidRPr="00B27293" w:rsidRDefault="00D667A0"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D667A0" w:rsidRPr="00B27293" w:rsidRDefault="00D667A0" w:rsidP="00BD366B">
                  <w:pPr>
                    <w:spacing w:line="240" w:lineRule="auto"/>
                    <w:rPr>
                      <w:bCs/>
                    </w:rPr>
                  </w:pPr>
                  <w:r w:rsidRPr="0071229A">
                    <w:rPr>
                      <w:bCs/>
                    </w:rPr>
                    <w:t>e-mail: infoservisvys@czso.cz</w:t>
                  </w:r>
                  <w:r>
                    <w:t xml:space="preserve"> | </w:t>
                  </w:r>
                  <w:r w:rsidRPr="0071229A">
                    <w:rPr>
                      <w:b/>
                      <w:bCs/>
                    </w:rPr>
                    <w:t>www.jihlava.czso.cz</w:t>
                  </w:r>
                </w:p>
                <w:p w:rsidR="00D667A0" w:rsidRPr="0071229A" w:rsidRDefault="00D667A0" w:rsidP="00BD366B">
                  <w:pPr>
                    <w:spacing w:line="240" w:lineRule="auto"/>
                    <w:rPr>
                      <w:bCs/>
                    </w:rPr>
                  </w:pPr>
                </w:p>
                <w:p w:rsidR="00D667A0" w:rsidRPr="00B27293" w:rsidRDefault="00D667A0"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D667A0" w:rsidRPr="00B27293" w:rsidRDefault="00D667A0" w:rsidP="00BD366B">
                  <w:pPr>
                    <w:spacing w:line="240" w:lineRule="auto"/>
                    <w:rPr>
                      <w:bCs/>
                    </w:rPr>
                  </w:pPr>
                  <w:r w:rsidRPr="0071229A">
                    <w:rPr>
                      <w:bCs/>
                    </w:rPr>
                    <w:t>e-mail: infoservisbrno@czso.cz</w:t>
                  </w:r>
                  <w:r>
                    <w:t xml:space="preserve"> | </w:t>
                  </w:r>
                  <w:r w:rsidRPr="0071229A">
                    <w:rPr>
                      <w:b/>
                      <w:bCs/>
                    </w:rPr>
                    <w:t>www.brno.czso.cz</w:t>
                  </w:r>
                </w:p>
                <w:p w:rsidR="00D667A0" w:rsidRPr="0071229A" w:rsidRDefault="00D667A0" w:rsidP="00BD366B">
                  <w:pPr>
                    <w:spacing w:line="240" w:lineRule="auto"/>
                    <w:rPr>
                      <w:bCs/>
                    </w:rPr>
                  </w:pPr>
                </w:p>
                <w:p w:rsidR="00D667A0" w:rsidRPr="00B27293" w:rsidRDefault="00D667A0"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D667A0" w:rsidRPr="00B27293" w:rsidRDefault="00D667A0" w:rsidP="00BD366B">
                  <w:pPr>
                    <w:spacing w:line="240" w:lineRule="auto"/>
                    <w:rPr>
                      <w:bCs/>
                    </w:rPr>
                  </w:pPr>
                  <w:r w:rsidRPr="0071229A">
                    <w:rPr>
                      <w:bCs/>
                    </w:rPr>
                    <w:t>e-mail: infoservisolom@czso.cz</w:t>
                  </w:r>
                  <w:r>
                    <w:t xml:space="preserve"> | </w:t>
                  </w:r>
                  <w:r w:rsidRPr="0071229A">
                    <w:rPr>
                      <w:b/>
                      <w:bCs/>
                    </w:rPr>
                    <w:t>www.olomouc.czso.cz</w:t>
                  </w:r>
                </w:p>
                <w:p w:rsidR="00D667A0" w:rsidRPr="0071229A" w:rsidRDefault="00D667A0" w:rsidP="00BD366B">
                  <w:pPr>
                    <w:spacing w:line="240" w:lineRule="auto"/>
                    <w:rPr>
                      <w:bCs/>
                    </w:rPr>
                  </w:pPr>
                </w:p>
                <w:p w:rsidR="00D667A0" w:rsidRPr="00B27293" w:rsidRDefault="00D667A0"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D667A0" w:rsidRPr="00B27293" w:rsidRDefault="00D667A0" w:rsidP="00BD366B">
                  <w:pPr>
                    <w:spacing w:line="240" w:lineRule="auto"/>
                    <w:rPr>
                      <w:bCs/>
                    </w:rPr>
                  </w:pPr>
                  <w:r w:rsidRPr="0071229A">
                    <w:rPr>
                      <w:bCs/>
                    </w:rPr>
                    <w:t>e-mail: infoservis_ov@czso.cz</w:t>
                  </w:r>
                  <w:r>
                    <w:t xml:space="preserve"> | </w:t>
                  </w:r>
                  <w:r w:rsidRPr="0071229A">
                    <w:rPr>
                      <w:b/>
                      <w:bCs/>
                    </w:rPr>
                    <w:t>www.ostrava.czso.cz</w:t>
                  </w:r>
                </w:p>
                <w:p w:rsidR="00D667A0" w:rsidRPr="0071229A" w:rsidRDefault="00D667A0" w:rsidP="00BD366B">
                  <w:pPr>
                    <w:spacing w:line="240" w:lineRule="auto"/>
                    <w:rPr>
                      <w:bCs/>
                    </w:rPr>
                  </w:pPr>
                </w:p>
                <w:p w:rsidR="00D667A0" w:rsidRPr="0071229A" w:rsidRDefault="00D667A0"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D667A0" w:rsidRPr="00B27293" w:rsidRDefault="00D667A0" w:rsidP="00BD366B">
                  <w:pPr>
                    <w:spacing w:line="240" w:lineRule="auto"/>
                    <w:rPr>
                      <w:bCs/>
                    </w:rPr>
                  </w:pPr>
                  <w:r w:rsidRPr="0071229A">
                    <w:rPr>
                      <w:bCs/>
                    </w:rPr>
                    <w:t>e-mail: infoservis-zl@czso.cz</w:t>
                  </w:r>
                  <w:r>
                    <w:t xml:space="preserve"> | </w:t>
                  </w:r>
                  <w:r w:rsidRPr="0071229A">
                    <w:rPr>
                      <w:b/>
                      <w:bCs/>
                    </w:rPr>
                    <w:t>www.zlin.czso.cz</w:t>
                  </w:r>
                </w:p>
                <w:p w:rsidR="00D667A0" w:rsidRPr="00B27293" w:rsidRDefault="00D667A0" w:rsidP="00BD366B">
                  <w:pPr>
                    <w:spacing w:line="240" w:lineRule="auto"/>
                  </w:pPr>
                </w:p>
              </w:txbxContent>
            </v:textbox>
            <w10:wrap anchorx="page" anchory="page"/>
            <w10:anchorlock/>
          </v:shape>
        </w:pict>
      </w:r>
      <w:r w:rsidRPr="002E72FC">
        <w:rPr>
          <w:noProof/>
          <w:lang w:eastAsia="cs-CZ"/>
        </w:rPr>
        <w:pict>
          <v:shape id="_x0000_s1026" type="#_x0000_t202" style="position:absolute;margin-left:56.7pt;margin-top:56.7pt;width:481.8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Zmuw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" filled="f" stroked="f">
            <v:textbox style="mso-fit-shape-to-text:t" inset="0,0,0,0">
              <w:txbxContent>
                <w:p w:rsidR="00D667A0" w:rsidRPr="004F4353" w:rsidRDefault="00D667A0" w:rsidP="0060487F">
                  <w:pPr>
                    <w:rPr>
                      <w:b/>
                      <w:bCs/>
                      <w:sz w:val="24"/>
                    </w:rPr>
                  </w:pPr>
                  <w:r w:rsidRPr="004F4353">
                    <w:rPr>
                      <w:b/>
                      <w:color w:val="0071BC"/>
                      <w:sz w:val="24"/>
                    </w:rPr>
                    <w:t xml:space="preserve">Zajímají Vás nejnovější údaje o inflaci, HDP, obyvatelstvu, průměrných mzdách </w:t>
                  </w:r>
                  <w:r w:rsidRPr="004F4353">
                    <w:rPr>
                      <w:b/>
                      <w:color w:val="0071BC"/>
                      <w:sz w:val="24"/>
                    </w:rPr>
                    <w:br/>
                    <w:t xml:space="preserve">a mnohé další? Najdete je na stránkách ČSÚ na internetu: </w:t>
                  </w:r>
                  <w:r w:rsidRPr="004F4353">
                    <w:rPr>
                      <w:b/>
                      <w:bCs/>
                      <w:sz w:val="24"/>
                    </w:rPr>
                    <w:t>www.czso.cz</w:t>
                  </w:r>
                  <w:r>
                    <w:rPr>
                      <w:b/>
                      <w:bCs/>
                      <w:sz w:val="24"/>
                    </w:rPr>
                    <w:t>.</w:t>
                  </w:r>
                </w:p>
              </w:txbxContent>
            </v:textbox>
            <w10:wrap anchorx="page" anchory="page"/>
            <w10:anchorlock/>
          </v:shape>
        </w:pict>
      </w:r>
      <w:r w:rsidRPr="002E72FC">
        <w:rPr>
          <w:noProof/>
          <w:lang w:eastAsia="cs-CZ"/>
        </w:rPr>
        <w:pict>
          <v:shape id="_x0000_s1027"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D667A0" w:rsidRPr="00841D9F" w:rsidRDefault="00D667A0" w:rsidP="004F06F5"/>
                <w:p w:rsidR="00D667A0" w:rsidRPr="00AF2852" w:rsidRDefault="00D667A0" w:rsidP="004F06F5">
                  <w:r w:rsidRPr="00841D9F">
                    <w:t>© Český sta</w:t>
                  </w:r>
                  <w:r>
                    <w:t>tistický úřad, Praha, 2017</w:t>
                  </w:r>
                </w:p>
              </w:txbxContent>
            </v:textbox>
            <w10:wrap anchorx="page" anchory="page"/>
            <w10:anchorlock/>
          </v:shape>
        </w:pict>
      </w:r>
    </w:p>
    <w:p w:rsidR="00576A3E" w:rsidRPr="00A74192" w:rsidRDefault="00576A3E" w:rsidP="00D94859">
      <w:pPr>
        <w:pStyle w:val="Zkladnodstavec"/>
        <w:spacing w:after="240"/>
        <w:rPr>
          <w:rFonts w:ascii="Arial" w:hAnsi="Arial" w:cs="Arial"/>
          <w:b/>
          <w:color w:val="A5007B"/>
          <w:sz w:val="32"/>
          <w:szCs w:val="32"/>
        </w:rPr>
      </w:pPr>
    </w:p>
    <w:p w:rsidR="00576A3E" w:rsidRPr="00A74192" w:rsidRDefault="00576A3E" w:rsidP="00D94859">
      <w:pPr>
        <w:rPr>
          <w:rFonts w:cs="Arial"/>
          <w:b/>
          <w:color w:val="A5007B"/>
          <w:sz w:val="32"/>
          <w:szCs w:val="32"/>
        </w:rPr>
        <w:sectPr w:rsidR="00576A3E" w:rsidRPr="00A74192" w:rsidSect="00E83DAB">
          <w:pgSz w:w="11906" w:h="16838" w:code="9"/>
          <w:pgMar w:top="1134" w:right="1134" w:bottom="1418" w:left="1134" w:header="709" w:footer="709" w:gutter="0"/>
          <w:cols w:space="708"/>
          <w:titlePg/>
          <w:docGrid w:linePitch="360"/>
        </w:sectPr>
      </w:pPr>
    </w:p>
    <w:p w:rsidR="00576A3E" w:rsidRDefault="00576A3E" w:rsidP="00D94859">
      <w:pPr>
        <w:pStyle w:val="Nadpis1"/>
      </w:pPr>
      <w:bookmarkStart w:id="0" w:name="_Toc412459447"/>
      <w:bookmarkStart w:id="1" w:name="_Toc469299928"/>
      <w:bookmarkStart w:id="2" w:name="_Toc485271453"/>
      <w:r w:rsidRPr="00A74192">
        <w:lastRenderedPageBreak/>
        <w:t>Obsah</w:t>
      </w:r>
      <w:bookmarkEnd w:id="0"/>
      <w:bookmarkEnd w:id="1"/>
      <w:bookmarkEnd w:id="2"/>
    </w:p>
    <w:p w:rsidR="00A0172C" w:rsidRDefault="002E72FC">
      <w:pPr>
        <w:pStyle w:val="Obsah1"/>
        <w:rPr>
          <w:rFonts w:asciiTheme="minorHAnsi" w:eastAsiaTheme="minorEastAsia" w:hAnsiTheme="minorHAnsi" w:cstheme="minorBidi"/>
          <w:b w:val="0"/>
          <w:sz w:val="22"/>
          <w:szCs w:val="22"/>
          <w:lang w:eastAsia="cs-CZ"/>
        </w:rPr>
      </w:pPr>
      <w:r w:rsidRPr="002E72FC">
        <w:fldChar w:fldCharType="begin"/>
      </w:r>
      <w:r w:rsidR="00576A3E" w:rsidRPr="00A74192">
        <w:instrText xml:space="preserve"> TOC \o "1-3" \h \z \u </w:instrText>
      </w:r>
      <w:r w:rsidRPr="002E72FC">
        <w:fldChar w:fldCharType="separate"/>
      </w:r>
      <w:hyperlink w:anchor="_Toc485271453" w:history="1">
        <w:r w:rsidR="00A0172C" w:rsidRPr="008B5663">
          <w:rPr>
            <w:rStyle w:val="Hypertextovodkaz"/>
          </w:rPr>
          <w:t>Obsah</w:t>
        </w:r>
        <w:r w:rsidR="00A0172C">
          <w:rPr>
            <w:webHidden/>
          </w:rPr>
          <w:tab/>
        </w:r>
        <w:r w:rsidR="00621916">
          <w:rPr>
            <w:webHidden/>
          </w:rPr>
          <w:t>…………………………………………………………………………………………………………………….</w:t>
        </w:r>
        <w:r>
          <w:rPr>
            <w:webHidden/>
          </w:rPr>
          <w:fldChar w:fldCharType="begin"/>
        </w:r>
        <w:r w:rsidR="00A0172C">
          <w:rPr>
            <w:webHidden/>
          </w:rPr>
          <w:instrText xml:space="preserve"> PAGEREF _Toc485271453 \h </w:instrText>
        </w:r>
        <w:r>
          <w:rPr>
            <w:webHidden/>
          </w:rPr>
        </w:r>
        <w:r>
          <w:rPr>
            <w:webHidden/>
          </w:rPr>
          <w:fldChar w:fldCharType="separate"/>
        </w:r>
        <w:r w:rsidR="008C17B8">
          <w:rPr>
            <w:webHidden/>
          </w:rPr>
          <w:t>3</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54" w:history="1">
        <w:r w:rsidR="00A0172C" w:rsidRPr="008B5663">
          <w:rPr>
            <w:rStyle w:val="Hypertextovodkaz"/>
          </w:rPr>
          <w:t>1.</w:t>
        </w:r>
        <w:r w:rsidR="00A0172C">
          <w:rPr>
            <w:rFonts w:asciiTheme="minorHAnsi" w:eastAsiaTheme="minorEastAsia" w:hAnsiTheme="minorHAnsi" w:cstheme="minorBidi"/>
            <w:b w:val="0"/>
            <w:sz w:val="22"/>
            <w:szCs w:val="22"/>
            <w:lang w:eastAsia="cs-CZ"/>
          </w:rPr>
          <w:tab/>
        </w:r>
        <w:r w:rsidR="00A0172C" w:rsidRPr="008B5663">
          <w:rPr>
            <w:rStyle w:val="Hypertextovodkaz"/>
          </w:rPr>
          <w:t>Shrnutí</w:t>
        </w:r>
        <w:r w:rsidR="00A0172C">
          <w:rPr>
            <w:webHidden/>
          </w:rPr>
          <w:tab/>
        </w:r>
        <w:r>
          <w:rPr>
            <w:webHidden/>
          </w:rPr>
          <w:fldChar w:fldCharType="begin"/>
        </w:r>
        <w:r w:rsidR="00A0172C">
          <w:rPr>
            <w:webHidden/>
          </w:rPr>
          <w:instrText xml:space="preserve"> PAGEREF _Toc485271454 \h </w:instrText>
        </w:r>
        <w:r>
          <w:rPr>
            <w:webHidden/>
          </w:rPr>
        </w:r>
        <w:r>
          <w:rPr>
            <w:webHidden/>
          </w:rPr>
          <w:fldChar w:fldCharType="separate"/>
        </w:r>
        <w:r w:rsidR="008C17B8">
          <w:rPr>
            <w:webHidden/>
          </w:rPr>
          <w:t>4</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55" w:history="1">
        <w:r w:rsidR="00A0172C" w:rsidRPr="008B5663">
          <w:rPr>
            <w:rStyle w:val="Hypertextovodkaz"/>
          </w:rPr>
          <w:t>2.</w:t>
        </w:r>
        <w:r w:rsidR="00A0172C">
          <w:rPr>
            <w:rFonts w:asciiTheme="minorHAnsi" w:eastAsiaTheme="minorEastAsia" w:hAnsiTheme="minorHAnsi" w:cstheme="minorBidi"/>
            <w:b w:val="0"/>
            <w:sz w:val="22"/>
            <w:szCs w:val="22"/>
            <w:lang w:eastAsia="cs-CZ"/>
          </w:rPr>
          <w:tab/>
        </w:r>
        <w:r w:rsidR="00A0172C" w:rsidRPr="008B5663">
          <w:rPr>
            <w:rStyle w:val="Hypertextovodkaz"/>
          </w:rPr>
          <w:t>Souhrnná výkonnost</w:t>
        </w:r>
        <w:r w:rsidR="00A0172C">
          <w:rPr>
            <w:webHidden/>
          </w:rPr>
          <w:tab/>
        </w:r>
        <w:r>
          <w:rPr>
            <w:webHidden/>
          </w:rPr>
          <w:fldChar w:fldCharType="begin"/>
        </w:r>
        <w:r w:rsidR="00A0172C">
          <w:rPr>
            <w:webHidden/>
          </w:rPr>
          <w:instrText xml:space="preserve"> PAGEREF _Toc485271455 \h </w:instrText>
        </w:r>
        <w:r>
          <w:rPr>
            <w:webHidden/>
          </w:rPr>
        </w:r>
        <w:r>
          <w:rPr>
            <w:webHidden/>
          </w:rPr>
          <w:fldChar w:fldCharType="separate"/>
        </w:r>
        <w:r w:rsidR="008C17B8">
          <w:rPr>
            <w:webHidden/>
          </w:rPr>
          <w:t>5</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56" w:history="1">
        <w:r w:rsidR="00A0172C" w:rsidRPr="008B5663">
          <w:rPr>
            <w:rStyle w:val="Hypertextovodkaz"/>
          </w:rPr>
          <w:t>3.</w:t>
        </w:r>
        <w:r w:rsidR="00A0172C">
          <w:rPr>
            <w:rFonts w:asciiTheme="minorHAnsi" w:eastAsiaTheme="minorEastAsia" w:hAnsiTheme="minorHAnsi" w:cstheme="minorBidi"/>
            <w:b w:val="0"/>
            <w:sz w:val="22"/>
            <w:szCs w:val="22"/>
            <w:lang w:eastAsia="cs-CZ"/>
          </w:rPr>
          <w:tab/>
        </w:r>
        <w:r w:rsidR="00A0172C" w:rsidRPr="008B5663">
          <w:rPr>
            <w:rStyle w:val="Hypertextovodkaz"/>
          </w:rPr>
          <w:t>Výkonnost odvětví</w:t>
        </w:r>
        <w:r w:rsidR="00A0172C">
          <w:rPr>
            <w:webHidden/>
          </w:rPr>
          <w:tab/>
        </w:r>
        <w:r>
          <w:rPr>
            <w:webHidden/>
          </w:rPr>
          <w:fldChar w:fldCharType="begin"/>
        </w:r>
        <w:r w:rsidR="00A0172C">
          <w:rPr>
            <w:webHidden/>
          </w:rPr>
          <w:instrText xml:space="preserve"> PAGEREF _Toc485271456 \h </w:instrText>
        </w:r>
        <w:r>
          <w:rPr>
            <w:webHidden/>
          </w:rPr>
        </w:r>
        <w:r>
          <w:rPr>
            <w:webHidden/>
          </w:rPr>
          <w:fldChar w:fldCharType="separate"/>
        </w:r>
        <w:r w:rsidR="008C17B8">
          <w:rPr>
            <w:webHidden/>
          </w:rPr>
          <w:t>9</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57" w:history="1">
        <w:r w:rsidR="00A0172C" w:rsidRPr="008B5663">
          <w:rPr>
            <w:rStyle w:val="Hypertextovodkaz"/>
          </w:rPr>
          <w:t>4.</w:t>
        </w:r>
        <w:r w:rsidR="00A0172C">
          <w:rPr>
            <w:rFonts w:asciiTheme="minorHAnsi" w:eastAsiaTheme="minorEastAsia" w:hAnsiTheme="minorHAnsi" w:cstheme="minorBidi"/>
            <w:b w:val="0"/>
            <w:sz w:val="22"/>
            <w:szCs w:val="22"/>
            <w:lang w:eastAsia="cs-CZ"/>
          </w:rPr>
          <w:tab/>
        </w:r>
        <w:r w:rsidR="00A0172C" w:rsidRPr="008B5663">
          <w:rPr>
            <w:rStyle w:val="Hypertextovodkaz"/>
          </w:rPr>
          <w:t>Vnější ekonomické vztahy</w:t>
        </w:r>
        <w:r w:rsidR="00A0172C">
          <w:rPr>
            <w:webHidden/>
          </w:rPr>
          <w:tab/>
        </w:r>
        <w:r>
          <w:rPr>
            <w:webHidden/>
          </w:rPr>
          <w:fldChar w:fldCharType="begin"/>
        </w:r>
        <w:r w:rsidR="00A0172C">
          <w:rPr>
            <w:webHidden/>
          </w:rPr>
          <w:instrText xml:space="preserve"> PAGEREF _Toc485271457 \h </w:instrText>
        </w:r>
        <w:r>
          <w:rPr>
            <w:webHidden/>
          </w:rPr>
        </w:r>
        <w:r>
          <w:rPr>
            <w:webHidden/>
          </w:rPr>
          <w:fldChar w:fldCharType="separate"/>
        </w:r>
        <w:r w:rsidR="008C17B8">
          <w:rPr>
            <w:webHidden/>
          </w:rPr>
          <w:t>14</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58" w:history="1">
        <w:r w:rsidR="00A0172C" w:rsidRPr="008B5663">
          <w:rPr>
            <w:rStyle w:val="Hypertextovodkaz"/>
          </w:rPr>
          <w:t>5.</w:t>
        </w:r>
        <w:r w:rsidR="00A0172C">
          <w:rPr>
            <w:rFonts w:asciiTheme="minorHAnsi" w:eastAsiaTheme="minorEastAsia" w:hAnsiTheme="minorHAnsi" w:cstheme="minorBidi"/>
            <w:b w:val="0"/>
            <w:sz w:val="22"/>
            <w:szCs w:val="22"/>
            <w:lang w:eastAsia="cs-CZ"/>
          </w:rPr>
          <w:tab/>
        </w:r>
        <w:r w:rsidR="00A0172C" w:rsidRPr="008B5663">
          <w:rPr>
            <w:rStyle w:val="Hypertextovodkaz"/>
          </w:rPr>
          <w:t>Ceny</w:t>
        </w:r>
        <w:r w:rsidR="00A0172C">
          <w:rPr>
            <w:webHidden/>
          </w:rPr>
          <w:tab/>
        </w:r>
        <w:r>
          <w:rPr>
            <w:webHidden/>
          </w:rPr>
          <w:fldChar w:fldCharType="begin"/>
        </w:r>
        <w:r w:rsidR="00A0172C">
          <w:rPr>
            <w:webHidden/>
          </w:rPr>
          <w:instrText xml:space="preserve"> PAGEREF _Toc485271458 \h </w:instrText>
        </w:r>
        <w:r>
          <w:rPr>
            <w:webHidden/>
          </w:rPr>
        </w:r>
        <w:r>
          <w:rPr>
            <w:webHidden/>
          </w:rPr>
          <w:fldChar w:fldCharType="separate"/>
        </w:r>
        <w:r w:rsidR="008C17B8">
          <w:rPr>
            <w:webHidden/>
          </w:rPr>
          <w:t>17</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59" w:history="1">
        <w:r w:rsidR="00A0172C" w:rsidRPr="008B5663">
          <w:rPr>
            <w:rStyle w:val="Hypertextovodkaz"/>
          </w:rPr>
          <w:t>6.</w:t>
        </w:r>
        <w:r w:rsidR="00A0172C">
          <w:rPr>
            <w:rFonts w:asciiTheme="minorHAnsi" w:eastAsiaTheme="minorEastAsia" w:hAnsiTheme="minorHAnsi" w:cstheme="minorBidi"/>
            <w:b w:val="0"/>
            <w:sz w:val="22"/>
            <w:szCs w:val="22"/>
            <w:lang w:eastAsia="cs-CZ"/>
          </w:rPr>
          <w:tab/>
        </w:r>
        <w:r w:rsidR="00A0172C" w:rsidRPr="008B5663">
          <w:rPr>
            <w:rStyle w:val="Hypertextovodkaz"/>
          </w:rPr>
          <w:t>Trh práce</w:t>
        </w:r>
        <w:r w:rsidR="00A0172C">
          <w:rPr>
            <w:webHidden/>
          </w:rPr>
          <w:tab/>
        </w:r>
        <w:r>
          <w:rPr>
            <w:webHidden/>
          </w:rPr>
          <w:fldChar w:fldCharType="begin"/>
        </w:r>
        <w:r w:rsidR="00A0172C">
          <w:rPr>
            <w:webHidden/>
          </w:rPr>
          <w:instrText xml:space="preserve"> PAGEREF _Toc485271459 \h </w:instrText>
        </w:r>
        <w:r>
          <w:rPr>
            <w:webHidden/>
          </w:rPr>
        </w:r>
        <w:r>
          <w:rPr>
            <w:webHidden/>
          </w:rPr>
          <w:fldChar w:fldCharType="separate"/>
        </w:r>
        <w:r w:rsidR="008C17B8">
          <w:rPr>
            <w:webHidden/>
          </w:rPr>
          <w:t>21</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60" w:history="1">
        <w:r w:rsidR="00A0172C" w:rsidRPr="008B5663">
          <w:rPr>
            <w:rStyle w:val="Hypertextovodkaz"/>
          </w:rPr>
          <w:t>7.</w:t>
        </w:r>
        <w:r w:rsidR="00A0172C">
          <w:rPr>
            <w:rFonts w:asciiTheme="minorHAnsi" w:eastAsiaTheme="minorEastAsia" w:hAnsiTheme="minorHAnsi" w:cstheme="minorBidi"/>
            <w:b w:val="0"/>
            <w:sz w:val="22"/>
            <w:szCs w:val="22"/>
            <w:lang w:eastAsia="cs-CZ"/>
          </w:rPr>
          <w:tab/>
        </w:r>
        <w:r w:rsidR="00A0172C" w:rsidRPr="008B5663">
          <w:rPr>
            <w:rStyle w:val="Hypertextovodkaz"/>
          </w:rPr>
          <w:t>Měnové podmínky</w:t>
        </w:r>
        <w:r w:rsidR="00A0172C">
          <w:rPr>
            <w:webHidden/>
          </w:rPr>
          <w:tab/>
        </w:r>
        <w:r>
          <w:rPr>
            <w:webHidden/>
          </w:rPr>
          <w:fldChar w:fldCharType="begin"/>
        </w:r>
        <w:r w:rsidR="00A0172C">
          <w:rPr>
            <w:webHidden/>
          </w:rPr>
          <w:instrText xml:space="preserve"> PAGEREF _Toc485271460 \h </w:instrText>
        </w:r>
        <w:r>
          <w:rPr>
            <w:webHidden/>
          </w:rPr>
        </w:r>
        <w:r>
          <w:rPr>
            <w:webHidden/>
          </w:rPr>
          <w:fldChar w:fldCharType="separate"/>
        </w:r>
        <w:r w:rsidR="008C17B8">
          <w:rPr>
            <w:webHidden/>
          </w:rPr>
          <w:t>23</w:t>
        </w:r>
        <w:r>
          <w:rPr>
            <w:webHidden/>
          </w:rPr>
          <w:fldChar w:fldCharType="end"/>
        </w:r>
      </w:hyperlink>
    </w:p>
    <w:p w:rsidR="00A0172C" w:rsidRDefault="002E72FC">
      <w:pPr>
        <w:pStyle w:val="Obsah1"/>
        <w:rPr>
          <w:rFonts w:asciiTheme="minorHAnsi" w:eastAsiaTheme="minorEastAsia" w:hAnsiTheme="minorHAnsi" w:cstheme="minorBidi"/>
          <w:b w:val="0"/>
          <w:sz w:val="22"/>
          <w:szCs w:val="22"/>
          <w:lang w:eastAsia="cs-CZ"/>
        </w:rPr>
      </w:pPr>
      <w:hyperlink w:anchor="_Toc485271461" w:history="1">
        <w:r w:rsidR="00A0172C" w:rsidRPr="008B5663">
          <w:rPr>
            <w:rStyle w:val="Hypertextovodkaz"/>
          </w:rPr>
          <w:t>8.</w:t>
        </w:r>
        <w:r w:rsidR="00A0172C">
          <w:rPr>
            <w:rFonts w:asciiTheme="minorHAnsi" w:eastAsiaTheme="minorEastAsia" w:hAnsiTheme="minorHAnsi" w:cstheme="minorBidi"/>
            <w:b w:val="0"/>
            <w:sz w:val="22"/>
            <w:szCs w:val="22"/>
            <w:lang w:eastAsia="cs-CZ"/>
          </w:rPr>
          <w:tab/>
        </w:r>
        <w:r w:rsidR="00A0172C" w:rsidRPr="008B5663">
          <w:rPr>
            <w:rStyle w:val="Hypertextovodkaz"/>
          </w:rPr>
          <w:t>Státní rozpočet</w:t>
        </w:r>
        <w:r w:rsidR="00A0172C">
          <w:rPr>
            <w:webHidden/>
          </w:rPr>
          <w:tab/>
        </w:r>
        <w:r>
          <w:rPr>
            <w:webHidden/>
          </w:rPr>
          <w:fldChar w:fldCharType="begin"/>
        </w:r>
        <w:r w:rsidR="00A0172C">
          <w:rPr>
            <w:webHidden/>
          </w:rPr>
          <w:instrText xml:space="preserve"> PAGEREF _Toc485271461 \h </w:instrText>
        </w:r>
        <w:r>
          <w:rPr>
            <w:webHidden/>
          </w:rPr>
        </w:r>
        <w:r>
          <w:rPr>
            <w:webHidden/>
          </w:rPr>
          <w:fldChar w:fldCharType="separate"/>
        </w:r>
        <w:r w:rsidR="008C17B8">
          <w:rPr>
            <w:webHidden/>
          </w:rPr>
          <w:t>26</w:t>
        </w:r>
        <w:r>
          <w:rPr>
            <w:webHidden/>
          </w:rPr>
          <w:fldChar w:fldCharType="end"/>
        </w:r>
      </w:hyperlink>
    </w:p>
    <w:p w:rsidR="00576A3E" w:rsidRPr="00A74192" w:rsidRDefault="002E72FC" w:rsidP="00D94859">
      <w:pPr>
        <w:pStyle w:val="Nadpis1"/>
        <w:spacing w:before="200"/>
        <w:rPr>
          <w:rFonts w:cs="Arial"/>
          <w:sz w:val="20"/>
          <w:szCs w:val="20"/>
        </w:rPr>
      </w:pPr>
      <w:r w:rsidRPr="00A74192">
        <w:fldChar w:fldCharType="end"/>
      </w:r>
    </w:p>
    <w:p w:rsidR="00576A3E" w:rsidRPr="00A74192" w:rsidRDefault="00576A3E" w:rsidP="00D94859">
      <w:pPr>
        <w:rPr>
          <w:rFonts w:cs="Arial"/>
          <w:b/>
        </w:rPr>
      </w:pPr>
      <w:r w:rsidRPr="00A74192">
        <w:rPr>
          <w:rFonts w:cs="Arial"/>
          <w:b/>
        </w:rPr>
        <w:t>Kapitoly zpracovali:</w:t>
      </w:r>
    </w:p>
    <w:p w:rsidR="00576A3E" w:rsidRPr="00A74192" w:rsidRDefault="00576A3E" w:rsidP="00D94859">
      <w:pPr>
        <w:rPr>
          <w:rFonts w:cs="Arial"/>
        </w:rPr>
      </w:pPr>
    </w:p>
    <w:p w:rsidR="00466AAE" w:rsidRPr="00A74192" w:rsidRDefault="00466AAE" w:rsidP="00D94859">
      <w:pPr>
        <w:spacing w:after="120" w:line="276" w:lineRule="auto"/>
        <w:rPr>
          <w:rFonts w:cs="Arial"/>
        </w:rPr>
      </w:pPr>
      <w:r w:rsidRPr="00A74192">
        <w:rPr>
          <w:rFonts w:cs="Arial"/>
        </w:rPr>
        <w:t>Jiří Kamenický</w:t>
      </w:r>
      <w:r w:rsidRPr="00A74192">
        <w:rPr>
          <w:rFonts w:cs="Arial"/>
        </w:rPr>
        <w:tab/>
      </w:r>
      <w:r w:rsidRPr="00A74192">
        <w:rPr>
          <w:rFonts w:cs="Arial"/>
        </w:rPr>
        <w:tab/>
        <w:t xml:space="preserve">Shrnutí (kap. 1), </w:t>
      </w:r>
      <w:r w:rsidRPr="00A74192">
        <w:rPr>
          <w:rFonts w:cs="Arial"/>
          <w:color w:val="000000"/>
        </w:rPr>
        <w:t>kap. 3,</w:t>
      </w:r>
      <w:r w:rsidRPr="00A74192">
        <w:rPr>
          <w:rFonts w:cs="Arial"/>
        </w:rPr>
        <w:t xml:space="preserve"> kap. 6, kap. 8</w:t>
      </w:r>
    </w:p>
    <w:p w:rsidR="00466AAE" w:rsidRPr="00A74192" w:rsidRDefault="004A7670" w:rsidP="00D94859">
      <w:pPr>
        <w:spacing w:after="120" w:line="276" w:lineRule="auto"/>
        <w:rPr>
          <w:rFonts w:cs="Arial"/>
        </w:rPr>
      </w:pPr>
      <w:r>
        <w:rPr>
          <w:rFonts w:cs="Arial"/>
        </w:rPr>
        <w:t xml:space="preserve">Karolína </w:t>
      </w:r>
      <w:proofErr w:type="spellStart"/>
      <w:r>
        <w:rPr>
          <w:rFonts w:cs="Arial"/>
        </w:rPr>
        <w:t>Súkupová</w:t>
      </w:r>
      <w:proofErr w:type="spellEnd"/>
      <w:r>
        <w:rPr>
          <w:rFonts w:cs="Arial"/>
        </w:rPr>
        <w:tab/>
      </w:r>
      <w:r w:rsidR="00466AAE" w:rsidRPr="00A74192">
        <w:rPr>
          <w:rFonts w:cs="Arial"/>
        </w:rPr>
        <w:t>Shrnutí (kap. 1), kap. 2</w:t>
      </w:r>
      <w:r>
        <w:rPr>
          <w:rFonts w:cs="Arial"/>
        </w:rPr>
        <w:t>, kap. 4, kap. 5, kap. 7</w:t>
      </w:r>
    </w:p>
    <w:p w:rsidR="00466AAE" w:rsidRDefault="00466AA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Pr="00A74192" w:rsidRDefault="008A03DE" w:rsidP="008A03DE">
      <w:pPr>
        <w:pStyle w:val="Textpoznpodarou"/>
        <w:jc w:val="both"/>
        <w:rPr>
          <w:rFonts w:cs="Arial"/>
          <w:color w:val="000000"/>
        </w:rPr>
      </w:pPr>
      <w:r w:rsidRPr="00A74192">
        <w:rPr>
          <w:rFonts w:cs="Arial"/>
          <w:color w:val="000000"/>
        </w:rPr>
        <w:t>Zdroje dat v celé analýze: ČSÚ, MF ČR, ČNB, MPSV, ČSSZ, Eurostat, propočty ČSÚ.</w:t>
      </w:r>
    </w:p>
    <w:p w:rsidR="004A7670" w:rsidRPr="008A03DE" w:rsidRDefault="008A03DE" w:rsidP="008A03DE">
      <w:pPr>
        <w:pStyle w:val="Textpoznpodarou"/>
        <w:jc w:val="both"/>
        <w:rPr>
          <w:rFonts w:cs="Arial"/>
          <w:color w:val="000000"/>
        </w:rPr>
      </w:pPr>
      <w:r w:rsidRPr="00A74192">
        <w:rPr>
          <w:rFonts w:cs="Arial"/>
          <w:color w:val="000000"/>
        </w:rPr>
        <w:t>Poslední informace uváděné v té</w:t>
      </w:r>
      <w:r w:rsidR="00043C68">
        <w:rPr>
          <w:rFonts w:cs="Arial"/>
          <w:color w:val="000000"/>
        </w:rPr>
        <w:t>to zprávě pocházejí z</w:t>
      </w:r>
      <w:r w:rsidR="00CE7158">
        <w:rPr>
          <w:rFonts w:cs="Arial"/>
          <w:color w:val="000000"/>
        </w:rPr>
        <w:t xml:space="preserve"> 14</w:t>
      </w:r>
      <w:r w:rsidRPr="00A74192">
        <w:rPr>
          <w:rFonts w:cs="Arial"/>
          <w:color w:val="000000"/>
        </w:rPr>
        <w:t xml:space="preserve">. </w:t>
      </w:r>
      <w:r w:rsidR="00CE7158">
        <w:rPr>
          <w:rFonts w:cs="Arial"/>
          <w:color w:val="000000"/>
        </w:rPr>
        <w:t>červ</w:t>
      </w:r>
      <w:r>
        <w:rPr>
          <w:rFonts w:cs="Arial"/>
          <w:color w:val="000000"/>
        </w:rPr>
        <w:t>na 2017</w:t>
      </w:r>
      <w:r w:rsidRPr="00A74192">
        <w:rPr>
          <w:rFonts w:cs="Arial"/>
          <w:color w:val="000000"/>
        </w:rPr>
        <w:t>.</w:t>
      </w:r>
    </w:p>
    <w:p w:rsidR="00576A3E" w:rsidRPr="00A74192" w:rsidRDefault="00576A3E" w:rsidP="00D94859">
      <w:pPr>
        <w:sectPr w:rsidR="00576A3E" w:rsidRPr="00A74192" w:rsidSect="00E83DAB">
          <w:headerReference w:type="even" r:id="rId10"/>
          <w:headerReference w:type="default" r:id="rId11"/>
          <w:footerReference w:type="default" r:id="rId12"/>
          <w:pgSz w:w="11906" w:h="16838" w:code="9"/>
          <w:pgMar w:top="1134" w:right="1134" w:bottom="1418" w:left="1134" w:header="680" w:footer="680" w:gutter="0"/>
          <w:cols w:space="708"/>
          <w:docGrid w:linePitch="360"/>
        </w:sectPr>
      </w:pPr>
    </w:p>
    <w:p w:rsidR="00576A3E" w:rsidRPr="00A74192" w:rsidRDefault="00576A3E" w:rsidP="00D94859"/>
    <w:p w:rsidR="000C60D8" w:rsidRDefault="00960769" w:rsidP="000C60D8">
      <w:pPr>
        <w:pStyle w:val="Nadpis1"/>
        <w:numPr>
          <w:ilvl w:val="0"/>
          <w:numId w:val="12"/>
        </w:numPr>
        <w:ind w:left="709"/>
      </w:pPr>
      <w:bookmarkStart w:id="3" w:name="_Toc469299929"/>
      <w:bookmarkStart w:id="4" w:name="_Toc485271454"/>
      <w:r w:rsidRPr="00A74192">
        <w:lastRenderedPageBreak/>
        <w:t>Shrnutí</w:t>
      </w:r>
      <w:bookmarkEnd w:id="3"/>
      <w:bookmarkEnd w:id="4"/>
    </w:p>
    <w:p w:rsidR="00134DFD" w:rsidRPr="00B16201" w:rsidRDefault="00D577A4" w:rsidP="00134DFD">
      <w:pPr>
        <w:pStyle w:val="Odstavecseseznamem"/>
        <w:numPr>
          <w:ilvl w:val="0"/>
          <w:numId w:val="18"/>
        </w:numPr>
        <w:spacing w:line="240" w:lineRule="auto"/>
        <w:ind w:left="426"/>
        <w:contextualSpacing/>
        <w:jc w:val="both"/>
        <w:rPr>
          <w:rFonts w:cs="Arial"/>
          <w:szCs w:val="20"/>
        </w:rPr>
      </w:pPr>
      <w:r>
        <w:rPr>
          <w:rFonts w:cs="Arial"/>
          <w:szCs w:val="20"/>
        </w:rPr>
        <w:t>Růst č</w:t>
      </w:r>
      <w:r w:rsidR="00B16201" w:rsidRPr="00B16201">
        <w:rPr>
          <w:rFonts w:cs="Arial"/>
          <w:szCs w:val="20"/>
        </w:rPr>
        <w:t>esk</w:t>
      </w:r>
      <w:r>
        <w:rPr>
          <w:rFonts w:cs="Arial"/>
          <w:szCs w:val="20"/>
        </w:rPr>
        <w:t>é</w:t>
      </w:r>
      <w:r w:rsidR="00B16201" w:rsidRPr="00B16201">
        <w:rPr>
          <w:rFonts w:cs="Arial"/>
          <w:szCs w:val="20"/>
        </w:rPr>
        <w:t xml:space="preserve"> ekonomik</w:t>
      </w:r>
      <w:r>
        <w:rPr>
          <w:rFonts w:cs="Arial"/>
          <w:szCs w:val="20"/>
        </w:rPr>
        <w:t>y se po zpomalování v průběhu minulého roku</w:t>
      </w:r>
      <w:r w:rsidR="00B16201" w:rsidRPr="00B16201">
        <w:rPr>
          <w:rFonts w:cs="Arial"/>
          <w:szCs w:val="20"/>
        </w:rPr>
        <w:t xml:space="preserve"> </w:t>
      </w:r>
      <w:r>
        <w:rPr>
          <w:rFonts w:cs="Arial"/>
          <w:szCs w:val="20"/>
        </w:rPr>
        <w:t xml:space="preserve">opět zrychlil. </w:t>
      </w:r>
      <w:r w:rsidR="00134DFD" w:rsidRPr="00B16201">
        <w:rPr>
          <w:rFonts w:cs="Arial"/>
          <w:szCs w:val="20"/>
        </w:rPr>
        <w:t>Hrubý domácí produkt</w:t>
      </w:r>
      <w:r w:rsidR="00B16201">
        <w:rPr>
          <w:rFonts w:cs="Arial"/>
          <w:szCs w:val="20"/>
        </w:rPr>
        <w:t xml:space="preserve"> (HDP)</w:t>
      </w:r>
      <w:r w:rsidR="00CF3D3A">
        <w:rPr>
          <w:rStyle w:val="Znakapoznpodarou"/>
          <w:szCs w:val="20"/>
        </w:rPr>
        <w:footnoteReference w:id="1"/>
      </w:r>
      <w:r w:rsidR="00134DFD" w:rsidRPr="00B16201">
        <w:rPr>
          <w:rFonts w:cs="Arial"/>
          <w:szCs w:val="20"/>
        </w:rPr>
        <w:t xml:space="preserve"> v</w:t>
      </w:r>
      <w:r w:rsidR="00B16201" w:rsidRPr="00B16201">
        <w:rPr>
          <w:rFonts w:cs="Arial"/>
          <w:szCs w:val="20"/>
        </w:rPr>
        <w:t xml:space="preserve"> 1. čtvrtletí </w:t>
      </w:r>
      <w:r w:rsidR="00A949A6">
        <w:rPr>
          <w:rFonts w:cs="Arial"/>
          <w:szCs w:val="20"/>
        </w:rPr>
        <w:t xml:space="preserve">meziročně </w:t>
      </w:r>
      <w:r w:rsidR="00134DFD" w:rsidRPr="00B16201">
        <w:rPr>
          <w:rFonts w:cs="Arial"/>
          <w:szCs w:val="20"/>
        </w:rPr>
        <w:t xml:space="preserve">vzrostl o </w:t>
      </w:r>
      <w:r w:rsidR="00B16201" w:rsidRPr="00B16201">
        <w:rPr>
          <w:rFonts w:cs="Arial"/>
          <w:szCs w:val="20"/>
        </w:rPr>
        <w:t>2</w:t>
      </w:r>
      <w:r w:rsidR="00134DFD" w:rsidRPr="00B16201">
        <w:rPr>
          <w:rFonts w:cs="Arial"/>
          <w:szCs w:val="20"/>
        </w:rPr>
        <w:t>,</w:t>
      </w:r>
      <w:r w:rsidR="00B16201" w:rsidRPr="00B16201">
        <w:rPr>
          <w:rFonts w:cs="Arial"/>
          <w:szCs w:val="20"/>
        </w:rPr>
        <w:t>9 %. Oživení růstu bylo podpořeno především nadprůměrnými výsledky zahraničního obchodu.</w:t>
      </w:r>
      <w:r w:rsidR="00A949A6">
        <w:rPr>
          <w:rFonts w:cs="Arial"/>
          <w:szCs w:val="20"/>
        </w:rPr>
        <w:t xml:space="preserve"> Česká ekonomika tak těžila z ekonomického vývoje v</w:t>
      </w:r>
      <w:r w:rsidR="0054787A">
        <w:rPr>
          <w:rFonts w:cs="Arial"/>
          <w:szCs w:val="20"/>
        </w:rPr>
        <w:t xml:space="preserve"> </w:t>
      </w:r>
      <w:r w:rsidR="00A949A6">
        <w:rPr>
          <w:rFonts w:cs="Arial"/>
          <w:szCs w:val="20"/>
        </w:rPr>
        <w:t>Evropě.</w:t>
      </w:r>
      <w:r w:rsidR="00B16201" w:rsidRPr="00B16201">
        <w:rPr>
          <w:rFonts w:cs="Arial"/>
          <w:szCs w:val="20"/>
        </w:rPr>
        <w:t xml:space="preserve"> Pokračoval i růst spotřeby domácností.</w:t>
      </w:r>
      <w:r w:rsidR="00B16201">
        <w:rPr>
          <w:rFonts w:cs="Arial"/>
          <w:szCs w:val="20"/>
        </w:rPr>
        <w:t xml:space="preserve"> Po</w:t>
      </w:r>
      <w:r w:rsidR="00CB2B15">
        <w:rPr>
          <w:rFonts w:cs="Arial"/>
          <w:szCs w:val="20"/>
        </w:rPr>
        <w:t> </w:t>
      </w:r>
      <w:r w:rsidR="00B16201">
        <w:rPr>
          <w:rFonts w:cs="Arial"/>
          <w:szCs w:val="20"/>
        </w:rPr>
        <w:t xml:space="preserve">stagnaci v minulém půlroce opět vzrostly výdaje na spotřebu vládních institucí. Meziroční dynamika HDP byla tlumena </w:t>
      </w:r>
      <w:r w:rsidR="004D2A0E">
        <w:rPr>
          <w:rFonts w:cs="Arial"/>
          <w:szCs w:val="20"/>
        </w:rPr>
        <w:t>pokračujícím meziročním poklesem výdajů na</w:t>
      </w:r>
      <w:r w:rsidR="00EF1D92">
        <w:rPr>
          <w:rFonts w:cs="Arial"/>
          <w:szCs w:val="20"/>
        </w:rPr>
        <w:t> </w:t>
      </w:r>
      <w:r w:rsidR="004D2A0E">
        <w:rPr>
          <w:rFonts w:cs="Arial"/>
          <w:szCs w:val="20"/>
        </w:rPr>
        <w:t>tvorbu hrubého fixního kapitálu.</w:t>
      </w:r>
      <w:r w:rsidR="00666883">
        <w:rPr>
          <w:rFonts w:cs="Arial"/>
          <w:szCs w:val="20"/>
        </w:rPr>
        <w:t xml:space="preserve"> </w:t>
      </w:r>
    </w:p>
    <w:p w:rsidR="00134DFD" w:rsidRPr="00CF3D3A" w:rsidRDefault="00134DFD" w:rsidP="00134DFD">
      <w:pPr>
        <w:pStyle w:val="Odstavecseseznamem"/>
        <w:spacing w:line="240" w:lineRule="auto"/>
        <w:ind w:left="426"/>
        <w:jc w:val="both"/>
        <w:rPr>
          <w:rFonts w:cs="Arial"/>
          <w:sz w:val="12"/>
          <w:szCs w:val="12"/>
          <w:highlight w:val="yellow"/>
        </w:rPr>
      </w:pPr>
    </w:p>
    <w:p w:rsidR="00F56375" w:rsidRPr="00400BBD" w:rsidRDefault="00B45DE5" w:rsidP="00400BBD">
      <w:pPr>
        <w:pStyle w:val="Odstavecseseznamem"/>
        <w:numPr>
          <w:ilvl w:val="0"/>
          <w:numId w:val="18"/>
        </w:numPr>
        <w:spacing w:line="240" w:lineRule="auto"/>
        <w:ind w:left="426"/>
        <w:contextualSpacing/>
        <w:jc w:val="both"/>
        <w:rPr>
          <w:rFonts w:cs="Arial"/>
          <w:szCs w:val="20"/>
        </w:rPr>
      </w:pPr>
      <w:r>
        <w:rPr>
          <w:rFonts w:cs="Arial"/>
          <w:szCs w:val="20"/>
        </w:rPr>
        <w:t xml:space="preserve">Hrubá přidaná hodnota (HPH) rostla podobně jako v letech 2015 i 2016 mírně nižšími tempy než HDP V 1. čtvrtletí posílila </w:t>
      </w:r>
      <w:r w:rsidR="00CF3D3A">
        <w:rPr>
          <w:rFonts w:cs="Arial"/>
          <w:szCs w:val="20"/>
        </w:rPr>
        <w:t xml:space="preserve">meziročně </w:t>
      </w:r>
      <w:r>
        <w:rPr>
          <w:rFonts w:cs="Arial"/>
          <w:szCs w:val="20"/>
        </w:rPr>
        <w:t>o 2,5 %.</w:t>
      </w:r>
      <w:r w:rsidR="00D374B3">
        <w:rPr>
          <w:rFonts w:cs="Arial"/>
          <w:szCs w:val="20"/>
        </w:rPr>
        <w:t xml:space="preserve"> K </w:t>
      </w:r>
      <w:r w:rsidR="00400BBD">
        <w:rPr>
          <w:rFonts w:cs="Arial"/>
          <w:szCs w:val="20"/>
        </w:rPr>
        <w:t>růstu</w:t>
      </w:r>
      <w:r w:rsidR="00D374B3">
        <w:rPr>
          <w:rFonts w:cs="Arial"/>
          <w:szCs w:val="20"/>
        </w:rPr>
        <w:t xml:space="preserve"> </w:t>
      </w:r>
      <w:r w:rsidR="00400BBD">
        <w:rPr>
          <w:rFonts w:cs="Arial"/>
          <w:szCs w:val="20"/>
        </w:rPr>
        <w:t xml:space="preserve">HPH </w:t>
      </w:r>
      <w:r w:rsidR="00D72948">
        <w:rPr>
          <w:rFonts w:cs="Arial"/>
          <w:szCs w:val="20"/>
        </w:rPr>
        <w:t>nadále výrazně</w:t>
      </w:r>
      <w:r w:rsidR="00D374B3" w:rsidRPr="00400BBD">
        <w:rPr>
          <w:rFonts w:cs="Arial"/>
          <w:szCs w:val="20"/>
        </w:rPr>
        <w:t xml:space="preserve"> přispíval zpracovatelský průmysl</w:t>
      </w:r>
      <w:r w:rsidR="00D72948">
        <w:rPr>
          <w:rFonts w:cs="Arial"/>
          <w:szCs w:val="20"/>
        </w:rPr>
        <w:t xml:space="preserve"> (příspěvek </w:t>
      </w:r>
      <w:r w:rsidR="00505493">
        <w:rPr>
          <w:rFonts w:cs="Arial"/>
          <w:szCs w:val="20"/>
        </w:rPr>
        <w:t>+</w:t>
      </w:r>
      <w:r w:rsidR="00D72948">
        <w:rPr>
          <w:rFonts w:cs="Arial"/>
          <w:szCs w:val="20"/>
        </w:rPr>
        <w:t xml:space="preserve">1,1 </w:t>
      </w:r>
      <w:proofErr w:type="spellStart"/>
      <w:proofErr w:type="gramStart"/>
      <w:r w:rsidR="00D72948">
        <w:rPr>
          <w:rFonts w:cs="Arial"/>
          <w:szCs w:val="20"/>
        </w:rPr>
        <w:t>p.b</w:t>
      </w:r>
      <w:proofErr w:type="spellEnd"/>
      <w:r w:rsidR="00D72948">
        <w:rPr>
          <w:rFonts w:cs="Arial"/>
          <w:szCs w:val="20"/>
        </w:rPr>
        <w:t>.), větší</w:t>
      </w:r>
      <w:proofErr w:type="gramEnd"/>
      <w:r w:rsidR="00D72948">
        <w:rPr>
          <w:rFonts w:cs="Arial"/>
          <w:szCs w:val="20"/>
        </w:rPr>
        <w:t xml:space="preserve"> vliv však měl v úhrnu sektor služeb (</w:t>
      </w:r>
      <w:r w:rsidR="00505493">
        <w:rPr>
          <w:rFonts w:cs="Arial"/>
          <w:szCs w:val="20"/>
        </w:rPr>
        <w:t>+</w:t>
      </w:r>
      <w:r w:rsidR="00D72948">
        <w:rPr>
          <w:rFonts w:cs="Arial"/>
          <w:szCs w:val="20"/>
        </w:rPr>
        <w:t xml:space="preserve">1,3 </w:t>
      </w:r>
      <w:proofErr w:type="spellStart"/>
      <w:r w:rsidR="00D72948">
        <w:rPr>
          <w:rFonts w:cs="Arial"/>
          <w:szCs w:val="20"/>
        </w:rPr>
        <w:t>p.b</w:t>
      </w:r>
      <w:proofErr w:type="spellEnd"/>
      <w:r w:rsidR="00D72948">
        <w:rPr>
          <w:rFonts w:cs="Arial"/>
          <w:szCs w:val="20"/>
        </w:rPr>
        <w:t>.). Služby</w:t>
      </w:r>
      <w:r w:rsidR="00400BBD">
        <w:rPr>
          <w:rFonts w:cs="Arial"/>
          <w:szCs w:val="20"/>
        </w:rPr>
        <w:t xml:space="preserve"> táhly na počátku roku především informační a komunikační činnosti a činnosti v oblasti nemov</w:t>
      </w:r>
      <w:r w:rsidR="0037290D">
        <w:rPr>
          <w:rFonts w:cs="Arial"/>
          <w:szCs w:val="20"/>
        </w:rPr>
        <w:t xml:space="preserve">itostí. Výraznější oživění terciárního sektoru dokumentuje i silný růst tržeb za prodej nepotravinářského zboží (+8,8 %), jenž byl podobně jako v celém segmentu tržních služeb nejvyšší od konce roku 2007. </w:t>
      </w:r>
    </w:p>
    <w:p w:rsidR="00134DFD" w:rsidRPr="00CF3D3A" w:rsidRDefault="00134DFD" w:rsidP="0037290D">
      <w:pPr>
        <w:spacing w:line="240" w:lineRule="auto"/>
        <w:jc w:val="both"/>
        <w:rPr>
          <w:rFonts w:cs="Arial"/>
          <w:sz w:val="12"/>
          <w:szCs w:val="12"/>
          <w:highlight w:val="yellow"/>
        </w:rPr>
      </w:pPr>
    </w:p>
    <w:p w:rsidR="00134DFD" w:rsidRDefault="00735044" w:rsidP="00134DFD">
      <w:pPr>
        <w:pStyle w:val="Odstavecseseznamem"/>
        <w:numPr>
          <w:ilvl w:val="0"/>
          <w:numId w:val="18"/>
        </w:numPr>
        <w:spacing w:line="240" w:lineRule="auto"/>
        <w:ind w:left="426"/>
        <w:contextualSpacing/>
        <w:jc w:val="both"/>
        <w:rPr>
          <w:rFonts w:cs="Arial"/>
          <w:szCs w:val="20"/>
        </w:rPr>
      </w:pPr>
      <w:r w:rsidRPr="0078778C">
        <w:rPr>
          <w:rFonts w:cs="Arial"/>
          <w:szCs w:val="20"/>
        </w:rPr>
        <w:t>Díky výraznému přebytku bilance se zbožím a službami</w:t>
      </w:r>
      <w:r w:rsidR="004D2A0E" w:rsidRPr="0078778C">
        <w:rPr>
          <w:rFonts w:cs="Arial"/>
          <w:szCs w:val="20"/>
        </w:rPr>
        <w:t xml:space="preserve"> dosáhla </w:t>
      </w:r>
      <w:r w:rsidR="00134DFD" w:rsidRPr="0078778C">
        <w:rPr>
          <w:rFonts w:cs="Arial"/>
          <w:szCs w:val="20"/>
        </w:rPr>
        <w:t xml:space="preserve">Česká republika </w:t>
      </w:r>
      <w:r w:rsidRPr="0078778C">
        <w:rPr>
          <w:rFonts w:cs="Arial"/>
          <w:szCs w:val="20"/>
        </w:rPr>
        <w:t>kladného salda p</w:t>
      </w:r>
      <w:r w:rsidR="004D2A0E" w:rsidRPr="0078778C">
        <w:rPr>
          <w:rFonts w:cs="Arial"/>
          <w:szCs w:val="20"/>
        </w:rPr>
        <w:t>latební bilance</w:t>
      </w:r>
      <w:r w:rsidRPr="0078778C">
        <w:rPr>
          <w:rFonts w:cs="Arial"/>
          <w:szCs w:val="20"/>
        </w:rPr>
        <w:t xml:space="preserve"> i v 1. čtvrtletí 2017. Hodnota exportu</w:t>
      </w:r>
      <w:r w:rsidR="00152488">
        <w:rPr>
          <w:rFonts w:cs="Arial"/>
          <w:szCs w:val="20"/>
        </w:rPr>
        <w:t xml:space="preserve"> dle národního pojetí statistiky zahraničního obchodu</w:t>
      </w:r>
      <w:r w:rsidRPr="0078778C">
        <w:rPr>
          <w:rFonts w:cs="Arial"/>
          <w:szCs w:val="20"/>
        </w:rPr>
        <w:t xml:space="preserve"> dosáhla 898,0 mld. korun a šlo o nejlepší </w:t>
      </w:r>
      <w:r w:rsidR="0078778C" w:rsidRPr="0078778C">
        <w:rPr>
          <w:rFonts w:cs="Arial"/>
          <w:szCs w:val="20"/>
        </w:rPr>
        <w:t xml:space="preserve">čtvrtletní </w:t>
      </w:r>
      <w:r w:rsidRPr="0078778C">
        <w:rPr>
          <w:rFonts w:cs="Arial"/>
          <w:szCs w:val="20"/>
        </w:rPr>
        <w:t>výsledek</w:t>
      </w:r>
      <w:r w:rsidR="0078778C" w:rsidRPr="0078778C">
        <w:rPr>
          <w:rFonts w:cs="Arial"/>
          <w:szCs w:val="20"/>
        </w:rPr>
        <w:t xml:space="preserve"> v historii. Opět zrychlil export motorových vozidel a zvýšil se i jejich podíl na celkovém vývozu.</w:t>
      </w:r>
      <w:r w:rsidR="0078778C">
        <w:rPr>
          <w:rFonts w:cs="Arial"/>
          <w:szCs w:val="20"/>
        </w:rPr>
        <w:t xml:space="preserve"> Výsledky vývozu chemických výrobků ukazují na úplné zotavení po výpadku způsobeném haváriemi významných výrobních zařízení.</w:t>
      </w:r>
      <w:r w:rsidR="0078778C" w:rsidRPr="0078778C">
        <w:rPr>
          <w:rFonts w:cs="Arial"/>
          <w:szCs w:val="20"/>
        </w:rPr>
        <w:t xml:space="preserve"> </w:t>
      </w:r>
      <w:r w:rsidR="00EF1D92">
        <w:rPr>
          <w:rFonts w:cs="Arial"/>
          <w:szCs w:val="20"/>
        </w:rPr>
        <w:t>V</w:t>
      </w:r>
      <w:r w:rsidR="0078778C" w:rsidRPr="0078778C">
        <w:rPr>
          <w:rFonts w:cs="Arial"/>
          <w:szCs w:val="20"/>
        </w:rPr>
        <w:t>zrostl</w:t>
      </w:r>
      <w:r w:rsidR="00EF1D92">
        <w:rPr>
          <w:rFonts w:cs="Arial"/>
          <w:szCs w:val="20"/>
        </w:rPr>
        <w:t xml:space="preserve"> </w:t>
      </w:r>
      <w:r w:rsidR="0078778C" w:rsidRPr="0078778C">
        <w:rPr>
          <w:rFonts w:cs="Arial"/>
          <w:szCs w:val="20"/>
        </w:rPr>
        <w:t>dovoz, na jehož nominální hodnotě se projevil meziroční růst cen ropy</w:t>
      </w:r>
    </w:p>
    <w:p w:rsidR="0078778C" w:rsidRPr="00CF3D3A" w:rsidRDefault="0078778C" w:rsidP="0078778C">
      <w:pPr>
        <w:spacing w:line="240" w:lineRule="auto"/>
        <w:contextualSpacing/>
        <w:jc w:val="both"/>
        <w:rPr>
          <w:rFonts w:cs="Arial"/>
          <w:sz w:val="12"/>
          <w:szCs w:val="12"/>
        </w:rPr>
      </w:pPr>
    </w:p>
    <w:p w:rsidR="00134DFD" w:rsidRPr="00666883" w:rsidRDefault="00666883" w:rsidP="00134DFD">
      <w:pPr>
        <w:pStyle w:val="Odstavecseseznamem"/>
        <w:numPr>
          <w:ilvl w:val="0"/>
          <w:numId w:val="18"/>
        </w:numPr>
        <w:spacing w:line="240" w:lineRule="auto"/>
        <w:ind w:left="426"/>
        <w:contextualSpacing/>
        <w:jc w:val="both"/>
        <w:rPr>
          <w:rFonts w:cs="Arial"/>
          <w:szCs w:val="20"/>
        </w:rPr>
      </w:pPr>
      <w:r w:rsidRPr="00666883">
        <w:rPr>
          <w:rFonts w:cs="Arial"/>
          <w:szCs w:val="20"/>
        </w:rPr>
        <w:t xml:space="preserve">V 1. čtvrtletí rostla většina sledovaných cenových indexů. Na cenovém vývoji se podepsalo meziroční zvýšení cen ropy i </w:t>
      </w:r>
      <w:r w:rsidR="0054787A">
        <w:rPr>
          <w:rFonts w:cs="Arial"/>
          <w:szCs w:val="20"/>
        </w:rPr>
        <w:t xml:space="preserve">zrychlený </w:t>
      </w:r>
      <w:r w:rsidRPr="00666883">
        <w:rPr>
          <w:rFonts w:cs="Arial"/>
          <w:szCs w:val="20"/>
        </w:rPr>
        <w:t xml:space="preserve">růst cen potravin. </w:t>
      </w:r>
      <w:r>
        <w:rPr>
          <w:rFonts w:cs="Arial"/>
          <w:szCs w:val="20"/>
        </w:rPr>
        <w:t xml:space="preserve">Především </w:t>
      </w:r>
      <w:r w:rsidR="00152488">
        <w:rPr>
          <w:rFonts w:cs="Arial"/>
          <w:szCs w:val="20"/>
        </w:rPr>
        <w:t>kvůli</w:t>
      </w:r>
      <w:r>
        <w:rPr>
          <w:rFonts w:cs="Arial"/>
          <w:szCs w:val="20"/>
        </w:rPr>
        <w:t xml:space="preserve"> těmto faktorům meziroční růst spotřebitelských cen překonal úroveň</w:t>
      </w:r>
      <w:r w:rsidR="00A949A6">
        <w:rPr>
          <w:rFonts w:cs="Arial"/>
          <w:szCs w:val="20"/>
        </w:rPr>
        <w:t xml:space="preserve"> </w:t>
      </w:r>
      <w:r>
        <w:rPr>
          <w:rFonts w:cs="Arial"/>
          <w:szCs w:val="20"/>
        </w:rPr>
        <w:t>inflačního cíle. Pokračoval růst cen nemovitostí</w:t>
      </w:r>
      <w:r w:rsidR="00152488">
        <w:rPr>
          <w:rFonts w:cs="Arial"/>
          <w:szCs w:val="20"/>
        </w:rPr>
        <w:t xml:space="preserve"> způsobený </w:t>
      </w:r>
      <w:r>
        <w:rPr>
          <w:rFonts w:cs="Arial"/>
          <w:szCs w:val="20"/>
        </w:rPr>
        <w:t>nesoulad</w:t>
      </w:r>
      <w:r w:rsidR="00152488">
        <w:rPr>
          <w:rFonts w:cs="Arial"/>
          <w:szCs w:val="20"/>
        </w:rPr>
        <w:t>em</w:t>
      </w:r>
      <w:r>
        <w:rPr>
          <w:rFonts w:cs="Arial"/>
          <w:szCs w:val="20"/>
        </w:rPr>
        <w:t xml:space="preserve"> nabídky a poptávky a snah</w:t>
      </w:r>
      <w:r w:rsidR="00152488">
        <w:rPr>
          <w:rFonts w:cs="Arial"/>
          <w:szCs w:val="20"/>
        </w:rPr>
        <w:t>ou</w:t>
      </w:r>
      <w:r>
        <w:rPr>
          <w:rFonts w:cs="Arial"/>
          <w:szCs w:val="20"/>
        </w:rPr>
        <w:t xml:space="preserve"> o pořízení nemovitosti před začátkem platnosti </w:t>
      </w:r>
      <w:r w:rsidR="00152488">
        <w:rPr>
          <w:rFonts w:cs="Arial"/>
          <w:szCs w:val="20"/>
        </w:rPr>
        <w:t>omezení poskytování hypoték.</w:t>
      </w:r>
      <w:r>
        <w:rPr>
          <w:rFonts w:cs="Arial"/>
          <w:szCs w:val="20"/>
        </w:rPr>
        <w:t xml:space="preserve"> Po třech letech poklesu se začaly meziročně zvyšovat ceny průmyslových výrobců a propad se zastavil i u cen zemědělských výrobců. Růst cen </w:t>
      </w:r>
      <w:r w:rsidR="00152488">
        <w:rPr>
          <w:rFonts w:cs="Arial"/>
          <w:szCs w:val="20"/>
        </w:rPr>
        <w:t>dovozu</w:t>
      </w:r>
      <w:r>
        <w:rPr>
          <w:rFonts w:cs="Arial"/>
          <w:szCs w:val="20"/>
        </w:rPr>
        <w:t xml:space="preserve"> překonal oživení ce</w:t>
      </w:r>
      <w:r w:rsidR="000A2929">
        <w:rPr>
          <w:rFonts w:cs="Arial"/>
          <w:szCs w:val="20"/>
        </w:rPr>
        <w:t xml:space="preserve">nového nárůstu </w:t>
      </w:r>
      <w:r w:rsidR="00152488">
        <w:rPr>
          <w:rFonts w:cs="Arial"/>
          <w:szCs w:val="20"/>
        </w:rPr>
        <w:t>vývozu</w:t>
      </w:r>
      <w:r w:rsidR="000A2929">
        <w:rPr>
          <w:rFonts w:cs="Arial"/>
          <w:szCs w:val="20"/>
        </w:rPr>
        <w:t>, a tak Česko v 1. čtvrtletí d</w:t>
      </w:r>
      <w:r>
        <w:rPr>
          <w:rFonts w:cs="Arial"/>
          <w:szCs w:val="20"/>
        </w:rPr>
        <w:t xml:space="preserve">osahovalo záporných směnných relací. </w:t>
      </w:r>
    </w:p>
    <w:p w:rsidR="00666883" w:rsidRPr="00CF3D3A" w:rsidRDefault="00666883" w:rsidP="00666883">
      <w:pPr>
        <w:spacing w:line="240" w:lineRule="auto"/>
        <w:contextualSpacing/>
        <w:jc w:val="both"/>
        <w:rPr>
          <w:rFonts w:cs="Arial"/>
          <w:sz w:val="12"/>
          <w:szCs w:val="12"/>
          <w:highlight w:val="yellow"/>
        </w:rPr>
      </w:pPr>
    </w:p>
    <w:p w:rsidR="00134DFD" w:rsidRPr="00081851" w:rsidRDefault="0099571E" w:rsidP="00134DFD">
      <w:pPr>
        <w:pStyle w:val="Odstavecseseznamem"/>
        <w:numPr>
          <w:ilvl w:val="0"/>
          <w:numId w:val="18"/>
        </w:numPr>
        <w:spacing w:line="240" w:lineRule="auto"/>
        <w:ind w:left="426"/>
        <w:contextualSpacing/>
        <w:jc w:val="both"/>
        <w:rPr>
          <w:rFonts w:cs="Arial"/>
          <w:szCs w:val="20"/>
        </w:rPr>
      </w:pPr>
      <w:r w:rsidRPr="00081851">
        <w:rPr>
          <w:rFonts w:cs="Arial"/>
          <w:szCs w:val="20"/>
        </w:rPr>
        <w:t xml:space="preserve">Nastavení měnové politiky se v 1. čtvrtletí 2017 neměnilo, přesto se projevilo očekávané ukončení režimu kurzových intervencí, především na trhu s vládními dluhopisy. Neměnily se mezibankovní úrokové sazby, což se promítlo </w:t>
      </w:r>
      <w:r w:rsidR="00081851" w:rsidRPr="00081851">
        <w:rPr>
          <w:rFonts w:cs="Arial"/>
          <w:szCs w:val="20"/>
        </w:rPr>
        <w:t xml:space="preserve">hlavně </w:t>
      </w:r>
      <w:r w:rsidR="00152488">
        <w:rPr>
          <w:rFonts w:cs="Arial"/>
          <w:szCs w:val="20"/>
        </w:rPr>
        <w:t>v</w:t>
      </w:r>
      <w:r w:rsidRPr="00081851">
        <w:rPr>
          <w:rFonts w:cs="Arial"/>
          <w:szCs w:val="20"/>
        </w:rPr>
        <w:t xml:space="preserve"> nízké</w:t>
      </w:r>
      <w:r w:rsidR="00152488">
        <w:rPr>
          <w:rFonts w:cs="Arial"/>
          <w:szCs w:val="20"/>
        </w:rPr>
        <w:t>m</w:t>
      </w:r>
      <w:r w:rsidRPr="00081851">
        <w:rPr>
          <w:rFonts w:cs="Arial"/>
          <w:szCs w:val="20"/>
        </w:rPr>
        <w:t xml:space="preserve"> úročení vkla</w:t>
      </w:r>
      <w:r w:rsidR="00081851" w:rsidRPr="00081851">
        <w:rPr>
          <w:rFonts w:cs="Arial"/>
          <w:szCs w:val="20"/>
        </w:rPr>
        <w:t xml:space="preserve">dů. Úvěrové podmínky </w:t>
      </w:r>
      <w:r w:rsidR="00152488">
        <w:rPr>
          <w:rFonts w:cs="Arial"/>
          <w:szCs w:val="20"/>
        </w:rPr>
        <w:t>byly</w:t>
      </w:r>
      <w:r w:rsidR="00081851" w:rsidRPr="00081851">
        <w:rPr>
          <w:rFonts w:cs="Arial"/>
          <w:szCs w:val="20"/>
        </w:rPr>
        <w:t xml:space="preserve"> nadále uvolněné, přesto docházelo k mírnému růstu některých sazeb (hlavně u podnikatelských úvěrů). Rostly sazby na hypotečních úvěrech, naopak zlevňovaly se půjčky na spotřebu.</w:t>
      </w:r>
    </w:p>
    <w:p w:rsidR="00134DFD" w:rsidRPr="00CF3D3A" w:rsidRDefault="00134DFD" w:rsidP="00134DFD">
      <w:pPr>
        <w:rPr>
          <w:rFonts w:cs="Arial"/>
          <w:sz w:val="12"/>
          <w:szCs w:val="12"/>
        </w:rPr>
      </w:pPr>
    </w:p>
    <w:p w:rsidR="0037290D" w:rsidRPr="00865EA8" w:rsidRDefault="0037290D" w:rsidP="00134DFD">
      <w:pPr>
        <w:pStyle w:val="Odstavecseseznamem"/>
        <w:numPr>
          <w:ilvl w:val="0"/>
          <w:numId w:val="18"/>
        </w:numPr>
        <w:spacing w:line="240" w:lineRule="auto"/>
        <w:ind w:left="426"/>
        <w:contextualSpacing/>
        <w:jc w:val="both"/>
        <w:rPr>
          <w:rFonts w:cs="Arial"/>
          <w:szCs w:val="20"/>
        </w:rPr>
      </w:pPr>
      <w:r w:rsidRPr="00865EA8">
        <w:rPr>
          <w:rFonts w:cs="Arial"/>
          <w:szCs w:val="20"/>
        </w:rPr>
        <w:t>Na trhu práce nadále</w:t>
      </w:r>
      <w:r w:rsidR="00BB462A" w:rsidRPr="00865EA8">
        <w:rPr>
          <w:rFonts w:cs="Arial"/>
          <w:szCs w:val="20"/>
        </w:rPr>
        <w:t xml:space="preserve"> převládaly pozitivní tendence. Tempo růstu celkové zaměstnanosti</w:t>
      </w:r>
      <w:r w:rsidR="00BB462A" w:rsidRPr="00865EA8">
        <w:rPr>
          <w:rStyle w:val="Znakapoznpodarou"/>
          <w:szCs w:val="20"/>
        </w:rPr>
        <w:footnoteReference w:id="2"/>
      </w:r>
      <w:r w:rsidR="00BB462A" w:rsidRPr="00865EA8">
        <w:rPr>
          <w:rFonts w:cs="Arial"/>
          <w:szCs w:val="20"/>
        </w:rPr>
        <w:t xml:space="preserve"> výrazně nepolevovalo, meziročně mělo práce o 1,5 % lidí více, mezičtvrtletní růst činil 0,6 %. </w:t>
      </w:r>
      <w:r w:rsidR="00F339D0" w:rsidRPr="00865EA8">
        <w:rPr>
          <w:rFonts w:cs="Arial"/>
          <w:szCs w:val="20"/>
        </w:rPr>
        <w:t>Těžiště tvorby pracovních míst se přesunulo do služeb, celkový</w:t>
      </w:r>
      <w:r w:rsidR="00991266" w:rsidRPr="00865EA8">
        <w:rPr>
          <w:rFonts w:cs="Arial"/>
          <w:szCs w:val="20"/>
        </w:rPr>
        <w:t xml:space="preserve"> počet</w:t>
      </w:r>
      <w:r w:rsidR="00F339D0" w:rsidRPr="00865EA8">
        <w:rPr>
          <w:rFonts w:cs="Arial"/>
          <w:szCs w:val="20"/>
        </w:rPr>
        <w:t xml:space="preserve"> pracovníků ve stavebnictví se již nesnižoval. Podobně jako v roce 2016 přispěly k růstu počtu pracovníků i </w:t>
      </w:r>
      <w:proofErr w:type="spellStart"/>
      <w:r w:rsidR="00991266" w:rsidRPr="00865EA8">
        <w:rPr>
          <w:rFonts w:cs="Arial"/>
          <w:szCs w:val="20"/>
        </w:rPr>
        <w:t>sebe</w:t>
      </w:r>
      <w:r w:rsidR="00F339D0" w:rsidRPr="00865EA8">
        <w:rPr>
          <w:rFonts w:cs="Arial"/>
          <w:szCs w:val="20"/>
        </w:rPr>
        <w:t>zaměstnaní</w:t>
      </w:r>
      <w:proofErr w:type="spellEnd"/>
      <w:r w:rsidR="00F339D0" w:rsidRPr="00865EA8">
        <w:rPr>
          <w:rFonts w:cs="Arial"/>
          <w:szCs w:val="20"/>
        </w:rPr>
        <w:t xml:space="preserve">. </w:t>
      </w:r>
      <w:r w:rsidR="00F339D0" w:rsidRPr="00865EA8">
        <w:rPr>
          <w:rFonts w:cs="Arial"/>
          <w:color w:val="0D0D0D" w:themeColor="text1" w:themeTint="F2"/>
          <w:spacing w:val="-2"/>
          <w:szCs w:val="20"/>
        </w:rPr>
        <w:t xml:space="preserve">Počet volných pracovních míst evidovaných úřady práce (ÚP) dosáhl </w:t>
      </w:r>
      <w:r w:rsidR="00991266" w:rsidRPr="00865EA8">
        <w:rPr>
          <w:rFonts w:cs="Arial"/>
          <w:color w:val="0D0D0D" w:themeColor="text1" w:themeTint="F2"/>
          <w:spacing w:val="-2"/>
          <w:szCs w:val="20"/>
        </w:rPr>
        <w:t>na konci března historického rekordu, silná růstová dynamika pokračovala i v následujících jarních měsících</w:t>
      </w:r>
      <w:r w:rsidR="00F339D0" w:rsidRPr="00865EA8">
        <w:rPr>
          <w:rFonts w:cs="Arial"/>
          <w:color w:val="0D0D0D" w:themeColor="text1" w:themeTint="F2"/>
          <w:spacing w:val="-2"/>
          <w:szCs w:val="20"/>
        </w:rPr>
        <w:t>.</w:t>
      </w:r>
      <w:r w:rsidR="00991266" w:rsidRPr="00865EA8">
        <w:rPr>
          <w:rFonts w:cs="Arial"/>
          <w:color w:val="0D0D0D" w:themeColor="text1" w:themeTint="F2"/>
          <w:spacing w:val="-2"/>
          <w:szCs w:val="20"/>
        </w:rPr>
        <w:t xml:space="preserve"> </w:t>
      </w:r>
      <w:r w:rsidR="009A13FA" w:rsidRPr="00865EA8">
        <w:rPr>
          <w:rFonts w:cs="Arial"/>
          <w:color w:val="0D0D0D" w:themeColor="text1" w:themeTint="F2"/>
          <w:spacing w:val="-2"/>
          <w:szCs w:val="20"/>
        </w:rPr>
        <w:t>Možnost</w:t>
      </w:r>
      <w:r w:rsidR="00991266" w:rsidRPr="00865EA8">
        <w:rPr>
          <w:rFonts w:cs="Arial"/>
          <w:color w:val="0D0D0D" w:themeColor="text1" w:themeTint="F2"/>
          <w:spacing w:val="-2"/>
          <w:szCs w:val="20"/>
        </w:rPr>
        <w:t xml:space="preserve"> uplatnění se meziročně</w:t>
      </w:r>
      <w:r w:rsidR="009A13FA" w:rsidRPr="00865EA8">
        <w:rPr>
          <w:rFonts w:cs="Arial"/>
          <w:color w:val="0D0D0D" w:themeColor="text1" w:themeTint="F2"/>
          <w:spacing w:val="-2"/>
          <w:szCs w:val="20"/>
        </w:rPr>
        <w:t xml:space="preserve"> zlepšila</w:t>
      </w:r>
      <w:r w:rsidR="00991266" w:rsidRPr="00865EA8">
        <w:rPr>
          <w:rFonts w:cs="Arial"/>
          <w:color w:val="0D0D0D" w:themeColor="text1" w:themeTint="F2"/>
          <w:spacing w:val="-2"/>
          <w:szCs w:val="20"/>
        </w:rPr>
        <w:t xml:space="preserve"> uchazečům o práci ve všech kvalifikačních třídách, nejvíce nekvalifikovaným a pomocným pracovníkům. To se promítlo do další redukce obecné míry nezaměstnanosti osob ve věku 15-64 let (v březnu dle</w:t>
      </w:r>
      <w:r w:rsidR="00EF1D92">
        <w:rPr>
          <w:rFonts w:cs="Arial"/>
          <w:color w:val="0D0D0D" w:themeColor="text1" w:themeTint="F2"/>
          <w:spacing w:val="-2"/>
          <w:szCs w:val="20"/>
        </w:rPr>
        <w:t> </w:t>
      </w:r>
      <w:r w:rsidR="00991266" w:rsidRPr="00865EA8">
        <w:rPr>
          <w:rFonts w:cs="Arial"/>
          <w:color w:val="0D0D0D" w:themeColor="text1" w:themeTint="F2"/>
          <w:spacing w:val="-2"/>
          <w:szCs w:val="20"/>
        </w:rPr>
        <w:t>sezón</w:t>
      </w:r>
      <w:r w:rsidR="0003780E">
        <w:rPr>
          <w:rFonts w:cs="Arial"/>
          <w:color w:val="0D0D0D" w:themeColor="text1" w:themeTint="F2"/>
          <w:spacing w:val="-2"/>
          <w:szCs w:val="20"/>
        </w:rPr>
        <w:t>n</w:t>
      </w:r>
      <w:r w:rsidR="00991266" w:rsidRPr="00865EA8">
        <w:rPr>
          <w:rFonts w:cs="Arial"/>
          <w:color w:val="0D0D0D" w:themeColor="text1" w:themeTint="F2"/>
          <w:spacing w:val="-2"/>
          <w:szCs w:val="20"/>
        </w:rPr>
        <w:t>ě očištěných údajů 3,4 %) i významnějšího poklesu nezaměstnanosti osob se základním vzděláním.</w:t>
      </w:r>
      <w:r w:rsidR="009A13FA" w:rsidRPr="00865EA8">
        <w:rPr>
          <w:rFonts w:cs="Arial"/>
          <w:bCs/>
          <w:iCs/>
          <w:color w:val="0D0D0D"/>
          <w:spacing w:val="-2"/>
          <w:szCs w:val="20"/>
        </w:rPr>
        <w:t xml:space="preserve"> Dobrá finanční situace podniků i sílící obtíže při hledání nových pracovníků tlačily na další zvyšování mezd. </w:t>
      </w:r>
      <w:r w:rsidR="009A13FA" w:rsidRPr="00865EA8">
        <w:rPr>
          <w:rFonts w:cs="Arial"/>
          <w:color w:val="0D0D0D" w:themeColor="text1" w:themeTint="F2"/>
          <w:spacing w:val="-2"/>
          <w:szCs w:val="20"/>
        </w:rPr>
        <w:t>Přestože růst nom</w:t>
      </w:r>
      <w:r w:rsidR="00CF3D3A">
        <w:rPr>
          <w:rFonts w:cs="Arial"/>
          <w:color w:val="0D0D0D" w:themeColor="text1" w:themeTint="F2"/>
          <w:spacing w:val="-2"/>
          <w:szCs w:val="20"/>
        </w:rPr>
        <w:t xml:space="preserve">inálních mezd (+5,3 %) byl </w:t>
      </w:r>
      <w:r w:rsidR="00CF3D3A" w:rsidRPr="00081851">
        <w:rPr>
          <w:rFonts w:cs="Arial"/>
          <w:szCs w:val="20"/>
        </w:rPr>
        <w:t>1. čtvrtletí</w:t>
      </w:r>
      <w:r w:rsidR="009A13FA" w:rsidRPr="00865EA8">
        <w:rPr>
          <w:rFonts w:cs="Arial"/>
          <w:color w:val="0D0D0D" w:themeColor="text1" w:themeTint="F2"/>
          <w:spacing w:val="-2"/>
          <w:szCs w:val="20"/>
        </w:rPr>
        <w:t xml:space="preserve"> nejvyšší od konce roku 2008, reálné se mzdy navýšily již jen o 2,8 %, tedy slabším tempem než na počátku loňského roku.</w:t>
      </w:r>
    </w:p>
    <w:p w:rsidR="00134DFD" w:rsidRPr="00CF3D3A" w:rsidRDefault="00134DFD" w:rsidP="00134DFD">
      <w:pPr>
        <w:spacing w:line="240" w:lineRule="auto"/>
        <w:contextualSpacing/>
        <w:jc w:val="both"/>
        <w:rPr>
          <w:rFonts w:cs="Arial"/>
          <w:sz w:val="12"/>
          <w:szCs w:val="12"/>
        </w:rPr>
      </w:pPr>
    </w:p>
    <w:p w:rsidR="00F25860" w:rsidRPr="003C0B96" w:rsidRDefault="00F25860" w:rsidP="00134DFD">
      <w:pPr>
        <w:pStyle w:val="Bezmezer"/>
        <w:numPr>
          <w:ilvl w:val="0"/>
          <w:numId w:val="18"/>
        </w:numPr>
        <w:ind w:left="425" w:hanging="357"/>
        <w:rPr>
          <w:rFonts w:cs="Arial"/>
          <w:spacing w:val="-2"/>
          <w:szCs w:val="20"/>
        </w:rPr>
      </w:pPr>
      <w:r w:rsidRPr="003C0B96">
        <w:rPr>
          <w:rFonts w:cs="Arial"/>
          <w:spacing w:val="-2"/>
          <w:szCs w:val="20"/>
        </w:rPr>
        <w:t xml:space="preserve">Státní rozpočet </w:t>
      </w:r>
      <w:r w:rsidR="00F554F9" w:rsidRPr="003C0B96">
        <w:rPr>
          <w:rFonts w:cs="Arial"/>
          <w:spacing w:val="-2"/>
          <w:szCs w:val="20"/>
        </w:rPr>
        <w:t xml:space="preserve">(SR) </w:t>
      </w:r>
      <w:r w:rsidRPr="003C0B96">
        <w:rPr>
          <w:rFonts w:cs="Arial"/>
          <w:spacing w:val="-2"/>
          <w:szCs w:val="20"/>
        </w:rPr>
        <w:t>vykázal za 1. čtvrtletí mírné kladné saldo (4,7 mld. korun). V kontextu stejných období roku šlo o nejslabší výsledek za posledních pět let.</w:t>
      </w:r>
      <w:r w:rsidR="00F554F9" w:rsidRPr="003C0B96">
        <w:rPr>
          <w:rFonts w:cs="Arial"/>
          <w:spacing w:val="-2"/>
          <w:szCs w:val="20"/>
        </w:rPr>
        <w:t xml:space="preserve"> Příjmy i výdaje </w:t>
      </w:r>
      <w:r w:rsidR="003C0B96">
        <w:rPr>
          <w:rFonts w:cs="Arial"/>
          <w:spacing w:val="-2"/>
          <w:szCs w:val="20"/>
        </w:rPr>
        <w:t xml:space="preserve">SR byly </w:t>
      </w:r>
      <w:r w:rsidR="001A2855">
        <w:rPr>
          <w:rFonts w:cs="Arial"/>
          <w:spacing w:val="-2"/>
          <w:szCs w:val="20"/>
        </w:rPr>
        <w:t>podobně</w:t>
      </w:r>
      <w:r w:rsidR="00F554F9" w:rsidRPr="003C0B96">
        <w:rPr>
          <w:rFonts w:cs="Arial"/>
          <w:spacing w:val="-2"/>
          <w:szCs w:val="20"/>
        </w:rPr>
        <w:t xml:space="preserve"> jako v celém předešlém roce </w:t>
      </w:r>
      <w:r w:rsidR="00F554F9" w:rsidRPr="003C0B96">
        <w:rPr>
          <w:rFonts w:cs="Arial"/>
          <w:color w:val="0D0D0D"/>
          <w:spacing w:val="-2"/>
        </w:rPr>
        <w:t xml:space="preserve">výrazně </w:t>
      </w:r>
      <w:r w:rsidR="00F554F9" w:rsidRPr="003C0B96">
        <w:rPr>
          <w:rFonts w:cs="Arial"/>
          <w:spacing w:val="-2"/>
          <w:szCs w:val="20"/>
        </w:rPr>
        <w:t xml:space="preserve">ovlivněny nepravidelnostmi v čerpání prostředků z rozpočtu EU. </w:t>
      </w:r>
      <w:r w:rsidR="00CF3D3A">
        <w:rPr>
          <w:rFonts w:cs="Arial"/>
          <w:spacing w:val="-2"/>
          <w:szCs w:val="20"/>
        </w:rPr>
        <w:t xml:space="preserve">Kapitálové výdaje činily pouze 6,2 mld. korun (meziročně o dvě třetiny méně) a </w:t>
      </w:r>
      <w:r w:rsidR="00F554F9" w:rsidRPr="003C0B96">
        <w:rPr>
          <w:rFonts w:cs="Arial"/>
          <w:spacing w:val="-2"/>
          <w:szCs w:val="20"/>
        </w:rPr>
        <w:t>na všech výdajích SR se podílely 2,1</w:t>
      </w:r>
      <w:r w:rsidR="00CF3D3A" w:rsidRPr="00865EA8">
        <w:rPr>
          <w:rFonts w:cs="Arial"/>
          <w:szCs w:val="20"/>
        </w:rPr>
        <w:t> </w:t>
      </w:r>
      <w:r w:rsidR="00F554F9" w:rsidRPr="003C0B96">
        <w:rPr>
          <w:rFonts w:cs="Arial"/>
          <w:spacing w:val="-2"/>
          <w:szCs w:val="20"/>
        </w:rPr>
        <w:t xml:space="preserve">%. </w:t>
      </w:r>
      <w:r w:rsidR="003C0B96">
        <w:rPr>
          <w:rFonts w:cs="Arial"/>
          <w:spacing w:val="-2"/>
          <w:szCs w:val="20"/>
        </w:rPr>
        <w:t xml:space="preserve">V příjmech SR </w:t>
      </w:r>
      <w:r w:rsidR="00F554F9" w:rsidRPr="003C0B96">
        <w:rPr>
          <w:rFonts w:cs="Arial"/>
          <w:spacing w:val="-2"/>
          <w:szCs w:val="20"/>
        </w:rPr>
        <w:t xml:space="preserve">se nadále pozitivně projevoval vliv hospodářského růstu, a to především u přímých daní či DPH. </w:t>
      </w:r>
      <w:r w:rsidR="00093F4B" w:rsidRPr="003C0B96">
        <w:rPr>
          <w:rFonts w:cs="Arial"/>
          <w:spacing w:val="-2"/>
          <w:szCs w:val="20"/>
        </w:rPr>
        <w:t xml:space="preserve">Velmi dobrá kondice pracovního trhu se odrážela v růstu výběru pojistného na sociální zabezpečení, jehož tempo (+6,6 %) bylo nejvyšší za posledních devět </w:t>
      </w:r>
      <w:r w:rsidR="005755FE" w:rsidRPr="003C0B96">
        <w:rPr>
          <w:rFonts w:cs="Arial"/>
          <w:spacing w:val="-2"/>
          <w:szCs w:val="20"/>
        </w:rPr>
        <w:t>let. D</w:t>
      </w:r>
      <w:r w:rsidR="00093F4B" w:rsidRPr="003C0B96">
        <w:rPr>
          <w:rFonts w:cs="Arial"/>
          <w:spacing w:val="-2"/>
          <w:szCs w:val="20"/>
        </w:rPr>
        <w:t>ůchodový účet</w:t>
      </w:r>
      <w:r w:rsidR="005755FE" w:rsidRPr="003C0B96">
        <w:rPr>
          <w:rFonts w:cs="Arial"/>
          <w:spacing w:val="-2"/>
          <w:szCs w:val="20"/>
        </w:rPr>
        <w:t xml:space="preserve"> tak zůstal podobně jako v předchozích třech letech jen v mírnějším deficitu, a to navzdory významnému růstu výdajů na důchody (+5,4 %).</w:t>
      </w:r>
      <w:r w:rsidR="00093F4B" w:rsidRPr="003C0B96">
        <w:rPr>
          <w:rFonts w:cs="Arial"/>
          <w:spacing w:val="-2"/>
          <w:szCs w:val="20"/>
        </w:rPr>
        <w:t xml:space="preserve"> </w:t>
      </w:r>
      <w:r w:rsidR="003C0B96" w:rsidRPr="003C0B96">
        <w:rPr>
          <w:rFonts w:cs="Arial"/>
          <w:spacing w:val="-2"/>
          <w:szCs w:val="20"/>
        </w:rPr>
        <w:t>Na</w:t>
      </w:r>
      <w:r w:rsidR="005755FE" w:rsidRPr="003C0B96">
        <w:rPr>
          <w:rFonts w:cs="Arial"/>
          <w:spacing w:val="-2"/>
          <w:szCs w:val="20"/>
        </w:rPr>
        <w:t xml:space="preserve">výšení státního dluhu </w:t>
      </w:r>
      <w:r w:rsidR="005755FE" w:rsidRPr="003C0B96">
        <w:rPr>
          <w:rFonts w:cs="Arial"/>
          <w:color w:val="0D0D0D"/>
          <w:spacing w:val="-2"/>
        </w:rPr>
        <w:t xml:space="preserve">během 1. </w:t>
      </w:r>
      <w:r w:rsidR="005755FE" w:rsidRPr="003C0B96">
        <w:rPr>
          <w:rFonts w:cs="Arial"/>
          <w:color w:val="0D0D0D"/>
          <w:spacing w:val="-2"/>
          <w:szCs w:val="20"/>
        </w:rPr>
        <w:t xml:space="preserve">čtvrtletí (o 11 %) </w:t>
      </w:r>
      <w:r w:rsidR="003C0B96" w:rsidRPr="003C0B96">
        <w:rPr>
          <w:rFonts w:cs="Arial"/>
          <w:color w:val="0D0D0D"/>
          <w:spacing w:val="-2"/>
          <w:szCs w:val="20"/>
        </w:rPr>
        <w:t xml:space="preserve">souviselo se </w:t>
      </w:r>
      <w:r w:rsidR="003C0B96" w:rsidRPr="003C0B96">
        <w:rPr>
          <w:rFonts w:cs="Arial"/>
          <w:bCs/>
          <w:iCs/>
          <w:color w:val="0D0D0D" w:themeColor="text1" w:themeTint="F2"/>
          <w:spacing w:val="-2"/>
          <w:szCs w:val="20"/>
        </w:rPr>
        <w:t>specifickou situací na dluhopisovém trhu odrážející očekávání blížícího se ukončení režimu devizových intervencí.</w:t>
      </w:r>
    </w:p>
    <w:p w:rsidR="000E6184" w:rsidRDefault="000E6184">
      <w:pPr>
        <w:pStyle w:val="Odstavecseseznamem"/>
        <w:ind w:left="0"/>
        <w:rPr>
          <w:sz w:val="2"/>
        </w:rPr>
      </w:pPr>
    </w:p>
    <w:p w:rsidR="00960769" w:rsidRPr="00A74192" w:rsidRDefault="00CD7E35" w:rsidP="009F777A">
      <w:pPr>
        <w:pStyle w:val="Nadpis1"/>
        <w:numPr>
          <w:ilvl w:val="0"/>
          <w:numId w:val="12"/>
        </w:numPr>
        <w:ind w:left="709"/>
        <w:jc w:val="both"/>
      </w:pPr>
      <w:bookmarkStart w:id="5" w:name="_Toc469299930"/>
      <w:bookmarkStart w:id="6" w:name="_Toc485271455"/>
      <w:r w:rsidRPr="00A74192">
        <w:lastRenderedPageBreak/>
        <w:t>Souhrnná výkonnost</w:t>
      </w:r>
      <w:bookmarkEnd w:id="5"/>
      <w:bookmarkEnd w:id="6"/>
    </w:p>
    <w:tbl>
      <w:tblPr>
        <w:tblW w:w="5000" w:type="pct"/>
        <w:tblInd w:w="108" w:type="dxa"/>
        <w:tblLayout w:type="fixed"/>
        <w:tblLook w:val="00A0"/>
      </w:tblPr>
      <w:tblGrid>
        <w:gridCol w:w="1985"/>
        <w:gridCol w:w="284"/>
        <w:gridCol w:w="1133"/>
        <w:gridCol w:w="5104"/>
        <w:gridCol w:w="1348"/>
      </w:tblGrid>
      <w:tr w:rsidR="000C60D8" w:rsidRPr="00A74192" w:rsidTr="008F1638">
        <w:tc>
          <w:tcPr>
            <w:tcW w:w="1007" w:type="pct"/>
          </w:tcPr>
          <w:p w:rsidR="000C60D8" w:rsidRPr="005E2AB2" w:rsidRDefault="000C60D8" w:rsidP="00B25E31">
            <w:pPr>
              <w:spacing w:line="240" w:lineRule="auto"/>
              <w:rPr>
                <w:rFonts w:cs="Arial"/>
                <w:sz w:val="16"/>
                <w:szCs w:val="16"/>
              </w:rPr>
            </w:pPr>
            <w:r>
              <w:rPr>
                <w:rFonts w:cs="Arial"/>
                <w:sz w:val="16"/>
                <w:szCs w:val="16"/>
              </w:rPr>
              <w:t>Hrubý domácí produkt v uplynulém čtvrtletí meziročně vzrostl o</w:t>
            </w:r>
            <w:r w:rsidR="00B25E31">
              <w:rPr>
                <w:rFonts w:cs="Arial"/>
                <w:sz w:val="16"/>
                <w:szCs w:val="16"/>
              </w:rPr>
              <w:t> </w:t>
            </w:r>
            <w:r>
              <w:rPr>
                <w:rFonts w:cs="Arial"/>
                <w:sz w:val="16"/>
                <w:szCs w:val="16"/>
              </w:rPr>
              <w:t xml:space="preserve">2,9 %. </w:t>
            </w:r>
          </w:p>
        </w:tc>
        <w:tc>
          <w:tcPr>
            <w:tcW w:w="144" w:type="pct"/>
          </w:tcPr>
          <w:p w:rsidR="000C60D8" w:rsidRPr="005E2AB2" w:rsidRDefault="000C60D8" w:rsidP="00134DFD">
            <w:pPr>
              <w:pStyle w:val="Textpoznpodarou"/>
              <w:jc w:val="both"/>
              <w:rPr>
                <w:rFonts w:cs="Arial"/>
              </w:rPr>
            </w:pPr>
          </w:p>
        </w:tc>
        <w:tc>
          <w:tcPr>
            <w:tcW w:w="3849" w:type="pct"/>
            <w:gridSpan w:val="3"/>
          </w:tcPr>
          <w:p w:rsidR="000C60D8" w:rsidRPr="00365E26" w:rsidRDefault="000C60D8" w:rsidP="00134DFD">
            <w:pPr>
              <w:pStyle w:val="Textpoznpodarou"/>
              <w:jc w:val="both"/>
              <w:rPr>
                <w:rFonts w:cs="Arial"/>
                <w:spacing w:val="-2"/>
                <w:sz w:val="16"/>
                <w:szCs w:val="16"/>
              </w:rPr>
            </w:pPr>
            <w:r w:rsidRPr="00365E26">
              <w:rPr>
                <w:rFonts w:cs="Arial"/>
                <w:spacing w:val="-2"/>
              </w:rPr>
              <w:t>Meziroční nárůst hrubého domácího produktu (HDP) v 1. čtvrtletí roku 2017 činil 2,9 %</w:t>
            </w:r>
            <w:r w:rsidR="00AF6B7C" w:rsidRPr="00365E26">
              <w:rPr>
                <w:rStyle w:val="Znakapoznpodarou"/>
                <w:rFonts w:cs="Arial"/>
                <w:spacing w:val="-2"/>
              </w:rPr>
              <w:footnoteReference w:id="3"/>
            </w:r>
            <w:r w:rsidRPr="00365E26">
              <w:rPr>
                <w:rFonts w:cs="Arial"/>
                <w:spacing w:val="-2"/>
              </w:rPr>
              <w:t xml:space="preserve">. Po mírném zpomalení hospodářského růstu v druhé polovině roku 2016 </w:t>
            </w:r>
            <w:r w:rsidRPr="00365E26">
              <w:rPr>
                <w:spacing w:val="-2"/>
              </w:rPr>
              <w:t>se</w:t>
            </w:r>
            <w:r w:rsidR="006260B8" w:rsidRPr="00365E26">
              <w:rPr>
                <w:spacing w:val="-2"/>
              </w:rPr>
              <w:t> </w:t>
            </w:r>
            <w:r w:rsidRPr="00365E26">
              <w:rPr>
                <w:spacing w:val="-2"/>
              </w:rPr>
              <w:t>dynamika</w:t>
            </w:r>
            <w:r w:rsidRPr="00365E26">
              <w:rPr>
                <w:rFonts w:cs="Arial"/>
                <w:spacing w:val="-2"/>
              </w:rPr>
              <w:t xml:space="preserve"> ekonomického vývoje oživila. Růst HDP nedosahoval výše, kterou měl v roce 2015, přesto </w:t>
            </w:r>
            <w:r w:rsidR="005A61D1" w:rsidRPr="00365E26">
              <w:rPr>
                <w:rFonts w:cs="Arial"/>
                <w:spacing w:val="-2"/>
              </w:rPr>
              <w:t>byla</w:t>
            </w:r>
            <w:r w:rsidRPr="00365E26">
              <w:rPr>
                <w:rFonts w:cs="Arial"/>
                <w:spacing w:val="-2"/>
              </w:rPr>
              <w:t xml:space="preserve"> dynamika </w:t>
            </w:r>
            <w:r w:rsidR="005A61D1" w:rsidRPr="00365E26">
              <w:rPr>
                <w:rFonts w:cs="Arial"/>
                <w:spacing w:val="-2"/>
              </w:rPr>
              <w:t>některých</w:t>
            </w:r>
            <w:r w:rsidRPr="00365E26">
              <w:rPr>
                <w:rFonts w:cs="Arial"/>
                <w:spacing w:val="-2"/>
              </w:rPr>
              <w:t xml:space="preserve"> výdajových složek blízká tomuto výjimečně úspěšnému období. Spotřeba domácností, která táhla růst v minulém roce, neztratila na významu ani v 1. čtvrtletí 2017. Druhým pilířem meziročního růstu se stala bilance zahraničního obchodu. Jediným faktorem, který brzdil rychlejší meziroční růst, byla tvorba kapitálu, </w:t>
            </w:r>
            <w:r w:rsidR="005A61D1" w:rsidRPr="00365E26">
              <w:rPr>
                <w:rFonts w:cs="Arial"/>
                <w:spacing w:val="-2"/>
              </w:rPr>
              <w:t>jejíž pokles byl způsoben vyšší srovnávací základnou loňského roku. Hrubá přidaná hod</w:t>
            </w:r>
            <w:r w:rsidRPr="00365E26">
              <w:rPr>
                <w:rFonts w:cs="Arial"/>
                <w:spacing w:val="-2"/>
              </w:rPr>
              <w:t>nota (HPH) meziročně vzrostla o 2,5 %.</w:t>
            </w:r>
          </w:p>
          <w:p w:rsidR="000C60D8" w:rsidRPr="00613CBB" w:rsidRDefault="000C60D8" w:rsidP="00134DFD">
            <w:pPr>
              <w:pStyle w:val="Textpoznpodarou"/>
              <w:jc w:val="both"/>
              <w:rPr>
                <w:rFonts w:cs="Arial"/>
                <w:sz w:val="16"/>
                <w:szCs w:val="16"/>
              </w:rPr>
            </w:pPr>
          </w:p>
        </w:tc>
      </w:tr>
      <w:tr w:rsidR="000C60D8" w:rsidRPr="00A74192" w:rsidTr="008F1638">
        <w:tc>
          <w:tcPr>
            <w:tcW w:w="1007" w:type="pct"/>
          </w:tcPr>
          <w:p w:rsidR="000C60D8" w:rsidRPr="005E2AB2" w:rsidRDefault="000C60D8" w:rsidP="00134DFD">
            <w:pPr>
              <w:spacing w:line="240" w:lineRule="auto"/>
              <w:rPr>
                <w:rFonts w:cs="Arial"/>
                <w:sz w:val="16"/>
                <w:szCs w:val="16"/>
              </w:rPr>
            </w:pPr>
            <w:proofErr w:type="spellStart"/>
            <w:r>
              <w:rPr>
                <w:rFonts w:cs="Arial"/>
                <w:sz w:val="16"/>
                <w:szCs w:val="16"/>
              </w:rPr>
              <w:t>Mezičtvrtletní</w:t>
            </w:r>
            <w:proofErr w:type="spellEnd"/>
            <w:r>
              <w:rPr>
                <w:rFonts w:cs="Arial"/>
                <w:sz w:val="16"/>
                <w:szCs w:val="16"/>
              </w:rPr>
              <w:t xml:space="preserve"> dynamika se značně zrychlila. Přírůstek HDP oproti předchozímu čtvrtletí činil 1,3 %.</w:t>
            </w:r>
          </w:p>
        </w:tc>
        <w:tc>
          <w:tcPr>
            <w:tcW w:w="144" w:type="pct"/>
          </w:tcPr>
          <w:p w:rsidR="000C60D8" w:rsidRPr="005E2AB2" w:rsidRDefault="000C60D8" w:rsidP="00134DFD">
            <w:pPr>
              <w:pStyle w:val="Textpoznpodarou"/>
              <w:jc w:val="both"/>
              <w:rPr>
                <w:rFonts w:cs="Arial"/>
              </w:rPr>
            </w:pPr>
          </w:p>
        </w:tc>
        <w:tc>
          <w:tcPr>
            <w:tcW w:w="3849" w:type="pct"/>
            <w:gridSpan w:val="3"/>
          </w:tcPr>
          <w:p w:rsidR="000C60D8" w:rsidRDefault="000C60D8" w:rsidP="00134DFD">
            <w:pPr>
              <w:pStyle w:val="Textpoznpodarou"/>
              <w:jc w:val="both"/>
              <w:rPr>
                <w:rFonts w:cs="Arial"/>
                <w:sz w:val="16"/>
                <w:szCs w:val="16"/>
              </w:rPr>
            </w:pPr>
            <w:proofErr w:type="spellStart"/>
            <w:r w:rsidRPr="00C16350">
              <w:rPr>
                <w:rFonts w:cs="Arial"/>
              </w:rPr>
              <w:t>Mezičtvrtletní</w:t>
            </w:r>
            <w:proofErr w:type="spellEnd"/>
            <w:r w:rsidRPr="00C16350">
              <w:rPr>
                <w:rFonts w:cs="Arial"/>
              </w:rPr>
              <w:t xml:space="preserve"> dynamika růstu byla </w:t>
            </w:r>
            <w:r w:rsidR="005A61D1">
              <w:rPr>
                <w:rFonts w:cs="Arial"/>
              </w:rPr>
              <w:t>výrazně silnější než na konci roku 2016</w:t>
            </w:r>
            <w:r w:rsidRPr="00C16350">
              <w:rPr>
                <w:rFonts w:cs="Arial"/>
              </w:rPr>
              <w:t>. V 1.</w:t>
            </w:r>
            <w:r w:rsidR="00CB2B15">
              <w:rPr>
                <w:rFonts w:cs="Arial"/>
              </w:rPr>
              <w:t> </w:t>
            </w:r>
            <w:r w:rsidRPr="00C16350">
              <w:rPr>
                <w:rFonts w:cs="Arial"/>
              </w:rPr>
              <w:t xml:space="preserve">čtvrtletí 2017 </w:t>
            </w:r>
            <w:r>
              <w:rPr>
                <w:rFonts w:cs="Arial"/>
              </w:rPr>
              <w:t>byl</w:t>
            </w:r>
            <w:r w:rsidRPr="00C16350">
              <w:rPr>
                <w:rFonts w:cs="Arial"/>
              </w:rPr>
              <w:t xml:space="preserve"> HDP o 1,3 %</w:t>
            </w:r>
            <w:r>
              <w:rPr>
                <w:rFonts w:cs="Arial"/>
              </w:rPr>
              <w:t xml:space="preserve"> vyšší než v předchozím kvartálu, což je nejvyšší hodnota od 2. čtvrtletí roku 2015. Vysoký </w:t>
            </w:r>
            <w:proofErr w:type="spellStart"/>
            <w:r>
              <w:rPr>
                <w:rFonts w:cs="Arial"/>
              </w:rPr>
              <w:t>mezičtvrtletní</w:t>
            </w:r>
            <w:proofErr w:type="spellEnd"/>
            <w:r>
              <w:rPr>
                <w:rFonts w:cs="Arial"/>
              </w:rPr>
              <w:t xml:space="preserve"> růst byl podpořen </w:t>
            </w:r>
            <w:proofErr w:type="spellStart"/>
            <w:r>
              <w:rPr>
                <w:rFonts w:cs="Arial"/>
              </w:rPr>
              <w:t>mezičtvrtletním</w:t>
            </w:r>
            <w:proofErr w:type="spellEnd"/>
            <w:r>
              <w:rPr>
                <w:rFonts w:cs="Arial"/>
              </w:rPr>
              <w:t xml:space="preserve"> oživením </w:t>
            </w:r>
            <w:r w:rsidR="00AF6B7C">
              <w:rPr>
                <w:rFonts w:cs="Arial"/>
              </w:rPr>
              <w:t>investiční aktivity</w:t>
            </w:r>
            <w:r>
              <w:rPr>
                <w:rFonts w:cs="Arial"/>
              </w:rPr>
              <w:t xml:space="preserve"> i stabilním růstem výdajů na celkovou spotřebu, ve kterých se projevil </w:t>
            </w:r>
            <w:proofErr w:type="spellStart"/>
            <w:r>
              <w:rPr>
                <w:rFonts w:cs="Arial"/>
              </w:rPr>
              <w:t>mezičtvrtletní</w:t>
            </w:r>
            <w:proofErr w:type="spellEnd"/>
            <w:r>
              <w:rPr>
                <w:rFonts w:cs="Arial"/>
              </w:rPr>
              <w:t xml:space="preserve"> nárůst vládní spotřeby.</w:t>
            </w:r>
          </w:p>
          <w:p w:rsidR="000C60D8" w:rsidRPr="00C16350" w:rsidRDefault="000C60D8" w:rsidP="00134DFD">
            <w:pPr>
              <w:pStyle w:val="Textpoznpodarou"/>
              <w:jc w:val="both"/>
              <w:rPr>
                <w:rFonts w:cs="Arial"/>
                <w:sz w:val="16"/>
                <w:szCs w:val="16"/>
              </w:rPr>
            </w:pPr>
          </w:p>
        </w:tc>
      </w:tr>
      <w:tr w:rsidR="000C60D8" w:rsidRPr="00A74192" w:rsidTr="008F1638">
        <w:tblPrEx>
          <w:tblCellMar>
            <w:left w:w="70" w:type="dxa"/>
            <w:right w:w="70" w:type="dxa"/>
          </w:tblCellMar>
        </w:tblPrEx>
        <w:tc>
          <w:tcPr>
            <w:tcW w:w="1007" w:type="pct"/>
          </w:tcPr>
          <w:p w:rsidR="000C60D8" w:rsidRPr="005E2AB2" w:rsidRDefault="000C60D8" w:rsidP="00134DFD">
            <w:pPr>
              <w:spacing w:line="240" w:lineRule="auto"/>
              <w:rPr>
                <w:rFonts w:cs="Arial"/>
                <w:sz w:val="16"/>
                <w:szCs w:val="16"/>
              </w:rPr>
            </w:pPr>
            <w:r>
              <w:rPr>
                <w:rFonts w:cs="Arial"/>
                <w:sz w:val="16"/>
                <w:szCs w:val="16"/>
              </w:rPr>
              <w:t xml:space="preserve">V rámci EU byl český hospodářský růst nadprůměrný, především ten čtvrtletní. </w:t>
            </w:r>
          </w:p>
        </w:tc>
        <w:tc>
          <w:tcPr>
            <w:tcW w:w="144" w:type="pct"/>
          </w:tcPr>
          <w:p w:rsidR="000C60D8" w:rsidRPr="005E2AB2" w:rsidRDefault="000C60D8" w:rsidP="00134DFD">
            <w:pPr>
              <w:pStyle w:val="Textpoznpodarou"/>
              <w:jc w:val="both"/>
              <w:rPr>
                <w:rFonts w:cs="Arial"/>
              </w:rPr>
            </w:pPr>
          </w:p>
        </w:tc>
        <w:tc>
          <w:tcPr>
            <w:tcW w:w="3849" w:type="pct"/>
            <w:gridSpan w:val="3"/>
          </w:tcPr>
          <w:p w:rsidR="006467D0" w:rsidRDefault="000C60D8" w:rsidP="00134DFD">
            <w:pPr>
              <w:pStyle w:val="Textpoznpodarou"/>
              <w:jc w:val="both"/>
              <w:rPr>
                <w:rFonts w:cs="Arial"/>
                <w:sz w:val="16"/>
                <w:szCs w:val="16"/>
              </w:rPr>
            </w:pPr>
            <w:r>
              <w:rPr>
                <w:rFonts w:cs="Arial"/>
              </w:rPr>
              <w:t xml:space="preserve">Česká republika z hlediska meziročního růstu </w:t>
            </w:r>
            <w:r w:rsidR="005A61D1">
              <w:rPr>
                <w:rFonts w:cs="Arial"/>
              </w:rPr>
              <w:t>pohybovala</w:t>
            </w:r>
            <w:r>
              <w:rPr>
                <w:rFonts w:cs="Arial"/>
              </w:rPr>
              <w:t xml:space="preserve"> nad průměrem</w:t>
            </w:r>
            <w:r w:rsidR="007841BB">
              <w:rPr>
                <w:rFonts w:cs="Arial"/>
              </w:rPr>
              <w:t xml:space="preserve"> EU</w:t>
            </w:r>
            <w:r>
              <w:rPr>
                <w:rFonts w:cs="Arial"/>
              </w:rPr>
              <w:t>. Meziroční nárůst HDP v</w:t>
            </w:r>
            <w:r w:rsidR="007841BB">
              <w:rPr>
                <w:rFonts w:cs="Arial"/>
              </w:rPr>
              <w:t xml:space="preserve"> EU </w:t>
            </w:r>
            <w:r>
              <w:rPr>
                <w:rFonts w:cs="Arial"/>
              </w:rPr>
              <w:t>činil 2,1 %</w:t>
            </w:r>
            <w:r>
              <w:rPr>
                <w:rStyle w:val="Znakapoznpodarou"/>
              </w:rPr>
              <w:footnoteReference w:id="4"/>
            </w:r>
            <w:r>
              <w:rPr>
                <w:rFonts w:cs="Arial"/>
              </w:rPr>
              <w:t xml:space="preserve">. Naopak oživení </w:t>
            </w:r>
            <w:proofErr w:type="spellStart"/>
            <w:r>
              <w:rPr>
                <w:rFonts w:cs="Arial"/>
              </w:rPr>
              <w:t>mezičtvrtletní</w:t>
            </w:r>
            <w:proofErr w:type="spellEnd"/>
            <w:r>
              <w:rPr>
                <w:rFonts w:cs="Arial"/>
              </w:rPr>
              <w:t xml:space="preserve"> dynamiky Česko posunulo téměř k vrcholu mezi evropskými zeměmi. Tempo </w:t>
            </w:r>
            <w:proofErr w:type="spellStart"/>
            <w:r w:rsidR="005A61D1">
              <w:rPr>
                <w:rFonts w:cs="Arial"/>
              </w:rPr>
              <w:t>mezi</w:t>
            </w:r>
            <w:r>
              <w:rPr>
                <w:rFonts w:cs="Arial"/>
              </w:rPr>
              <w:t>čtvrtletního</w:t>
            </w:r>
            <w:proofErr w:type="spellEnd"/>
            <w:r>
              <w:rPr>
                <w:rFonts w:cs="Arial"/>
              </w:rPr>
              <w:t xml:space="preserve"> růstu v EU </w:t>
            </w:r>
            <w:r w:rsidR="007841BB">
              <w:rPr>
                <w:rFonts w:cs="Arial"/>
              </w:rPr>
              <w:t>dosáhlo</w:t>
            </w:r>
            <w:r>
              <w:rPr>
                <w:rFonts w:cs="Arial"/>
              </w:rPr>
              <w:t xml:space="preserve"> 0,6 %, stále však bylo méně než poloviční oproti ČR. Nejvyššího meziročního růstu dosáhlo Rumunsko (5,6 %), Slovinsko (5,0 %) a</w:t>
            </w:r>
            <w:r w:rsidR="007841BB">
              <w:rPr>
                <w:rFonts w:cs="Arial"/>
              </w:rPr>
              <w:t> </w:t>
            </w:r>
            <w:r>
              <w:rPr>
                <w:rFonts w:cs="Arial"/>
              </w:rPr>
              <w:t xml:space="preserve">Polsko (4,2 %). Mezi nejrychleji rostoucími ekonomikami je většina zástupců „nových“ států </w:t>
            </w:r>
            <w:r w:rsidR="00CD0779">
              <w:rPr>
                <w:rFonts w:cs="Arial"/>
              </w:rPr>
              <w:t>U</w:t>
            </w:r>
            <w:r>
              <w:rPr>
                <w:rFonts w:cs="Arial"/>
              </w:rPr>
              <w:t xml:space="preserve">nie, </w:t>
            </w:r>
            <w:r w:rsidR="007841BB">
              <w:rPr>
                <w:rFonts w:cs="Arial"/>
              </w:rPr>
              <w:t xml:space="preserve">u </w:t>
            </w:r>
            <w:r>
              <w:rPr>
                <w:rFonts w:cs="Arial"/>
              </w:rPr>
              <w:t>kter</w:t>
            </w:r>
            <w:r w:rsidR="007841BB">
              <w:rPr>
                <w:rFonts w:cs="Arial"/>
              </w:rPr>
              <w:t xml:space="preserve">ých letos dozněl vliv propadu </w:t>
            </w:r>
            <w:r>
              <w:rPr>
                <w:rFonts w:cs="Arial"/>
              </w:rPr>
              <w:t xml:space="preserve">kapitálových výdajů </w:t>
            </w:r>
            <w:r w:rsidR="007841BB">
              <w:rPr>
                <w:rFonts w:cs="Arial"/>
              </w:rPr>
              <w:t>z minulého roku.</w:t>
            </w:r>
            <w:r>
              <w:rPr>
                <w:rFonts w:cs="Arial"/>
              </w:rPr>
              <w:t xml:space="preserve"> Hospodářský růst u většiny z nich v 1. čtvrtletí 2017 zrychlil oproti minulému roku. Nejpomalejší meziroční růst byl v Ř</w:t>
            </w:r>
            <w:r w:rsidR="003F0293">
              <w:rPr>
                <w:rFonts w:cs="Arial"/>
              </w:rPr>
              <w:t>ecku (0,4 %), Francii (1,0 %) a </w:t>
            </w:r>
            <w:r>
              <w:rPr>
                <w:rFonts w:cs="Arial"/>
              </w:rPr>
              <w:t>Itálii (1,2 %). Německá ekonomika, jejíž prosperita je klíčová pro český export, se</w:t>
            </w:r>
            <w:r w:rsidR="006260B8">
              <w:rPr>
                <w:rFonts w:cs="Arial"/>
              </w:rPr>
              <w:t> </w:t>
            </w:r>
            <w:r w:rsidR="005A61D1">
              <w:rPr>
                <w:rFonts w:cs="Arial"/>
              </w:rPr>
              <w:t>držela</w:t>
            </w:r>
            <w:r>
              <w:rPr>
                <w:rFonts w:cs="Arial"/>
              </w:rPr>
              <w:t xml:space="preserve"> na stabilní růstové trajektorii (1,7 %).</w:t>
            </w:r>
          </w:p>
          <w:p w:rsidR="00FB3763" w:rsidRPr="00FB3763" w:rsidRDefault="00FB3763" w:rsidP="00134DFD">
            <w:pPr>
              <w:pStyle w:val="Textpoznpodarou"/>
              <w:jc w:val="both"/>
              <w:rPr>
                <w:rFonts w:cs="Arial"/>
                <w:sz w:val="16"/>
                <w:szCs w:val="16"/>
              </w:rPr>
            </w:pPr>
          </w:p>
          <w:p w:rsidR="006467D0" w:rsidRDefault="006467D0" w:rsidP="0066026B">
            <w:pPr>
              <w:pStyle w:val="Textpoznpodarou"/>
              <w:spacing w:after="60"/>
              <w:jc w:val="both"/>
              <w:rPr>
                <w:rFonts w:cs="Arial"/>
                <w:lang w:eastAsia="en-US"/>
              </w:rPr>
            </w:pPr>
            <w:r>
              <w:rPr>
                <w:rFonts w:cs="Arial"/>
              </w:rPr>
              <w:t xml:space="preserve">Graf č. 1 </w:t>
            </w:r>
            <w:r w:rsidRPr="00A6766C">
              <w:rPr>
                <w:rFonts w:cs="Arial"/>
                <w:b/>
                <w:lang w:eastAsia="en-US"/>
              </w:rPr>
              <w:t xml:space="preserve">HDP </w:t>
            </w:r>
            <w:r w:rsidRPr="00A6766C">
              <w:rPr>
                <w:rFonts w:cs="Arial"/>
                <w:lang w:eastAsia="en-US"/>
              </w:rPr>
              <w:t>(</w:t>
            </w:r>
            <w:r w:rsidR="005A61D1">
              <w:rPr>
                <w:rFonts w:cs="Arial"/>
                <w:lang w:eastAsia="en-US"/>
              </w:rPr>
              <w:t>objemové indexy</w:t>
            </w:r>
            <w:r w:rsidRPr="00A6766C">
              <w:rPr>
                <w:rFonts w:cs="Arial"/>
                <w:lang w:eastAsia="en-US"/>
              </w:rPr>
              <w:t>, očištěno o sezónní a kalendářní vlivy, v %)</w:t>
            </w:r>
          </w:p>
          <w:p w:rsidR="006467D0" w:rsidRDefault="00FB3763" w:rsidP="00FB3763">
            <w:pPr>
              <w:pStyle w:val="Textpoznpodarou"/>
              <w:tabs>
                <w:tab w:val="left" w:pos="1039"/>
              </w:tabs>
              <w:ind w:left="-57"/>
              <w:jc w:val="both"/>
              <w:rPr>
                <w:rFonts w:cs="Arial"/>
              </w:rPr>
            </w:pPr>
            <w:r w:rsidRPr="00FB3763">
              <w:rPr>
                <w:rFonts w:cs="Arial"/>
                <w:noProof/>
              </w:rPr>
              <w:drawing>
                <wp:inline distT="0" distB="0" distL="0" distR="0">
                  <wp:extent cx="4737600" cy="3553200"/>
                  <wp:effectExtent l="19050" t="0" r="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67D0" w:rsidRDefault="006467D0" w:rsidP="00365E26">
            <w:pPr>
              <w:pStyle w:val="Textpoznpodarou"/>
              <w:tabs>
                <w:tab w:val="right" w:pos="7241"/>
              </w:tabs>
              <w:spacing w:before="60"/>
              <w:jc w:val="right"/>
              <w:rPr>
                <w:rFonts w:cs="Arial"/>
                <w:sz w:val="14"/>
                <w:szCs w:val="16"/>
              </w:rPr>
            </w:pPr>
            <w:bookmarkStart w:id="7" w:name="_GoBack"/>
            <w:bookmarkEnd w:id="7"/>
            <w:r w:rsidRPr="006467D0">
              <w:rPr>
                <w:rFonts w:cs="Arial"/>
                <w:sz w:val="14"/>
                <w:szCs w:val="16"/>
              </w:rPr>
              <w:t xml:space="preserve">Zdroj: ČSÚ, </w:t>
            </w:r>
            <w:proofErr w:type="spellStart"/>
            <w:r w:rsidRPr="006467D0">
              <w:rPr>
                <w:rFonts w:cs="Arial"/>
                <w:sz w:val="14"/>
                <w:szCs w:val="16"/>
              </w:rPr>
              <w:t>Eurostat</w:t>
            </w:r>
            <w:proofErr w:type="spellEnd"/>
          </w:p>
          <w:p w:rsidR="00365E26" w:rsidRPr="00365E26" w:rsidRDefault="00365E26" w:rsidP="00365E26">
            <w:pPr>
              <w:pStyle w:val="Textpoznpodarou"/>
              <w:tabs>
                <w:tab w:val="right" w:pos="7241"/>
              </w:tabs>
              <w:spacing w:before="60"/>
              <w:jc w:val="right"/>
              <w:rPr>
                <w:rFonts w:cs="Arial"/>
                <w:sz w:val="14"/>
                <w:szCs w:val="16"/>
              </w:rPr>
            </w:pPr>
          </w:p>
        </w:tc>
      </w:tr>
      <w:tr w:rsidR="00FC6DB5" w:rsidRPr="00A6766C" w:rsidTr="008F1638">
        <w:tc>
          <w:tcPr>
            <w:tcW w:w="1007" w:type="pct"/>
          </w:tcPr>
          <w:p w:rsidR="00FC6DB5" w:rsidRPr="00A6766C" w:rsidRDefault="00FC6DB5" w:rsidP="000C60D8">
            <w:pPr>
              <w:spacing w:line="240" w:lineRule="auto"/>
              <w:jc w:val="center"/>
              <w:rPr>
                <w:rFonts w:cs="Arial"/>
                <w:szCs w:val="20"/>
              </w:rPr>
            </w:pPr>
          </w:p>
        </w:tc>
        <w:tc>
          <w:tcPr>
            <w:tcW w:w="144" w:type="pct"/>
          </w:tcPr>
          <w:p w:rsidR="00FC6DB5" w:rsidRPr="00A6766C" w:rsidRDefault="00FC6DB5" w:rsidP="00134DFD">
            <w:pPr>
              <w:pStyle w:val="Textpoznpodarou"/>
              <w:jc w:val="both"/>
              <w:rPr>
                <w:rFonts w:cs="Arial"/>
              </w:rPr>
            </w:pPr>
          </w:p>
        </w:tc>
        <w:tc>
          <w:tcPr>
            <w:tcW w:w="575" w:type="pct"/>
          </w:tcPr>
          <w:p w:rsidR="00FC6DB5" w:rsidRPr="00A6766C" w:rsidRDefault="00FC6DB5" w:rsidP="000F5598">
            <w:pPr>
              <w:pStyle w:val="Textpoznpodarou"/>
              <w:jc w:val="both"/>
              <w:rPr>
                <w:rFonts w:cs="Arial"/>
              </w:rPr>
            </w:pPr>
            <w:r w:rsidRPr="00A6766C">
              <w:rPr>
                <w:rFonts w:cs="Arial"/>
                <w:lang w:eastAsia="en-US"/>
              </w:rPr>
              <w:t>Graf č. 2</w:t>
            </w:r>
          </w:p>
        </w:tc>
        <w:tc>
          <w:tcPr>
            <w:tcW w:w="3274" w:type="pct"/>
            <w:gridSpan w:val="2"/>
          </w:tcPr>
          <w:p w:rsidR="007841BB" w:rsidRPr="00A6766C" w:rsidRDefault="00FC6DB5" w:rsidP="005A61D1">
            <w:pPr>
              <w:pStyle w:val="Textpoznpodarou"/>
              <w:rPr>
                <w:rFonts w:cs="Arial"/>
                <w:lang w:eastAsia="en-US"/>
              </w:rPr>
            </w:pPr>
            <w:r w:rsidRPr="00A6766C">
              <w:rPr>
                <w:rFonts w:cs="Arial"/>
                <w:b/>
                <w:lang w:eastAsia="en-US"/>
              </w:rPr>
              <w:t xml:space="preserve">HDP </w:t>
            </w:r>
            <w:r w:rsidRPr="00A6766C">
              <w:rPr>
                <w:rFonts w:cs="Arial"/>
                <w:lang w:eastAsia="en-US"/>
              </w:rPr>
              <w:t>(</w:t>
            </w:r>
            <w:r w:rsidR="005A61D1">
              <w:rPr>
                <w:rFonts w:cs="Arial"/>
                <w:lang w:eastAsia="en-US"/>
              </w:rPr>
              <w:t>objemové indexy</w:t>
            </w:r>
            <w:r w:rsidRPr="00A6766C">
              <w:rPr>
                <w:rFonts w:cs="Arial"/>
                <w:lang w:eastAsia="en-US"/>
              </w:rPr>
              <w:t xml:space="preserve">, očištěno o sezónní a kalendářní vlivy, </w:t>
            </w:r>
            <w:r>
              <w:rPr>
                <w:rFonts w:cs="Arial"/>
                <w:lang w:eastAsia="en-US"/>
              </w:rPr>
              <w:t>meziročně</w:t>
            </w:r>
            <w:r w:rsidRPr="00A6766C">
              <w:rPr>
                <w:rFonts w:cs="Arial"/>
                <w:lang w:eastAsia="en-US"/>
              </w:rPr>
              <w:t xml:space="preserve"> v</w:t>
            </w:r>
            <w:r w:rsidR="00CB2B15">
              <w:rPr>
                <w:rFonts w:cs="Arial"/>
                <w:lang w:eastAsia="en-US"/>
              </w:rPr>
              <w:t> </w:t>
            </w:r>
            <w:r w:rsidRPr="00A6766C">
              <w:rPr>
                <w:rFonts w:cs="Arial"/>
                <w:lang w:eastAsia="en-US"/>
              </w:rPr>
              <w:t xml:space="preserve">%, pravá osa) </w:t>
            </w:r>
            <w:r w:rsidRPr="00A6766C">
              <w:rPr>
                <w:rFonts w:cs="Arial"/>
                <w:b/>
                <w:lang w:eastAsia="en-US"/>
              </w:rPr>
              <w:t>a indikátory důvěry</w:t>
            </w:r>
            <w:r w:rsidRPr="00A6766C">
              <w:rPr>
                <w:rFonts w:cs="Arial"/>
                <w:lang w:eastAsia="en-US"/>
              </w:rPr>
              <w:t xml:space="preserve"> (2005=100, levá osa)</w:t>
            </w:r>
          </w:p>
        </w:tc>
      </w:tr>
      <w:tr w:rsidR="000C60D8" w:rsidRPr="00A74192" w:rsidTr="008F1638">
        <w:tc>
          <w:tcPr>
            <w:tcW w:w="1007" w:type="pct"/>
          </w:tcPr>
          <w:p w:rsidR="000C60D8" w:rsidRDefault="000C60D8" w:rsidP="00134DFD">
            <w:pPr>
              <w:spacing w:line="240" w:lineRule="auto"/>
              <w:rPr>
                <w:rFonts w:cs="Arial"/>
                <w:sz w:val="16"/>
                <w:szCs w:val="16"/>
              </w:rPr>
            </w:pPr>
          </w:p>
        </w:tc>
        <w:tc>
          <w:tcPr>
            <w:tcW w:w="144" w:type="pct"/>
          </w:tcPr>
          <w:p w:rsidR="000C60D8" w:rsidRPr="005E2AB2" w:rsidRDefault="000C60D8" w:rsidP="00134DFD">
            <w:pPr>
              <w:pStyle w:val="Textpoznpodarou"/>
              <w:jc w:val="both"/>
              <w:rPr>
                <w:rFonts w:cs="Arial"/>
              </w:rPr>
            </w:pPr>
          </w:p>
        </w:tc>
        <w:tc>
          <w:tcPr>
            <w:tcW w:w="3849" w:type="pct"/>
            <w:gridSpan w:val="3"/>
          </w:tcPr>
          <w:p w:rsidR="000C60D8" w:rsidRDefault="007841BB" w:rsidP="00A6766C">
            <w:pPr>
              <w:pStyle w:val="Textpoznpodarou"/>
              <w:ind w:left="-94"/>
              <w:jc w:val="both"/>
              <w:rPr>
                <w:rFonts w:cs="Arial"/>
              </w:rPr>
            </w:pPr>
            <w:r w:rsidRPr="007841BB">
              <w:rPr>
                <w:rFonts w:cs="Arial"/>
                <w:noProof/>
              </w:rPr>
              <w:drawing>
                <wp:inline distT="0" distB="0" distL="0" distR="0">
                  <wp:extent cx="4737600" cy="3553200"/>
                  <wp:effectExtent l="0" t="0" r="0"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766C" w:rsidRPr="007841BB" w:rsidRDefault="00A6766C" w:rsidP="00A6766C">
            <w:pPr>
              <w:pStyle w:val="Textpoznpodarou"/>
              <w:ind w:left="-94"/>
              <w:jc w:val="right"/>
              <w:rPr>
                <w:rFonts w:cs="Arial"/>
                <w:sz w:val="14"/>
                <w:szCs w:val="14"/>
              </w:rPr>
            </w:pPr>
            <w:r w:rsidRPr="007841BB">
              <w:rPr>
                <w:rFonts w:cs="Arial"/>
                <w:sz w:val="14"/>
                <w:szCs w:val="14"/>
              </w:rPr>
              <w:t>Zdroj: ČSÚ</w:t>
            </w:r>
          </w:p>
          <w:p w:rsidR="00FC6DB5" w:rsidRPr="000125F0" w:rsidRDefault="00FC6DB5" w:rsidP="00A6766C">
            <w:pPr>
              <w:pStyle w:val="Textpoznpodarou"/>
              <w:ind w:left="-94"/>
              <w:jc w:val="right"/>
              <w:rPr>
                <w:rFonts w:cs="Arial"/>
              </w:rPr>
            </w:pPr>
          </w:p>
        </w:tc>
      </w:tr>
      <w:tr w:rsidR="000C60D8" w:rsidRPr="00A74192" w:rsidTr="008F1638">
        <w:tc>
          <w:tcPr>
            <w:tcW w:w="1007" w:type="pct"/>
          </w:tcPr>
          <w:p w:rsidR="000C60D8" w:rsidRPr="005E2AB2" w:rsidRDefault="000C60D8" w:rsidP="00134DFD">
            <w:pPr>
              <w:spacing w:line="240" w:lineRule="auto"/>
              <w:rPr>
                <w:rFonts w:cs="Arial"/>
                <w:sz w:val="16"/>
                <w:szCs w:val="16"/>
              </w:rPr>
            </w:pPr>
            <w:r>
              <w:rPr>
                <w:rFonts w:cs="Arial"/>
                <w:sz w:val="16"/>
                <w:szCs w:val="16"/>
              </w:rPr>
              <w:t xml:space="preserve">Růst HDP byl tažen kombinací rostoucí domácí i zahraniční poptávky. Přetrvávalo negativní působení výdajů na tvorbu hrubého fixního kapitálu.  </w:t>
            </w:r>
          </w:p>
        </w:tc>
        <w:tc>
          <w:tcPr>
            <w:tcW w:w="144" w:type="pct"/>
          </w:tcPr>
          <w:p w:rsidR="000C60D8" w:rsidRPr="005E2AB2" w:rsidRDefault="000C60D8" w:rsidP="00134DFD">
            <w:pPr>
              <w:pStyle w:val="Textpoznpodarou"/>
              <w:jc w:val="both"/>
              <w:rPr>
                <w:rFonts w:cs="Arial"/>
              </w:rPr>
            </w:pPr>
          </w:p>
        </w:tc>
        <w:tc>
          <w:tcPr>
            <w:tcW w:w="3849" w:type="pct"/>
            <w:gridSpan w:val="3"/>
          </w:tcPr>
          <w:p w:rsidR="000C60D8" w:rsidRDefault="000C60D8" w:rsidP="00134DFD">
            <w:pPr>
              <w:pStyle w:val="Textpoznpodarou"/>
              <w:jc w:val="both"/>
              <w:rPr>
                <w:rFonts w:cs="Arial"/>
                <w:sz w:val="16"/>
                <w:szCs w:val="16"/>
              </w:rPr>
            </w:pPr>
            <w:r w:rsidRPr="000125F0">
              <w:rPr>
                <w:rFonts w:cs="Arial"/>
              </w:rPr>
              <w:t>Jak bylo zmíněno výše, výdaje na konečnou spotřebu domácností zůstáva</w:t>
            </w:r>
            <w:r w:rsidR="005A61D1">
              <w:rPr>
                <w:rFonts w:cs="Arial"/>
              </w:rPr>
              <w:t>ly</w:t>
            </w:r>
            <w:r w:rsidRPr="000125F0">
              <w:rPr>
                <w:rFonts w:cs="Arial"/>
              </w:rPr>
              <w:t xml:space="preserve"> důležitým </w:t>
            </w:r>
            <w:r>
              <w:rPr>
                <w:rFonts w:cs="Arial"/>
              </w:rPr>
              <w:t>tahounem hospodářského růstu i v 1. čtvrtletí. Přesto jejich úloha ne</w:t>
            </w:r>
            <w:r w:rsidR="005A61D1">
              <w:rPr>
                <w:rFonts w:cs="Arial"/>
              </w:rPr>
              <w:t>byla</w:t>
            </w:r>
            <w:r>
              <w:rPr>
                <w:rFonts w:cs="Arial"/>
              </w:rPr>
              <w:t xml:space="preserve"> tak silná jako v předchozím půlroce. Příspěvek spotřeby domácností k meziročnímu růstu HDP</w:t>
            </w:r>
            <w:r>
              <w:rPr>
                <w:rStyle w:val="Znakapoznpodarou"/>
              </w:rPr>
              <w:footnoteReference w:id="5"/>
            </w:r>
            <w:r>
              <w:rPr>
                <w:rFonts w:cs="Arial"/>
              </w:rPr>
              <w:t xml:space="preserve"> činil 1,0 </w:t>
            </w:r>
            <w:proofErr w:type="spellStart"/>
            <w:r>
              <w:rPr>
                <w:rFonts w:cs="Arial"/>
              </w:rPr>
              <w:t>p.b</w:t>
            </w:r>
            <w:proofErr w:type="spellEnd"/>
            <w:r>
              <w:rPr>
                <w:rFonts w:cs="Arial"/>
              </w:rPr>
              <w:t>. a oproti předchozímu čtvrtletí se snížil o</w:t>
            </w:r>
            <w:r w:rsidR="00CB2B15">
              <w:rPr>
                <w:rFonts w:cs="Arial"/>
              </w:rPr>
              <w:t> </w:t>
            </w:r>
            <w:r>
              <w:rPr>
                <w:rFonts w:cs="Arial"/>
              </w:rPr>
              <w:t xml:space="preserve">0,4 </w:t>
            </w:r>
            <w:proofErr w:type="spellStart"/>
            <w:proofErr w:type="gramStart"/>
            <w:r>
              <w:rPr>
                <w:rFonts w:cs="Arial"/>
              </w:rPr>
              <w:t>p.b</w:t>
            </w:r>
            <w:proofErr w:type="spellEnd"/>
            <w:r>
              <w:rPr>
                <w:rFonts w:cs="Arial"/>
              </w:rPr>
              <w:t>. (za</w:t>
            </w:r>
            <w:proofErr w:type="gramEnd"/>
            <w:r>
              <w:rPr>
                <w:rFonts w:cs="Arial"/>
              </w:rPr>
              <w:t xml:space="preserve"> současného zrychlení růstu HDP o 1 </w:t>
            </w:r>
            <w:proofErr w:type="spellStart"/>
            <w:r>
              <w:rPr>
                <w:rFonts w:cs="Arial"/>
              </w:rPr>
              <w:t>p.b</w:t>
            </w:r>
            <w:proofErr w:type="spellEnd"/>
            <w:r>
              <w:rPr>
                <w:rFonts w:cs="Arial"/>
              </w:rPr>
              <w:t xml:space="preserve">.). Chybějící příspěvek spotřeby domácností byl částečně nahrazen růstem vládní spotřeby. Její příspěvek k růstu HDP dosáhl 0,5 </w:t>
            </w:r>
            <w:proofErr w:type="spellStart"/>
            <w:proofErr w:type="gramStart"/>
            <w:r>
              <w:rPr>
                <w:rFonts w:cs="Arial"/>
              </w:rPr>
              <w:t>p.b</w:t>
            </w:r>
            <w:proofErr w:type="spellEnd"/>
            <w:r>
              <w:rPr>
                <w:rFonts w:cs="Arial"/>
              </w:rPr>
              <w:t>.</w:t>
            </w:r>
            <w:proofErr w:type="gramEnd"/>
            <w:r>
              <w:rPr>
                <w:rFonts w:cs="Arial"/>
              </w:rPr>
              <w:t xml:space="preserve"> Klíčovou roli v posílení hospodářského růstu měla bilance zahraničního obchodu. Její příspěvek k růstu v 1. čtvrtletí 2017 činil 1,7 </w:t>
            </w:r>
            <w:proofErr w:type="spellStart"/>
            <w:proofErr w:type="gramStart"/>
            <w:r>
              <w:rPr>
                <w:rFonts w:cs="Arial"/>
              </w:rPr>
              <w:t>p.b</w:t>
            </w:r>
            <w:proofErr w:type="spellEnd"/>
            <w:r>
              <w:rPr>
                <w:rFonts w:cs="Arial"/>
              </w:rPr>
              <w:t>.</w:t>
            </w:r>
            <w:proofErr w:type="gramEnd"/>
            <w:r>
              <w:rPr>
                <w:rFonts w:cs="Arial"/>
              </w:rPr>
              <w:t xml:space="preserve"> Výdaje na tvorbu hrubého fixního kapitálu, které výrazně brzdily růst v minulých třech čtvrtletích, meziročně opět klesly, propad se však zmírnil. Jejich příspěvek k růstu HDP činil -0,2 </w:t>
            </w:r>
            <w:proofErr w:type="spellStart"/>
            <w:proofErr w:type="gramStart"/>
            <w:r>
              <w:rPr>
                <w:rFonts w:cs="Arial"/>
              </w:rPr>
              <w:t>p.b</w:t>
            </w:r>
            <w:proofErr w:type="spellEnd"/>
            <w:r>
              <w:rPr>
                <w:rFonts w:cs="Arial"/>
              </w:rPr>
              <w:t>.</w:t>
            </w:r>
            <w:proofErr w:type="gramEnd"/>
            <w:r>
              <w:rPr>
                <w:rFonts w:cs="Arial"/>
              </w:rPr>
              <w:t xml:space="preserve"> V meziročním srovnání se totiž projevila vyšší srovnávací základna 1. čtvrtletí 2016, ve kterém ještě doznívalo dočerpávání evropských dotací z minulého programového období. </w:t>
            </w:r>
          </w:p>
          <w:p w:rsidR="000C60D8" w:rsidRPr="000367FE" w:rsidRDefault="000C60D8" w:rsidP="00134DFD">
            <w:pPr>
              <w:pStyle w:val="Textpoznpodarou"/>
              <w:jc w:val="both"/>
              <w:rPr>
                <w:rFonts w:cs="Arial"/>
                <w:sz w:val="16"/>
                <w:szCs w:val="16"/>
                <w:highlight w:val="yellow"/>
              </w:rPr>
            </w:pPr>
          </w:p>
        </w:tc>
      </w:tr>
      <w:tr w:rsidR="00A6766C" w:rsidRPr="00A6766C" w:rsidTr="008F1638">
        <w:tc>
          <w:tcPr>
            <w:tcW w:w="1007" w:type="pct"/>
          </w:tcPr>
          <w:p w:rsidR="00A6766C" w:rsidRPr="005E2AB2" w:rsidRDefault="00A6766C" w:rsidP="00B25E31">
            <w:pPr>
              <w:spacing w:line="240" w:lineRule="auto"/>
              <w:rPr>
                <w:rFonts w:cs="Arial"/>
                <w:sz w:val="16"/>
                <w:szCs w:val="16"/>
              </w:rPr>
            </w:pPr>
            <w:r>
              <w:rPr>
                <w:rFonts w:cs="Arial"/>
                <w:sz w:val="16"/>
                <w:szCs w:val="16"/>
              </w:rPr>
              <w:t>Výdaje na spotřebu domácností rostly i</w:t>
            </w:r>
            <w:r w:rsidR="00B25E31">
              <w:rPr>
                <w:rFonts w:cs="Arial"/>
                <w:sz w:val="16"/>
                <w:szCs w:val="16"/>
              </w:rPr>
              <w:t> </w:t>
            </w:r>
            <w:r>
              <w:rPr>
                <w:rFonts w:cs="Arial"/>
                <w:sz w:val="16"/>
                <w:szCs w:val="16"/>
              </w:rPr>
              <w:t>v 1.</w:t>
            </w:r>
            <w:r w:rsidR="007240C5">
              <w:rPr>
                <w:rFonts w:cs="Arial"/>
                <w:sz w:val="16"/>
                <w:szCs w:val="16"/>
              </w:rPr>
              <w:t> </w:t>
            </w:r>
            <w:r>
              <w:rPr>
                <w:rFonts w:cs="Arial"/>
                <w:sz w:val="16"/>
                <w:szCs w:val="16"/>
              </w:rPr>
              <w:t>čtvrtletí a výrazně táhly růst HDP.</w:t>
            </w:r>
          </w:p>
        </w:tc>
        <w:tc>
          <w:tcPr>
            <w:tcW w:w="144" w:type="pct"/>
          </w:tcPr>
          <w:p w:rsidR="00A6766C" w:rsidRPr="005E2AB2" w:rsidRDefault="00A6766C" w:rsidP="00134DFD">
            <w:pPr>
              <w:pStyle w:val="Textpoznpodarou"/>
              <w:jc w:val="both"/>
              <w:rPr>
                <w:rFonts w:cs="Arial"/>
              </w:rPr>
            </w:pPr>
          </w:p>
        </w:tc>
        <w:tc>
          <w:tcPr>
            <w:tcW w:w="3849" w:type="pct"/>
            <w:gridSpan w:val="3"/>
          </w:tcPr>
          <w:p w:rsidR="00A6766C" w:rsidRDefault="00A6766C" w:rsidP="00134DFD">
            <w:pPr>
              <w:pStyle w:val="Textpoznpodarou"/>
              <w:jc w:val="both"/>
              <w:rPr>
                <w:rFonts w:cs="Arial"/>
                <w:sz w:val="16"/>
                <w:szCs w:val="16"/>
              </w:rPr>
            </w:pPr>
            <w:r w:rsidRPr="00393007">
              <w:rPr>
                <w:rFonts w:cs="Arial"/>
              </w:rPr>
              <w:t>Výdaje na konečnou spotřebu domácností v 1. čtvrtletí roku 2017 vzrostly o</w:t>
            </w:r>
            <w:r w:rsidR="00CB2B15">
              <w:rPr>
                <w:rFonts w:cs="Arial"/>
              </w:rPr>
              <w:t> </w:t>
            </w:r>
            <w:r>
              <w:rPr>
                <w:rFonts w:cs="Arial"/>
              </w:rPr>
              <w:t>2</w:t>
            </w:r>
            <w:r w:rsidRPr="00393007">
              <w:rPr>
                <w:rFonts w:cs="Arial"/>
              </w:rPr>
              <w:t>,</w:t>
            </w:r>
            <w:r>
              <w:rPr>
                <w:rFonts w:cs="Arial"/>
              </w:rPr>
              <w:t>8</w:t>
            </w:r>
            <w:r w:rsidR="00CB2B15">
              <w:rPr>
                <w:rFonts w:cs="Arial"/>
              </w:rPr>
              <w:t> </w:t>
            </w:r>
            <w:r w:rsidRPr="00393007">
              <w:rPr>
                <w:rFonts w:cs="Arial"/>
              </w:rPr>
              <w:t>%</w:t>
            </w:r>
            <w:r>
              <w:rPr>
                <w:rFonts w:cs="Arial"/>
              </w:rPr>
              <w:t>. Po mírném zpomalení v minulém čtvrtletí se opět zrychlilo meziroční tempo růstu výdajů na spotřebu předmětů dlouhodobé spotřeby na 6,6 % (domácí pojetí, bez</w:t>
            </w:r>
            <w:r w:rsidR="006260B8">
              <w:rPr>
                <w:rFonts w:cs="Arial"/>
              </w:rPr>
              <w:t> </w:t>
            </w:r>
            <w:r>
              <w:rPr>
                <w:rFonts w:cs="Arial"/>
              </w:rPr>
              <w:t>sezónního očištění). Předměty střednědobé spotřeby, na něž domácnosti zvýšily výdaje v závěru minulého roku, si udržely poměrně silné tempo růstu i</w:t>
            </w:r>
            <w:r w:rsidR="006260B8">
              <w:rPr>
                <w:rFonts w:cs="Arial"/>
              </w:rPr>
              <w:t> </w:t>
            </w:r>
            <w:r>
              <w:rPr>
                <w:rFonts w:cs="Arial"/>
              </w:rPr>
              <w:t>v 1.</w:t>
            </w:r>
            <w:r w:rsidR="006260B8">
              <w:rPr>
                <w:rFonts w:cs="Arial"/>
              </w:rPr>
              <w:t> </w:t>
            </w:r>
            <w:r>
              <w:rPr>
                <w:rFonts w:cs="Arial"/>
              </w:rPr>
              <w:t>čtvrtletí (6,2 %). Největší podíl na spotřebě domácností mají však předměty krátkodobé spotřeby. Výdaje na ně vzrostly o 3,4 %.</w:t>
            </w:r>
          </w:p>
          <w:p w:rsidR="00A6766C" w:rsidRPr="006805C3" w:rsidRDefault="00A6766C" w:rsidP="00134DFD">
            <w:pPr>
              <w:pStyle w:val="Textpoznpodarou"/>
              <w:jc w:val="both"/>
              <w:rPr>
                <w:rFonts w:cs="Arial"/>
                <w:sz w:val="16"/>
                <w:szCs w:val="16"/>
              </w:rPr>
            </w:pPr>
          </w:p>
        </w:tc>
      </w:tr>
      <w:tr w:rsidR="00A6766C" w:rsidRPr="00A74192" w:rsidTr="008F1638">
        <w:tc>
          <w:tcPr>
            <w:tcW w:w="1007" w:type="pct"/>
          </w:tcPr>
          <w:p w:rsidR="00A6766C" w:rsidRDefault="00A6766C" w:rsidP="00134DFD">
            <w:pPr>
              <w:spacing w:line="240" w:lineRule="auto"/>
              <w:rPr>
                <w:rFonts w:cs="Arial"/>
                <w:sz w:val="16"/>
                <w:szCs w:val="16"/>
              </w:rPr>
            </w:pPr>
            <w:r>
              <w:rPr>
                <w:rFonts w:cs="Arial"/>
                <w:sz w:val="16"/>
                <w:szCs w:val="16"/>
              </w:rPr>
              <w:t>Zrychlil se růst objemu vyplacených mezd a</w:t>
            </w:r>
            <w:r w:rsidR="00B25E31">
              <w:rPr>
                <w:rFonts w:cs="Arial"/>
                <w:sz w:val="16"/>
                <w:szCs w:val="16"/>
              </w:rPr>
              <w:t> </w:t>
            </w:r>
            <w:r>
              <w:rPr>
                <w:rFonts w:cs="Arial"/>
                <w:sz w:val="16"/>
                <w:szCs w:val="16"/>
              </w:rPr>
              <w:t xml:space="preserve">platů. </w:t>
            </w:r>
          </w:p>
          <w:p w:rsidR="00A6766C" w:rsidRPr="005E2AB2" w:rsidRDefault="00A6766C" w:rsidP="00134DFD">
            <w:pPr>
              <w:spacing w:line="240" w:lineRule="auto"/>
              <w:rPr>
                <w:rFonts w:cs="Arial"/>
                <w:sz w:val="16"/>
                <w:szCs w:val="16"/>
              </w:rPr>
            </w:pPr>
            <w:r>
              <w:rPr>
                <w:rFonts w:cs="Arial"/>
                <w:sz w:val="16"/>
                <w:szCs w:val="16"/>
              </w:rPr>
              <w:t>Výrazně se na tom podepsal zpracovatelský průmysl.</w:t>
            </w:r>
          </w:p>
        </w:tc>
        <w:tc>
          <w:tcPr>
            <w:tcW w:w="144" w:type="pct"/>
          </w:tcPr>
          <w:p w:rsidR="00A6766C" w:rsidRPr="005E2AB2" w:rsidRDefault="00A6766C" w:rsidP="00134DFD">
            <w:pPr>
              <w:pStyle w:val="Textpoznpodarou"/>
              <w:jc w:val="both"/>
              <w:rPr>
                <w:rFonts w:cs="Arial"/>
              </w:rPr>
            </w:pPr>
          </w:p>
        </w:tc>
        <w:tc>
          <w:tcPr>
            <w:tcW w:w="3849" w:type="pct"/>
            <w:gridSpan w:val="3"/>
          </w:tcPr>
          <w:p w:rsidR="00A6766C" w:rsidRDefault="00A6766C" w:rsidP="00134DFD">
            <w:pPr>
              <w:pStyle w:val="Textpoznpodarou"/>
              <w:jc w:val="both"/>
              <w:rPr>
                <w:rFonts w:cs="Arial"/>
                <w:sz w:val="16"/>
                <w:szCs w:val="16"/>
              </w:rPr>
            </w:pPr>
            <w:r w:rsidRPr="002D4329">
              <w:rPr>
                <w:rFonts w:cs="Arial"/>
              </w:rPr>
              <w:t>Objem vyplacených mezd a</w:t>
            </w:r>
            <w:r w:rsidR="00CB2B15">
              <w:rPr>
                <w:rFonts w:cs="Arial"/>
              </w:rPr>
              <w:t> </w:t>
            </w:r>
            <w:r w:rsidRPr="002D4329">
              <w:rPr>
                <w:rFonts w:cs="Arial"/>
              </w:rPr>
              <w:t xml:space="preserve">platů v 1. čtvrtletí </w:t>
            </w:r>
            <w:r>
              <w:rPr>
                <w:rFonts w:cs="Arial"/>
              </w:rPr>
              <w:t xml:space="preserve">meziročně </w:t>
            </w:r>
            <w:r w:rsidRPr="002D4329">
              <w:rPr>
                <w:rFonts w:cs="Arial"/>
              </w:rPr>
              <w:t>vzrostl o 6,7 % a</w:t>
            </w:r>
            <w:r w:rsidR="006260B8">
              <w:rPr>
                <w:rFonts w:cs="Arial"/>
              </w:rPr>
              <w:t> </w:t>
            </w:r>
            <w:r w:rsidRPr="002D4329">
              <w:rPr>
                <w:rFonts w:cs="Arial"/>
              </w:rPr>
              <w:t>na</w:t>
            </w:r>
            <w:r w:rsidR="006260B8">
              <w:rPr>
                <w:rFonts w:cs="Arial"/>
              </w:rPr>
              <w:t> </w:t>
            </w:r>
            <w:r w:rsidRPr="002D4329">
              <w:rPr>
                <w:rFonts w:cs="Arial"/>
              </w:rPr>
              <w:t>zrychlujícím se tempu růstu se neprojevila ani vysoká srovnávací základna minulého roku.</w:t>
            </w:r>
            <w:r>
              <w:rPr>
                <w:rFonts w:cs="Arial"/>
              </w:rPr>
              <w:t xml:space="preserve"> Vzhledem k meziročnímu nárůstu celkové zaměstnanosti o 1,5 %</w:t>
            </w:r>
            <w:r w:rsidR="005A61D1">
              <w:rPr>
                <w:rStyle w:val="Znakapoznpodarou"/>
              </w:rPr>
              <w:footnoteReference w:id="6"/>
            </w:r>
            <w:r>
              <w:rPr>
                <w:rFonts w:cs="Arial"/>
              </w:rPr>
              <w:t xml:space="preserve"> se nominální růst objemu vyplacených mezd přelil do nárůstu příjmů. V reálném vyjádření se objem mezd a</w:t>
            </w:r>
            <w:r w:rsidR="00CB2B15">
              <w:rPr>
                <w:rFonts w:cs="Arial"/>
              </w:rPr>
              <w:t> </w:t>
            </w:r>
            <w:r>
              <w:rPr>
                <w:rFonts w:cs="Arial"/>
              </w:rPr>
              <w:t>platů zvýšil o 3,8 %</w:t>
            </w:r>
            <w:r>
              <w:rPr>
                <w:rStyle w:val="Znakapoznpodarou"/>
              </w:rPr>
              <w:footnoteReference w:id="7"/>
            </w:r>
            <w:r w:rsidR="003F0293">
              <w:rPr>
                <w:rFonts w:cs="Arial"/>
              </w:rPr>
              <w:t>. Rozdíl mezi nominálním a </w:t>
            </w:r>
            <w:r>
              <w:rPr>
                <w:rFonts w:cs="Arial"/>
              </w:rPr>
              <w:t>reálným růstem byl tak nejvyšší od 4. čtvrtletí roku 2008. Na celkovém růstu mezd a platů se projevilo především zrychlení jejich tempa růstu ve</w:t>
            </w:r>
            <w:r w:rsidR="006260B8">
              <w:rPr>
                <w:rFonts w:cs="Arial"/>
              </w:rPr>
              <w:t> </w:t>
            </w:r>
            <w:r>
              <w:rPr>
                <w:rFonts w:cs="Arial"/>
              </w:rPr>
              <w:t>zpracovatelském průmyslu (6,9 %</w:t>
            </w:r>
            <w:r w:rsidR="007841BB">
              <w:rPr>
                <w:rFonts w:cs="Arial"/>
              </w:rPr>
              <w:t xml:space="preserve">, výrazně ovlivněno vyplácením mimořádných </w:t>
            </w:r>
            <w:r w:rsidR="007841BB">
              <w:rPr>
                <w:rFonts w:cs="Arial"/>
              </w:rPr>
              <w:lastRenderedPageBreak/>
              <w:t>bonusů v 1. čtvrtletí</w:t>
            </w:r>
            <w:r>
              <w:rPr>
                <w:rFonts w:cs="Arial"/>
              </w:rPr>
              <w:t>), který zaměstnává nejvíce osob. Výrazně narost</w:t>
            </w:r>
            <w:r w:rsidR="003F0293">
              <w:rPr>
                <w:rFonts w:cs="Arial"/>
              </w:rPr>
              <w:t>l objem vyplacených mezd v odvětví</w:t>
            </w:r>
            <w:r>
              <w:rPr>
                <w:rFonts w:cs="Arial"/>
              </w:rPr>
              <w:t xml:space="preserve"> informačních a komunikačních činností (9,8 % při</w:t>
            </w:r>
            <w:r w:rsidR="006260B8">
              <w:rPr>
                <w:rFonts w:cs="Arial"/>
              </w:rPr>
              <w:t> </w:t>
            </w:r>
            <w:r>
              <w:rPr>
                <w:rFonts w:cs="Arial"/>
              </w:rPr>
              <w:t>současném nárůstu zaměstnanosti o 4,3 %) i činn</w:t>
            </w:r>
            <w:r w:rsidR="003F0293">
              <w:rPr>
                <w:rFonts w:cs="Arial"/>
              </w:rPr>
              <w:t>ostí v oblasti nemovitostí (6,0 </w:t>
            </w:r>
            <w:r>
              <w:rPr>
                <w:rFonts w:cs="Arial"/>
              </w:rPr>
              <w:t xml:space="preserve">%). Pokračoval silný růst objemu vyplacených mezd a platů ve veřejné správě a obraně (7,2 %). </w:t>
            </w:r>
            <w:r w:rsidR="00CC7086">
              <w:rPr>
                <w:rFonts w:cs="Arial"/>
              </w:rPr>
              <w:t xml:space="preserve">Konjunktura ale i další faktory </w:t>
            </w:r>
            <w:r w:rsidR="003F0293">
              <w:rPr>
                <w:rFonts w:cs="Arial"/>
              </w:rPr>
              <w:t>se projevil</w:t>
            </w:r>
            <w:r w:rsidR="00CC7086">
              <w:rPr>
                <w:rFonts w:cs="Arial"/>
              </w:rPr>
              <w:t>y</w:t>
            </w:r>
            <w:r w:rsidR="003F0293">
              <w:rPr>
                <w:rFonts w:cs="Arial"/>
              </w:rPr>
              <w:t xml:space="preserve"> v odvětví</w:t>
            </w:r>
            <w:r>
              <w:rPr>
                <w:rFonts w:cs="Arial"/>
              </w:rPr>
              <w:t xml:space="preserve"> obchod, doprava, ubytování </w:t>
            </w:r>
            <w:r w:rsidRPr="00CB2B15">
              <w:t>a</w:t>
            </w:r>
            <w:r w:rsidR="00CB2B15">
              <w:t> </w:t>
            </w:r>
            <w:r w:rsidRPr="00CB2B15">
              <w:t>pohostinství</w:t>
            </w:r>
            <w:r>
              <w:rPr>
                <w:rFonts w:cs="Arial"/>
              </w:rPr>
              <w:t xml:space="preserve"> (6,6 %), část</w:t>
            </w:r>
            <w:r w:rsidR="003F0293">
              <w:rPr>
                <w:rFonts w:cs="Arial"/>
              </w:rPr>
              <w:t xml:space="preserve">ečně </w:t>
            </w:r>
            <w:r w:rsidR="00505493">
              <w:rPr>
                <w:rFonts w:cs="Arial"/>
              </w:rPr>
              <w:t xml:space="preserve">i </w:t>
            </w:r>
            <w:r w:rsidR="003F0293">
              <w:rPr>
                <w:rFonts w:cs="Arial"/>
              </w:rPr>
              <w:t>u zemědělství, lesnictví a </w:t>
            </w:r>
            <w:r>
              <w:rPr>
                <w:rFonts w:cs="Arial"/>
              </w:rPr>
              <w:t>rybářství (2,8 %). I</w:t>
            </w:r>
            <w:r w:rsidR="00CB2B15">
              <w:rPr>
                <w:rFonts w:cs="Arial"/>
              </w:rPr>
              <w:t> </w:t>
            </w:r>
            <w:r>
              <w:rPr>
                <w:rFonts w:cs="Arial"/>
              </w:rPr>
              <w:t>přes nepříznivou situaci ve stavebnictví zrychlil růst objem</w:t>
            </w:r>
            <w:r w:rsidR="003F0293">
              <w:rPr>
                <w:rFonts w:cs="Arial"/>
              </w:rPr>
              <w:t>u vyplacených mezd v tomto odvětví</w:t>
            </w:r>
            <w:r>
              <w:rPr>
                <w:rFonts w:cs="Arial"/>
              </w:rPr>
              <w:t xml:space="preserve"> o 2,8 %.</w:t>
            </w:r>
          </w:p>
          <w:p w:rsidR="00A6766C" w:rsidRPr="004207AD" w:rsidRDefault="00A6766C" w:rsidP="00134DFD">
            <w:pPr>
              <w:pStyle w:val="Textpoznpodarou"/>
              <w:jc w:val="both"/>
              <w:rPr>
                <w:rFonts w:cs="Arial"/>
                <w:sz w:val="16"/>
                <w:szCs w:val="16"/>
                <w:highlight w:val="yellow"/>
              </w:rPr>
            </w:pPr>
          </w:p>
        </w:tc>
      </w:tr>
      <w:tr w:rsidR="00A6766C" w:rsidRPr="00A74192" w:rsidTr="008F1638">
        <w:tc>
          <w:tcPr>
            <w:tcW w:w="1007" w:type="pct"/>
          </w:tcPr>
          <w:p w:rsidR="00A6766C" w:rsidRPr="005E2AB2" w:rsidRDefault="00A6766C" w:rsidP="00134DFD">
            <w:pPr>
              <w:spacing w:line="240" w:lineRule="auto"/>
              <w:rPr>
                <w:rFonts w:cs="Arial"/>
                <w:sz w:val="16"/>
                <w:szCs w:val="16"/>
              </w:rPr>
            </w:pPr>
            <w:r>
              <w:rPr>
                <w:rFonts w:cs="Arial"/>
                <w:sz w:val="16"/>
                <w:szCs w:val="16"/>
              </w:rPr>
              <w:lastRenderedPageBreak/>
              <w:t>Výdaje na spotřebu vládních institucí po dvou čtvrtletích stagnace opět vzrostly.</w:t>
            </w:r>
          </w:p>
        </w:tc>
        <w:tc>
          <w:tcPr>
            <w:tcW w:w="144" w:type="pct"/>
          </w:tcPr>
          <w:p w:rsidR="00A6766C" w:rsidRPr="005E2AB2" w:rsidRDefault="00A6766C" w:rsidP="00134DFD">
            <w:pPr>
              <w:pStyle w:val="Textpoznpodarou"/>
              <w:jc w:val="both"/>
              <w:rPr>
                <w:rFonts w:cs="Arial"/>
              </w:rPr>
            </w:pPr>
          </w:p>
        </w:tc>
        <w:tc>
          <w:tcPr>
            <w:tcW w:w="3849" w:type="pct"/>
            <w:gridSpan w:val="3"/>
          </w:tcPr>
          <w:p w:rsidR="00A6766C" w:rsidRPr="00365E26" w:rsidRDefault="00A6766C" w:rsidP="00134DFD">
            <w:pPr>
              <w:pStyle w:val="Textpoznpodarou"/>
              <w:jc w:val="both"/>
              <w:rPr>
                <w:rFonts w:cs="Arial"/>
                <w:spacing w:val="-4"/>
                <w:sz w:val="16"/>
                <w:szCs w:val="16"/>
              </w:rPr>
            </w:pPr>
            <w:r w:rsidRPr="00365E26">
              <w:rPr>
                <w:rFonts w:cs="Arial"/>
                <w:spacing w:val="-4"/>
              </w:rPr>
              <w:t>Po útlumu v minulém půlroce (0,8 % a 0,1 % ve 3. a 4. čtvrtletí) se opět zrychlilo meziroční tempo růstu výdajů na spotřebu vládních institucí</w:t>
            </w:r>
            <w:r w:rsidR="00AF6B7C" w:rsidRPr="00365E26">
              <w:rPr>
                <w:rFonts w:cs="Arial"/>
                <w:spacing w:val="-4"/>
              </w:rPr>
              <w:t xml:space="preserve"> (</w:t>
            </w:r>
            <w:r w:rsidRPr="00365E26">
              <w:rPr>
                <w:rFonts w:cs="Arial"/>
                <w:spacing w:val="-4"/>
              </w:rPr>
              <w:t>dosáhlo 2,4 %</w:t>
            </w:r>
            <w:r w:rsidR="00AF6B7C" w:rsidRPr="00365E26">
              <w:rPr>
                <w:rFonts w:cs="Arial"/>
                <w:spacing w:val="-4"/>
              </w:rPr>
              <w:t>)</w:t>
            </w:r>
            <w:r w:rsidRPr="00365E26">
              <w:rPr>
                <w:rFonts w:cs="Arial"/>
                <w:spacing w:val="-4"/>
              </w:rPr>
              <w:t>. Mezičtvrtletní nárůst činil 1,4 %, což je netypické pro 1. čtvrtletí. Obvykle v tomto kvartálu vládní výdaje stagnují. Naposledy podobně silně rostly v 1. čtvrtletí roku 2013.</w:t>
            </w:r>
          </w:p>
          <w:p w:rsidR="00A6766C" w:rsidRPr="00A6766C" w:rsidRDefault="00A6766C" w:rsidP="00A6766C">
            <w:pPr>
              <w:pStyle w:val="Textpoznpodarou"/>
              <w:jc w:val="right"/>
              <w:rPr>
                <w:rFonts w:cs="Arial"/>
                <w:sz w:val="18"/>
                <w:szCs w:val="18"/>
                <w:highlight w:val="yellow"/>
              </w:rPr>
            </w:pPr>
          </w:p>
        </w:tc>
      </w:tr>
      <w:tr w:rsidR="00FC6DB5" w:rsidRPr="00A74192" w:rsidTr="008F1638">
        <w:tc>
          <w:tcPr>
            <w:tcW w:w="1007" w:type="pct"/>
          </w:tcPr>
          <w:p w:rsidR="00FC6DB5" w:rsidRPr="005E2AB2" w:rsidRDefault="00FC6DB5" w:rsidP="00A6766C">
            <w:pPr>
              <w:spacing w:line="240" w:lineRule="auto"/>
              <w:jc w:val="center"/>
              <w:rPr>
                <w:rFonts w:cs="Arial"/>
                <w:sz w:val="16"/>
                <w:szCs w:val="16"/>
              </w:rPr>
            </w:pPr>
          </w:p>
        </w:tc>
        <w:tc>
          <w:tcPr>
            <w:tcW w:w="144" w:type="pct"/>
          </w:tcPr>
          <w:p w:rsidR="00FC6DB5" w:rsidRPr="005E2AB2" w:rsidRDefault="00FC6DB5" w:rsidP="00134DFD">
            <w:pPr>
              <w:pStyle w:val="Textpoznpodarou"/>
              <w:jc w:val="both"/>
              <w:rPr>
                <w:rFonts w:cs="Arial"/>
              </w:rPr>
            </w:pPr>
          </w:p>
        </w:tc>
        <w:tc>
          <w:tcPr>
            <w:tcW w:w="575" w:type="pct"/>
          </w:tcPr>
          <w:p w:rsidR="00FC6DB5" w:rsidRPr="005E2AB2" w:rsidRDefault="00FC6DB5" w:rsidP="000F5598">
            <w:pPr>
              <w:pStyle w:val="Textpoznpodarou"/>
              <w:rPr>
                <w:rFonts w:cs="Arial"/>
                <w:lang w:eastAsia="en-US"/>
              </w:rPr>
            </w:pPr>
            <w:r w:rsidRPr="005E2AB2">
              <w:rPr>
                <w:rFonts w:cs="Arial"/>
                <w:lang w:eastAsia="en-US"/>
              </w:rPr>
              <w:t>Graf č. 3</w:t>
            </w:r>
          </w:p>
        </w:tc>
        <w:tc>
          <w:tcPr>
            <w:tcW w:w="3274" w:type="pct"/>
            <w:gridSpan w:val="2"/>
          </w:tcPr>
          <w:p w:rsidR="00505493" w:rsidRDefault="00FC6DB5" w:rsidP="005A61D1">
            <w:pPr>
              <w:pStyle w:val="Textpoznpodarou"/>
              <w:rPr>
                <w:rFonts w:cs="Arial"/>
                <w:lang w:eastAsia="en-US"/>
              </w:rPr>
            </w:pPr>
            <w:r w:rsidRPr="005E2AB2">
              <w:rPr>
                <w:rFonts w:cs="Arial"/>
                <w:b/>
                <w:lang w:eastAsia="en-US"/>
              </w:rPr>
              <w:t>Příspěvky výdajových složek k</w:t>
            </w:r>
            <w:r w:rsidR="005A61D1">
              <w:rPr>
                <w:rFonts w:cs="Arial"/>
                <w:b/>
                <w:lang w:eastAsia="en-US"/>
              </w:rPr>
              <w:t xml:space="preserve"> reálné</w:t>
            </w:r>
            <w:r w:rsidRPr="005E2AB2">
              <w:rPr>
                <w:rFonts w:cs="Arial"/>
                <w:b/>
                <w:lang w:eastAsia="en-US"/>
              </w:rPr>
              <w:t> změně HDP*</w:t>
            </w:r>
            <w:r w:rsidRPr="005E2AB2">
              <w:rPr>
                <w:rFonts w:cs="Arial"/>
                <w:lang w:eastAsia="en-US"/>
              </w:rPr>
              <w:t xml:space="preserve"> </w:t>
            </w:r>
          </w:p>
          <w:p w:rsidR="00FC6DB5" w:rsidRPr="005E2AB2" w:rsidRDefault="00FC6DB5" w:rsidP="005A61D1">
            <w:pPr>
              <w:pStyle w:val="Textpoznpodarou"/>
              <w:rPr>
                <w:rFonts w:cs="Arial"/>
                <w:lang w:eastAsia="en-US"/>
              </w:rPr>
            </w:pPr>
            <w:r w:rsidRPr="005E2AB2">
              <w:rPr>
                <w:rFonts w:cs="Arial"/>
                <w:lang w:eastAsia="en-US"/>
              </w:rPr>
              <w:t>(</w:t>
            </w:r>
            <w:r w:rsidR="005A61D1">
              <w:rPr>
                <w:rFonts w:cs="Arial"/>
                <w:lang w:eastAsia="en-US"/>
              </w:rPr>
              <w:t>objemové indexy</w:t>
            </w:r>
            <w:r w:rsidRPr="005E2AB2">
              <w:rPr>
                <w:rFonts w:cs="Arial"/>
                <w:lang w:eastAsia="en-US"/>
              </w:rPr>
              <w:t xml:space="preserve">, </w:t>
            </w:r>
            <w:r>
              <w:rPr>
                <w:rFonts w:cs="Arial"/>
                <w:lang w:eastAsia="en-US"/>
              </w:rPr>
              <w:t xml:space="preserve">meziroční růst, </w:t>
            </w:r>
            <w:r w:rsidRPr="005E2AB2">
              <w:rPr>
                <w:rFonts w:cs="Arial"/>
                <w:lang w:eastAsia="en-US"/>
              </w:rPr>
              <w:t>příspěvky v </w:t>
            </w:r>
            <w:proofErr w:type="spellStart"/>
            <w:proofErr w:type="gramStart"/>
            <w:r w:rsidRPr="005E2AB2">
              <w:rPr>
                <w:rFonts w:cs="Arial"/>
                <w:lang w:eastAsia="en-US"/>
              </w:rPr>
              <w:t>p.b</w:t>
            </w:r>
            <w:proofErr w:type="spellEnd"/>
            <w:r w:rsidRPr="005E2AB2">
              <w:rPr>
                <w:rFonts w:cs="Arial"/>
                <w:lang w:eastAsia="en-US"/>
              </w:rPr>
              <w:t>., HDP</w:t>
            </w:r>
            <w:proofErr w:type="gramEnd"/>
            <w:r w:rsidRPr="005E2AB2">
              <w:rPr>
                <w:rFonts w:cs="Arial"/>
                <w:lang w:eastAsia="en-US"/>
              </w:rPr>
              <w:t xml:space="preserve"> v %)</w:t>
            </w:r>
          </w:p>
        </w:tc>
      </w:tr>
      <w:tr w:rsidR="00FC6DB5" w:rsidRPr="00A74192" w:rsidTr="008F1638">
        <w:tc>
          <w:tcPr>
            <w:tcW w:w="1007" w:type="pct"/>
          </w:tcPr>
          <w:p w:rsidR="00FC6DB5" w:rsidRPr="005E2AB2" w:rsidRDefault="00FC6DB5" w:rsidP="00A9497A">
            <w:pPr>
              <w:spacing w:line="240" w:lineRule="auto"/>
              <w:rPr>
                <w:rFonts w:cs="Arial"/>
                <w:sz w:val="16"/>
                <w:szCs w:val="16"/>
              </w:rPr>
            </w:pPr>
          </w:p>
        </w:tc>
        <w:tc>
          <w:tcPr>
            <w:tcW w:w="144" w:type="pct"/>
          </w:tcPr>
          <w:p w:rsidR="00FC6DB5" w:rsidRPr="00A74192" w:rsidRDefault="00FC6DB5" w:rsidP="00D94859">
            <w:pPr>
              <w:pStyle w:val="Textpoznpodarou"/>
              <w:jc w:val="both"/>
              <w:rPr>
                <w:rFonts w:cs="Arial"/>
              </w:rPr>
            </w:pPr>
          </w:p>
        </w:tc>
        <w:tc>
          <w:tcPr>
            <w:tcW w:w="3849" w:type="pct"/>
            <w:gridSpan w:val="3"/>
          </w:tcPr>
          <w:p w:rsidR="00FC6DB5" w:rsidRPr="00E60FCE" w:rsidRDefault="00CC7086" w:rsidP="002C63C1">
            <w:pPr>
              <w:pStyle w:val="Textpoznpodarou"/>
              <w:ind w:left="-95"/>
              <w:jc w:val="both"/>
              <w:rPr>
                <w:rFonts w:cs="Arial"/>
                <w:sz w:val="14"/>
                <w:szCs w:val="14"/>
                <w:highlight w:val="yellow"/>
              </w:rPr>
            </w:pPr>
            <w:r w:rsidRPr="00CC7086">
              <w:rPr>
                <w:rFonts w:cs="Arial"/>
                <w:noProof/>
                <w:sz w:val="14"/>
                <w:szCs w:val="14"/>
              </w:rPr>
              <w:drawing>
                <wp:inline distT="0" distB="0" distL="0" distR="0">
                  <wp:extent cx="4737600" cy="3553200"/>
                  <wp:effectExtent l="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C6DB5" w:rsidRPr="00A74192" w:rsidTr="008F1638">
        <w:tc>
          <w:tcPr>
            <w:tcW w:w="1007" w:type="pct"/>
          </w:tcPr>
          <w:p w:rsidR="00FC6DB5" w:rsidRPr="005E2AB2" w:rsidRDefault="00FC6DB5" w:rsidP="00A9497A">
            <w:pPr>
              <w:spacing w:line="240" w:lineRule="auto"/>
              <w:rPr>
                <w:rFonts w:cs="Arial"/>
                <w:sz w:val="16"/>
                <w:szCs w:val="16"/>
              </w:rPr>
            </w:pPr>
          </w:p>
        </w:tc>
        <w:tc>
          <w:tcPr>
            <w:tcW w:w="144" w:type="pct"/>
          </w:tcPr>
          <w:p w:rsidR="00FC6DB5" w:rsidRPr="00A74192" w:rsidRDefault="00FC6DB5" w:rsidP="00D94859">
            <w:pPr>
              <w:pStyle w:val="Textpoznpodarou"/>
              <w:jc w:val="both"/>
              <w:rPr>
                <w:rFonts w:cs="Arial"/>
              </w:rPr>
            </w:pPr>
          </w:p>
        </w:tc>
        <w:tc>
          <w:tcPr>
            <w:tcW w:w="3165" w:type="pct"/>
            <w:gridSpan w:val="2"/>
          </w:tcPr>
          <w:p w:rsidR="00FC6DB5" w:rsidRPr="007841BB" w:rsidRDefault="00816A28" w:rsidP="00A9497A">
            <w:pPr>
              <w:pStyle w:val="Textpoznpodarou"/>
              <w:jc w:val="both"/>
              <w:rPr>
                <w:rFonts w:cs="Arial"/>
                <w:sz w:val="14"/>
                <w:szCs w:val="14"/>
              </w:rPr>
            </w:pPr>
            <w:r>
              <w:rPr>
                <w:rFonts w:cs="Arial"/>
                <w:sz w:val="14"/>
                <w:szCs w:val="14"/>
                <w:lang w:eastAsia="en-US"/>
              </w:rPr>
              <w:t>*P</w:t>
            </w:r>
            <w:r w:rsidR="00FC6DB5" w:rsidRPr="007841BB">
              <w:rPr>
                <w:rFonts w:cs="Arial"/>
                <w:sz w:val="14"/>
                <w:szCs w:val="14"/>
                <w:lang w:eastAsia="en-US"/>
              </w:rPr>
              <w:t>říspěvky ke změně HDP po vyloučení dovozu pro konečné užití</w:t>
            </w:r>
          </w:p>
        </w:tc>
        <w:tc>
          <w:tcPr>
            <w:tcW w:w="684" w:type="pct"/>
          </w:tcPr>
          <w:p w:rsidR="00FC6DB5" w:rsidRPr="007841BB" w:rsidRDefault="00FC6DB5" w:rsidP="002C63C1">
            <w:pPr>
              <w:pStyle w:val="Textpoznpodarou"/>
              <w:jc w:val="right"/>
              <w:rPr>
                <w:rFonts w:cs="Arial"/>
                <w:sz w:val="14"/>
                <w:szCs w:val="14"/>
              </w:rPr>
            </w:pPr>
            <w:r w:rsidRPr="007841BB">
              <w:rPr>
                <w:rFonts w:cs="Arial"/>
                <w:sz w:val="14"/>
                <w:szCs w:val="14"/>
              </w:rPr>
              <w:t>Zdroj: ČSÚ</w:t>
            </w:r>
          </w:p>
          <w:p w:rsidR="00FC6DB5" w:rsidRPr="007841BB" w:rsidRDefault="00FC6DB5" w:rsidP="002C63C1">
            <w:pPr>
              <w:pStyle w:val="Textpoznpodarou"/>
              <w:jc w:val="right"/>
              <w:rPr>
                <w:rFonts w:cs="Arial"/>
                <w:sz w:val="14"/>
                <w:szCs w:val="14"/>
              </w:rPr>
            </w:pPr>
          </w:p>
        </w:tc>
      </w:tr>
      <w:tr w:rsidR="00FC6DB5" w:rsidRPr="00A74192" w:rsidTr="008F1638">
        <w:tc>
          <w:tcPr>
            <w:tcW w:w="1007" w:type="pct"/>
          </w:tcPr>
          <w:p w:rsidR="00FC6DB5" w:rsidRPr="005E2AB2" w:rsidRDefault="00FC6DB5" w:rsidP="00B25E31">
            <w:pPr>
              <w:spacing w:line="240" w:lineRule="auto"/>
              <w:rPr>
                <w:rFonts w:cs="Arial"/>
                <w:sz w:val="16"/>
                <w:szCs w:val="16"/>
              </w:rPr>
            </w:pPr>
            <w:r>
              <w:rPr>
                <w:rFonts w:cs="Arial"/>
                <w:sz w:val="16"/>
                <w:szCs w:val="16"/>
              </w:rPr>
              <w:t>Meziroční propad výdajů na tvorbu hrubého fixního kapitálu se</w:t>
            </w:r>
            <w:r w:rsidR="00B25E31">
              <w:rPr>
                <w:rFonts w:cs="Arial"/>
                <w:sz w:val="16"/>
                <w:szCs w:val="16"/>
              </w:rPr>
              <w:t> </w:t>
            </w:r>
            <w:r>
              <w:rPr>
                <w:rFonts w:cs="Arial"/>
                <w:sz w:val="16"/>
                <w:szCs w:val="16"/>
              </w:rPr>
              <w:t>zmírňuje</w:t>
            </w:r>
          </w:p>
        </w:tc>
        <w:tc>
          <w:tcPr>
            <w:tcW w:w="144" w:type="pct"/>
          </w:tcPr>
          <w:p w:rsidR="00FC6DB5" w:rsidRPr="005E2AB2" w:rsidRDefault="00FC6DB5" w:rsidP="00134DFD">
            <w:pPr>
              <w:pStyle w:val="Textpoznpodarou"/>
              <w:jc w:val="both"/>
              <w:rPr>
                <w:rFonts w:cs="Arial"/>
              </w:rPr>
            </w:pPr>
          </w:p>
        </w:tc>
        <w:tc>
          <w:tcPr>
            <w:tcW w:w="3849" w:type="pct"/>
            <w:gridSpan w:val="3"/>
          </w:tcPr>
          <w:p w:rsidR="005A61D1" w:rsidRDefault="00FC6DB5" w:rsidP="005A61D1">
            <w:pPr>
              <w:pStyle w:val="Textpoznpodarou"/>
              <w:jc w:val="both"/>
              <w:rPr>
                <w:rFonts w:cs="Arial"/>
                <w:sz w:val="16"/>
                <w:szCs w:val="16"/>
              </w:rPr>
            </w:pPr>
            <w:r w:rsidRPr="00A65B13">
              <w:rPr>
                <w:rFonts w:cs="Arial"/>
              </w:rPr>
              <w:t xml:space="preserve">Výdaje na tvorbu hrubého fixního kapitálu </w:t>
            </w:r>
            <w:r w:rsidR="005A61D1">
              <w:rPr>
                <w:rFonts w:cs="Arial"/>
              </w:rPr>
              <w:t xml:space="preserve">byly </w:t>
            </w:r>
            <w:r w:rsidRPr="00A65B13">
              <w:rPr>
                <w:rFonts w:cs="Arial"/>
              </w:rPr>
              <w:t>v 1. čtvrtletí 2017</w:t>
            </w:r>
            <w:r w:rsidR="005A61D1">
              <w:rPr>
                <w:rFonts w:cs="Arial"/>
              </w:rPr>
              <w:t xml:space="preserve"> meziročně nižší </w:t>
            </w:r>
            <w:r>
              <w:rPr>
                <w:rFonts w:cs="Arial"/>
              </w:rPr>
              <w:t>o</w:t>
            </w:r>
            <w:r w:rsidR="006260B8">
              <w:rPr>
                <w:rFonts w:cs="Arial"/>
              </w:rPr>
              <w:t> </w:t>
            </w:r>
            <w:r>
              <w:rPr>
                <w:rFonts w:cs="Arial"/>
              </w:rPr>
              <w:t>0,6 %</w:t>
            </w:r>
            <w:r w:rsidRPr="00A65B13">
              <w:rPr>
                <w:rFonts w:cs="Arial"/>
              </w:rPr>
              <w:t>.</w:t>
            </w:r>
            <w:r>
              <w:rPr>
                <w:rFonts w:cs="Arial"/>
              </w:rPr>
              <w:t xml:space="preserve"> </w:t>
            </w:r>
            <w:r w:rsidR="005A61D1">
              <w:rPr>
                <w:rFonts w:cs="Arial"/>
              </w:rPr>
              <w:t>Propad, který začal ve 2. čtvrtletí 2016, se však zmírňoval a nyní se</w:t>
            </w:r>
            <w:r w:rsidR="006260B8">
              <w:rPr>
                <w:rFonts w:cs="Arial"/>
              </w:rPr>
              <w:t> </w:t>
            </w:r>
            <w:r w:rsidR="005A61D1">
              <w:rPr>
                <w:rFonts w:cs="Arial"/>
              </w:rPr>
              <w:t>do</w:t>
            </w:r>
            <w:r w:rsidR="006260B8">
              <w:rPr>
                <w:rFonts w:cs="Arial"/>
              </w:rPr>
              <w:t> </w:t>
            </w:r>
            <w:r w:rsidR="005A61D1">
              <w:rPr>
                <w:rFonts w:cs="Arial"/>
              </w:rPr>
              <w:t xml:space="preserve">meziročního nárůstu promítlo hlavně srovnání s 1. čtvrtletím minulého roku, ve kterém byla investiční aktivita ještě vysoká. To potvrzuje i </w:t>
            </w:r>
            <w:proofErr w:type="spellStart"/>
            <w:r w:rsidR="005A61D1">
              <w:rPr>
                <w:rFonts w:cs="Arial"/>
              </w:rPr>
              <w:t>mezičtvrtletní</w:t>
            </w:r>
            <w:proofErr w:type="spellEnd"/>
            <w:r w:rsidR="005A61D1">
              <w:rPr>
                <w:rFonts w:cs="Arial"/>
              </w:rPr>
              <w:t xml:space="preserve"> nárůst o</w:t>
            </w:r>
            <w:r w:rsidR="006260B8">
              <w:rPr>
                <w:rFonts w:cs="Arial"/>
              </w:rPr>
              <w:t> </w:t>
            </w:r>
            <w:r w:rsidR="005A61D1">
              <w:rPr>
                <w:rFonts w:cs="Arial"/>
              </w:rPr>
              <w:t xml:space="preserve">3,6 %. Z hlediska věcného členění tvorby hrubého fixního kapitálu pokračoval propad investic do ostatních staveb, které zahrnují velké infrastrukturní projekty (meziroční pokles o 10,7 %). </w:t>
            </w:r>
          </w:p>
          <w:p w:rsidR="00FC6DB5" w:rsidRPr="003E6D29" w:rsidRDefault="00FC6DB5" w:rsidP="00134DFD">
            <w:pPr>
              <w:pStyle w:val="Textpoznpodarou"/>
              <w:jc w:val="both"/>
              <w:rPr>
                <w:rFonts w:cs="Arial"/>
                <w:sz w:val="16"/>
                <w:szCs w:val="16"/>
              </w:rPr>
            </w:pPr>
          </w:p>
        </w:tc>
      </w:tr>
      <w:tr w:rsidR="00FC6DB5" w:rsidRPr="00A74192" w:rsidTr="008F1638">
        <w:tc>
          <w:tcPr>
            <w:tcW w:w="1007" w:type="pct"/>
          </w:tcPr>
          <w:p w:rsidR="00FC6DB5" w:rsidRPr="005E2AB2" w:rsidRDefault="00FC6DB5" w:rsidP="00B25E31">
            <w:pPr>
              <w:spacing w:line="240" w:lineRule="auto"/>
              <w:rPr>
                <w:rFonts w:cs="Arial"/>
                <w:sz w:val="16"/>
                <w:szCs w:val="16"/>
              </w:rPr>
            </w:pPr>
            <w:r>
              <w:rPr>
                <w:rFonts w:cs="Arial"/>
                <w:sz w:val="16"/>
                <w:szCs w:val="16"/>
              </w:rPr>
              <w:t>Vzrostly investice do ICT, ostatních strojů a</w:t>
            </w:r>
            <w:r w:rsidR="00B25E31">
              <w:rPr>
                <w:rFonts w:cs="Arial"/>
                <w:sz w:val="16"/>
                <w:szCs w:val="16"/>
              </w:rPr>
              <w:t> </w:t>
            </w:r>
            <w:r>
              <w:rPr>
                <w:rFonts w:cs="Arial"/>
                <w:sz w:val="16"/>
                <w:szCs w:val="16"/>
              </w:rPr>
              <w:t>zařízení a zbraňových systémů.</w:t>
            </w:r>
          </w:p>
        </w:tc>
        <w:tc>
          <w:tcPr>
            <w:tcW w:w="144" w:type="pct"/>
          </w:tcPr>
          <w:p w:rsidR="00FC6DB5" w:rsidRPr="005E2AB2" w:rsidRDefault="00FC6DB5" w:rsidP="00134DFD">
            <w:pPr>
              <w:pStyle w:val="Textpoznpodarou"/>
              <w:jc w:val="both"/>
              <w:rPr>
                <w:rFonts w:cs="Arial"/>
              </w:rPr>
            </w:pPr>
          </w:p>
        </w:tc>
        <w:tc>
          <w:tcPr>
            <w:tcW w:w="3849" w:type="pct"/>
            <w:gridSpan w:val="3"/>
          </w:tcPr>
          <w:p w:rsidR="00FC6DB5" w:rsidRDefault="00FC6DB5" w:rsidP="00134DFD">
            <w:pPr>
              <w:pStyle w:val="Textpoznpodarou"/>
              <w:jc w:val="both"/>
              <w:rPr>
                <w:rFonts w:cs="Arial"/>
                <w:sz w:val="16"/>
                <w:szCs w:val="16"/>
              </w:rPr>
            </w:pPr>
            <w:r w:rsidRPr="003E6D29">
              <w:rPr>
                <w:rFonts w:cs="Arial"/>
              </w:rPr>
              <w:t xml:space="preserve">Ostatní investiční kategorie si připsaly meziroční nárůsty. Důležité pro oživení investiční aktivity byly investice do </w:t>
            </w:r>
            <w:r>
              <w:rPr>
                <w:rFonts w:cs="Arial"/>
              </w:rPr>
              <w:t xml:space="preserve">kategorie </w:t>
            </w:r>
            <w:r w:rsidRPr="003E6D29">
              <w:rPr>
                <w:rFonts w:cs="Arial"/>
              </w:rPr>
              <w:t>ICT, ostatních strojů a zařízení a</w:t>
            </w:r>
            <w:r w:rsidR="00CB2B15">
              <w:rPr>
                <w:rFonts w:cs="Arial"/>
              </w:rPr>
              <w:t> </w:t>
            </w:r>
            <w:r w:rsidRPr="003E6D29">
              <w:rPr>
                <w:rFonts w:cs="Arial"/>
              </w:rPr>
              <w:t>zbraňových systém</w:t>
            </w:r>
            <w:r>
              <w:rPr>
                <w:rFonts w:cs="Arial"/>
              </w:rPr>
              <w:t>ů</w:t>
            </w:r>
            <w:r w:rsidRPr="003E6D29">
              <w:rPr>
                <w:rFonts w:cs="Arial"/>
              </w:rPr>
              <w:t>, které jsou objemově nejvyšší položkou a vzrostly v 1.</w:t>
            </w:r>
            <w:r w:rsidR="00CB2B15">
              <w:rPr>
                <w:rFonts w:cs="Arial"/>
              </w:rPr>
              <w:t> </w:t>
            </w:r>
            <w:r w:rsidRPr="003E6D29">
              <w:rPr>
                <w:rFonts w:cs="Arial"/>
              </w:rPr>
              <w:t>čtvrtletí o 6,9 %.</w:t>
            </w:r>
            <w:r>
              <w:rPr>
                <w:rFonts w:cs="Arial"/>
              </w:rPr>
              <w:t xml:space="preserve"> Zrychlilo již v minulém roce výrazné tempo růstu investic do</w:t>
            </w:r>
            <w:r w:rsidR="00CB2B15">
              <w:rPr>
                <w:rFonts w:cs="Arial"/>
              </w:rPr>
              <w:t> </w:t>
            </w:r>
            <w:r>
              <w:rPr>
                <w:rFonts w:cs="Arial"/>
              </w:rPr>
              <w:t>dopravních prostředků (16,6 %). Střídmější meziroční tempo růstu v porovnání s předchozím čtvrtletím měly investice do obydlí (4,6 %) a oslabil růst tvorby hrubého fixního kapitálu prostřednictvím produktů duševního vlastnictví (1,3 %).</w:t>
            </w:r>
          </w:p>
          <w:p w:rsidR="00FC6DB5" w:rsidRPr="00ED5FE7" w:rsidRDefault="00FC6DB5" w:rsidP="00134DFD">
            <w:pPr>
              <w:pStyle w:val="Textpoznpodarou"/>
              <w:jc w:val="both"/>
              <w:rPr>
                <w:rFonts w:cs="Arial"/>
                <w:sz w:val="16"/>
                <w:szCs w:val="16"/>
              </w:rPr>
            </w:pPr>
          </w:p>
        </w:tc>
      </w:tr>
      <w:tr w:rsidR="00FC6DB5" w:rsidRPr="00A74192" w:rsidTr="008F1638">
        <w:tc>
          <w:tcPr>
            <w:tcW w:w="1007" w:type="pct"/>
          </w:tcPr>
          <w:p w:rsidR="00FC6DB5" w:rsidRPr="005E2AB2" w:rsidRDefault="00FC6DB5" w:rsidP="00134DFD">
            <w:pPr>
              <w:spacing w:line="240" w:lineRule="auto"/>
              <w:rPr>
                <w:rFonts w:cs="Arial"/>
                <w:sz w:val="16"/>
                <w:szCs w:val="16"/>
              </w:rPr>
            </w:pPr>
            <w:r>
              <w:rPr>
                <w:rFonts w:cs="Arial"/>
                <w:sz w:val="16"/>
                <w:szCs w:val="16"/>
              </w:rPr>
              <w:t xml:space="preserve">Zahraničnímu obchodu se dařilo, což se promítlo i do přebytku </w:t>
            </w:r>
            <w:r>
              <w:rPr>
                <w:rFonts w:cs="Arial"/>
                <w:sz w:val="16"/>
                <w:szCs w:val="16"/>
              </w:rPr>
              <w:lastRenderedPageBreak/>
              <w:t>obchodní bilance.</w:t>
            </w:r>
          </w:p>
        </w:tc>
        <w:tc>
          <w:tcPr>
            <w:tcW w:w="144" w:type="pct"/>
          </w:tcPr>
          <w:p w:rsidR="00FC6DB5" w:rsidRPr="005E2AB2" w:rsidRDefault="00FC6DB5" w:rsidP="00134DFD">
            <w:pPr>
              <w:pStyle w:val="Textpoznpodarou"/>
              <w:jc w:val="both"/>
              <w:rPr>
                <w:rFonts w:cs="Arial"/>
              </w:rPr>
            </w:pPr>
          </w:p>
        </w:tc>
        <w:tc>
          <w:tcPr>
            <w:tcW w:w="3849" w:type="pct"/>
            <w:gridSpan w:val="3"/>
          </w:tcPr>
          <w:p w:rsidR="00FC6DB5" w:rsidRDefault="00FC6DB5" w:rsidP="00134DFD">
            <w:pPr>
              <w:pStyle w:val="Textpoznpodarou"/>
              <w:jc w:val="both"/>
              <w:rPr>
                <w:rFonts w:cs="Arial"/>
                <w:sz w:val="16"/>
                <w:szCs w:val="16"/>
              </w:rPr>
            </w:pPr>
            <w:r w:rsidRPr="00C11F7C">
              <w:rPr>
                <w:rFonts w:cs="Arial"/>
              </w:rPr>
              <w:t xml:space="preserve">Přebytek bilance zahraničního obchodu </w:t>
            </w:r>
            <w:r>
              <w:rPr>
                <w:rFonts w:cs="Arial"/>
              </w:rPr>
              <w:t xml:space="preserve">(v běžných cenách) </w:t>
            </w:r>
            <w:r w:rsidRPr="00C11F7C">
              <w:rPr>
                <w:rFonts w:cs="Arial"/>
              </w:rPr>
              <w:t xml:space="preserve">dosáhl v 1. čtvrtletí </w:t>
            </w:r>
            <w:r>
              <w:rPr>
                <w:rFonts w:cs="Arial"/>
              </w:rPr>
              <w:t>8</w:t>
            </w:r>
            <w:r w:rsidRPr="00C11F7C">
              <w:rPr>
                <w:rFonts w:cs="Arial"/>
              </w:rPr>
              <w:t>6,</w:t>
            </w:r>
            <w:r>
              <w:rPr>
                <w:rFonts w:cs="Arial"/>
              </w:rPr>
              <w:t>0</w:t>
            </w:r>
            <w:r w:rsidRPr="00C11F7C">
              <w:rPr>
                <w:rFonts w:cs="Arial"/>
              </w:rPr>
              <w:t xml:space="preserve"> mld. korun</w:t>
            </w:r>
            <w:r w:rsidR="006963FB">
              <w:rPr>
                <w:rStyle w:val="Znakapoznpodarou"/>
              </w:rPr>
              <w:footnoteReference w:id="8"/>
            </w:r>
            <w:r w:rsidRPr="00C11F7C">
              <w:rPr>
                <w:rFonts w:cs="Arial"/>
              </w:rPr>
              <w:t xml:space="preserve"> a přebytek stejného období minulého roku byl překonán o</w:t>
            </w:r>
            <w:r w:rsidR="00CB2B15">
              <w:rPr>
                <w:rFonts w:cs="Arial"/>
              </w:rPr>
              <w:t> </w:t>
            </w:r>
            <w:r w:rsidRPr="00C11F7C">
              <w:rPr>
                <w:rFonts w:cs="Arial"/>
              </w:rPr>
              <w:t>2,</w:t>
            </w:r>
            <w:r>
              <w:rPr>
                <w:rFonts w:cs="Arial"/>
              </w:rPr>
              <w:t>0</w:t>
            </w:r>
            <w:r w:rsidR="00CB2B15">
              <w:rPr>
                <w:rFonts w:cs="Arial"/>
              </w:rPr>
              <w:t> </w:t>
            </w:r>
            <w:r w:rsidRPr="00C11F7C">
              <w:rPr>
                <w:rFonts w:cs="Arial"/>
              </w:rPr>
              <w:t>mld.</w:t>
            </w:r>
            <w:r>
              <w:rPr>
                <w:rFonts w:cs="Arial"/>
              </w:rPr>
              <w:t xml:space="preserve"> </w:t>
            </w:r>
            <w:r>
              <w:rPr>
                <w:rFonts w:cs="Arial"/>
              </w:rPr>
              <w:lastRenderedPageBreak/>
              <w:t>korun. Většinu přebytku tvořilo kladné saldo obchodu se zbožím, které dosáhlo 60,9 mld. korun a oproti 1. čtvrtletí roku 2016 se snížilo o 2,8 mld. korun. Růst celkového přebytku byl podpořen meziročním zvýšením kladného salda obchodu se službami, které v 1. čtvrtletí letošního roku dosáhlo 25,1 mld. korun.</w:t>
            </w:r>
          </w:p>
          <w:p w:rsidR="00FC6DB5" w:rsidRPr="00F75A91" w:rsidRDefault="00FC6DB5" w:rsidP="00134DFD">
            <w:pPr>
              <w:pStyle w:val="Textpoznpodarou"/>
              <w:jc w:val="both"/>
              <w:rPr>
                <w:rFonts w:cs="Arial"/>
                <w:sz w:val="16"/>
                <w:szCs w:val="16"/>
                <w:highlight w:val="yellow"/>
              </w:rPr>
            </w:pPr>
          </w:p>
        </w:tc>
      </w:tr>
      <w:tr w:rsidR="00FC6DB5" w:rsidRPr="00A74192" w:rsidTr="008F1638">
        <w:tc>
          <w:tcPr>
            <w:tcW w:w="1007" w:type="pct"/>
          </w:tcPr>
          <w:p w:rsidR="00FC6DB5" w:rsidRPr="005E2AB2" w:rsidRDefault="00FC6DB5" w:rsidP="00134DFD">
            <w:pPr>
              <w:spacing w:line="240" w:lineRule="auto"/>
              <w:rPr>
                <w:rFonts w:cs="Arial"/>
                <w:sz w:val="16"/>
                <w:szCs w:val="16"/>
              </w:rPr>
            </w:pPr>
            <w:r>
              <w:rPr>
                <w:rFonts w:cs="Arial"/>
                <w:sz w:val="16"/>
                <w:szCs w:val="16"/>
              </w:rPr>
              <w:lastRenderedPageBreak/>
              <w:t xml:space="preserve">Směnné relace byly záporné. Stál za tím obchod se zbožím, neboť směnné relace obchodu se službami byly kladné. </w:t>
            </w:r>
          </w:p>
        </w:tc>
        <w:tc>
          <w:tcPr>
            <w:tcW w:w="144" w:type="pct"/>
          </w:tcPr>
          <w:p w:rsidR="00FC6DB5" w:rsidRPr="005E2AB2" w:rsidRDefault="00FC6DB5" w:rsidP="00134DFD">
            <w:pPr>
              <w:pStyle w:val="Textpoznpodarou"/>
              <w:jc w:val="both"/>
              <w:rPr>
                <w:rFonts w:cs="Arial"/>
              </w:rPr>
            </w:pPr>
          </w:p>
        </w:tc>
        <w:tc>
          <w:tcPr>
            <w:tcW w:w="3849" w:type="pct"/>
            <w:gridSpan w:val="3"/>
          </w:tcPr>
          <w:p w:rsidR="00FC6DB5" w:rsidRDefault="00FC6DB5" w:rsidP="00134DFD">
            <w:pPr>
              <w:pStyle w:val="Textpoznpodarou"/>
              <w:jc w:val="both"/>
              <w:rPr>
                <w:rFonts w:cs="Arial"/>
                <w:sz w:val="16"/>
                <w:szCs w:val="16"/>
              </w:rPr>
            </w:pPr>
            <w:r w:rsidRPr="00F75A91">
              <w:rPr>
                <w:rFonts w:cs="Arial"/>
              </w:rPr>
              <w:t xml:space="preserve">Směnné relace dosáhly v 1. čtvrtletí 2017 hodnoty 98,3 % a oproti předchozímu čtvrtletí se </w:t>
            </w:r>
            <w:r>
              <w:rPr>
                <w:rFonts w:cs="Arial"/>
              </w:rPr>
              <w:t>snížily</w:t>
            </w:r>
            <w:r w:rsidRPr="00F75A91">
              <w:rPr>
                <w:rFonts w:cs="Arial"/>
              </w:rPr>
              <w:t xml:space="preserve">. </w:t>
            </w:r>
            <w:r>
              <w:rPr>
                <w:rFonts w:cs="Arial"/>
              </w:rPr>
              <w:t>Záporné směnné relace měly svůj původ v</w:t>
            </w:r>
            <w:r w:rsidR="006963FB">
              <w:rPr>
                <w:rFonts w:cs="Arial"/>
              </w:rPr>
              <w:t xml:space="preserve"> rychlejším</w:t>
            </w:r>
            <w:r>
              <w:rPr>
                <w:rFonts w:cs="Arial"/>
              </w:rPr>
              <w:t xml:space="preserve"> cenovém růstu </w:t>
            </w:r>
            <w:r w:rsidR="006963FB">
              <w:rPr>
                <w:rFonts w:cs="Arial"/>
              </w:rPr>
              <w:t>dováženého</w:t>
            </w:r>
            <w:r>
              <w:rPr>
                <w:rFonts w:cs="Arial"/>
              </w:rPr>
              <w:t xml:space="preserve"> zboží. Ačkoli u </w:t>
            </w:r>
            <w:r w:rsidR="006963FB">
              <w:rPr>
                <w:rFonts w:cs="Arial"/>
              </w:rPr>
              <w:t>vývozu i dovozu</w:t>
            </w:r>
            <w:r>
              <w:rPr>
                <w:rFonts w:cs="Arial"/>
              </w:rPr>
              <w:t xml:space="preserve"> došlo poprvé po osmi čtvrtletích k meziročnímu zvýšení cen, růst cen importovaného zboží byl rychlejší a výsledné směnné relace obchodu se zbožím dosáhly 97,9 %. Celkové směnné relace byly korigovány mírně vzhůru kladnými relacemi obchodu se službami (100,3 %). Záporné směnné relace se promítly i do hodnoty reálného hrubého domácího důchodu (RHDD), která v 1. čtvrtletí meziročně vzrostla o</w:t>
            </w:r>
            <w:r w:rsidR="00CB2B15">
              <w:rPr>
                <w:rFonts w:cs="Arial"/>
              </w:rPr>
              <w:t> </w:t>
            </w:r>
            <w:r>
              <w:rPr>
                <w:rFonts w:cs="Arial"/>
              </w:rPr>
              <w:t>2,3</w:t>
            </w:r>
            <w:r w:rsidR="00CB2B15">
              <w:rPr>
                <w:rFonts w:cs="Arial"/>
              </w:rPr>
              <w:t> </w:t>
            </w:r>
            <w:r>
              <w:rPr>
                <w:rFonts w:cs="Arial"/>
              </w:rPr>
              <w:t>%. Rozdíl mezi RHDD a HDP činil -12,2 mld. korun, což je nejvýraznější ztráta ze směnných relací od 1. čtvrtletí roku 2011.</w:t>
            </w:r>
          </w:p>
          <w:p w:rsidR="00FC6DB5" w:rsidRPr="0081627E" w:rsidRDefault="00FC6DB5" w:rsidP="00134DFD">
            <w:pPr>
              <w:pStyle w:val="Textpoznpodarou"/>
              <w:jc w:val="both"/>
              <w:rPr>
                <w:rFonts w:cs="Arial"/>
                <w:sz w:val="16"/>
                <w:szCs w:val="16"/>
                <w:highlight w:val="yellow"/>
              </w:rPr>
            </w:pPr>
          </w:p>
        </w:tc>
      </w:tr>
      <w:tr w:rsidR="00FC6DB5" w:rsidRPr="00A74192" w:rsidTr="008F1638">
        <w:tc>
          <w:tcPr>
            <w:tcW w:w="1007" w:type="pct"/>
          </w:tcPr>
          <w:p w:rsidR="00FC6DB5" w:rsidRPr="005E2AB2" w:rsidRDefault="00FC6DB5" w:rsidP="00134DFD">
            <w:pPr>
              <w:spacing w:line="240" w:lineRule="auto"/>
              <w:rPr>
                <w:rFonts w:cs="Arial"/>
                <w:sz w:val="16"/>
                <w:szCs w:val="16"/>
              </w:rPr>
            </w:pPr>
            <w:r>
              <w:rPr>
                <w:rFonts w:cs="Arial"/>
                <w:sz w:val="16"/>
                <w:szCs w:val="16"/>
              </w:rPr>
              <w:t>Zpracovatelský průmysl stále výrazně přispívá k růstu hrubé přidané hodnoty, tentokrát v tandemu s výrazným růstem služeb.</w:t>
            </w:r>
          </w:p>
        </w:tc>
        <w:tc>
          <w:tcPr>
            <w:tcW w:w="144" w:type="pct"/>
          </w:tcPr>
          <w:p w:rsidR="00FC6DB5" w:rsidRPr="005E2AB2" w:rsidRDefault="00FC6DB5" w:rsidP="00134DFD">
            <w:pPr>
              <w:pStyle w:val="Textpoznpodarou"/>
              <w:jc w:val="both"/>
              <w:rPr>
                <w:rFonts w:cs="Arial"/>
              </w:rPr>
            </w:pPr>
          </w:p>
        </w:tc>
        <w:tc>
          <w:tcPr>
            <w:tcW w:w="3849" w:type="pct"/>
            <w:gridSpan w:val="3"/>
          </w:tcPr>
          <w:p w:rsidR="00FC6DB5" w:rsidRDefault="00FC6DB5" w:rsidP="00134DFD">
            <w:pPr>
              <w:pStyle w:val="Textpoznpodarou"/>
              <w:jc w:val="both"/>
              <w:rPr>
                <w:rFonts w:cs="Arial"/>
                <w:sz w:val="16"/>
                <w:szCs w:val="16"/>
              </w:rPr>
            </w:pPr>
            <w:r>
              <w:rPr>
                <w:rFonts w:cs="Arial"/>
              </w:rPr>
              <w:t>Růst hrubé přidané hodnoty byl opět silně podpořen zpracovatelským průmyslem</w:t>
            </w:r>
            <w:r w:rsidR="00AF6B7C">
              <w:rPr>
                <w:rFonts w:cs="Arial"/>
              </w:rPr>
              <w:t xml:space="preserve">. </w:t>
            </w:r>
            <w:r>
              <w:rPr>
                <w:rFonts w:cs="Arial"/>
              </w:rPr>
              <w:t xml:space="preserve">V 1. čtvrtletí růst jeho přidané hodnoty činil 3,9 % a v porovnání s předchozím rokem se mírně zpomalil. I jeho příspěvek k růstu HPH se oproti předchozímu čtvrtletí o 0,1 </w:t>
            </w:r>
            <w:proofErr w:type="spellStart"/>
            <w:r>
              <w:rPr>
                <w:rFonts w:cs="Arial"/>
              </w:rPr>
              <w:t>p.b</w:t>
            </w:r>
            <w:proofErr w:type="spellEnd"/>
            <w:r>
              <w:rPr>
                <w:rFonts w:cs="Arial"/>
              </w:rPr>
              <w:t xml:space="preserve">. </w:t>
            </w:r>
            <w:r w:rsidR="006963FB">
              <w:rPr>
                <w:rFonts w:cs="Arial"/>
              </w:rPr>
              <w:t>snížil</w:t>
            </w:r>
            <w:r>
              <w:rPr>
                <w:rFonts w:cs="Arial"/>
              </w:rPr>
              <w:t xml:space="preserve"> a</w:t>
            </w:r>
            <w:r w:rsidR="00CB2B15">
              <w:rPr>
                <w:rFonts w:cs="Arial"/>
              </w:rPr>
              <w:t> </w:t>
            </w:r>
            <w:r>
              <w:rPr>
                <w:rFonts w:cs="Arial"/>
              </w:rPr>
              <w:t xml:space="preserve">dosáhl 1,1 </w:t>
            </w:r>
            <w:proofErr w:type="spellStart"/>
            <w:proofErr w:type="gramStart"/>
            <w:r>
              <w:rPr>
                <w:rFonts w:cs="Arial"/>
              </w:rPr>
              <w:t>p.b</w:t>
            </w:r>
            <w:proofErr w:type="spellEnd"/>
            <w:r>
              <w:rPr>
                <w:rFonts w:cs="Arial"/>
              </w:rPr>
              <w:t>.</w:t>
            </w:r>
            <w:proofErr w:type="gramEnd"/>
            <w:r>
              <w:rPr>
                <w:rFonts w:cs="Arial"/>
              </w:rPr>
              <w:t xml:space="preserve"> Nejvýrazněji tak k růstu HPH přispěla odvětví služeb, jejichž příspěvek činil 1,3 </w:t>
            </w:r>
            <w:proofErr w:type="spellStart"/>
            <w:proofErr w:type="gramStart"/>
            <w:r>
              <w:rPr>
                <w:rFonts w:cs="Arial"/>
              </w:rPr>
              <w:t>p.b</w:t>
            </w:r>
            <w:proofErr w:type="spellEnd"/>
            <w:r>
              <w:rPr>
                <w:rFonts w:cs="Arial"/>
              </w:rPr>
              <w:t>.</w:t>
            </w:r>
            <w:proofErr w:type="gramEnd"/>
            <w:r>
              <w:rPr>
                <w:rFonts w:cs="Arial"/>
              </w:rPr>
              <w:t xml:space="preserve"> Nejsilněji přispěly činnosti v oblasti nemovitostí (0,3</w:t>
            </w:r>
            <w:r w:rsidR="00CB2B15">
              <w:rPr>
                <w:rFonts w:cs="Arial"/>
              </w:rPr>
              <w:t> </w:t>
            </w:r>
            <w:proofErr w:type="spellStart"/>
            <w:proofErr w:type="gramStart"/>
            <w:r>
              <w:rPr>
                <w:rFonts w:cs="Arial"/>
              </w:rPr>
              <w:t>p.b</w:t>
            </w:r>
            <w:proofErr w:type="spellEnd"/>
            <w:r>
              <w:rPr>
                <w:rFonts w:cs="Arial"/>
              </w:rPr>
              <w:t>.), jejichž</w:t>
            </w:r>
            <w:proofErr w:type="gramEnd"/>
            <w:r>
              <w:rPr>
                <w:rFonts w:cs="Arial"/>
              </w:rPr>
              <w:t xml:space="preserve"> meziroční růst v tomto čtvrtletí zrychlil na 4,0 % a</w:t>
            </w:r>
            <w:r w:rsidR="00362408">
              <w:rPr>
                <w:rFonts w:cs="Arial"/>
              </w:rPr>
              <w:t> </w:t>
            </w:r>
            <w:r w:rsidR="007240C5">
              <w:rPr>
                <w:rFonts w:cs="Arial"/>
              </w:rPr>
              <w:t>j</w:t>
            </w:r>
            <w:r>
              <w:rPr>
                <w:rFonts w:cs="Arial"/>
              </w:rPr>
              <w:t>sou</w:t>
            </w:r>
            <w:r w:rsidR="007240C5">
              <w:rPr>
                <w:rFonts w:cs="Arial"/>
              </w:rPr>
              <w:t xml:space="preserve"> třetím rokem</w:t>
            </w:r>
            <w:r>
              <w:rPr>
                <w:rFonts w:cs="Arial"/>
              </w:rPr>
              <w:t xml:space="preserve"> významným přispěvatelem k růstu HPH. Po dvou čtvrtletích stagnace se oživil růst HPH informačních a komunikačních činností (4,7 %)</w:t>
            </w:r>
            <w:r w:rsidR="007240C5">
              <w:rPr>
                <w:rFonts w:cs="Arial"/>
              </w:rPr>
              <w:t xml:space="preserve">, které </w:t>
            </w:r>
            <w:r>
              <w:rPr>
                <w:rFonts w:cs="Arial"/>
              </w:rPr>
              <w:t xml:space="preserve">přispěly k celkovému růstu HPH 0,2 </w:t>
            </w:r>
            <w:proofErr w:type="spellStart"/>
            <w:proofErr w:type="gramStart"/>
            <w:r>
              <w:rPr>
                <w:rFonts w:cs="Arial"/>
              </w:rPr>
              <w:t>p.b</w:t>
            </w:r>
            <w:proofErr w:type="spellEnd"/>
            <w:r>
              <w:rPr>
                <w:rFonts w:cs="Arial"/>
              </w:rPr>
              <w:t>.</w:t>
            </w:r>
            <w:proofErr w:type="gramEnd"/>
            <w:r>
              <w:rPr>
                <w:rFonts w:cs="Arial"/>
              </w:rPr>
              <w:t xml:space="preserve"> Podobný byl i příspěvek odvětví s dominancí státu. </w:t>
            </w:r>
            <w:r w:rsidR="006963FB">
              <w:rPr>
                <w:rFonts w:cs="Arial"/>
              </w:rPr>
              <w:t xml:space="preserve">Ostatní průmyslová odvětví </w:t>
            </w:r>
            <w:proofErr w:type="spellStart"/>
            <w:r>
              <w:rPr>
                <w:rFonts w:cs="Arial"/>
              </w:rPr>
              <w:t>příspě</w:t>
            </w:r>
            <w:r w:rsidR="006963FB">
              <w:rPr>
                <w:rFonts w:cs="Arial"/>
              </w:rPr>
              <w:t>la</w:t>
            </w:r>
            <w:proofErr w:type="spellEnd"/>
            <w:r>
              <w:rPr>
                <w:rFonts w:cs="Arial"/>
              </w:rPr>
              <w:t xml:space="preserve"> k růstu HPH 0,1 </w:t>
            </w:r>
            <w:proofErr w:type="spellStart"/>
            <w:proofErr w:type="gramStart"/>
            <w:r>
              <w:rPr>
                <w:rFonts w:cs="Arial"/>
              </w:rPr>
              <w:t>p.b</w:t>
            </w:r>
            <w:proofErr w:type="spellEnd"/>
            <w:r>
              <w:rPr>
                <w:rFonts w:cs="Arial"/>
              </w:rPr>
              <w:t>.</w:t>
            </w:r>
            <w:proofErr w:type="gramEnd"/>
            <w:r>
              <w:rPr>
                <w:rFonts w:cs="Arial"/>
              </w:rPr>
              <w:t xml:space="preserve">  </w:t>
            </w:r>
          </w:p>
          <w:p w:rsidR="00FC6DB5" w:rsidRPr="001F1693" w:rsidRDefault="00FC6DB5" w:rsidP="00134DFD">
            <w:pPr>
              <w:pStyle w:val="Textpoznpodarou"/>
              <w:jc w:val="both"/>
              <w:rPr>
                <w:rFonts w:cs="Arial"/>
                <w:sz w:val="16"/>
                <w:szCs w:val="16"/>
              </w:rPr>
            </w:pPr>
          </w:p>
        </w:tc>
      </w:tr>
      <w:tr w:rsidR="00FC6DB5" w:rsidRPr="00A74192" w:rsidTr="008F1638">
        <w:tc>
          <w:tcPr>
            <w:tcW w:w="1007" w:type="pct"/>
          </w:tcPr>
          <w:p w:rsidR="00FC6DB5" w:rsidRDefault="00FC6DB5" w:rsidP="000F5598">
            <w:pPr>
              <w:spacing w:line="240" w:lineRule="auto"/>
              <w:jc w:val="center"/>
              <w:rPr>
                <w:rFonts w:cs="Arial"/>
                <w:sz w:val="16"/>
                <w:szCs w:val="16"/>
              </w:rPr>
            </w:pPr>
          </w:p>
        </w:tc>
        <w:tc>
          <w:tcPr>
            <w:tcW w:w="144" w:type="pct"/>
          </w:tcPr>
          <w:p w:rsidR="00FC6DB5" w:rsidRPr="005E2AB2" w:rsidRDefault="00FC6DB5" w:rsidP="00134DFD">
            <w:pPr>
              <w:pStyle w:val="Textpoznpodarou"/>
              <w:jc w:val="both"/>
              <w:rPr>
                <w:rFonts w:cs="Arial"/>
              </w:rPr>
            </w:pPr>
          </w:p>
        </w:tc>
        <w:tc>
          <w:tcPr>
            <w:tcW w:w="575" w:type="pct"/>
          </w:tcPr>
          <w:p w:rsidR="00FC6DB5" w:rsidRDefault="00FC6DB5" w:rsidP="00134DFD">
            <w:pPr>
              <w:pStyle w:val="Textpoznpodarou"/>
              <w:jc w:val="both"/>
              <w:rPr>
                <w:rFonts w:cs="Arial"/>
              </w:rPr>
            </w:pPr>
            <w:r w:rsidRPr="005E2AB2">
              <w:rPr>
                <w:rFonts w:cs="Arial"/>
                <w:lang w:eastAsia="en-US"/>
              </w:rPr>
              <w:t>Graf č. 4</w:t>
            </w:r>
          </w:p>
        </w:tc>
        <w:tc>
          <w:tcPr>
            <w:tcW w:w="3274" w:type="pct"/>
            <w:gridSpan w:val="2"/>
          </w:tcPr>
          <w:p w:rsidR="00505493" w:rsidRDefault="006963FB" w:rsidP="006963FB">
            <w:pPr>
              <w:pStyle w:val="Textpoznpodarou"/>
              <w:rPr>
                <w:rFonts w:cs="Arial"/>
                <w:lang w:eastAsia="en-US"/>
              </w:rPr>
            </w:pPr>
            <w:r>
              <w:rPr>
                <w:rFonts w:cs="Arial"/>
                <w:b/>
                <w:lang w:eastAsia="en-US"/>
              </w:rPr>
              <w:t>Příspěvky odvětví k reálné</w:t>
            </w:r>
            <w:r w:rsidR="00FC6DB5" w:rsidRPr="005E2AB2">
              <w:rPr>
                <w:rFonts w:cs="Arial"/>
                <w:b/>
                <w:lang w:eastAsia="en-US"/>
              </w:rPr>
              <w:t> změně HPH</w:t>
            </w:r>
            <w:r w:rsidR="00FC6DB5" w:rsidRPr="005E2AB2">
              <w:rPr>
                <w:rFonts w:cs="Arial"/>
                <w:lang w:eastAsia="en-US"/>
              </w:rPr>
              <w:t xml:space="preserve"> </w:t>
            </w:r>
          </w:p>
          <w:p w:rsidR="00FC6DB5" w:rsidRDefault="00FC6DB5" w:rsidP="006963FB">
            <w:pPr>
              <w:pStyle w:val="Textpoznpodarou"/>
              <w:rPr>
                <w:rFonts w:cs="Arial"/>
              </w:rPr>
            </w:pPr>
            <w:r w:rsidRPr="005E2AB2">
              <w:rPr>
                <w:rFonts w:cs="Arial"/>
                <w:lang w:eastAsia="en-US"/>
              </w:rPr>
              <w:t>(</w:t>
            </w:r>
            <w:r w:rsidR="006963FB">
              <w:rPr>
                <w:rFonts w:cs="Arial"/>
                <w:lang w:eastAsia="en-US"/>
              </w:rPr>
              <w:t>objemové indexy</w:t>
            </w:r>
            <w:r w:rsidRPr="005E2AB2">
              <w:rPr>
                <w:rFonts w:cs="Arial"/>
                <w:lang w:eastAsia="en-US"/>
              </w:rPr>
              <w:t>,</w:t>
            </w:r>
            <w:r w:rsidR="006963FB">
              <w:rPr>
                <w:rFonts w:cs="Arial"/>
                <w:lang w:eastAsia="en-US"/>
              </w:rPr>
              <w:t xml:space="preserve"> </w:t>
            </w:r>
            <w:r>
              <w:rPr>
                <w:rFonts w:cs="Arial"/>
                <w:lang w:eastAsia="en-US"/>
              </w:rPr>
              <w:t>mezi</w:t>
            </w:r>
            <w:r w:rsidR="007841BB">
              <w:rPr>
                <w:rFonts w:cs="Arial"/>
                <w:lang w:eastAsia="en-US"/>
              </w:rPr>
              <w:t>roční</w:t>
            </w:r>
            <w:r w:rsidRPr="005E2AB2">
              <w:rPr>
                <w:rFonts w:cs="Arial"/>
                <w:lang w:eastAsia="en-US"/>
              </w:rPr>
              <w:t xml:space="preserve"> příspěvky v </w:t>
            </w:r>
            <w:proofErr w:type="spellStart"/>
            <w:proofErr w:type="gramStart"/>
            <w:r w:rsidRPr="005E2AB2">
              <w:rPr>
                <w:rFonts w:cs="Arial"/>
                <w:lang w:eastAsia="en-US"/>
              </w:rPr>
              <w:t>p.b</w:t>
            </w:r>
            <w:proofErr w:type="spellEnd"/>
            <w:r w:rsidRPr="005E2AB2">
              <w:rPr>
                <w:rFonts w:cs="Arial"/>
                <w:lang w:eastAsia="en-US"/>
              </w:rPr>
              <w:t>., HPH</w:t>
            </w:r>
            <w:proofErr w:type="gramEnd"/>
            <w:r w:rsidRPr="005E2AB2">
              <w:rPr>
                <w:rFonts w:cs="Arial"/>
                <w:lang w:eastAsia="en-US"/>
              </w:rPr>
              <w:t xml:space="preserve"> v %)</w:t>
            </w:r>
          </w:p>
        </w:tc>
      </w:tr>
      <w:tr w:rsidR="00FC6DB5" w:rsidRPr="00A74192" w:rsidTr="008F1638">
        <w:tc>
          <w:tcPr>
            <w:tcW w:w="1007" w:type="pct"/>
          </w:tcPr>
          <w:p w:rsidR="00FC6DB5" w:rsidRDefault="00FC6DB5" w:rsidP="00134DFD">
            <w:pPr>
              <w:spacing w:line="240" w:lineRule="auto"/>
              <w:rPr>
                <w:rFonts w:cs="Arial"/>
                <w:sz w:val="16"/>
                <w:szCs w:val="16"/>
              </w:rPr>
            </w:pPr>
          </w:p>
        </w:tc>
        <w:tc>
          <w:tcPr>
            <w:tcW w:w="144" w:type="pct"/>
          </w:tcPr>
          <w:p w:rsidR="00FC6DB5" w:rsidRPr="005E2AB2" w:rsidRDefault="00FC6DB5" w:rsidP="00134DFD">
            <w:pPr>
              <w:pStyle w:val="Textpoznpodarou"/>
              <w:jc w:val="both"/>
              <w:rPr>
                <w:rFonts w:cs="Arial"/>
              </w:rPr>
            </w:pPr>
          </w:p>
        </w:tc>
        <w:tc>
          <w:tcPr>
            <w:tcW w:w="3849" w:type="pct"/>
            <w:gridSpan w:val="3"/>
          </w:tcPr>
          <w:p w:rsidR="00FC6DB5" w:rsidRDefault="006963FB" w:rsidP="002C63C1">
            <w:pPr>
              <w:pStyle w:val="Textpoznpodarou"/>
              <w:ind w:left="-95"/>
              <w:jc w:val="both"/>
              <w:rPr>
                <w:rFonts w:cs="Arial"/>
              </w:rPr>
            </w:pPr>
            <w:r w:rsidRPr="006963FB">
              <w:rPr>
                <w:rFonts w:cs="Arial"/>
                <w:noProof/>
              </w:rPr>
              <w:drawing>
                <wp:inline distT="0" distB="0" distL="0" distR="0">
                  <wp:extent cx="4737600" cy="3553200"/>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09F0" w:rsidRDefault="001109F0" w:rsidP="00F56375">
            <w:pPr>
              <w:pStyle w:val="Textpoznpodarou"/>
              <w:ind w:left="-95"/>
              <w:jc w:val="right"/>
              <w:rPr>
                <w:rFonts w:cs="Arial"/>
                <w:sz w:val="14"/>
                <w:szCs w:val="14"/>
                <w:lang w:eastAsia="en-US"/>
              </w:rPr>
            </w:pPr>
            <w:r w:rsidRPr="007841BB">
              <w:rPr>
                <w:rFonts w:cs="Arial"/>
                <w:sz w:val="14"/>
                <w:szCs w:val="14"/>
                <w:lang w:eastAsia="en-US"/>
              </w:rPr>
              <w:t>Zdroj: ČSÚ</w:t>
            </w:r>
          </w:p>
          <w:p w:rsidR="006963FB" w:rsidRPr="007841BB" w:rsidRDefault="006963FB" w:rsidP="00F56375">
            <w:pPr>
              <w:pStyle w:val="Textpoznpodarou"/>
              <w:ind w:left="-95"/>
              <w:jc w:val="right"/>
              <w:rPr>
                <w:rFonts w:cs="Arial"/>
                <w:sz w:val="14"/>
                <w:szCs w:val="14"/>
                <w:lang w:eastAsia="en-US"/>
              </w:rPr>
            </w:pPr>
          </w:p>
        </w:tc>
      </w:tr>
      <w:tr w:rsidR="006963FB" w:rsidRPr="00A74192" w:rsidTr="008F1638">
        <w:tc>
          <w:tcPr>
            <w:tcW w:w="1007" w:type="pct"/>
          </w:tcPr>
          <w:p w:rsidR="006963FB" w:rsidRPr="005E2AB2" w:rsidRDefault="006963FB" w:rsidP="00B25E31">
            <w:pPr>
              <w:spacing w:line="240" w:lineRule="auto"/>
              <w:rPr>
                <w:rFonts w:cs="Arial"/>
                <w:sz w:val="16"/>
                <w:szCs w:val="16"/>
              </w:rPr>
            </w:pPr>
            <w:r>
              <w:rPr>
                <w:rFonts w:cs="Arial"/>
                <w:sz w:val="16"/>
                <w:szCs w:val="16"/>
              </w:rPr>
              <w:t>Stavebnictví se opět meziročně pokleslo a</w:t>
            </w:r>
            <w:r w:rsidR="00B25E31">
              <w:rPr>
                <w:rFonts w:cs="Arial"/>
                <w:sz w:val="16"/>
                <w:szCs w:val="16"/>
              </w:rPr>
              <w:t> </w:t>
            </w:r>
            <w:r>
              <w:rPr>
                <w:rFonts w:cs="Arial"/>
                <w:sz w:val="16"/>
                <w:szCs w:val="16"/>
              </w:rPr>
              <w:t xml:space="preserve">bylo jediným odvětvím, které brzdilo růst HPH. </w:t>
            </w:r>
          </w:p>
        </w:tc>
        <w:tc>
          <w:tcPr>
            <w:tcW w:w="144" w:type="pct"/>
          </w:tcPr>
          <w:p w:rsidR="006963FB" w:rsidRPr="005E2AB2" w:rsidRDefault="006963FB" w:rsidP="006260B8">
            <w:pPr>
              <w:pStyle w:val="Textpoznpodarou"/>
              <w:jc w:val="both"/>
              <w:rPr>
                <w:rFonts w:cs="Arial"/>
              </w:rPr>
            </w:pPr>
          </w:p>
        </w:tc>
        <w:tc>
          <w:tcPr>
            <w:tcW w:w="3849" w:type="pct"/>
            <w:gridSpan w:val="3"/>
          </w:tcPr>
          <w:p w:rsidR="006963FB" w:rsidRDefault="006963FB" w:rsidP="006260B8">
            <w:pPr>
              <w:pStyle w:val="Textpoznpodarou"/>
              <w:jc w:val="both"/>
              <w:rPr>
                <w:rFonts w:cs="Arial"/>
                <w:sz w:val="16"/>
                <w:szCs w:val="16"/>
              </w:rPr>
            </w:pPr>
            <w:r w:rsidRPr="001F1693">
              <w:rPr>
                <w:rFonts w:cs="Arial"/>
              </w:rPr>
              <w:t>Jediným odvětvím, které brzdilo růst HPH bylo stavebnictví</w:t>
            </w:r>
            <w:r>
              <w:rPr>
                <w:rFonts w:cs="Arial"/>
              </w:rPr>
              <w:t>. Jeho hrubá přidaná hodnota v 1. čtvrtletí meziročně klesla o 4,9 %. Pokles se v porovnání s úhrnem předchozího roku zmírnil a částečně se do něj promítla srovnávací základna 1. čtvrtletí loňského roku, ve kterém se ještě projevoval vliv evropských fondů. Tyto faktory vedly k negativnímu příspěvku k růst</w:t>
            </w:r>
            <w:r w:rsidR="007240C5">
              <w:rPr>
                <w:rFonts w:cs="Arial"/>
              </w:rPr>
              <w:t>u</w:t>
            </w:r>
            <w:r>
              <w:rPr>
                <w:rFonts w:cs="Arial"/>
              </w:rPr>
              <w:t xml:space="preserve"> HPH ve výši -0,3 </w:t>
            </w:r>
            <w:proofErr w:type="spellStart"/>
            <w:proofErr w:type="gramStart"/>
            <w:r>
              <w:rPr>
                <w:rFonts w:cs="Arial"/>
              </w:rPr>
              <w:t>p.b</w:t>
            </w:r>
            <w:proofErr w:type="spellEnd"/>
            <w:r>
              <w:rPr>
                <w:rFonts w:cs="Arial"/>
              </w:rPr>
              <w:t>.</w:t>
            </w:r>
            <w:proofErr w:type="gramEnd"/>
          </w:p>
          <w:p w:rsidR="006963FB" w:rsidRPr="001F1693" w:rsidRDefault="006963FB" w:rsidP="006260B8">
            <w:pPr>
              <w:pStyle w:val="Textpoznpodarou"/>
              <w:jc w:val="both"/>
              <w:rPr>
                <w:rFonts w:cs="Arial"/>
                <w:sz w:val="16"/>
                <w:szCs w:val="16"/>
                <w:highlight w:val="yellow"/>
              </w:rPr>
            </w:pPr>
          </w:p>
        </w:tc>
      </w:tr>
    </w:tbl>
    <w:p w:rsidR="00ED3A94" w:rsidRPr="00A74192" w:rsidRDefault="00ED3A94" w:rsidP="00D94859">
      <w:pPr>
        <w:pStyle w:val="Textpoznpodarou"/>
        <w:jc w:val="both"/>
        <w:rPr>
          <w:sz w:val="2"/>
          <w:szCs w:val="2"/>
        </w:rPr>
      </w:pPr>
    </w:p>
    <w:p w:rsidR="005E4483" w:rsidRDefault="005E4483" w:rsidP="005D073B">
      <w:pPr>
        <w:pStyle w:val="Nadpis1"/>
        <w:numPr>
          <w:ilvl w:val="0"/>
          <w:numId w:val="12"/>
        </w:numPr>
        <w:ind w:left="709" w:hanging="357"/>
        <w:jc w:val="both"/>
      </w:pPr>
      <w:bookmarkStart w:id="8" w:name="_Toc454185150"/>
      <w:bookmarkStart w:id="9" w:name="_Toc485271456"/>
      <w:r>
        <w:lastRenderedPageBreak/>
        <w:t>Výkonnost odvětví</w:t>
      </w:r>
      <w:bookmarkEnd w:id="8"/>
      <w:bookmarkEnd w:id="9"/>
    </w:p>
    <w:tbl>
      <w:tblPr>
        <w:tblW w:w="4986" w:type="pct"/>
        <w:tblInd w:w="107" w:type="dxa"/>
        <w:tblLayout w:type="fixed"/>
        <w:tblLook w:val="00A0"/>
      </w:tblPr>
      <w:tblGrid>
        <w:gridCol w:w="1997"/>
        <w:gridCol w:w="283"/>
        <w:gridCol w:w="7546"/>
      </w:tblGrid>
      <w:tr w:rsidR="00355CAA" w:rsidRPr="00DE32DB" w:rsidTr="008A03DE">
        <w:trPr>
          <w:trHeight w:val="145"/>
        </w:trPr>
        <w:tc>
          <w:tcPr>
            <w:tcW w:w="1016" w:type="pct"/>
          </w:tcPr>
          <w:p w:rsidR="00355CAA" w:rsidRPr="003E5346" w:rsidRDefault="00355CAA" w:rsidP="00A0172C">
            <w:pPr>
              <w:spacing w:line="240" w:lineRule="auto"/>
              <w:rPr>
                <w:spacing w:val="-2"/>
                <w:sz w:val="16"/>
                <w:szCs w:val="16"/>
              </w:rPr>
            </w:pPr>
            <w:r w:rsidRPr="003E5346">
              <w:rPr>
                <w:spacing w:val="-2"/>
                <w:sz w:val="16"/>
                <w:szCs w:val="16"/>
              </w:rPr>
              <w:t xml:space="preserve">Tempo růstu </w:t>
            </w:r>
            <w:r>
              <w:rPr>
                <w:spacing w:val="-2"/>
                <w:sz w:val="16"/>
                <w:szCs w:val="16"/>
              </w:rPr>
              <w:t>HPH na počátku roku v</w:t>
            </w:r>
            <w:r w:rsidRPr="003E5346">
              <w:rPr>
                <w:spacing w:val="-2"/>
                <w:sz w:val="16"/>
                <w:szCs w:val="16"/>
              </w:rPr>
              <w:t> mezičtvrtletním vyjádření</w:t>
            </w:r>
            <w:r>
              <w:rPr>
                <w:spacing w:val="-2"/>
                <w:sz w:val="16"/>
                <w:szCs w:val="16"/>
              </w:rPr>
              <w:t xml:space="preserve"> výrazně zrychlilo.</w:t>
            </w:r>
          </w:p>
        </w:tc>
        <w:tc>
          <w:tcPr>
            <w:tcW w:w="144" w:type="pct"/>
          </w:tcPr>
          <w:p w:rsidR="00355CAA" w:rsidRDefault="00355CAA" w:rsidP="00A0172C">
            <w:pPr>
              <w:pStyle w:val="Textpoznpodarou"/>
              <w:jc w:val="both"/>
            </w:pPr>
          </w:p>
        </w:tc>
        <w:tc>
          <w:tcPr>
            <w:tcW w:w="3840" w:type="pct"/>
          </w:tcPr>
          <w:p w:rsidR="00355CAA" w:rsidRPr="0038466C" w:rsidRDefault="00355CAA" w:rsidP="00A0172C">
            <w:pPr>
              <w:pStyle w:val="Textpoznpodarou"/>
              <w:jc w:val="both"/>
              <w:rPr>
                <w:spacing w:val="-8"/>
              </w:rPr>
            </w:pPr>
            <w:r>
              <w:rPr>
                <w:spacing w:val="-4"/>
              </w:rPr>
              <w:t>Hrubá přidaná hodnota (HPH)</w:t>
            </w:r>
            <w:r>
              <w:rPr>
                <w:rStyle w:val="Znakapoznpodarou"/>
                <w:spacing w:val="-4"/>
              </w:rPr>
              <w:footnoteReference w:id="9"/>
            </w:r>
            <w:r>
              <w:rPr>
                <w:spacing w:val="-4"/>
              </w:rPr>
              <w:t xml:space="preserve"> ve všech odvětvích ekonomiky posílila </w:t>
            </w:r>
            <w:r w:rsidR="00553C88">
              <w:rPr>
                <w:spacing w:val="-4"/>
              </w:rPr>
              <w:t xml:space="preserve">v 1. čtvrtletí </w:t>
            </w:r>
            <w:r>
              <w:rPr>
                <w:spacing w:val="-4"/>
              </w:rPr>
              <w:t>meziročně 2,5 %, podobně jako v první polovině předešlého roku. V</w:t>
            </w:r>
            <w:r w:rsidRPr="00B50A6B">
              <w:rPr>
                <w:spacing w:val="-4"/>
              </w:rPr>
              <w:t> mezičtvrtletním vyjádření</w:t>
            </w:r>
            <w:r>
              <w:rPr>
                <w:spacing w:val="-4"/>
              </w:rPr>
              <w:t xml:space="preserve"> HPH zrychlila o silných 1,3 % a </w:t>
            </w:r>
            <w:r w:rsidRPr="00B50A6B">
              <w:rPr>
                <w:spacing w:val="-4"/>
              </w:rPr>
              <w:t>pokračo</w:t>
            </w:r>
            <w:r w:rsidR="002D7EF4">
              <w:rPr>
                <w:spacing w:val="-4"/>
              </w:rPr>
              <w:t>vala růstu již pošest</w:t>
            </w:r>
            <w:r>
              <w:rPr>
                <w:spacing w:val="-4"/>
              </w:rPr>
              <w:t>nácté</w:t>
            </w:r>
            <w:r w:rsidRPr="00B50A6B">
              <w:rPr>
                <w:spacing w:val="-4"/>
              </w:rPr>
              <w:t xml:space="preserve"> v</w:t>
            </w:r>
            <w:r>
              <w:rPr>
                <w:spacing w:val="-4"/>
              </w:rPr>
              <w:t> </w:t>
            </w:r>
            <w:r w:rsidRPr="00B50A6B">
              <w:rPr>
                <w:spacing w:val="-4"/>
              </w:rPr>
              <w:t>řadě</w:t>
            </w:r>
            <w:r w:rsidR="00553C88">
              <w:rPr>
                <w:spacing w:val="-4"/>
              </w:rPr>
              <w:t xml:space="preserve"> (v úhrnu za toto období vzrostl výkon všech odvětví o 12,2 %). Silnějšího výkonu</w:t>
            </w:r>
            <w:r>
              <w:rPr>
                <w:spacing w:val="-4"/>
              </w:rPr>
              <w:t xml:space="preserve"> dosáhla všechna hlavní odvětví ekonomiky vyjma stavebnictví, jehož HPH byla meziročně o 4,9 % slabší (</w:t>
            </w:r>
            <w:proofErr w:type="spellStart"/>
            <w:r>
              <w:rPr>
                <w:spacing w:val="-4"/>
              </w:rPr>
              <w:t>mezikvartálně</w:t>
            </w:r>
            <w:proofErr w:type="spellEnd"/>
            <w:r>
              <w:rPr>
                <w:spacing w:val="-4"/>
              </w:rPr>
              <w:t xml:space="preserve"> však již odvětví rostlo a nepříznivý vývoj z</w:t>
            </w:r>
            <w:r w:rsidR="00F0732D">
              <w:rPr>
                <w:spacing w:val="-4"/>
              </w:rPr>
              <w:t xml:space="preserve"> předchozích pěti čtvrtletí </w:t>
            </w:r>
            <w:r>
              <w:rPr>
                <w:spacing w:val="-4"/>
              </w:rPr>
              <w:t xml:space="preserve">tak </w:t>
            </w:r>
            <w:r w:rsidR="00F0732D">
              <w:rPr>
                <w:spacing w:val="-4"/>
              </w:rPr>
              <w:t xml:space="preserve">byl </w:t>
            </w:r>
            <w:r>
              <w:rPr>
                <w:spacing w:val="-4"/>
              </w:rPr>
              <w:t xml:space="preserve">zastaven). </w:t>
            </w:r>
            <w:r w:rsidR="004E1415">
              <w:rPr>
                <w:spacing w:val="-4"/>
              </w:rPr>
              <w:t>Nejdynamičtěji se letos stejně jako po celý loňský rok navyšovala HPH v odvětví zemědělst</w:t>
            </w:r>
            <w:r w:rsidR="00553C88">
              <w:rPr>
                <w:spacing w:val="-4"/>
              </w:rPr>
              <w:t>ví, lesnictví a rybářství (v 1. </w:t>
            </w:r>
            <w:r w:rsidR="004E1415">
              <w:rPr>
                <w:spacing w:val="-4"/>
              </w:rPr>
              <w:t>čtvrtletí o 8,1 %).</w:t>
            </w:r>
          </w:p>
          <w:p w:rsidR="00355CAA" w:rsidRPr="00102835" w:rsidRDefault="00355CAA" w:rsidP="00A0172C">
            <w:pPr>
              <w:pStyle w:val="Textpoznpodarou"/>
              <w:jc w:val="both"/>
              <w:rPr>
                <w:spacing w:val="-4"/>
                <w:sz w:val="14"/>
                <w:szCs w:val="14"/>
              </w:rPr>
            </w:pPr>
          </w:p>
        </w:tc>
      </w:tr>
      <w:tr w:rsidR="00355CAA" w:rsidRPr="00A74192" w:rsidTr="008A03DE">
        <w:trPr>
          <w:trHeight w:val="145"/>
        </w:trPr>
        <w:tc>
          <w:tcPr>
            <w:tcW w:w="1016" w:type="pct"/>
            <w:shd w:val="clear" w:color="auto" w:fill="auto"/>
          </w:tcPr>
          <w:p w:rsidR="00355CAA" w:rsidRPr="003E5346" w:rsidRDefault="00355CAA" w:rsidP="00A0172C">
            <w:pPr>
              <w:spacing w:line="240" w:lineRule="auto"/>
              <w:rPr>
                <w:spacing w:val="-2"/>
                <w:sz w:val="16"/>
                <w:szCs w:val="16"/>
              </w:rPr>
            </w:pPr>
            <w:r w:rsidRPr="003E5346">
              <w:rPr>
                <w:spacing w:val="-2"/>
                <w:sz w:val="16"/>
                <w:szCs w:val="16"/>
              </w:rPr>
              <w:t xml:space="preserve">Výkon průmyslu </w:t>
            </w:r>
            <w:r w:rsidR="006B59D7">
              <w:rPr>
                <w:spacing w:val="-2"/>
                <w:sz w:val="16"/>
                <w:szCs w:val="16"/>
              </w:rPr>
              <w:t>v 1.</w:t>
            </w:r>
            <w:r w:rsidR="006B59D7">
              <w:rPr>
                <w:spacing w:val="-4"/>
                <w:sz w:val="16"/>
                <w:szCs w:val="16"/>
              </w:rPr>
              <w:t> </w:t>
            </w:r>
            <w:r>
              <w:rPr>
                <w:spacing w:val="-2"/>
                <w:sz w:val="16"/>
                <w:szCs w:val="16"/>
              </w:rPr>
              <w:t>čtvrtletí posílil</w:t>
            </w:r>
            <w:r w:rsidRPr="003E5346">
              <w:rPr>
                <w:spacing w:val="-2"/>
                <w:sz w:val="16"/>
                <w:szCs w:val="16"/>
              </w:rPr>
              <w:t>, jeho produkce vzrostla nejvíce od 3. čtvrtletí 2015</w:t>
            </w:r>
            <w:r>
              <w:rPr>
                <w:spacing w:val="-2"/>
                <w:sz w:val="16"/>
                <w:szCs w:val="16"/>
              </w:rPr>
              <w:t>.</w:t>
            </w: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r w:rsidRPr="003E5346">
              <w:rPr>
                <w:spacing w:val="-2"/>
                <w:sz w:val="16"/>
                <w:szCs w:val="16"/>
              </w:rPr>
              <w:t>Zatímco na počátku loňského roku rozhodovaly o kladném výsledku průmyslu prakticky jen výroba dopravních pr</w:t>
            </w:r>
            <w:r w:rsidR="003F0293">
              <w:rPr>
                <w:spacing w:val="-2"/>
                <w:sz w:val="16"/>
                <w:szCs w:val="16"/>
              </w:rPr>
              <w:t>ostředků (vč. navazujících odvětví</w:t>
            </w:r>
            <w:r w:rsidRPr="003E5346">
              <w:rPr>
                <w:spacing w:val="-2"/>
                <w:sz w:val="16"/>
                <w:szCs w:val="16"/>
              </w:rPr>
              <w:t>), letos již z růstu</w:t>
            </w:r>
            <w:r w:rsidR="003F0293">
              <w:rPr>
                <w:spacing w:val="-2"/>
                <w:sz w:val="16"/>
                <w:szCs w:val="16"/>
              </w:rPr>
              <w:t xml:space="preserve"> profitovala téměř všechna odvětví</w:t>
            </w:r>
            <w:r>
              <w:rPr>
                <w:spacing w:val="-2"/>
                <w:sz w:val="16"/>
                <w:szCs w:val="16"/>
              </w:rPr>
              <w:t>.</w:t>
            </w:r>
          </w:p>
        </w:tc>
        <w:tc>
          <w:tcPr>
            <w:tcW w:w="144" w:type="pct"/>
          </w:tcPr>
          <w:p w:rsidR="00355CAA" w:rsidRDefault="00355CAA" w:rsidP="00A0172C">
            <w:pPr>
              <w:pStyle w:val="Textpoznpodarou"/>
              <w:jc w:val="both"/>
            </w:pPr>
          </w:p>
        </w:tc>
        <w:tc>
          <w:tcPr>
            <w:tcW w:w="3840" w:type="pct"/>
          </w:tcPr>
          <w:p w:rsidR="00355CAA" w:rsidRPr="00780332" w:rsidRDefault="00355CAA" w:rsidP="00A0172C">
            <w:pPr>
              <w:pStyle w:val="Textpoznpodarou"/>
              <w:spacing w:before="20"/>
              <w:jc w:val="both"/>
              <w:rPr>
                <w:color w:val="000000" w:themeColor="text1"/>
                <w:spacing w:val="-4"/>
              </w:rPr>
            </w:pPr>
            <w:r>
              <w:rPr>
                <w:color w:val="000000" w:themeColor="text1"/>
                <w:spacing w:val="-4"/>
              </w:rPr>
              <w:t>Výkon průmyslu (dle indexu průmyslové</w:t>
            </w:r>
            <w:r w:rsidRPr="008D59A9">
              <w:rPr>
                <w:color w:val="000000" w:themeColor="text1"/>
                <w:spacing w:val="-4"/>
              </w:rPr>
              <w:t xml:space="preserve"> produkce)</w:t>
            </w:r>
            <w:r w:rsidRPr="008D59A9">
              <w:rPr>
                <w:color w:val="000000" w:themeColor="text1"/>
                <w:spacing w:val="-4"/>
                <w:vertAlign w:val="superscript"/>
              </w:rPr>
              <w:footnoteReference w:id="10"/>
            </w:r>
            <w:r w:rsidRPr="008D59A9">
              <w:rPr>
                <w:color w:val="000000" w:themeColor="text1"/>
                <w:spacing w:val="-4"/>
              </w:rPr>
              <w:t xml:space="preserve"> v 1. čtvrtletí meziročně posílil </w:t>
            </w:r>
            <w:r>
              <w:rPr>
                <w:color w:val="000000" w:themeColor="text1"/>
                <w:spacing w:val="-4"/>
              </w:rPr>
              <w:t>o</w:t>
            </w:r>
            <w:r>
              <w:rPr>
                <w:spacing w:val="-4"/>
              </w:rPr>
              <w:t> </w:t>
            </w:r>
            <w:r w:rsidR="00147E55">
              <w:rPr>
                <w:color w:val="000000" w:themeColor="text1"/>
                <w:spacing w:val="-4"/>
              </w:rPr>
              <w:t>4</w:t>
            </w:r>
            <w:r w:rsidRPr="008D59A9">
              <w:rPr>
                <w:color w:val="000000" w:themeColor="text1"/>
                <w:spacing w:val="-4"/>
              </w:rPr>
              <w:t>,</w:t>
            </w:r>
            <w:r w:rsidR="00147E55">
              <w:rPr>
                <w:color w:val="000000" w:themeColor="text1"/>
                <w:spacing w:val="-4"/>
              </w:rPr>
              <w:t>9</w:t>
            </w:r>
            <w:r w:rsidRPr="008D59A9">
              <w:rPr>
                <w:color w:val="0D0D0D" w:themeColor="text1" w:themeTint="F2"/>
                <w:spacing w:val="-4"/>
              </w:rPr>
              <w:t> </w:t>
            </w:r>
            <w:r>
              <w:rPr>
                <w:color w:val="000000" w:themeColor="text1"/>
                <w:spacing w:val="-4"/>
              </w:rPr>
              <w:t>% (bez očištěn</w:t>
            </w:r>
            <w:r w:rsidR="00C43CB1">
              <w:rPr>
                <w:color w:val="000000" w:themeColor="text1"/>
                <w:spacing w:val="-4"/>
              </w:rPr>
              <w:t>í o kalendářní vlivy dokonce o 7,5</w:t>
            </w:r>
            <w:r>
              <w:rPr>
                <w:color w:val="000000" w:themeColor="text1"/>
                <w:spacing w:val="-4"/>
              </w:rPr>
              <w:t xml:space="preserve"> %)</w:t>
            </w:r>
            <w:r>
              <w:rPr>
                <w:rStyle w:val="Znakapoznpodarou"/>
                <w:color w:val="000000" w:themeColor="text1"/>
                <w:spacing w:val="-4"/>
              </w:rPr>
              <w:footnoteReference w:id="11"/>
            </w:r>
            <w:r w:rsidR="00C43CB1">
              <w:rPr>
                <w:color w:val="000000" w:themeColor="text1"/>
                <w:spacing w:val="-4"/>
              </w:rPr>
              <w:t xml:space="preserve"> a vrátil se tak k</w:t>
            </w:r>
            <w:r>
              <w:rPr>
                <w:color w:val="000000" w:themeColor="text1"/>
                <w:spacing w:val="-4"/>
              </w:rPr>
              <w:t xml:space="preserve"> silné dynamice z let 2014 i 2015. V mezič</w:t>
            </w:r>
            <w:r w:rsidR="00C43CB1">
              <w:rPr>
                <w:color w:val="000000" w:themeColor="text1"/>
                <w:spacing w:val="-4"/>
              </w:rPr>
              <w:t>tvrtletním pohledu vzrostl o výrazných</w:t>
            </w:r>
            <w:r w:rsidR="008A6F21">
              <w:rPr>
                <w:color w:val="000000" w:themeColor="text1"/>
                <w:spacing w:val="-4"/>
              </w:rPr>
              <w:t xml:space="preserve"> 3,2</w:t>
            </w:r>
            <w:r>
              <w:rPr>
                <w:color w:val="000000" w:themeColor="text1"/>
                <w:spacing w:val="-4"/>
              </w:rPr>
              <w:t xml:space="preserve"> %, což bylo nejvíce od konce roku 2014. Za těmito výsledky stála dobrá ekonomická situace v hlavních exportních teritoriích doplněná i sílící tuzemskou poptávkou. Průmysl táhla vzhůru, jak již bývá v období ekonomického růstu </w:t>
            </w:r>
            <w:r w:rsidR="008A6F21">
              <w:rPr>
                <w:color w:val="000000" w:themeColor="text1"/>
                <w:spacing w:val="-4"/>
              </w:rPr>
              <w:t xml:space="preserve">v ČR </w:t>
            </w:r>
            <w:r>
              <w:rPr>
                <w:color w:val="000000" w:themeColor="text1"/>
                <w:spacing w:val="-4"/>
              </w:rPr>
              <w:t>zvykem, především výroba motorových vozidel.</w:t>
            </w:r>
            <w:r w:rsidR="00D73E6F">
              <w:rPr>
                <w:color w:val="000000" w:themeColor="text1"/>
                <w:spacing w:val="-4"/>
              </w:rPr>
              <w:t xml:space="preserve"> Ta přispěla k celkovému růstu průmyslové produkce téměř z</w:t>
            </w:r>
            <w:r w:rsidR="00FB6398">
              <w:rPr>
                <w:color w:val="000000" w:themeColor="text1"/>
                <w:spacing w:val="-4"/>
              </w:rPr>
              <w:t xml:space="preserve">e </w:t>
            </w:r>
            <w:r w:rsidR="00D73E6F">
              <w:rPr>
                <w:color w:val="000000" w:themeColor="text1"/>
                <w:spacing w:val="-4"/>
              </w:rPr>
              <w:t>40 %. Další</w:t>
            </w:r>
            <w:r w:rsidR="00FB6398">
              <w:rPr>
                <w:color w:val="000000" w:themeColor="text1"/>
                <w:spacing w:val="-4"/>
              </w:rPr>
              <w:t>ch</w:t>
            </w:r>
            <w:r w:rsidR="00D73E6F">
              <w:rPr>
                <w:color w:val="000000" w:themeColor="text1"/>
                <w:spacing w:val="-4"/>
              </w:rPr>
              <w:t xml:space="preserve"> </w:t>
            </w:r>
            <w:r w:rsidR="00A82C52">
              <w:rPr>
                <w:color w:val="000000" w:themeColor="text1"/>
                <w:spacing w:val="-4"/>
              </w:rPr>
              <w:t>bezmála 20</w:t>
            </w:r>
            <w:r w:rsidR="00D73E6F">
              <w:rPr>
                <w:color w:val="000000" w:themeColor="text1"/>
                <w:spacing w:val="-4"/>
              </w:rPr>
              <w:t xml:space="preserve"> %</w:t>
            </w:r>
            <w:r w:rsidR="00FB6398">
              <w:rPr>
                <w:color w:val="000000" w:themeColor="text1"/>
                <w:spacing w:val="-4"/>
              </w:rPr>
              <w:t xml:space="preserve"> přidaly</w:t>
            </w:r>
            <w:r>
              <w:rPr>
                <w:color w:val="000000" w:themeColor="text1"/>
                <w:spacing w:val="-4"/>
              </w:rPr>
              <w:t xml:space="preserve"> v úhrnu k růstu nejbližší subdodavatelské obory – výroba elektrických zařízení i výroba pryžových a plastových výrobků. Zatímco na počátku loňského roku stál výkon průmyslu prakticky jen na výrobě dopravních pr</w:t>
            </w:r>
            <w:r w:rsidR="003F0293">
              <w:rPr>
                <w:color w:val="000000" w:themeColor="text1"/>
                <w:spacing w:val="-4"/>
              </w:rPr>
              <w:t>ostředků (vč. navazujících odvětví</w:t>
            </w:r>
            <w:r>
              <w:rPr>
                <w:color w:val="000000" w:themeColor="text1"/>
                <w:spacing w:val="-4"/>
              </w:rPr>
              <w:t>), letošní růst produkce prostupova</w:t>
            </w:r>
            <w:r w:rsidR="003F0293">
              <w:rPr>
                <w:color w:val="000000" w:themeColor="text1"/>
                <w:spacing w:val="-4"/>
              </w:rPr>
              <w:t>l téměř všemi průmyslovými odvětvími</w:t>
            </w:r>
            <w:r>
              <w:rPr>
                <w:color w:val="000000" w:themeColor="text1"/>
                <w:spacing w:val="-4"/>
              </w:rPr>
              <w:t xml:space="preserve">. Projevil se efekt plného obnovení výrobních kapacit chemického průmyslu i energetiky. K růstu se po </w:t>
            </w:r>
            <w:r w:rsidR="00FB6398">
              <w:rPr>
                <w:color w:val="000000" w:themeColor="text1"/>
                <w:spacing w:val="-4"/>
              </w:rPr>
              <w:t>loňské stagnaci</w:t>
            </w:r>
            <w:r>
              <w:rPr>
                <w:color w:val="000000" w:themeColor="text1"/>
                <w:spacing w:val="-4"/>
              </w:rPr>
              <w:t xml:space="preserve"> vrátil také váhově významný potravinářský průmysl</w:t>
            </w:r>
            <w:r w:rsidR="00FB6398">
              <w:rPr>
                <w:color w:val="000000" w:themeColor="text1"/>
                <w:spacing w:val="-4"/>
              </w:rPr>
              <w:t xml:space="preserve"> (+2,4</w:t>
            </w:r>
            <w:r>
              <w:rPr>
                <w:color w:val="000000" w:themeColor="text1"/>
                <w:spacing w:val="-4"/>
              </w:rPr>
              <w:t xml:space="preserve"> %). Z vlny mírnéh</w:t>
            </w:r>
            <w:r w:rsidR="003F0293">
              <w:rPr>
                <w:color w:val="000000" w:themeColor="text1"/>
                <w:spacing w:val="-4"/>
              </w:rPr>
              <w:t>o celoevropského oživení v odvětví</w:t>
            </w:r>
            <w:r>
              <w:rPr>
                <w:color w:val="000000" w:themeColor="text1"/>
                <w:spacing w:val="-4"/>
              </w:rPr>
              <w:t xml:space="preserve"> profitovalo hutnictví a slévárenství</w:t>
            </w:r>
            <w:r w:rsidR="00FB6398">
              <w:rPr>
                <w:color w:val="000000" w:themeColor="text1"/>
                <w:spacing w:val="-4"/>
              </w:rPr>
              <w:t xml:space="preserve"> (+3,4</w:t>
            </w:r>
            <w:r>
              <w:rPr>
                <w:color w:val="000000" w:themeColor="text1"/>
                <w:spacing w:val="-4"/>
              </w:rPr>
              <w:t xml:space="preserve"> %). Naopak dlouhodobě nepříznivá situace nadále přetrvávala v těžbě a dobývání, byť c</w:t>
            </w:r>
            <w:r w:rsidR="008A6F21">
              <w:rPr>
                <w:color w:val="000000" w:themeColor="text1"/>
                <w:spacing w:val="-4"/>
              </w:rPr>
              <w:t>eny některých surovin (např. ko</w:t>
            </w:r>
            <w:r>
              <w:rPr>
                <w:color w:val="000000" w:themeColor="text1"/>
                <w:spacing w:val="-4"/>
              </w:rPr>
              <w:t>k</w:t>
            </w:r>
            <w:r w:rsidR="008A6F21">
              <w:rPr>
                <w:color w:val="000000" w:themeColor="text1"/>
                <w:spacing w:val="-4"/>
              </w:rPr>
              <w:t>s</w:t>
            </w:r>
            <w:r>
              <w:rPr>
                <w:color w:val="000000" w:themeColor="text1"/>
                <w:spacing w:val="-4"/>
              </w:rPr>
              <w:t>ovatelné uhlí) již přestaly klesat</w:t>
            </w:r>
            <w:r>
              <w:rPr>
                <w:rStyle w:val="Znakapoznpodarou"/>
                <w:color w:val="000000" w:themeColor="text1"/>
                <w:spacing w:val="-4"/>
              </w:rPr>
              <w:footnoteReference w:id="12"/>
            </w:r>
            <w:r>
              <w:rPr>
                <w:color w:val="000000" w:themeColor="text1"/>
                <w:spacing w:val="-4"/>
              </w:rPr>
              <w:t>. Produkce těžebního průmyslu byla meziročně o</w:t>
            </w:r>
            <w:r>
              <w:rPr>
                <w:spacing w:val="-4"/>
              </w:rPr>
              <w:t> </w:t>
            </w:r>
            <w:r w:rsidR="00FB6398">
              <w:rPr>
                <w:color w:val="000000" w:themeColor="text1"/>
                <w:spacing w:val="-4"/>
              </w:rPr>
              <w:t>4,7</w:t>
            </w:r>
            <w:r>
              <w:rPr>
                <w:color w:val="000000" w:themeColor="text1"/>
                <w:spacing w:val="-4"/>
              </w:rPr>
              <w:t xml:space="preserve"> % nižší, v mezičtvrtletním vyjádření se však letos její pokles zastavil.</w:t>
            </w:r>
          </w:p>
          <w:p w:rsidR="00355CAA" w:rsidRPr="00102835" w:rsidRDefault="00355CAA" w:rsidP="00A0172C">
            <w:pPr>
              <w:pStyle w:val="Textpoznpodarou"/>
              <w:jc w:val="both"/>
              <w:rPr>
                <w:spacing w:val="-4"/>
                <w:sz w:val="14"/>
                <w:szCs w:val="14"/>
              </w:rPr>
            </w:pPr>
          </w:p>
        </w:tc>
      </w:tr>
      <w:tr w:rsidR="00355CAA" w:rsidRPr="00A74192" w:rsidTr="008A03DE">
        <w:trPr>
          <w:trHeight w:val="145"/>
        </w:trPr>
        <w:tc>
          <w:tcPr>
            <w:tcW w:w="1016" w:type="pct"/>
            <w:shd w:val="clear" w:color="auto" w:fill="auto"/>
          </w:tcPr>
          <w:p w:rsidR="00355CAA" w:rsidRPr="003E5346" w:rsidRDefault="0069789D" w:rsidP="00A0172C">
            <w:pPr>
              <w:spacing w:line="240" w:lineRule="auto"/>
              <w:rPr>
                <w:spacing w:val="-2"/>
                <w:sz w:val="16"/>
                <w:szCs w:val="16"/>
              </w:rPr>
            </w:pPr>
            <w:r>
              <w:rPr>
                <w:spacing w:val="-2"/>
                <w:sz w:val="16"/>
                <w:szCs w:val="16"/>
              </w:rPr>
              <w:t xml:space="preserve">Rostoucí </w:t>
            </w:r>
            <w:r w:rsidR="00355CAA" w:rsidRPr="003E5346">
              <w:rPr>
                <w:spacing w:val="-2"/>
                <w:sz w:val="16"/>
                <w:szCs w:val="16"/>
              </w:rPr>
              <w:t xml:space="preserve">zahraniční </w:t>
            </w:r>
            <w:r>
              <w:rPr>
                <w:spacing w:val="-2"/>
                <w:sz w:val="16"/>
                <w:szCs w:val="16"/>
              </w:rPr>
              <w:t>i</w:t>
            </w:r>
            <w:r w:rsidRPr="003E5346">
              <w:rPr>
                <w:spacing w:val="-2"/>
                <w:sz w:val="16"/>
                <w:szCs w:val="16"/>
              </w:rPr>
              <w:t> </w:t>
            </w:r>
            <w:r>
              <w:rPr>
                <w:spacing w:val="-2"/>
                <w:sz w:val="16"/>
                <w:szCs w:val="16"/>
              </w:rPr>
              <w:t>tuzemská poptávka vedly</w:t>
            </w:r>
            <w:r w:rsidR="00355CAA" w:rsidRPr="003E5346">
              <w:rPr>
                <w:spacing w:val="-2"/>
                <w:sz w:val="16"/>
                <w:szCs w:val="16"/>
              </w:rPr>
              <w:t xml:space="preserve"> k pokoření dalšího rekordu počtu vyrobených osobních automobilů</w:t>
            </w:r>
            <w:r w:rsidR="00355CAA">
              <w:rPr>
                <w:spacing w:val="-2"/>
                <w:sz w:val="16"/>
                <w:szCs w:val="16"/>
              </w:rPr>
              <w:t>.</w:t>
            </w: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p>
          <w:p w:rsidR="00355CAA" w:rsidRPr="003E5346" w:rsidRDefault="00355CAA" w:rsidP="00A0172C">
            <w:pPr>
              <w:spacing w:line="240" w:lineRule="auto"/>
              <w:rPr>
                <w:spacing w:val="-2"/>
                <w:sz w:val="16"/>
                <w:szCs w:val="16"/>
              </w:rPr>
            </w:pPr>
            <w:r w:rsidRPr="003E5346">
              <w:rPr>
                <w:spacing w:val="-2"/>
                <w:sz w:val="16"/>
                <w:szCs w:val="16"/>
              </w:rPr>
              <w:t xml:space="preserve">Po obratu na sklonku loňského roku pokračoval růst </w:t>
            </w:r>
            <w:r w:rsidR="006B59D7">
              <w:rPr>
                <w:spacing w:val="-2"/>
                <w:sz w:val="16"/>
                <w:szCs w:val="16"/>
              </w:rPr>
              <w:t>produkce v chemickém průmyslu i</w:t>
            </w:r>
            <w:r w:rsidR="006B59D7">
              <w:rPr>
                <w:spacing w:val="-4"/>
                <w:sz w:val="16"/>
                <w:szCs w:val="16"/>
              </w:rPr>
              <w:t> </w:t>
            </w:r>
            <w:r w:rsidRPr="003E5346">
              <w:rPr>
                <w:spacing w:val="-2"/>
                <w:sz w:val="16"/>
                <w:szCs w:val="16"/>
              </w:rPr>
              <w:t>energetice</w:t>
            </w:r>
            <w:r>
              <w:rPr>
                <w:spacing w:val="-2"/>
                <w:sz w:val="16"/>
                <w:szCs w:val="16"/>
              </w:rPr>
              <w:t>.</w:t>
            </w:r>
          </w:p>
          <w:p w:rsidR="00355CAA" w:rsidRPr="00DA1318" w:rsidRDefault="00355CAA" w:rsidP="00A0172C">
            <w:pPr>
              <w:spacing w:line="240" w:lineRule="auto"/>
              <w:rPr>
                <w:sz w:val="16"/>
                <w:szCs w:val="16"/>
              </w:rPr>
            </w:pPr>
            <w:r>
              <w:rPr>
                <w:sz w:val="16"/>
                <w:szCs w:val="16"/>
              </w:rPr>
              <w:t xml:space="preserve"> </w:t>
            </w:r>
          </w:p>
        </w:tc>
        <w:tc>
          <w:tcPr>
            <w:tcW w:w="144" w:type="pct"/>
          </w:tcPr>
          <w:p w:rsidR="00355CAA" w:rsidRPr="009E7B1B" w:rsidRDefault="00355CAA" w:rsidP="00A0172C">
            <w:pPr>
              <w:pStyle w:val="Textpoznpodarou"/>
              <w:jc w:val="both"/>
              <w:rPr>
                <w:spacing w:val="-2"/>
              </w:rPr>
            </w:pPr>
          </w:p>
        </w:tc>
        <w:tc>
          <w:tcPr>
            <w:tcW w:w="3840" w:type="pct"/>
          </w:tcPr>
          <w:p w:rsidR="00355CAA" w:rsidRPr="002A5C26" w:rsidRDefault="00355CAA" w:rsidP="00A0172C">
            <w:pPr>
              <w:pStyle w:val="Textpoznpodarou"/>
              <w:jc w:val="both"/>
              <w:rPr>
                <w:spacing w:val="-4"/>
              </w:rPr>
            </w:pPr>
            <w:r w:rsidRPr="002A5C26">
              <w:rPr>
                <w:spacing w:val="-4"/>
              </w:rPr>
              <w:t>Výroba motorových vozidel</w:t>
            </w:r>
            <w:r>
              <w:rPr>
                <w:spacing w:val="-4"/>
              </w:rPr>
              <w:t>,</w:t>
            </w:r>
            <w:r w:rsidRPr="002A5C26">
              <w:rPr>
                <w:spacing w:val="-4"/>
              </w:rPr>
              <w:t xml:space="preserve"> </w:t>
            </w:r>
            <w:r>
              <w:rPr>
                <w:spacing w:val="-4"/>
              </w:rPr>
              <w:t xml:space="preserve">tvořící bezmála čtvrtinu celkové průmyslové produkce, se po mírném zvolnění růstu </w:t>
            </w:r>
            <w:r w:rsidR="00A355F2">
              <w:rPr>
                <w:spacing w:val="-4"/>
              </w:rPr>
              <w:t>v druhé polovině roku 2016 v letošním 1. čtvrtletí</w:t>
            </w:r>
            <w:r>
              <w:rPr>
                <w:spacing w:val="-4"/>
              </w:rPr>
              <w:t xml:space="preserve"> opět vrátila k dvouciferným tempům</w:t>
            </w:r>
            <w:r w:rsidR="0051507D">
              <w:rPr>
                <w:spacing w:val="-4"/>
              </w:rPr>
              <w:t xml:space="preserve"> (+10,7</w:t>
            </w:r>
            <w:r>
              <w:rPr>
                <w:spacing w:val="-4"/>
              </w:rPr>
              <w:t xml:space="preserve"> % meziročně). Souviselo to především se silným růstem tržeb z přímého vývozu (o šestinu). </w:t>
            </w:r>
            <w:r w:rsidRPr="00C00806">
              <w:rPr>
                <w:spacing w:val="-4"/>
              </w:rPr>
              <w:t>Rekordní hodnoty dosáhlo i fyzické množství vyrobených osobních automobilů</w:t>
            </w:r>
            <w:r w:rsidRPr="00C00806">
              <w:rPr>
                <w:rStyle w:val="Znakapoznpodarou"/>
                <w:spacing w:val="-4"/>
              </w:rPr>
              <w:footnoteReference w:id="13"/>
            </w:r>
            <w:r w:rsidRPr="00C00806">
              <w:rPr>
                <w:spacing w:val="-4"/>
              </w:rPr>
              <w:t>.</w:t>
            </w:r>
            <w:r>
              <w:rPr>
                <w:spacing w:val="-4"/>
              </w:rPr>
              <w:t xml:space="preserve"> Naopak produkce ve výrobě ostatních </w:t>
            </w:r>
            <w:r w:rsidR="0051507D">
              <w:rPr>
                <w:spacing w:val="-4"/>
              </w:rPr>
              <w:t>(</w:t>
            </w:r>
            <w:r>
              <w:rPr>
                <w:spacing w:val="-4"/>
              </w:rPr>
              <w:t>zejména kolejových</w:t>
            </w:r>
            <w:r w:rsidR="0051507D">
              <w:rPr>
                <w:spacing w:val="-4"/>
              </w:rPr>
              <w:t>)</w:t>
            </w:r>
            <w:r w:rsidR="00DF34B2">
              <w:rPr>
                <w:spacing w:val="-4"/>
              </w:rPr>
              <w:t xml:space="preserve"> </w:t>
            </w:r>
            <w:r>
              <w:rPr>
                <w:spacing w:val="-4"/>
              </w:rPr>
              <w:t>do</w:t>
            </w:r>
            <w:r w:rsidR="00DF34B2">
              <w:rPr>
                <w:spacing w:val="-4"/>
              </w:rPr>
              <w:t>pravních prostředků, jež má</w:t>
            </w:r>
            <w:r>
              <w:rPr>
                <w:spacing w:val="-4"/>
              </w:rPr>
              <w:t xml:space="preserve"> </w:t>
            </w:r>
            <w:proofErr w:type="spellStart"/>
            <w:r>
              <w:rPr>
                <w:spacing w:val="-4"/>
              </w:rPr>
              <w:t>vol</w:t>
            </w:r>
            <w:r w:rsidR="006B59D7">
              <w:rPr>
                <w:spacing w:val="-4"/>
              </w:rPr>
              <w:t>atilnější</w:t>
            </w:r>
            <w:proofErr w:type="spellEnd"/>
            <w:r w:rsidR="006B59D7">
              <w:rPr>
                <w:spacing w:val="-4"/>
              </w:rPr>
              <w:t xml:space="preserve"> charakter, oslabila o </w:t>
            </w:r>
            <w:r>
              <w:rPr>
                <w:spacing w:val="-4"/>
              </w:rPr>
              <w:t>více než osminu. Zaznamenala tak společně s předešlým čtvrtletím nejhorší výsledek od konce roku 2012. V pozadí stála silnější redukc</w:t>
            </w:r>
            <w:r w:rsidR="00F0732D">
              <w:rPr>
                <w:spacing w:val="-4"/>
              </w:rPr>
              <w:t>e tuzemské poptávky. V</w:t>
            </w:r>
            <w:r>
              <w:rPr>
                <w:spacing w:val="-4"/>
              </w:rPr>
              <w:t xml:space="preserve">ýrazně </w:t>
            </w:r>
            <w:r w:rsidR="00F0732D">
              <w:rPr>
                <w:spacing w:val="-4"/>
              </w:rPr>
              <w:t xml:space="preserve">se dařilo </w:t>
            </w:r>
            <w:r>
              <w:rPr>
                <w:spacing w:val="-4"/>
              </w:rPr>
              <w:t>proexportní tvorbě počítačů, elektronických a</w:t>
            </w:r>
            <w:r w:rsidR="0051507D">
              <w:rPr>
                <w:spacing w:val="-4"/>
              </w:rPr>
              <w:t xml:space="preserve"> optických přístrojů (+7,5 %, za celý loňský rok +3,9</w:t>
            </w:r>
            <w:r>
              <w:rPr>
                <w:spacing w:val="-4"/>
              </w:rPr>
              <w:t xml:space="preserve"> %). Zrychlil i výkon váhově významného a vnitřně diverzifikova</w:t>
            </w:r>
            <w:r w:rsidR="0051507D">
              <w:rPr>
                <w:spacing w:val="-4"/>
              </w:rPr>
              <w:t>ného odvětví strojírenství (na 5,1</w:t>
            </w:r>
            <w:r>
              <w:rPr>
                <w:spacing w:val="-4"/>
              </w:rPr>
              <w:t xml:space="preserve"> %, nejlepší výsledek v rámci 1. čtvrtletí za posledních pět let). Navýšení výrobních kapacit i relativně chladnější zima se odrazily v</w:t>
            </w:r>
            <w:r w:rsidR="0051507D">
              <w:rPr>
                <w:spacing w:val="-4"/>
              </w:rPr>
              <w:t>e vyšší produkci energetiky (o 4,3</w:t>
            </w:r>
            <w:r w:rsidR="00DF34B2">
              <w:rPr>
                <w:spacing w:val="-4"/>
              </w:rPr>
              <w:t xml:space="preserve"> %). S</w:t>
            </w:r>
            <w:r>
              <w:rPr>
                <w:spacing w:val="-4"/>
              </w:rPr>
              <w:t xml:space="preserve">polečně s předešlým čtvrtletím </w:t>
            </w:r>
            <w:r w:rsidR="0051507D">
              <w:rPr>
                <w:spacing w:val="-4"/>
              </w:rPr>
              <w:t>(+7,3 </w:t>
            </w:r>
            <w:r>
              <w:rPr>
                <w:spacing w:val="-4"/>
              </w:rPr>
              <w:t xml:space="preserve">%) šlo </w:t>
            </w:r>
            <w:r w:rsidR="00F0732D">
              <w:rPr>
                <w:spacing w:val="-4"/>
              </w:rPr>
              <w:t xml:space="preserve">o </w:t>
            </w:r>
            <w:r>
              <w:rPr>
                <w:spacing w:val="-4"/>
              </w:rPr>
              <w:t>nejlepší meziroční výsledek od 3. čtvrtletí 2010. Díky tomu se výkon energetiky letos dorovnal úrovni z konce poslední recese (1. čtvrtletí 2013)</w:t>
            </w:r>
            <w:r>
              <w:rPr>
                <w:rStyle w:val="Znakapoznpodarou"/>
                <w:spacing w:val="-4"/>
              </w:rPr>
              <w:footnoteReference w:id="14"/>
            </w:r>
            <w:r>
              <w:rPr>
                <w:spacing w:val="-4"/>
              </w:rPr>
              <w:t xml:space="preserve">. </w:t>
            </w:r>
          </w:p>
          <w:p w:rsidR="00355CAA" w:rsidRPr="00102835" w:rsidRDefault="00355CAA" w:rsidP="00A0172C">
            <w:pPr>
              <w:pStyle w:val="Textpoznpodarou"/>
              <w:jc w:val="both"/>
              <w:rPr>
                <w:spacing w:val="-4"/>
                <w:sz w:val="14"/>
                <w:szCs w:val="14"/>
              </w:rPr>
            </w:pPr>
          </w:p>
        </w:tc>
      </w:tr>
      <w:tr w:rsidR="00355CAA" w:rsidRPr="00A74192" w:rsidTr="008A03DE">
        <w:trPr>
          <w:trHeight w:val="145"/>
        </w:trPr>
        <w:tc>
          <w:tcPr>
            <w:tcW w:w="1016" w:type="pct"/>
            <w:shd w:val="clear" w:color="auto" w:fill="auto"/>
          </w:tcPr>
          <w:p w:rsidR="00355CAA" w:rsidRPr="003E5346" w:rsidRDefault="00355CAA" w:rsidP="00A0172C">
            <w:pPr>
              <w:spacing w:line="240" w:lineRule="auto"/>
              <w:rPr>
                <w:spacing w:val="-4"/>
                <w:sz w:val="16"/>
                <w:szCs w:val="16"/>
              </w:rPr>
            </w:pPr>
            <w:r w:rsidRPr="003E5346">
              <w:rPr>
                <w:spacing w:val="-4"/>
                <w:sz w:val="16"/>
                <w:szCs w:val="16"/>
              </w:rPr>
              <w:t>Svižný růst nábytkářského průmyslu</w:t>
            </w:r>
            <w:r w:rsidR="00CB2EEA">
              <w:rPr>
                <w:spacing w:val="-4"/>
                <w:sz w:val="16"/>
                <w:szCs w:val="16"/>
              </w:rPr>
              <w:t xml:space="preserve"> trvající od konce recese</w:t>
            </w:r>
            <w:r w:rsidRPr="003E5346">
              <w:rPr>
                <w:spacing w:val="-4"/>
                <w:sz w:val="16"/>
                <w:szCs w:val="16"/>
              </w:rPr>
              <w:t xml:space="preserve"> přetrvával…</w:t>
            </w:r>
          </w:p>
          <w:p w:rsidR="00355CAA" w:rsidRPr="003E5346" w:rsidRDefault="00355CAA" w:rsidP="00A0172C">
            <w:pPr>
              <w:spacing w:line="240" w:lineRule="auto"/>
              <w:rPr>
                <w:spacing w:val="-4"/>
                <w:sz w:val="16"/>
                <w:szCs w:val="16"/>
              </w:rPr>
            </w:pPr>
          </w:p>
          <w:p w:rsidR="00355CAA" w:rsidRPr="003C0D68" w:rsidRDefault="00355CAA" w:rsidP="00A0172C">
            <w:pPr>
              <w:spacing w:line="240" w:lineRule="auto"/>
              <w:rPr>
                <w:spacing w:val="-2"/>
                <w:sz w:val="16"/>
                <w:szCs w:val="16"/>
              </w:rPr>
            </w:pPr>
            <w:r w:rsidRPr="003C0D68">
              <w:rPr>
                <w:spacing w:val="-2"/>
                <w:sz w:val="16"/>
                <w:szCs w:val="16"/>
              </w:rPr>
              <w:lastRenderedPageBreak/>
              <w:t>…dařilo se i většině ostatníc</w:t>
            </w:r>
            <w:r w:rsidR="003F0293">
              <w:rPr>
                <w:spacing w:val="-2"/>
                <w:sz w:val="16"/>
                <w:szCs w:val="16"/>
              </w:rPr>
              <w:t>h menších zpracovatelských odvětví</w:t>
            </w:r>
            <w:r w:rsidRPr="003C0D68">
              <w:rPr>
                <w:spacing w:val="-2"/>
                <w:sz w:val="16"/>
                <w:szCs w:val="16"/>
              </w:rPr>
              <w:t>, vyjma oděvnictví a tiskárenství.</w:t>
            </w:r>
          </w:p>
        </w:tc>
        <w:tc>
          <w:tcPr>
            <w:tcW w:w="144" w:type="pct"/>
          </w:tcPr>
          <w:p w:rsidR="00355CAA" w:rsidRPr="005A16AE" w:rsidRDefault="00355CAA" w:rsidP="00A0172C">
            <w:pPr>
              <w:rPr>
                <w:color w:val="000000" w:themeColor="text1"/>
                <w:szCs w:val="16"/>
              </w:rPr>
            </w:pPr>
          </w:p>
        </w:tc>
        <w:tc>
          <w:tcPr>
            <w:tcW w:w="3840" w:type="pct"/>
          </w:tcPr>
          <w:p w:rsidR="00355CAA" w:rsidRPr="003F0293" w:rsidRDefault="00355CAA" w:rsidP="00A0172C">
            <w:pPr>
              <w:pStyle w:val="Textpoznpodarou"/>
              <w:jc w:val="both"/>
              <w:rPr>
                <w:color w:val="000000" w:themeColor="text1"/>
                <w:spacing w:val="-4"/>
              </w:rPr>
            </w:pPr>
            <w:r w:rsidRPr="003D61AF">
              <w:rPr>
                <w:color w:val="000000" w:themeColor="text1"/>
                <w:spacing w:val="-4"/>
              </w:rPr>
              <w:t xml:space="preserve">Produkce se navyšovala i ve většině váhově </w:t>
            </w:r>
            <w:r>
              <w:rPr>
                <w:color w:val="000000" w:themeColor="text1"/>
                <w:spacing w:val="-4"/>
              </w:rPr>
              <w:t>méně významných průmyslových</w:t>
            </w:r>
            <w:r w:rsidR="003F0293">
              <w:rPr>
                <w:color w:val="000000" w:themeColor="text1"/>
                <w:spacing w:val="-4"/>
              </w:rPr>
              <w:t xml:space="preserve"> odvětví</w:t>
            </w:r>
            <w:r w:rsidRPr="003D61AF">
              <w:rPr>
                <w:color w:val="000000" w:themeColor="text1"/>
                <w:spacing w:val="-4"/>
              </w:rPr>
              <w:t xml:space="preserve">. </w:t>
            </w:r>
            <w:r>
              <w:rPr>
                <w:color w:val="000000" w:themeColor="text1"/>
                <w:spacing w:val="-4"/>
              </w:rPr>
              <w:t>V nábytkářství vzro</w:t>
            </w:r>
            <w:r w:rsidR="00A82C52">
              <w:rPr>
                <w:color w:val="000000" w:themeColor="text1"/>
                <w:spacing w:val="-4"/>
              </w:rPr>
              <w:t>stla za poslední čtyři roky o 23</w:t>
            </w:r>
            <w:r>
              <w:rPr>
                <w:color w:val="000000" w:themeColor="text1"/>
                <w:spacing w:val="-4"/>
              </w:rPr>
              <w:t xml:space="preserve"> % (o 2 </w:t>
            </w:r>
            <w:proofErr w:type="spellStart"/>
            <w:proofErr w:type="gramStart"/>
            <w:r>
              <w:rPr>
                <w:color w:val="000000" w:themeColor="text1"/>
                <w:spacing w:val="-4"/>
              </w:rPr>
              <w:t>p.b</w:t>
            </w:r>
            <w:proofErr w:type="spellEnd"/>
            <w:r>
              <w:rPr>
                <w:color w:val="000000" w:themeColor="text1"/>
                <w:spacing w:val="-4"/>
              </w:rPr>
              <w:t>. více</w:t>
            </w:r>
            <w:proofErr w:type="gramEnd"/>
            <w:r>
              <w:rPr>
                <w:color w:val="000000" w:themeColor="text1"/>
                <w:spacing w:val="-4"/>
              </w:rPr>
              <w:t xml:space="preserve"> než v celém zpracovatelském průmyslu). Od konce poslední recese se daří </w:t>
            </w:r>
            <w:r>
              <w:rPr>
                <w:color w:val="000000" w:themeColor="text1"/>
                <w:spacing w:val="-4"/>
              </w:rPr>
              <w:lastRenderedPageBreak/>
              <w:t xml:space="preserve">i papírenskému průmyslu, podobně jako výrobcům </w:t>
            </w:r>
            <w:r w:rsidRPr="00DC5DAD">
              <w:rPr>
                <w:color w:val="000000" w:themeColor="text1"/>
                <w:spacing w:val="-4"/>
              </w:rPr>
              <w:t>textilií</w:t>
            </w:r>
            <w:r>
              <w:rPr>
                <w:color w:val="000000" w:themeColor="text1"/>
                <w:spacing w:val="-4"/>
              </w:rPr>
              <w:t>. Pokračoval naopak dlouhodobý útlum oděvního průmyslu (dočasně přerušený jen v roce 2015), jehož p</w:t>
            </w:r>
            <w:r w:rsidR="00A82C52">
              <w:rPr>
                <w:color w:val="000000" w:themeColor="text1"/>
                <w:spacing w:val="-4"/>
              </w:rPr>
              <w:t>rodukce se meziročně snížila o téměř 7</w:t>
            </w:r>
            <w:r>
              <w:rPr>
                <w:color w:val="000000" w:themeColor="text1"/>
                <w:spacing w:val="-4"/>
              </w:rPr>
              <w:t xml:space="preserve"> % (pokles váhově významnějších tržeb z přímého vývozu zastínil efekt růstu domácí poptávky). Na silný loňský růst nedokázalo zatím letos navázat tiskárenství, které je tradičně zaměřeno především na tuzemský trh.</w:t>
            </w:r>
          </w:p>
        </w:tc>
      </w:tr>
    </w:tbl>
    <w:p w:rsidR="00492991" w:rsidRDefault="00492991" w:rsidP="00492991">
      <w:pPr>
        <w:pStyle w:val="Textpoznpodarou"/>
        <w:jc w:val="both"/>
        <w:rPr>
          <w:sz w:val="18"/>
          <w:szCs w:val="18"/>
        </w:rPr>
      </w:pPr>
    </w:p>
    <w:tbl>
      <w:tblPr>
        <w:tblW w:w="4963" w:type="pct"/>
        <w:tblInd w:w="108" w:type="dxa"/>
        <w:tblLayout w:type="fixed"/>
        <w:tblLook w:val="00A0"/>
      </w:tblPr>
      <w:tblGrid>
        <w:gridCol w:w="1997"/>
        <w:gridCol w:w="284"/>
        <w:gridCol w:w="1121"/>
        <w:gridCol w:w="6379"/>
      </w:tblGrid>
      <w:tr w:rsidR="003C6DB9" w:rsidRPr="00AA4A76" w:rsidTr="00540CB3">
        <w:trPr>
          <w:trHeight w:val="145"/>
        </w:trPr>
        <w:tc>
          <w:tcPr>
            <w:tcW w:w="1021" w:type="pct"/>
            <w:shd w:val="clear" w:color="auto" w:fill="auto"/>
          </w:tcPr>
          <w:p w:rsidR="003C6DB9" w:rsidRPr="00AA4A76" w:rsidRDefault="003C6DB9" w:rsidP="00A0172C">
            <w:pPr>
              <w:spacing w:line="240" w:lineRule="auto"/>
              <w:jc w:val="center"/>
              <w:rPr>
                <w:color w:val="000000"/>
                <w:szCs w:val="20"/>
              </w:rPr>
            </w:pPr>
          </w:p>
        </w:tc>
        <w:tc>
          <w:tcPr>
            <w:tcW w:w="145" w:type="pct"/>
          </w:tcPr>
          <w:p w:rsidR="003C6DB9" w:rsidRPr="00AA4A76" w:rsidRDefault="003C6DB9" w:rsidP="00A0172C">
            <w:pPr>
              <w:pStyle w:val="Textpoznpodarou"/>
              <w:jc w:val="both"/>
              <w:rPr>
                <w:highlight w:val="yellow"/>
              </w:rPr>
            </w:pPr>
          </w:p>
        </w:tc>
        <w:tc>
          <w:tcPr>
            <w:tcW w:w="573" w:type="pct"/>
          </w:tcPr>
          <w:p w:rsidR="003C6DB9" w:rsidRPr="00540CB3" w:rsidRDefault="003C6DB9" w:rsidP="00A0172C">
            <w:pPr>
              <w:pStyle w:val="Textpoznpodarou"/>
              <w:jc w:val="both"/>
              <w:rPr>
                <w:highlight w:val="yellow"/>
              </w:rPr>
            </w:pPr>
            <w:r w:rsidRPr="00540CB3">
              <w:rPr>
                <w:color w:val="000000"/>
              </w:rPr>
              <w:t>Graf č. 5</w:t>
            </w:r>
          </w:p>
        </w:tc>
        <w:tc>
          <w:tcPr>
            <w:tcW w:w="3261" w:type="pct"/>
          </w:tcPr>
          <w:p w:rsidR="003C6DB9" w:rsidRPr="003C6DB9" w:rsidRDefault="003C6DB9" w:rsidP="00ED2B0B">
            <w:pPr>
              <w:pStyle w:val="Textpoznpodarou"/>
              <w:rPr>
                <w:b/>
              </w:rPr>
            </w:pPr>
            <w:r w:rsidRPr="001D04BA">
              <w:rPr>
                <w:b/>
              </w:rPr>
              <w:t>Produkce v průmyslu a</w:t>
            </w:r>
            <w:r>
              <w:rPr>
                <w:b/>
              </w:rPr>
              <w:t xml:space="preserve"> ve</w:t>
            </w:r>
            <w:r w:rsidRPr="001D04BA">
              <w:rPr>
                <w:b/>
              </w:rPr>
              <w:t xml:space="preserve"> vyb</w:t>
            </w:r>
            <w:r>
              <w:rPr>
                <w:b/>
              </w:rPr>
              <w:t xml:space="preserve">raných zpracovatelských odvětvích </w:t>
            </w:r>
            <w:r w:rsidR="00540CB3">
              <w:t xml:space="preserve">(reálně, </w:t>
            </w:r>
            <w:r>
              <w:t>očištěno o kalendářní vlivy,</w:t>
            </w:r>
            <w:r w:rsidRPr="001D04BA">
              <w:t xml:space="preserve"> </w:t>
            </w:r>
            <w:r w:rsidR="00540CB3">
              <w:t>meziročně</w:t>
            </w:r>
            <w:r w:rsidR="00540CB3" w:rsidRPr="001D04BA">
              <w:t xml:space="preserve"> </w:t>
            </w:r>
            <w:r w:rsidRPr="001D04BA">
              <w:t>v %)</w:t>
            </w:r>
          </w:p>
        </w:tc>
      </w:tr>
      <w:tr w:rsidR="003C6DB9" w:rsidRPr="00AA4A76" w:rsidTr="00540CB3">
        <w:trPr>
          <w:trHeight w:val="145"/>
        </w:trPr>
        <w:tc>
          <w:tcPr>
            <w:tcW w:w="1021" w:type="pct"/>
            <w:shd w:val="clear" w:color="auto" w:fill="auto"/>
          </w:tcPr>
          <w:p w:rsidR="003C6DB9" w:rsidRPr="006D3F53" w:rsidRDefault="003C6DB9" w:rsidP="00A0172C">
            <w:pPr>
              <w:spacing w:line="240" w:lineRule="auto"/>
              <w:rPr>
                <w:color w:val="000000"/>
                <w:sz w:val="16"/>
                <w:szCs w:val="16"/>
                <w:highlight w:val="yellow"/>
              </w:rPr>
            </w:pPr>
          </w:p>
        </w:tc>
        <w:tc>
          <w:tcPr>
            <w:tcW w:w="145" w:type="pct"/>
          </w:tcPr>
          <w:p w:rsidR="003C6DB9" w:rsidRPr="00A74192" w:rsidRDefault="003C6DB9" w:rsidP="00A0172C">
            <w:pPr>
              <w:pStyle w:val="Textpoznpodarou"/>
              <w:jc w:val="both"/>
            </w:pPr>
          </w:p>
        </w:tc>
        <w:tc>
          <w:tcPr>
            <w:tcW w:w="3834" w:type="pct"/>
            <w:gridSpan w:val="2"/>
          </w:tcPr>
          <w:p w:rsidR="003C6DB9" w:rsidRPr="00A82C52" w:rsidRDefault="00ED2B0B" w:rsidP="00A82C52">
            <w:pPr>
              <w:pStyle w:val="Textpoznpodarou"/>
              <w:ind w:left="-124"/>
              <w:jc w:val="right"/>
              <w:rPr>
                <w:sz w:val="16"/>
                <w:szCs w:val="16"/>
              </w:rPr>
            </w:pPr>
            <w:r w:rsidRPr="00ED2B0B">
              <w:rPr>
                <w:noProof/>
                <w:sz w:val="14"/>
                <w:szCs w:val="14"/>
              </w:rPr>
              <w:drawing>
                <wp:inline distT="0" distB="0" distL="0" distR="0">
                  <wp:extent cx="4769902" cy="35532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C6DB9" w:rsidRPr="00540CB3">
              <w:rPr>
                <w:sz w:val="14"/>
                <w:szCs w:val="14"/>
              </w:rPr>
              <w:t>Zdroj: ČSÚ</w:t>
            </w:r>
          </w:p>
        </w:tc>
      </w:tr>
    </w:tbl>
    <w:p w:rsidR="00355CAA" w:rsidRPr="005C40BA" w:rsidRDefault="00355CAA" w:rsidP="00492991">
      <w:pPr>
        <w:pStyle w:val="Textpoznpodarou"/>
        <w:jc w:val="both"/>
        <w:rPr>
          <w:sz w:val="18"/>
          <w:szCs w:val="18"/>
        </w:rPr>
      </w:pPr>
    </w:p>
    <w:tbl>
      <w:tblPr>
        <w:tblW w:w="4986" w:type="pct"/>
        <w:tblInd w:w="107" w:type="dxa"/>
        <w:tblLayout w:type="fixed"/>
        <w:tblLook w:val="00A0"/>
      </w:tblPr>
      <w:tblGrid>
        <w:gridCol w:w="1997"/>
        <w:gridCol w:w="283"/>
        <w:gridCol w:w="7546"/>
      </w:tblGrid>
      <w:tr w:rsidR="00355CAA" w:rsidRPr="00656A4E" w:rsidTr="00A0172C">
        <w:tc>
          <w:tcPr>
            <w:tcW w:w="1016" w:type="pct"/>
            <w:shd w:val="clear" w:color="auto" w:fill="auto"/>
          </w:tcPr>
          <w:p w:rsidR="00355CAA" w:rsidRPr="00F3262E" w:rsidRDefault="00355CAA" w:rsidP="00A0172C">
            <w:pPr>
              <w:spacing w:line="240" w:lineRule="auto"/>
              <w:rPr>
                <w:color w:val="000000" w:themeColor="text1"/>
                <w:sz w:val="16"/>
                <w:szCs w:val="16"/>
              </w:rPr>
            </w:pPr>
            <w:r>
              <w:rPr>
                <w:color w:val="000000" w:themeColor="text1"/>
                <w:sz w:val="16"/>
                <w:szCs w:val="16"/>
              </w:rPr>
              <w:t>Tržby průmyslových podniků z tuzemska svými tempy doháněly tržby z přímého vývozu.</w:t>
            </w:r>
          </w:p>
        </w:tc>
        <w:tc>
          <w:tcPr>
            <w:tcW w:w="144" w:type="pct"/>
          </w:tcPr>
          <w:p w:rsidR="00355CAA" w:rsidRPr="00F3262E" w:rsidRDefault="00355CAA" w:rsidP="00A0172C">
            <w:pPr>
              <w:pStyle w:val="Textpoznpodarou"/>
              <w:jc w:val="both"/>
              <w:rPr>
                <w:color w:val="000000" w:themeColor="text1"/>
                <w:spacing w:val="-2"/>
              </w:rPr>
            </w:pPr>
          </w:p>
        </w:tc>
        <w:tc>
          <w:tcPr>
            <w:tcW w:w="3840" w:type="pct"/>
          </w:tcPr>
          <w:p w:rsidR="00355CAA" w:rsidRDefault="00355CAA" w:rsidP="00A0172C">
            <w:pPr>
              <w:pStyle w:val="Textpoznpodarou"/>
              <w:spacing w:before="20"/>
              <w:jc w:val="both"/>
              <w:rPr>
                <w:color w:val="000000" w:themeColor="text1"/>
                <w:spacing w:val="-4"/>
              </w:rPr>
            </w:pPr>
            <w:r>
              <w:rPr>
                <w:color w:val="000000" w:themeColor="text1"/>
                <w:spacing w:val="-4"/>
              </w:rPr>
              <w:t>Trendy v průmyslové produkci souvisí s vývojem tržeb</w:t>
            </w:r>
            <w:r>
              <w:rPr>
                <w:rStyle w:val="Znakapoznpodarou"/>
                <w:color w:val="000000" w:themeColor="text1"/>
                <w:spacing w:val="-4"/>
              </w:rPr>
              <w:footnoteReference w:id="15"/>
            </w:r>
            <w:r w:rsidR="00934836">
              <w:rPr>
                <w:color w:val="000000" w:themeColor="text1"/>
                <w:spacing w:val="-4"/>
              </w:rPr>
              <w:t>. Ty letos vzrostly o 10,5</w:t>
            </w:r>
            <w:r>
              <w:rPr>
                <w:color w:val="000000" w:themeColor="text1"/>
                <w:spacing w:val="-4"/>
              </w:rPr>
              <w:t xml:space="preserve"> %. Od roku 2015 lze pozorovat sbližování meziročních temp tržeb z přímého vývozu a tržeb z tuzemska, na </w:t>
            </w:r>
            <w:r w:rsidR="00CB2EEA">
              <w:rPr>
                <w:color w:val="000000" w:themeColor="text1"/>
                <w:spacing w:val="-4"/>
              </w:rPr>
              <w:t xml:space="preserve">počátku letošního roku byly </w:t>
            </w:r>
            <w:r>
              <w:rPr>
                <w:color w:val="000000" w:themeColor="text1"/>
                <w:spacing w:val="-4"/>
              </w:rPr>
              <w:t xml:space="preserve">rozdíly mezi </w:t>
            </w:r>
            <w:proofErr w:type="gramStart"/>
            <w:r w:rsidR="00CB2EEA">
              <w:rPr>
                <w:color w:val="000000" w:themeColor="text1"/>
                <w:spacing w:val="-4"/>
              </w:rPr>
              <w:t xml:space="preserve">již </w:t>
            </w:r>
            <w:r>
              <w:rPr>
                <w:color w:val="000000" w:themeColor="text1"/>
                <w:spacing w:val="-4"/>
              </w:rPr>
              <w:t>nimi</w:t>
            </w:r>
            <w:proofErr w:type="gramEnd"/>
            <w:r>
              <w:rPr>
                <w:color w:val="000000" w:themeColor="text1"/>
                <w:spacing w:val="-4"/>
              </w:rPr>
              <w:t xml:space="preserve"> min</w:t>
            </w:r>
            <w:r w:rsidR="00934836">
              <w:rPr>
                <w:color w:val="000000" w:themeColor="text1"/>
                <w:spacing w:val="-4"/>
              </w:rPr>
              <w:t>imální. Domácí tržby rostly o 9,5</w:t>
            </w:r>
            <w:r>
              <w:rPr>
                <w:color w:val="000000" w:themeColor="text1"/>
                <w:spacing w:val="-4"/>
              </w:rPr>
              <w:t xml:space="preserve"> %, nejvíce od konce roku 2007. Přispělo k tomu jejich silné navýšení v chemickém průmyslu (meziročně o třetinu), ale i ve strojírenství či výrobě elektrických zařízení.</w:t>
            </w:r>
          </w:p>
          <w:p w:rsidR="00355CAA" w:rsidRPr="00074A81" w:rsidRDefault="00355CAA" w:rsidP="00A0172C">
            <w:pPr>
              <w:pStyle w:val="Textpoznpodarou"/>
              <w:jc w:val="both"/>
              <w:rPr>
                <w:color w:val="000000" w:themeColor="text1"/>
                <w:spacing w:val="-4"/>
                <w:sz w:val="11"/>
                <w:szCs w:val="11"/>
              </w:rPr>
            </w:pPr>
          </w:p>
        </w:tc>
      </w:tr>
      <w:tr w:rsidR="00355CAA" w:rsidRPr="00156294" w:rsidTr="00A0172C">
        <w:tc>
          <w:tcPr>
            <w:tcW w:w="1016" w:type="pct"/>
            <w:shd w:val="clear" w:color="auto" w:fill="auto"/>
          </w:tcPr>
          <w:p w:rsidR="00355CAA" w:rsidRDefault="00355CAA" w:rsidP="00A0172C">
            <w:pPr>
              <w:spacing w:line="240" w:lineRule="auto"/>
              <w:rPr>
                <w:sz w:val="16"/>
                <w:szCs w:val="16"/>
              </w:rPr>
            </w:pPr>
            <w:r>
              <w:rPr>
                <w:sz w:val="16"/>
                <w:szCs w:val="16"/>
              </w:rPr>
              <w:t>Hodnota nových zakázek meziročně posílila téměř ve všech sledovaných průmyslových oborech, nejvíce v chemickém průmyslu.</w:t>
            </w:r>
          </w:p>
          <w:p w:rsidR="00355CAA" w:rsidRDefault="00355CAA" w:rsidP="00A0172C">
            <w:pPr>
              <w:spacing w:line="240" w:lineRule="auto"/>
              <w:rPr>
                <w:sz w:val="16"/>
                <w:szCs w:val="16"/>
              </w:rPr>
            </w:pPr>
          </w:p>
          <w:p w:rsidR="00355CAA" w:rsidRDefault="00355CAA" w:rsidP="00A0172C">
            <w:pPr>
              <w:spacing w:line="240" w:lineRule="auto"/>
              <w:rPr>
                <w:sz w:val="16"/>
                <w:szCs w:val="16"/>
              </w:rPr>
            </w:pPr>
          </w:p>
          <w:p w:rsidR="00355CAA" w:rsidRDefault="00355CAA" w:rsidP="00A0172C">
            <w:pPr>
              <w:spacing w:line="240" w:lineRule="auto"/>
              <w:rPr>
                <w:sz w:val="16"/>
                <w:szCs w:val="16"/>
              </w:rPr>
            </w:pPr>
          </w:p>
          <w:p w:rsidR="00355CAA" w:rsidRDefault="00355CAA" w:rsidP="00A0172C">
            <w:pPr>
              <w:spacing w:line="240" w:lineRule="auto"/>
              <w:rPr>
                <w:sz w:val="16"/>
                <w:szCs w:val="16"/>
              </w:rPr>
            </w:pPr>
          </w:p>
          <w:p w:rsidR="00355CAA" w:rsidRPr="00DA1318" w:rsidRDefault="00355CAA" w:rsidP="00A0172C">
            <w:pPr>
              <w:spacing w:line="240" w:lineRule="auto"/>
              <w:rPr>
                <w:sz w:val="16"/>
                <w:szCs w:val="16"/>
              </w:rPr>
            </w:pPr>
            <w:r>
              <w:rPr>
                <w:sz w:val="16"/>
                <w:szCs w:val="16"/>
              </w:rPr>
              <w:t>Nálada podnikatelů v průmyslu zůstávala přes mírné zhoršení v posledních šesti měsících stále pozitivní.</w:t>
            </w:r>
          </w:p>
        </w:tc>
        <w:tc>
          <w:tcPr>
            <w:tcW w:w="144" w:type="pct"/>
          </w:tcPr>
          <w:p w:rsidR="00355CAA" w:rsidRDefault="00355CAA" w:rsidP="00A0172C">
            <w:pPr>
              <w:pStyle w:val="Textpoznpodarou"/>
              <w:jc w:val="both"/>
              <w:rPr>
                <w:spacing w:val="-2"/>
              </w:rPr>
            </w:pPr>
          </w:p>
        </w:tc>
        <w:tc>
          <w:tcPr>
            <w:tcW w:w="3840" w:type="pct"/>
          </w:tcPr>
          <w:p w:rsidR="00355CAA" w:rsidRPr="003F0293" w:rsidRDefault="00355CAA" w:rsidP="003F0293">
            <w:pPr>
              <w:pStyle w:val="Textpoznpodarou"/>
              <w:spacing w:before="20"/>
              <w:jc w:val="both"/>
              <w:rPr>
                <w:color w:val="000000" w:themeColor="text1"/>
                <w:spacing w:val="-4"/>
              </w:rPr>
            </w:pPr>
            <w:r>
              <w:rPr>
                <w:spacing w:val="-4"/>
              </w:rPr>
              <w:t>Tempo přílivu nových průmyslových zakázek</w:t>
            </w:r>
            <w:r>
              <w:rPr>
                <w:rStyle w:val="Znakapoznpodarou"/>
                <w:spacing w:val="-4"/>
              </w:rPr>
              <w:footnoteReference w:id="16"/>
            </w:r>
            <w:r>
              <w:rPr>
                <w:spacing w:val="-4"/>
              </w:rPr>
              <w:t xml:space="preserve"> na počátku roku neoslabovalo. Hodnota zakázek byla o desetinu vyšší, částečně vlivem nižší srovnávací základny (v</w:t>
            </w:r>
            <w:r>
              <w:rPr>
                <w:color w:val="000000" w:themeColor="text1"/>
                <w:spacing w:val="-4"/>
              </w:rPr>
              <w:t> </w:t>
            </w:r>
            <w:r>
              <w:rPr>
                <w:spacing w:val="-4"/>
              </w:rPr>
              <w:t>1. loňském čtvrtletí činil růst jen 1</w:t>
            </w:r>
            <w:r w:rsidR="002B6B7A">
              <w:rPr>
                <w:spacing w:val="-4"/>
              </w:rPr>
              <w:t>,7</w:t>
            </w:r>
            <w:r>
              <w:rPr>
                <w:spacing w:val="-4"/>
              </w:rPr>
              <w:t xml:space="preserve"> % a byl nejnižší po odeznění poslední recese). Svižnému letošnímu růstu zakázek napomohlo obnovení kapacit v chemickém průmyslu </w:t>
            </w:r>
            <w:r w:rsidR="002B6B7A">
              <w:rPr>
                <w:spacing w:val="-4"/>
              </w:rPr>
              <w:t>(meziroční růst o 27,2</w:t>
            </w:r>
            <w:r>
              <w:rPr>
                <w:spacing w:val="-4"/>
              </w:rPr>
              <w:t xml:space="preserve"> % plně vykompenzoval hloubku propadu na počátku loňského roku). Pozitivní vývoj však pocítily všechny sledované obory, vyjma oděvnictví.</w:t>
            </w:r>
            <w:r>
              <w:rPr>
                <w:color w:val="000000" w:themeColor="text1"/>
                <w:spacing w:val="-4"/>
              </w:rPr>
              <w:t xml:space="preserve"> Nálada podnikatelů v průmyslu (dle sezónně očištěného salda indikátoru důvěry) zůstávala nadále mírně pozitivní, avšak počínaje loňským prosincem již šestý měsíc v řadě lehce oslabovala. Růst výrobní činnosti v</w:t>
            </w:r>
            <w:r w:rsidR="00DF34B2">
              <w:rPr>
                <w:color w:val="000000" w:themeColor="text1"/>
                <w:spacing w:val="-4"/>
              </w:rPr>
              <w:t> příštích třech měsících</w:t>
            </w:r>
            <w:r>
              <w:rPr>
                <w:color w:val="000000" w:themeColor="text1"/>
                <w:spacing w:val="-4"/>
              </w:rPr>
              <w:t xml:space="preserve"> očekávala </w:t>
            </w:r>
            <w:r w:rsidR="00DF34B2">
              <w:rPr>
                <w:color w:val="000000" w:themeColor="text1"/>
                <w:spacing w:val="-4"/>
              </w:rPr>
              <w:t xml:space="preserve">dle dubnových dat </w:t>
            </w:r>
            <w:r>
              <w:rPr>
                <w:color w:val="000000" w:themeColor="text1"/>
                <w:spacing w:val="-4"/>
              </w:rPr>
              <w:t>pětina průmyslových podniků (podobně jako loni), zvýšil se však podíl podniků uvažujících ve stejném horizontu o navýšení</w:t>
            </w:r>
            <w:r w:rsidR="00DF34B2">
              <w:rPr>
                <w:color w:val="000000" w:themeColor="text1"/>
                <w:spacing w:val="-4"/>
              </w:rPr>
              <w:t xml:space="preserve"> zaměstnanosti (z </w:t>
            </w:r>
            <w:r w:rsidR="002B6B7A">
              <w:rPr>
                <w:color w:val="000000" w:themeColor="text1"/>
                <w:spacing w:val="-4"/>
              </w:rPr>
              <w:t>18 % na 22 </w:t>
            </w:r>
            <w:r>
              <w:rPr>
                <w:color w:val="000000" w:themeColor="text1"/>
                <w:spacing w:val="-4"/>
              </w:rPr>
              <w:t>%), a to především vlivem zlepšení vyhlídek v energetice. Podíl podniků považujících nedostatek pracovní síly za bariéru růstu se citelně zvyšuje již téměř dva roky. Na počátku 2. čtvrtletí 2017 šlo již bezmála o 35 % podniků, meziročně dvakrát více. Role nedostatečné poptávky nadá</w:t>
            </w:r>
            <w:r w:rsidR="00215061">
              <w:rPr>
                <w:color w:val="000000" w:themeColor="text1"/>
                <w:spacing w:val="-4"/>
              </w:rPr>
              <w:t>le mírně klesala, přesto zůstávala</w:t>
            </w:r>
            <w:r w:rsidR="005325A8">
              <w:rPr>
                <w:color w:val="000000" w:themeColor="text1"/>
                <w:spacing w:val="-4"/>
              </w:rPr>
              <w:t xml:space="preserve"> pro podniky nejvýznamn</w:t>
            </w:r>
            <w:r>
              <w:rPr>
                <w:color w:val="000000" w:themeColor="text1"/>
                <w:spacing w:val="-4"/>
              </w:rPr>
              <w:t>ější bariérou růstu (42 %).</w:t>
            </w:r>
          </w:p>
        </w:tc>
      </w:tr>
    </w:tbl>
    <w:p w:rsidR="00813CB4" w:rsidRPr="003F0293" w:rsidRDefault="00813CB4" w:rsidP="00492991">
      <w:pPr>
        <w:pStyle w:val="Textpoznpodarou"/>
        <w:jc w:val="both"/>
        <w:rPr>
          <w:sz w:val="6"/>
          <w:szCs w:val="6"/>
        </w:rPr>
      </w:pPr>
    </w:p>
    <w:tbl>
      <w:tblPr>
        <w:tblW w:w="4963" w:type="pct"/>
        <w:tblInd w:w="108" w:type="dxa"/>
        <w:tblLayout w:type="fixed"/>
        <w:tblLook w:val="00A0"/>
      </w:tblPr>
      <w:tblGrid>
        <w:gridCol w:w="1997"/>
        <w:gridCol w:w="284"/>
        <w:gridCol w:w="980"/>
        <w:gridCol w:w="6520"/>
      </w:tblGrid>
      <w:tr w:rsidR="003C6DB9" w:rsidRPr="00AA4A76" w:rsidTr="00540CB3">
        <w:trPr>
          <w:trHeight w:val="145"/>
        </w:trPr>
        <w:tc>
          <w:tcPr>
            <w:tcW w:w="1021" w:type="pct"/>
            <w:shd w:val="clear" w:color="auto" w:fill="auto"/>
          </w:tcPr>
          <w:p w:rsidR="003C6DB9" w:rsidRPr="00AA4A76" w:rsidRDefault="003C6DB9" w:rsidP="00A0172C">
            <w:pPr>
              <w:spacing w:line="240" w:lineRule="auto"/>
              <w:jc w:val="center"/>
              <w:rPr>
                <w:color w:val="000000"/>
                <w:szCs w:val="20"/>
              </w:rPr>
            </w:pPr>
          </w:p>
        </w:tc>
        <w:tc>
          <w:tcPr>
            <w:tcW w:w="145" w:type="pct"/>
          </w:tcPr>
          <w:p w:rsidR="003C6DB9" w:rsidRPr="00AA4A76" w:rsidRDefault="003C6DB9" w:rsidP="00A0172C">
            <w:pPr>
              <w:pStyle w:val="Textpoznpodarou"/>
              <w:jc w:val="both"/>
              <w:rPr>
                <w:highlight w:val="yellow"/>
              </w:rPr>
            </w:pPr>
          </w:p>
        </w:tc>
        <w:tc>
          <w:tcPr>
            <w:tcW w:w="501" w:type="pct"/>
          </w:tcPr>
          <w:p w:rsidR="003C6DB9" w:rsidRPr="00540CB3" w:rsidRDefault="003C6DB9" w:rsidP="00A0172C">
            <w:pPr>
              <w:pStyle w:val="Textpoznpodarou"/>
              <w:jc w:val="both"/>
              <w:rPr>
                <w:spacing w:val="-4"/>
                <w:highlight w:val="yellow"/>
              </w:rPr>
            </w:pPr>
            <w:r w:rsidRPr="00540CB3">
              <w:rPr>
                <w:color w:val="000000"/>
                <w:spacing w:val="-4"/>
              </w:rPr>
              <w:t>Graf č. 6</w:t>
            </w:r>
          </w:p>
        </w:tc>
        <w:tc>
          <w:tcPr>
            <w:tcW w:w="3333" w:type="pct"/>
          </w:tcPr>
          <w:p w:rsidR="002B6B7A" w:rsidRPr="00540CB3" w:rsidRDefault="003C6DB9" w:rsidP="002B6B7A">
            <w:pPr>
              <w:pStyle w:val="Textpoznpodarou"/>
              <w:rPr>
                <w:b/>
                <w:spacing w:val="-2"/>
              </w:rPr>
            </w:pPr>
            <w:r w:rsidRPr="00540CB3">
              <w:rPr>
                <w:b/>
                <w:spacing w:val="-2"/>
              </w:rPr>
              <w:t xml:space="preserve">Nové zakázky v automobilovém průmyslu, v průmyslu celkem </w:t>
            </w:r>
          </w:p>
          <w:p w:rsidR="003C6DB9" w:rsidRPr="002B6B7A" w:rsidRDefault="00540CB3" w:rsidP="002B6B7A">
            <w:pPr>
              <w:pStyle w:val="Textpoznpodarou"/>
              <w:rPr>
                <w:bCs/>
              </w:rPr>
            </w:pPr>
            <w:r>
              <w:rPr>
                <w:bCs/>
                <w:spacing w:val="-2"/>
              </w:rPr>
              <w:t>(v běž.</w:t>
            </w:r>
            <w:r w:rsidR="002B6B7A" w:rsidRPr="00540CB3">
              <w:rPr>
                <w:bCs/>
                <w:spacing w:val="-2"/>
              </w:rPr>
              <w:t xml:space="preserve"> cenách</w:t>
            </w:r>
            <w:r w:rsidRPr="00540CB3">
              <w:rPr>
                <w:bCs/>
                <w:spacing w:val="-2"/>
              </w:rPr>
              <w:t xml:space="preserve">, </w:t>
            </w:r>
            <w:r w:rsidRPr="00540CB3">
              <w:rPr>
                <w:spacing w:val="-2"/>
              </w:rPr>
              <w:t>meziročně</w:t>
            </w:r>
            <w:r w:rsidR="003C6DB9" w:rsidRPr="00540CB3">
              <w:rPr>
                <w:bCs/>
                <w:spacing w:val="-2"/>
              </w:rPr>
              <w:t xml:space="preserve"> v %) </w:t>
            </w:r>
            <w:r w:rsidR="003C6DB9" w:rsidRPr="00540CB3">
              <w:rPr>
                <w:b/>
                <w:spacing w:val="-2"/>
              </w:rPr>
              <w:t>a saldo indikátoru důvěry v průmyslu</w:t>
            </w:r>
          </w:p>
        </w:tc>
      </w:tr>
      <w:tr w:rsidR="003C6DB9" w:rsidRPr="00AA4A76" w:rsidTr="00540CB3">
        <w:trPr>
          <w:trHeight w:val="145"/>
        </w:trPr>
        <w:tc>
          <w:tcPr>
            <w:tcW w:w="1021" w:type="pct"/>
            <w:shd w:val="clear" w:color="auto" w:fill="auto"/>
          </w:tcPr>
          <w:p w:rsidR="003C6DB9" w:rsidRPr="006D3F53" w:rsidRDefault="003C6DB9" w:rsidP="00A0172C">
            <w:pPr>
              <w:spacing w:line="240" w:lineRule="auto"/>
              <w:rPr>
                <w:color w:val="000000"/>
                <w:sz w:val="16"/>
                <w:szCs w:val="16"/>
                <w:highlight w:val="yellow"/>
              </w:rPr>
            </w:pPr>
          </w:p>
        </w:tc>
        <w:tc>
          <w:tcPr>
            <w:tcW w:w="145" w:type="pct"/>
          </w:tcPr>
          <w:p w:rsidR="003C6DB9" w:rsidRPr="00A74192" w:rsidRDefault="003C6DB9" w:rsidP="00A0172C">
            <w:pPr>
              <w:pStyle w:val="Textpoznpodarou"/>
              <w:jc w:val="both"/>
            </w:pPr>
          </w:p>
        </w:tc>
        <w:tc>
          <w:tcPr>
            <w:tcW w:w="3834" w:type="pct"/>
            <w:gridSpan w:val="2"/>
          </w:tcPr>
          <w:p w:rsidR="003C6DB9" w:rsidRPr="00540CB3" w:rsidRDefault="00ED2B0B" w:rsidP="00540CB3">
            <w:pPr>
              <w:pStyle w:val="Textpoznpodarou"/>
              <w:ind w:left="-124"/>
              <w:jc w:val="right"/>
              <w:rPr>
                <w:sz w:val="16"/>
                <w:szCs w:val="16"/>
              </w:rPr>
            </w:pPr>
            <w:r w:rsidRPr="00ED2B0B">
              <w:rPr>
                <w:noProof/>
                <w:sz w:val="14"/>
                <w:szCs w:val="14"/>
              </w:rPr>
              <w:drawing>
                <wp:inline distT="0" distB="0" distL="0" distR="0">
                  <wp:extent cx="4772801" cy="3553200"/>
                  <wp:effectExtent l="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C6DB9" w:rsidRPr="00540CB3">
              <w:rPr>
                <w:sz w:val="14"/>
                <w:szCs w:val="14"/>
              </w:rPr>
              <w:t>Zdroj: ČSÚ</w:t>
            </w:r>
          </w:p>
        </w:tc>
      </w:tr>
    </w:tbl>
    <w:p w:rsidR="00355CAA" w:rsidRPr="005C40BA" w:rsidRDefault="00355CAA" w:rsidP="00492991">
      <w:pPr>
        <w:pStyle w:val="Textpoznpodarou"/>
        <w:jc w:val="both"/>
        <w:rPr>
          <w:sz w:val="18"/>
          <w:szCs w:val="18"/>
        </w:rPr>
      </w:pPr>
    </w:p>
    <w:tbl>
      <w:tblPr>
        <w:tblW w:w="4986" w:type="pct"/>
        <w:tblInd w:w="107" w:type="dxa"/>
        <w:tblLayout w:type="fixed"/>
        <w:tblLook w:val="00A0"/>
      </w:tblPr>
      <w:tblGrid>
        <w:gridCol w:w="1997"/>
        <w:gridCol w:w="283"/>
        <w:gridCol w:w="7546"/>
      </w:tblGrid>
      <w:tr w:rsidR="00355CAA" w:rsidRPr="00656A4E" w:rsidTr="00A0172C">
        <w:tc>
          <w:tcPr>
            <w:tcW w:w="1016" w:type="pct"/>
            <w:shd w:val="clear" w:color="auto" w:fill="auto"/>
          </w:tcPr>
          <w:p w:rsidR="00355CAA" w:rsidRPr="003657B7" w:rsidRDefault="00355CAA" w:rsidP="00A0172C">
            <w:pPr>
              <w:spacing w:line="240" w:lineRule="auto"/>
              <w:rPr>
                <w:spacing w:val="-2"/>
                <w:sz w:val="16"/>
                <w:szCs w:val="16"/>
              </w:rPr>
            </w:pPr>
            <w:r w:rsidRPr="003657B7">
              <w:rPr>
                <w:spacing w:val="-2"/>
                <w:sz w:val="16"/>
                <w:szCs w:val="16"/>
              </w:rPr>
              <w:t>Pr</w:t>
            </w:r>
            <w:r w:rsidR="005325A8">
              <w:rPr>
                <w:spacing w:val="-2"/>
                <w:sz w:val="16"/>
                <w:szCs w:val="16"/>
              </w:rPr>
              <w:t>ůmyslová produkce roste v Česku</w:t>
            </w:r>
            <w:r w:rsidRPr="003657B7">
              <w:rPr>
                <w:spacing w:val="-2"/>
                <w:sz w:val="16"/>
                <w:szCs w:val="16"/>
              </w:rPr>
              <w:t xml:space="preserve"> podobně jako u většiny</w:t>
            </w:r>
            <w:r w:rsidR="005325A8">
              <w:rPr>
                <w:spacing w:val="-2"/>
                <w:sz w:val="16"/>
                <w:szCs w:val="16"/>
              </w:rPr>
              <w:t xml:space="preserve"> novějších členských států Unie</w:t>
            </w:r>
            <w:r w:rsidRPr="003657B7">
              <w:rPr>
                <w:spacing w:val="-2"/>
                <w:sz w:val="16"/>
                <w:szCs w:val="16"/>
              </w:rPr>
              <w:t xml:space="preserve"> vyššími tempy než v celé EU.</w:t>
            </w:r>
          </w:p>
          <w:p w:rsidR="00355CAA" w:rsidRPr="003657B7" w:rsidRDefault="00355CAA" w:rsidP="00A0172C">
            <w:pPr>
              <w:spacing w:line="240" w:lineRule="auto"/>
              <w:rPr>
                <w:spacing w:val="-2"/>
                <w:sz w:val="16"/>
                <w:szCs w:val="16"/>
              </w:rPr>
            </w:pPr>
          </w:p>
          <w:p w:rsidR="00355CAA" w:rsidRPr="003657B7" w:rsidRDefault="00355CAA" w:rsidP="00A0172C">
            <w:pPr>
              <w:spacing w:line="240" w:lineRule="auto"/>
              <w:rPr>
                <w:spacing w:val="-2"/>
                <w:sz w:val="16"/>
                <w:szCs w:val="16"/>
              </w:rPr>
            </w:pPr>
          </w:p>
          <w:p w:rsidR="00355CAA" w:rsidRDefault="00355CAA" w:rsidP="00A0172C">
            <w:pPr>
              <w:spacing w:line="240" w:lineRule="auto"/>
              <w:rPr>
                <w:sz w:val="16"/>
                <w:szCs w:val="16"/>
              </w:rPr>
            </w:pPr>
            <w:r w:rsidRPr="003657B7">
              <w:rPr>
                <w:spacing w:val="-2"/>
                <w:sz w:val="16"/>
                <w:szCs w:val="16"/>
              </w:rPr>
              <w:t>Úrovně produkce z počátk</w:t>
            </w:r>
            <w:r>
              <w:rPr>
                <w:spacing w:val="-2"/>
                <w:sz w:val="16"/>
                <w:szCs w:val="16"/>
              </w:rPr>
              <w:t>u konjunkturního roku 2008 zatím</w:t>
            </w:r>
            <w:r w:rsidRPr="003657B7">
              <w:rPr>
                <w:spacing w:val="-2"/>
                <w:sz w:val="16"/>
                <w:szCs w:val="16"/>
              </w:rPr>
              <w:t xml:space="preserve"> dosáhlo jen třináct unijních členů</w:t>
            </w:r>
            <w:r>
              <w:rPr>
                <w:spacing w:val="-2"/>
                <w:sz w:val="16"/>
                <w:szCs w:val="16"/>
              </w:rPr>
              <w:t>.</w:t>
            </w:r>
          </w:p>
        </w:tc>
        <w:tc>
          <w:tcPr>
            <w:tcW w:w="144" w:type="pct"/>
          </w:tcPr>
          <w:p w:rsidR="00355CAA" w:rsidRPr="00636F97" w:rsidRDefault="00355CAA" w:rsidP="00A0172C">
            <w:pPr>
              <w:rPr>
                <w:spacing w:val="-4"/>
                <w:szCs w:val="20"/>
              </w:rPr>
            </w:pPr>
          </w:p>
        </w:tc>
        <w:tc>
          <w:tcPr>
            <w:tcW w:w="3840" w:type="pct"/>
          </w:tcPr>
          <w:p w:rsidR="00355CAA" w:rsidRDefault="00355CAA" w:rsidP="00A0172C">
            <w:pPr>
              <w:pStyle w:val="Textpoznpodarou"/>
              <w:jc w:val="both"/>
              <w:rPr>
                <w:spacing w:val="-4"/>
              </w:rPr>
            </w:pPr>
            <w:r>
              <w:rPr>
                <w:spacing w:val="-4"/>
              </w:rPr>
              <w:t>Průmyslová produkce v ČR roste dlouhodobě vyššími tempy než v EU. Přestože letos (ani po většinu loňského roku) nepatřilo Česko do první desítky zemí s nejvyšším růstem, za nejdynamičtějšími středoevropskými státy znatelně nezaostávalo (Slovensko +7,8 %, Ma</w:t>
            </w:r>
            <w:r w:rsidR="00600712">
              <w:rPr>
                <w:spacing w:val="-4"/>
              </w:rPr>
              <w:t>ďarsko +6,3</w:t>
            </w:r>
            <w:r>
              <w:rPr>
                <w:spacing w:val="-4"/>
              </w:rPr>
              <w:t xml:space="preserve"> %</w:t>
            </w:r>
            <w:r w:rsidR="00600712">
              <w:rPr>
                <w:spacing w:val="-4"/>
              </w:rPr>
              <w:t>, Polsko +6,0</w:t>
            </w:r>
            <w:r>
              <w:rPr>
                <w:spacing w:val="-4"/>
              </w:rPr>
              <w:t xml:space="preserve"> %). Úroveň produkce z počátku konjunkturního roku 2008 dosud překonalo 13 zemí EU (ČR o</w:t>
            </w:r>
            <w:r>
              <w:rPr>
                <w:color w:val="000000" w:themeColor="text1"/>
                <w:spacing w:val="-4"/>
              </w:rPr>
              <w:t> </w:t>
            </w:r>
            <w:r>
              <w:rPr>
                <w:spacing w:val="-4"/>
              </w:rPr>
              <w:t xml:space="preserve">12,5 %), ze starých členských států šlo jen o </w:t>
            </w:r>
            <w:r w:rsidR="00C36EC3">
              <w:rPr>
                <w:spacing w:val="-4"/>
              </w:rPr>
              <w:t xml:space="preserve">Irsko, </w:t>
            </w:r>
            <w:r>
              <w:rPr>
                <w:spacing w:val="-4"/>
              </w:rPr>
              <w:t xml:space="preserve">Belgii, Rakousko, Německo. Téměř polovina zpracovatelských oborů v ČR za svou předkrizovou úrovní dosud zaostávala – o více než pětinu výroba nápojů, oděvů a průmysl skla, keramiky, porcelánu a stavebních hmot. Z větších </w:t>
            </w:r>
            <w:r w:rsidR="00203FCB">
              <w:rPr>
                <w:spacing w:val="-4"/>
              </w:rPr>
              <w:t xml:space="preserve">průmyslových </w:t>
            </w:r>
            <w:r>
              <w:rPr>
                <w:spacing w:val="-4"/>
              </w:rPr>
              <w:t>oborů šlo pak o zejména o hutnictv</w:t>
            </w:r>
            <w:r w:rsidR="00203FCB">
              <w:rPr>
                <w:spacing w:val="-4"/>
              </w:rPr>
              <w:t>í (-19 %), v menším rozsahu i o energetiku</w:t>
            </w:r>
            <w:r>
              <w:rPr>
                <w:spacing w:val="-4"/>
              </w:rPr>
              <w:t xml:space="preserve"> a chemický průmysl.</w:t>
            </w:r>
          </w:p>
          <w:p w:rsidR="00355CAA" w:rsidRPr="006C5BE9" w:rsidRDefault="00355CAA" w:rsidP="00A0172C">
            <w:pPr>
              <w:pStyle w:val="Textpoznpodarou"/>
              <w:jc w:val="both"/>
              <w:rPr>
                <w:spacing w:val="-4"/>
                <w:sz w:val="13"/>
                <w:szCs w:val="13"/>
              </w:rPr>
            </w:pPr>
          </w:p>
        </w:tc>
      </w:tr>
      <w:tr w:rsidR="00355CAA" w:rsidRPr="00156294" w:rsidTr="00A0172C">
        <w:tc>
          <w:tcPr>
            <w:tcW w:w="1016" w:type="pct"/>
            <w:shd w:val="clear" w:color="auto" w:fill="auto"/>
          </w:tcPr>
          <w:p w:rsidR="00355CAA" w:rsidRPr="005B2702" w:rsidRDefault="00355CAA" w:rsidP="00A0172C">
            <w:pPr>
              <w:spacing w:line="240" w:lineRule="auto"/>
              <w:rPr>
                <w:spacing w:val="-2"/>
                <w:sz w:val="16"/>
                <w:szCs w:val="16"/>
              </w:rPr>
            </w:pPr>
            <w:r>
              <w:rPr>
                <w:spacing w:val="-2"/>
                <w:sz w:val="16"/>
                <w:szCs w:val="16"/>
              </w:rPr>
              <w:t>Po odeznění mimo</w:t>
            </w:r>
            <w:r w:rsidR="006B7CCE">
              <w:rPr>
                <w:spacing w:val="-2"/>
                <w:sz w:val="16"/>
                <w:szCs w:val="16"/>
              </w:rPr>
              <w:t>-</w:t>
            </w:r>
            <w:r>
              <w:rPr>
                <w:spacing w:val="-2"/>
                <w:sz w:val="16"/>
                <w:szCs w:val="16"/>
              </w:rPr>
              <w:t xml:space="preserve">řádných růstových vlivů stavebnictví na výraznější impuls stále čeká, inženýrské stavitelství sráží nízký objem veřejných investic, pozemní stavitelství je </w:t>
            </w:r>
            <w:r w:rsidR="006B7CCE">
              <w:rPr>
                <w:spacing w:val="-2"/>
                <w:sz w:val="16"/>
                <w:szCs w:val="16"/>
              </w:rPr>
              <w:t>limito</w:t>
            </w:r>
            <w:r>
              <w:rPr>
                <w:spacing w:val="-2"/>
                <w:sz w:val="16"/>
                <w:szCs w:val="16"/>
              </w:rPr>
              <w:t>váno administrativní náročností</w:t>
            </w:r>
            <w:r w:rsidR="006B7CCE">
              <w:rPr>
                <w:spacing w:val="-2"/>
                <w:sz w:val="16"/>
                <w:szCs w:val="16"/>
              </w:rPr>
              <w:t xml:space="preserve"> staveb. </w:t>
            </w:r>
            <w:r>
              <w:rPr>
                <w:spacing w:val="-2"/>
                <w:sz w:val="16"/>
                <w:szCs w:val="16"/>
              </w:rPr>
              <w:t>řízení.</w:t>
            </w:r>
          </w:p>
          <w:p w:rsidR="00355CAA" w:rsidRPr="005B2702" w:rsidRDefault="00355CAA" w:rsidP="00A0172C">
            <w:pPr>
              <w:spacing w:line="240" w:lineRule="auto"/>
              <w:rPr>
                <w:spacing w:val="-2"/>
                <w:sz w:val="16"/>
                <w:szCs w:val="16"/>
              </w:rPr>
            </w:pPr>
          </w:p>
        </w:tc>
        <w:tc>
          <w:tcPr>
            <w:tcW w:w="144" w:type="pct"/>
          </w:tcPr>
          <w:p w:rsidR="00355CAA" w:rsidRPr="005B2702" w:rsidRDefault="00355CAA" w:rsidP="00A0172C">
            <w:pPr>
              <w:rPr>
                <w:spacing w:val="-4"/>
                <w:szCs w:val="20"/>
              </w:rPr>
            </w:pPr>
          </w:p>
        </w:tc>
        <w:tc>
          <w:tcPr>
            <w:tcW w:w="3840" w:type="pct"/>
          </w:tcPr>
          <w:p w:rsidR="00355CAA" w:rsidRDefault="00355CAA" w:rsidP="00A0172C">
            <w:pPr>
              <w:pStyle w:val="Textpoznpodarou"/>
              <w:jc w:val="both"/>
              <w:rPr>
                <w:spacing w:val="-4"/>
              </w:rPr>
            </w:pPr>
            <w:r>
              <w:rPr>
                <w:spacing w:val="-4"/>
              </w:rPr>
              <w:t>Po odeznění mimořádného vlivu dočerpávání prostředků z evropských fondů, které významně posílily investice</w:t>
            </w:r>
            <w:r w:rsidR="003F0293">
              <w:rPr>
                <w:spacing w:val="-4"/>
              </w:rPr>
              <w:t xml:space="preserve"> na infrastruktur</w:t>
            </w:r>
            <w:r w:rsidR="00564137">
              <w:rPr>
                <w:spacing w:val="-4"/>
              </w:rPr>
              <w:t xml:space="preserve">ní projekty </w:t>
            </w:r>
            <w:r>
              <w:rPr>
                <w:spacing w:val="-4"/>
              </w:rPr>
              <w:t>a tím podpořily stavebnictv</w:t>
            </w:r>
            <w:r w:rsidR="00564137">
              <w:rPr>
                <w:spacing w:val="-4"/>
              </w:rPr>
              <w:t>í zejména v letech 2014 a 2015,</w:t>
            </w:r>
            <w:r>
              <w:rPr>
                <w:spacing w:val="-4"/>
              </w:rPr>
              <w:t xml:space="preserve"> toto odvětví na výraznější růstový impuls stále čeká. Meziroční pokles stavební produkce pokračoval již páté čtvrtletí v řadě, v první</w:t>
            </w:r>
            <w:r w:rsidR="006B7CCE">
              <w:rPr>
                <w:spacing w:val="-4"/>
              </w:rPr>
              <w:t>ch třech měsících roku činil 2,3</w:t>
            </w:r>
            <w:r>
              <w:rPr>
                <w:spacing w:val="-4"/>
              </w:rPr>
              <w:t xml:space="preserve"> % (podobně jako na sklonku předešlého roku)</w:t>
            </w:r>
            <w:r>
              <w:rPr>
                <w:rStyle w:val="Znakapoznpodarou"/>
                <w:spacing w:val="-4"/>
              </w:rPr>
              <w:footnoteReference w:id="17"/>
            </w:r>
            <w:r>
              <w:rPr>
                <w:spacing w:val="-4"/>
              </w:rPr>
              <w:t>. Celé odvětví táhlo dolů inženýrské stavitelství, jehož výkon byl proti počátku loňského roku o téměř šestinu slabší a plně tak kompenzoval kladný příspěvek váhově významnějšího pozemního stavitelství (jež meziročně síli</w:t>
            </w:r>
            <w:r w:rsidR="003F0293">
              <w:rPr>
                <w:spacing w:val="-4"/>
              </w:rPr>
              <w:t>lo již třetí čtvrtletí v řadě).</w:t>
            </w:r>
          </w:p>
          <w:p w:rsidR="00355CAA" w:rsidRPr="006C5BE9" w:rsidRDefault="00355CAA" w:rsidP="00A0172C">
            <w:pPr>
              <w:pStyle w:val="Textpoznpodarou"/>
              <w:jc w:val="both"/>
              <w:rPr>
                <w:spacing w:val="-4"/>
                <w:sz w:val="13"/>
                <w:szCs w:val="13"/>
              </w:rPr>
            </w:pPr>
          </w:p>
        </w:tc>
      </w:tr>
      <w:tr w:rsidR="00355CAA" w:rsidRPr="00656A4E" w:rsidTr="00A0172C">
        <w:tc>
          <w:tcPr>
            <w:tcW w:w="1016" w:type="pct"/>
            <w:shd w:val="clear" w:color="auto" w:fill="auto"/>
          </w:tcPr>
          <w:p w:rsidR="00355CAA" w:rsidRDefault="00355CAA" w:rsidP="00A0172C">
            <w:pPr>
              <w:spacing w:line="240" w:lineRule="auto"/>
              <w:rPr>
                <w:spacing w:val="-2"/>
                <w:sz w:val="16"/>
                <w:szCs w:val="16"/>
              </w:rPr>
            </w:pPr>
            <w:r>
              <w:rPr>
                <w:spacing w:val="-2"/>
                <w:sz w:val="16"/>
                <w:szCs w:val="16"/>
              </w:rPr>
              <w:t>Mezičtvrtletní pokles produkce stavebnictví (letos i</w:t>
            </w:r>
            <w:r w:rsidRPr="003657B7">
              <w:rPr>
                <w:spacing w:val="-2"/>
                <w:sz w:val="16"/>
                <w:szCs w:val="16"/>
              </w:rPr>
              <w:t> </w:t>
            </w:r>
            <w:r>
              <w:rPr>
                <w:spacing w:val="-2"/>
                <w:sz w:val="16"/>
                <w:szCs w:val="16"/>
              </w:rPr>
              <w:t>samotného inženýrského stavitelství) se zastavil, výkon celého odvětví byl na úrovni počátku roku 2014.</w:t>
            </w:r>
          </w:p>
          <w:p w:rsidR="00355CAA" w:rsidRDefault="00355CAA" w:rsidP="00A0172C">
            <w:pPr>
              <w:spacing w:line="240" w:lineRule="auto"/>
              <w:rPr>
                <w:spacing w:val="-2"/>
                <w:sz w:val="16"/>
                <w:szCs w:val="16"/>
              </w:rPr>
            </w:pPr>
          </w:p>
          <w:p w:rsidR="00355CAA" w:rsidRDefault="00355CAA" w:rsidP="00A0172C">
            <w:pPr>
              <w:spacing w:line="240" w:lineRule="auto"/>
              <w:rPr>
                <w:spacing w:val="-2"/>
                <w:sz w:val="16"/>
                <w:szCs w:val="16"/>
              </w:rPr>
            </w:pPr>
          </w:p>
          <w:p w:rsidR="00355CAA" w:rsidRPr="00304FAE" w:rsidRDefault="00355CAA" w:rsidP="00A0172C">
            <w:pPr>
              <w:spacing w:line="240" w:lineRule="auto"/>
              <w:rPr>
                <w:spacing w:val="-4"/>
                <w:sz w:val="16"/>
                <w:szCs w:val="16"/>
              </w:rPr>
            </w:pPr>
            <w:r w:rsidRPr="00304FAE">
              <w:rPr>
                <w:spacing w:val="-4"/>
                <w:sz w:val="16"/>
                <w:szCs w:val="16"/>
              </w:rPr>
              <w:t xml:space="preserve">Hodnota nových zakázek meziročně posílila již druhé čtvrtletí v řadě, zásoba </w:t>
            </w:r>
            <w:r>
              <w:rPr>
                <w:spacing w:val="-4"/>
                <w:sz w:val="16"/>
                <w:szCs w:val="16"/>
              </w:rPr>
              <w:t xml:space="preserve">všech </w:t>
            </w:r>
            <w:r w:rsidRPr="00304FAE">
              <w:rPr>
                <w:spacing w:val="-4"/>
                <w:sz w:val="16"/>
                <w:szCs w:val="16"/>
              </w:rPr>
              <w:t xml:space="preserve">dosud </w:t>
            </w:r>
            <w:r w:rsidRPr="00304FAE">
              <w:rPr>
                <w:spacing w:val="-4"/>
                <w:sz w:val="16"/>
                <w:szCs w:val="16"/>
              </w:rPr>
              <w:lastRenderedPageBreak/>
              <w:t xml:space="preserve">nerealizovaných objednávek se však </w:t>
            </w:r>
            <w:r>
              <w:rPr>
                <w:spacing w:val="-4"/>
                <w:sz w:val="16"/>
                <w:szCs w:val="16"/>
              </w:rPr>
              <w:t xml:space="preserve">meziročně </w:t>
            </w:r>
            <w:r w:rsidR="00564137">
              <w:rPr>
                <w:spacing w:val="-4"/>
                <w:sz w:val="16"/>
                <w:szCs w:val="16"/>
              </w:rPr>
              <w:t>mírně ztenčila</w:t>
            </w:r>
            <w:r w:rsidRPr="00304FAE">
              <w:rPr>
                <w:spacing w:val="-4"/>
                <w:sz w:val="16"/>
                <w:szCs w:val="16"/>
              </w:rPr>
              <w:t xml:space="preserve"> vlivem nižších veřejných </w:t>
            </w:r>
            <w:r>
              <w:rPr>
                <w:spacing w:val="-4"/>
                <w:sz w:val="16"/>
                <w:szCs w:val="16"/>
              </w:rPr>
              <w:t>zakázek i</w:t>
            </w:r>
            <w:r w:rsidRPr="00304FAE">
              <w:rPr>
                <w:spacing w:val="-4"/>
                <w:sz w:val="16"/>
                <w:szCs w:val="16"/>
              </w:rPr>
              <w:t> menšího objemu prací v</w:t>
            </w:r>
            <w:r>
              <w:rPr>
                <w:spacing w:val="-4"/>
                <w:sz w:val="16"/>
                <w:szCs w:val="16"/>
              </w:rPr>
              <w:t> </w:t>
            </w:r>
            <w:r w:rsidRPr="00304FAE">
              <w:rPr>
                <w:spacing w:val="-4"/>
                <w:sz w:val="16"/>
                <w:szCs w:val="16"/>
              </w:rPr>
              <w:t>zahraničí</w:t>
            </w:r>
            <w:r>
              <w:rPr>
                <w:spacing w:val="-4"/>
                <w:sz w:val="16"/>
                <w:szCs w:val="16"/>
              </w:rPr>
              <w:t>.</w:t>
            </w:r>
          </w:p>
        </w:tc>
        <w:tc>
          <w:tcPr>
            <w:tcW w:w="144" w:type="pct"/>
          </w:tcPr>
          <w:p w:rsidR="00355CAA" w:rsidRPr="005B2702" w:rsidRDefault="00355CAA" w:rsidP="00A0172C">
            <w:pPr>
              <w:rPr>
                <w:spacing w:val="-4"/>
                <w:szCs w:val="20"/>
              </w:rPr>
            </w:pPr>
          </w:p>
        </w:tc>
        <w:tc>
          <w:tcPr>
            <w:tcW w:w="3840" w:type="pct"/>
          </w:tcPr>
          <w:p w:rsidR="00355CAA" w:rsidRPr="00535F78" w:rsidRDefault="00355CAA" w:rsidP="00A0172C">
            <w:pPr>
              <w:pStyle w:val="Textpoznpodarou"/>
              <w:jc w:val="both"/>
              <w:rPr>
                <w:color w:val="000000" w:themeColor="text1"/>
                <w:spacing w:val="-4"/>
              </w:rPr>
            </w:pPr>
            <w:r>
              <w:rPr>
                <w:spacing w:val="-4"/>
              </w:rPr>
              <w:t xml:space="preserve">Stavebnictví patrně našlo své dno v polovině loňského roku, od té doby se jeho produkce v mezičtvrtletním vyjádření již nesnižovala. Výkon inženýrského stavitelství po pěti </w:t>
            </w:r>
            <w:r w:rsidR="00F47804">
              <w:rPr>
                <w:spacing w:val="-4"/>
              </w:rPr>
              <w:t xml:space="preserve">předešlých </w:t>
            </w:r>
            <w:r>
              <w:rPr>
                <w:spacing w:val="-4"/>
              </w:rPr>
              <w:t xml:space="preserve">čtvrtletích hlubokých propadů (v úhrnu o 25 %) byl </w:t>
            </w:r>
            <w:r w:rsidR="00F47804">
              <w:rPr>
                <w:spacing w:val="-4"/>
              </w:rPr>
              <w:t xml:space="preserve">již </w:t>
            </w:r>
            <w:r>
              <w:rPr>
                <w:spacing w:val="-4"/>
              </w:rPr>
              <w:t>letos op</w:t>
            </w:r>
            <w:r w:rsidR="00B13BCE">
              <w:rPr>
                <w:spacing w:val="-4"/>
              </w:rPr>
              <w:t>roti 4. </w:t>
            </w:r>
            <w:r w:rsidR="00E533B7">
              <w:rPr>
                <w:spacing w:val="-4"/>
              </w:rPr>
              <w:t xml:space="preserve">čtvrtletí 2016 </w:t>
            </w:r>
            <w:r w:rsidR="00F47804">
              <w:rPr>
                <w:spacing w:val="-4"/>
              </w:rPr>
              <w:t>o 4,4</w:t>
            </w:r>
            <w:r>
              <w:rPr>
                <w:spacing w:val="-4"/>
              </w:rPr>
              <w:t xml:space="preserve"> % vyšší. Pozvolný odraz ode dna signalizují i nové stavební zakázky. Jejich hodnota (u stavebních podniků s 50 a více zaměstnanci) převýšila loňskou nízkou </w:t>
            </w:r>
            <w:r w:rsidR="00F47804">
              <w:rPr>
                <w:spacing w:val="-4"/>
              </w:rPr>
              <w:t xml:space="preserve">úroveň jak </w:t>
            </w:r>
            <w:r w:rsidR="00AA1356">
              <w:rPr>
                <w:spacing w:val="-4"/>
              </w:rPr>
              <w:t xml:space="preserve">v </w:t>
            </w:r>
            <w:r w:rsidR="00F47804">
              <w:rPr>
                <w:spacing w:val="-4"/>
              </w:rPr>
              <w:t>pozemním (o 7</w:t>
            </w:r>
            <w:r>
              <w:rPr>
                <w:spacing w:val="-4"/>
              </w:rPr>
              <w:t xml:space="preserve"> %), tak </w:t>
            </w:r>
            <w:r w:rsidR="00F47804">
              <w:rPr>
                <w:spacing w:val="-4"/>
              </w:rPr>
              <w:t xml:space="preserve">i </w:t>
            </w:r>
            <w:r w:rsidR="00B13BCE">
              <w:rPr>
                <w:spacing w:val="-4"/>
              </w:rPr>
              <w:t>v inženýrském stavitelství (o </w:t>
            </w:r>
            <w:r w:rsidR="00F47804">
              <w:rPr>
                <w:spacing w:val="-4"/>
              </w:rPr>
              <w:t>26</w:t>
            </w:r>
            <w:r w:rsidR="00B13BCE">
              <w:rPr>
                <w:spacing w:val="-4"/>
              </w:rPr>
              <w:t> </w:t>
            </w:r>
            <w:r>
              <w:rPr>
                <w:spacing w:val="-4"/>
              </w:rPr>
              <w:t>%). Oproti celému roku 2016 letos mírně vzrostla i průměrná veli</w:t>
            </w:r>
            <w:r w:rsidR="00F47804">
              <w:rPr>
                <w:spacing w:val="-4"/>
              </w:rPr>
              <w:t>k</w:t>
            </w:r>
            <w:r w:rsidR="00CC4F3D">
              <w:rPr>
                <w:spacing w:val="-4"/>
              </w:rPr>
              <w:t>ost připadající na</w:t>
            </w:r>
            <w:r w:rsidR="00F47804">
              <w:rPr>
                <w:spacing w:val="-4"/>
              </w:rPr>
              <w:t xml:space="preserve"> </w:t>
            </w:r>
            <w:r w:rsidR="00CC4F3D">
              <w:rPr>
                <w:spacing w:val="-4"/>
              </w:rPr>
              <w:t xml:space="preserve">jednu </w:t>
            </w:r>
            <w:r w:rsidR="00B300E8">
              <w:rPr>
                <w:spacing w:val="-4"/>
              </w:rPr>
              <w:t xml:space="preserve">uzavřenou zakázku – na </w:t>
            </w:r>
            <w:r w:rsidR="00F47804">
              <w:rPr>
                <w:spacing w:val="-4"/>
              </w:rPr>
              <w:t>3,2</w:t>
            </w:r>
            <w:r w:rsidR="00B300E8">
              <w:rPr>
                <w:spacing w:val="-4"/>
              </w:rPr>
              <w:t xml:space="preserve"> mil. korun (v roce 2015 ale činila téměř 4 mil. korun)</w:t>
            </w:r>
            <w:r>
              <w:rPr>
                <w:spacing w:val="-4"/>
              </w:rPr>
              <w:t xml:space="preserve">. Celková zásoba práce ve formě dosud nerealizovaných stavebních zakázek byla na konci března meziročně o 3 % slabší (činila 136 mld. korun, srovnatelná </w:t>
            </w:r>
            <w:r>
              <w:rPr>
                <w:spacing w:val="-4"/>
              </w:rPr>
              <w:lastRenderedPageBreak/>
              <w:t>s počátkem roku 2013). Polovinu všech objednávek tvořily veřejné zakázky, jejich zásoba s</w:t>
            </w:r>
            <w:r w:rsidR="00F47804">
              <w:rPr>
                <w:spacing w:val="-4"/>
              </w:rPr>
              <w:t>e proti březnu 2015 snížila o 17,6</w:t>
            </w:r>
            <w:r>
              <w:rPr>
                <w:spacing w:val="-4"/>
              </w:rPr>
              <w:t xml:space="preserve"> mld. korun. Objem soukromých tuzemských zakázek v posledních třech letech spíše stagnoval, zahraniční zakázky se ve stejném období ale zredukovaly na polovinu (tvořily v březnu 2017 osminu zásoby celkové zásoby práce, významnější byly spíše pro větší stavební firmy). Příznivěji pro stavebnictví vyznívá jiný předstihový indikátor </w:t>
            </w:r>
            <w:r>
              <w:rPr>
                <w:color w:val="000000" w:themeColor="text1"/>
                <w:spacing w:val="-4"/>
              </w:rPr>
              <w:t>–</w:t>
            </w:r>
            <w:r>
              <w:rPr>
                <w:spacing w:val="-4"/>
              </w:rPr>
              <w:t xml:space="preserve"> orientační hodnota </w:t>
            </w:r>
            <w:r w:rsidR="003B293F">
              <w:rPr>
                <w:spacing w:val="-4"/>
              </w:rPr>
              <w:t xml:space="preserve">vydaných stavebních </w:t>
            </w:r>
            <w:r>
              <w:rPr>
                <w:spacing w:val="-4"/>
              </w:rPr>
              <w:t>povolení. Ta pokračovala v loňském růstu a</w:t>
            </w:r>
            <w:r>
              <w:rPr>
                <w:color w:val="000000" w:themeColor="text1"/>
                <w:spacing w:val="-4"/>
              </w:rPr>
              <w:t> </w:t>
            </w:r>
            <w:r>
              <w:rPr>
                <w:spacing w:val="-4"/>
              </w:rPr>
              <w:t>v 1. čtvrtletí meziročně posílila o ví</w:t>
            </w:r>
            <w:r w:rsidR="00564137">
              <w:rPr>
                <w:spacing w:val="-4"/>
              </w:rPr>
              <w:t>ce než 40 %. Stálo za tím její</w:t>
            </w:r>
            <w:r>
              <w:rPr>
                <w:spacing w:val="-4"/>
              </w:rPr>
              <w:t xml:space="preserve"> silné navýšení u</w:t>
            </w:r>
            <w:r>
              <w:rPr>
                <w:color w:val="000000" w:themeColor="text1"/>
                <w:spacing w:val="-4"/>
              </w:rPr>
              <w:t> </w:t>
            </w:r>
            <w:r>
              <w:rPr>
                <w:spacing w:val="-4"/>
              </w:rPr>
              <w:t xml:space="preserve">nebytových budov související s rozvojem výrobních kapacit průmyslu. </w:t>
            </w:r>
            <w:r w:rsidRPr="00D163CC">
              <w:rPr>
                <w:color w:val="000000" w:themeColor="text1"/>
                <w:spacing w:val="-4"/>
              </w:rPr>
              <w:t xml:space="preserve">Sezónně očištěné </w:t>
            </w:r>
            <w:r w:rsidRPr="00CD12E2">
              <w:rPr>
                <w:color w:val="000000" w:themeColor="text1"/>
                <w:spacing w:val="-4"/>
              </w:rPr>
              <w:t>saldo důvěry podnikatelů ve stavebnictví setrvává</w:t>
            </w:r>
            <w:r w:rsidRPr="00D163CC">
              <w:rPr>
                <w:color w:val="000000" w:themeColor="text1"/>
                <w:spacing w:val="-4"/>
              </w:rPr>
              <w:t xml:space="preserve"> dlouhodobě v negativním pásmu. Dva roky trvající tendence mírného zlepšování se </w:t>
            </w:r>
            <w:r>
              <w:rPr>
                <w:color w:val="000000" w:themeColor="text1"/>
                <w:spacing w:val="-4"/>
              </w:rPr>
              <w:t xml:space="preserve">v loňském únoru </w:t>
            </w:r>
            <w:r w:rsidRPr="00D163CC">
              <w:rPr>
                <w:color w:val="000000" w:themeColor="text1"/>
                <w:spacing w:val="-4"/>
              </w:rPr>
              <w:t>zastavil</w:t>
            </w:r>
            <w:r>
              <w:rPr>
                <w:color w:val="000000" w:themeColor="text1"/>
                <w:spacing w:val="-4"/>
              </w:rPr>
              <w:t xml:space="preserve">a, od poloviny roku 2016 pak důvěra mírně kolísá. </w:t>
            </w:r>
            <w:r w:rsidRPr="00D163CC">
              <w:rPr>
                <w:color w:val="000000" w:themeColor="text1"/>
                <w:spacing w:val="-4"/>
              </w:rPr>
              <w:t>Nedostatečnou pop</w:t>
            </w:r>
            <w:r w:rsidR="008548EA">
              <w:rPr>
                <w:color w:val="000000" w:themeColor="text1"/>
                <w:spacing w:val="-4"/>
              </w:rPr>
              <w:t>távku jako bariéru růstu uvedlo</w:t>
            </w:r>
            <w:r w:rsidRPr="00D163CC">
              <w:rPr>
                <w:color w:val="000000" w:themeColor="text1"/>
                <w:spacing w:val="-4"/>
              </w:rPr>
              <w:t xml:space="preserve"> v</w:t>
            </w:r>
            <w:r>
              <w:rPr>
                <w:color w:val="000000" w:themeColor="text1"/>
                <w:spacing w:val="-4"/>
              </w:rPr>
              <w:t> dubnu 53</w:t>
            </w:r>
            <w:r w:rsidRPr="00D163CC">
              <w:rPr>
                <w:color w:val="000000" w:themeColor="text1"/>
                <w:spacing w:val="-4"/>
              </w:rPr>
              <w:t xml:space="preserve"> % podn</w:t>
            </w:r>
            <w:r>
              <w:rPr>
                <w:color w:val="000000" w:themeColor="text1"/>
                <w:spacing w:val="-4"/>
              </w:rPr>
              <w:t>ik</w:t>
            </w:r>
            <w:r w:rsidR="00E533B7">
              <w:rPr>
                <w:color w:val="000000" w:themeColor="text1"/>
                <w:spacing w:val="-4"/>
              </w:rPr>
              <w:t xml:space="preserve">ů (před rokem 61 %), </w:t>
            </w:r>
            <w:r w:rsidR="00F47804">
              <w:rPr>
                <w:color w:val="000000" w:themeColor="text1"/>
                <w:spacing w:val="-4"/>
              </w:rPr>
              <w:t>dvojnásobně více než v</w:t>
            </w:r>
            <w:r w:rsidRPr="00D163CC">
              <w:rPr>
                <w:color w:val="000000" w:themeColor="text1"/>
                <w:spacing w:val="-4"/>
              </w:rPr>
              <w:t xml:space="preserve"> EU.</w:t>
            </w:r>
          </w:p>
        </w:tc>
      </w:tr>
    </w:tbl>
    <w:p w:rsidR="00355CAA" w:rsidRPr="00535F78" w:rsidRDefault="00355CAA" w:rsidP="00492991">
      <w:pPr>
        <w:pStyle w:val="Textpoznpodarou"/>
        <w:jc w:val="both"/>
        <w:rPr>
          <w:sz w:val="14"/>
          <w:szCs w:val="14"/>
        </w:rPr>
      </w:pPr>
    </w:p>
    <w:tbl>
      <w:tblPr>
        <w:tblW w:w="4963" w:type="pct"/>
        <w:tblInd w:w="108" w:type="dxa"/>
        <w:tblLayout w:type="fixed"/>
        <w:tblLook w:val="00A0"/>
      </w:tblPr>
      <w:tblGrid>
        <w:gridCol w:w="1997"/>
        <w:gridCol w:w="284"/>
        <w:gridCol w:w="1119"/>
        <w:gridCol w:w="6381"/>
      </w:tblGrid>
      <w:tr w:rsidR="003C6DB9" w:rsidRPr="00AA4A76" w:rsidTr="00A0172C">
        <w:trPr>
          <w:trHeight w:val="145"/>
        </w:trPr>
        <w:tc>
          <w:tcPr>
            <w:tcW w:w="1021" w:type="pct"/>
            <w:shd w:val="clear" w:color="auto" w:fill="auto"/>
          </w:tcPr>
          <w:p w:rsidR="003C6DB9" w:rsidRPr="00AA4A76" w:rsidRDefault="003C6DB9" w:rsidP="00A0172C">
            <w:pPr>
              <w:spacing w:line="240" w:lineRule="auto"/>
              <w:jc w:val="center"/>
              <w:rPr>
                <w:color w:val="000000"/>
                <w:szCs w:val="20"/>
              </w:rPr>
            </w:pPr>
          </w:p>
        </w:tc>
        <w:tc>
          <w:tcPr>
            <w:tcW w:w="145" w:type="pct"/>
          </w:tcPr>
          <w:p w:rsidR="003C6DB9" w:rsidRPr="00AA4A76" w:rsidRDefault="003C6DB9" w:rsidP="00A0172C">
            <w:pPr>
              <w:pStyle w:val="Textpoznpodarou"/>
              <w:jc w:val="both"/>
              <w:rPr>
                <w:highlight w:val="yellow"/>
              </w:rPr>
            </w:pPr>
          </w:p>
        </w:tc>
        <w:tc>
          <w:tcPr>
            <w:tcW w:w="572" w:type="pct"/>
          </w:tcPr>
          <w:p w:rsidR="003C6DB9" w:rsidRPr="00AA4A76" w:rsidRDefault="003C6DB9" w:rsidP="00A0172C">
            <w:pPr>
              <w:pStyle w:val="Textpoznpodarou"/>
              <w:jc w:val="both"/>
              <w:rPr>
                <w:highlight w:val="yellow"/>
              </w:rPr>
            </w:pPr>
            <w:r>
              <w:rPr>
                <w:color w:val="000000"/>
              </w:rPr>
              <w:t>Graf č. 7</w:t>
            </w:r>
          </w:p>
        </w:tc>
        <w:tc>
          <w:tcPr>
            <w:tcW w:w="3262" w:type="pct"/>
          </w:tcPr>
          <w:p w:rsidR="00540CB3" w:rsidRDefault="003C6DB9" w:rsidP="00ED2B0B">
            <w:pPr>
              <w:pStyle w:val="Textpoznpodarou"/>
              <w:rPr>
                <w:bCs/>
              </w:rPr>
            </w:pPr>
            <w:r>
              <w:rPr>
                <w:b/>
              </w:rPr>
              <w:t xml:space="preserve">Stavební produkce*, hodnota nových zakázek </w:t>
            </w:r>
            <w:r w:rsidR="00540CB3">
              <w:rPr>
                <w:bCs/>
              </w:rPr>
              <w:t>(</w:t>
            </w:r>
            <w:r w:rsidR="00540CB3" w:rsidRPr="00540CB3">
              <w:rPr>
                <w:spacing w:val="-2"/>
              </w:rPr>
              <w:t>meziročně</w:t>
            </w:r>
            <w:r w:rsidR="00540CB3" w:rsidRPr="00540CB3">
              <w:rPr>
                <w:bCs/>
                <w:spacing w:val="-2"/>
              </w:rPr>
              <w:t xml:space="preserve"> v %)</w:t>
            </w:r>
            <w:r>
              <w:rPr>
                <w:bCs/>
              </w:rPr>
              <w:t xml:space="preserve"> </w:t>
            </w:r>
          </w:p>
          <w:p w:rsidR="003C6DB9" w:rsidRPr="00886A8F" w:rsidRDefault="003C6DB9" w:rsidP="00ED2B0B">
            <w:pPr>
              <w:pStyle w:val="Textpoznpodarou"/>
              <w:rPr>
                <w:spacing w:val="-2"/>
                <w:lang w:eastAsia="en-US"/>
              </w:rPr>
            </w:pPr>
            <w:r w:rsidRPr="006B4FFB">
              <w:rPr>
                <w:b/>
              </w:rPr>
              <w:t>a</w:t>
            </w:r>
            <w:r w:rsidR="00894F71">
              <w:rPr>
                <w:b/>
              </w:rPr>
              <w:t xml:space="preserve"> saldo indikátoru </w:t>
            </w:r>
            <w:r>
              <w:rPr>
                <w:b/>
              </w:rPr>
              <w:t>důvěry ve stavebnictví</w:t>
            </w:r>
          </w:p>
        </w:tc>
      </w:tr>
      <w:tr w:rsidR="003C6DB9" w:rsidRPr="00AA4A76" w:rsidTr="00A0172C">
        <w:trPr>
          <w:trHeight w:val="145"/>
        </w:trPr>
        <w:tc>
          <w:tcPr>
            <w:tcW w:w="1021" w:type="pct"/>
            <w:shd w:val="clear" w:color="auto" w:fill="auto"/>
          </w:tcPr>
          <w:p w:rsidR="003C6DB9" w:rsidRPr="006D3F53" w:rsidRDefault="003C6DB9" w:rsidP="00A0172C">
            <w:pPr>
              <w:spacing w:line="240" w:lineRule="auto"/>
              <w:rPr>
                <w:color w:val="000000"/>
                <w:sz w:val="16"/>
                <w:szCs w:val="16"/>
                <w:highlight w:val="yellow"/>
              </w:rPr>
            </w:pPr>
          </w:p>
        </w:tc>
        <w:tc>
          <w:tcPr>
            <w:tcW w:w="145" w:type="pct"/>
          </w:tcPr>
          <w:p w:rsidR="003C6DB9" w:rsidRPr="00A74192" w:rsidRDefault="003C6DB9" w:rsidP="00A0172C">
            <w:pPr>
              <w:pStyle w:val="Textpoznpodarou"/>
              <w:jc w:val="both"/>
            </w:pPr>
          </w:p>
        </w:tc>
        <w:tc>
          <w:tcPr>
            <w:tcW w:w="3833" w:type="pct"/>
            <w:gridSpan w:val="2"/>
          </w:tcPr>
          <w:p w:rsidR="003C6DB9" w:rsidRPr="00AA4A76" w:rsidRDefault="00ED2B0B" w:rsidP="00540CB3">
            <w:pPr>
              <w:pStyle w:val="Textpoznpodarou"/>
              <w:ind w:left="-124"/>
              <w:rPr>
                <w:sz w:val="18"/>
                <w:szCs w:val="18"/>
              </w:rPr>
            </w:pPr>
            <w:r w:rsidRPr="00ED2B0B">
              <w:rPr>
                <w:rFonts w:cs="Arial"/>
                <w:noProof/>
                <w:sz w:val="14"/>
                <w:szCs w:val="14"/>
              </w:rPr>
              <w:drawing>
                <wp:inline distT="0" distB="0" distL="0" distR="0">
                  <wp:extent cx="4749196" cy="3548230"/>
                  <wp:effectExtent l="1905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533B7">
              <w:rPr>
                <w:rFonts w:cs="Arial"/>
                <w:sz w:val="14"/>
                <w:szCs w:val="14"/>
              </w:rPr>
              <w:t>*O</w:t>
            </w:r>
            <w:r w:rsidR="006B7CCE" w:rsidRPr="00540CB3">
              <w:rPr>
                <w:rFonts w:cs="Arial"/>
                <w:sz w:val="14"/>
                <w:szCs w:val="14"/>
              </w:rPr>
              <w:t xml:space="preserve">čištěno od vlivu počtu pracovních </w:t>
            </w:r>
            <w:r w:rsidR="00E533B7">
              <w:rPr>
                <w:rFonts w:cs="Arial"/>
                <w:sz w:val="14"/>
                <w:szCs w:val="14"/>
              </w:rPr>
              <w:t>dnů.</w:t>
            </w:r>
            <w:r w:rsidR="006B7CCE" w:rsidRPr="00540CB3">
              <w:rPr>
                <w:rFonts w:cs="Arial"/>
                <w:sz w:val="14"/>
                <w:szCs w:val="14"/>
              </w:rPr>
              <w:t xml:space="preserve">                                                           </w:t>
            </w:r>
            <w:r w:rsidR="00E533B7">
              <w:rPr>
                <w:rFonts w:cs="Arial"/>
                <w:sz w:val="14"/>
                <w:szCs w:val="14"/>
              </w:rPr>
              <w:t xml:space="preserve">                      </w:t>
            </w:r>
            <w:r w:rsidR="00540CB3">
              <w:rPr>
                <w:rFonts w:cs="Arial"/>
                <w:sz w:val="14"/>
                <w:szCs w:val="14"/>
              </w:rPr>
              <w:t xml:space="preserve">                    </w:t>
            </w:r>
            <w:r w:rsidR="006B7CCE" w:rsidRPr="00540CB3">
              <w:rPr>
                <w:rFonts w:cs="Arial"/>
                <w:sz w:val="14"/>
                <w:szCs w:val="14"/>
              </w:rPr>
              <w:t xml:space="preserve">      </w:t>
            </w:r>
            <w:r w:rsidR="003C6DB9" w:rsidRPr="00540CB3">
              <w:rPr>
                <w:sz w:val="14"/>
                <w:szCs w:val="14"/>
              </w:rPr>
              <w:t>Zdroj: ČSÚ</w:t>
            </w:r>
          </w:p>
        </w:tc>
      </w:tr>
    </w:tbl>
    <w:p w:rsidR="0069789D" w:rsidRDefault="0069789D" w:rsidP="00492991">
      <w:pPr>
        <w:pStyle w:val="Textpoznpodarou"/>
        <w:jc w:val="both"/>
        <w:rPr>
          <w:sz w:val="18"/>
          <w:szCs w:val="18"/>
        </w:rPr>
      </w:pPr>
    </w:p>
    <w:tbl>
      <w:tblPr>
        <w:tblW w:w="4986" w:type="pct"/>
        <w:tblInd w:w="107" w:type="dxa"/>
        <w:tblLayout w:type="fixed"/>
        <w:tblLook w:val="00A0"/>
      </w:tblPr>
      <w:tblGrid>
        <w:gridCol w:w="1997"/>
        <w:gridCol w:w="283"/>
        <w:gridCol w:w="7546"/>
      </w:tblGrid>
      <w:tr w:rsidR="00EF3CF0" w:rsidRPr="00102835" w:rsidTr="008F1638">
        <w:tc>
          <w:tcPr>
            <w:tcW w:w="1016" w:type="pct"/>
            <w:shd w:val="clear" w:color="auto" w:fill="auto"/>
          </w:tcPr>
          <w:p w:rsidR="00EF3CF0" w:rsidRPr="00EF3CF0" w:rsidRDefault="00EF3CF0" w:rsidP="00A0172C">
            <w:pPr>
              <w:spacing w:line="240" w:lineRule="auto"/>
              <w:rPr>
                <w:spacing w:val="-4"/>
                <w:sz w:val="16"/>
                <w:szCs w:val="16"/>
              </w:rPr>
            </w:pPr>
            <w:r w:rsidRPr="00EF3CF0">
              <w:rPr>
                <w:spacing w:val="-4"/>
                <w:sz w:val="16"/>
                <w:szCs w:val="16"/>
              </w:rPr>
              <w:t>Mírné oživení zahajované bytové výstavby na přelomu let 2016 a 2017 však zatím rostoucí napětí mezi nabídkou a</w:t>
            </w:r>
            <w:r w:rsidRPr="00304FAE">
              <w:rPr>
                <w:spacing w:val="-4"/>
                <w:sz w:val="16"/>
                <w:szCs w:val="16"/>
              </w:rPr>
              <w:t> </w:t>
            </w:r>
            <w:r w:rsidRPr="00EF3CF0">
              <w:rPr>
                <w:spacing w:val="-4"/>
                <w:sz w:val="16"/>
                <w:szCs w:val="16"/>
              </w:rPr>
              <w:t>poptávkou příliš neovlivnilo.</w:t>
            </w:r>
          </w:p>
          <w:p w:rsidR="00EF3CF0" w:rsidRPr="00EF3CF0" w:rsidRDefault="00EF3CF0" w:rsidP="00A0172C">
            <w:pPr>
              <w:spacing w:line="240" w:lineRule="auto"/>
              <w:rPr>
                <w:spacing w:val="-4"/>
                <w:sz w:val="16"/>
                <w:szCs w:val="16"/>
              </w:rPr>
            </w:pPr>
          </w:p>
        </w:tc>
        <w:tc>
          <w:tcPr>
            <w:tcW w:w="144" w:type="pct"/>
          </w:tcPr>
          <w:p w:rsidR="00EF3CF0" w:rsidRPr="005B2702" w:rsidRDefault="00EF3CF0" w:rsidP="00A0172C">
            <w:pPr>
              <w:rPr>
                <w:spacing w:val="-4"/>
                <w:szCs w:val="20"/>
              </w:rPr>
            </w:pPr>
          </w:p>
        </w:tc>
        <w:tc>
          <w:tcPr>
            <w:tcW w:w="3840" w:type="pct"/>
          </w:tcPr>
          <w:p w:rsidR="00EF3CF0" w:rsidRDefault="00EF3CF0" w:rsidP="00A0172C">
            <w:pPr>
              <w:pStyle w:val="Textpoznpodarou"/>
              <w:jc w:val="both"/>
              <w:rPr>
                <w:spacing w:val="-4"/>
              </w:rPr>
            </w:pPr>
            <w:r>
              <w:rPr>
                <w:spacing w:val="-4"/>
              </w:rPr>
              <w:t>Počet zahájených bytů se v 1. čtvrtletí meziročně zvýšil o více než čtvrtinu (na 6,5 tis., nejvyšší hodnota za posledních pět let). Oživení se týkalo rodinných i bytových domů a dotklo se i drt</w:t>
            </w:r>
            <w:r w:rsidR="00E533B7">
              <w:rPr>
                <w:spacing w:val="-4"/>
              </w:rPr>
              <w:t xml:space="preserve">ivé většiny krajů (v Praze ale přesto </w:t>
            </w:r>
            <w:r>
              <w:rPr>
                <w:spacing w:val="-4"/>
              </w:rPr>
              <w:t>z</w:t>
            </w:r>
            <w:r w:rsidR="00E533B7">
              <w:rPr>
                <w:spacing w:val="-4"/>
              </w:rPr>
              <w:t xml:space="preserve">ůstával objem výstavby nízký: </w:t>
            </w:r>
            <w:r>
              <w:rPr>
                <w:spacing w:val="-4"/>
              </w:rPr>
              <w:t>712 bytů). Nepříznivá situace panovala v ČR u dokončených bytů (5,8 tis., v rámci 1. čtvrtletí šlo o nejnižší hodnotu od roku 2003). Tyto skutečnosti ještě více vyostřují napětí mezi nabídkou a poptávkou (posílenou rostoucími příjmy domácností i přetrváváním velmi nízkých úrokových sazeb) a přispívají k silnému růstu cen nemovitostí v Praze, ale i v ostatních regionech.</w:t>
            </w:r>
          </w:p>
          <w:p w:rsidR="00EF3CF0" w:rsidRPr="00535F78" w:rsidRDefault="00EF3CF0" w:rsidP="00A0172C">
            <w:pPr>
              <w:pStyle w:val="Textpoznpodarou"/>
              <w:jc w:val="both"/>
              <w:rPr>
                <w:spacing w:val="-4"/>
                <w:sz w:val="14"/>
                <w:szCs w:val="14"/>
              </w:rPr>
            </w:pPr>
          </w:p>
        </w:tc>
      </w:tr>
      <w:tr w:rsidR="00355CAA" w:rsidRPr="006C5BE9" w:rsidTr="008F1638">
        <w:tc>
          <w:tcPr>
            <w:tcW w:w="1016" w:type="pct"/>
            <w:shd w:val="clear" w:color="auto" w:fill="auto"/>
          </w:tcPr>
          <w:p w:rsidR="00355CAA" w:rsidRPr="00753032" w:rsidRDefault="00355CAA" w:rsidP="00A0172C">
            <w:pPr>
              <w:spacing w:line="240" w:lineRule="auto"/>
              <w:rPr>
                <w:spacing w:val="-4"/>
                <w:sz w:val="16"/>
                <w:szCs w:val="16"/>
              </w:rPr>
            </w:pPr>
            <w:r w:rsidRPr="00753032">
              <w:rPr>
                <w:spacing w:val="-4"/>
                <w:sz w:val="16"/>
                <w:szCs w:val="16"/>
              </w:rPr>
              <w:t>Stavební produkce v ČR dosahovala v posledních šesti čtvrtletích nižší</w:t>
            </w:r>
            <w:r>
              <w:rPr>
                <w:spacing w:val="-4"/>
                <w:sz w:val="16"/>
                <w:szCs w:val="16"/>
              </w:rPr>
              <w:t>ch</w:t>
            </w:r>
            <w:r w:rsidRPr="00753032">
              <w:rPr>
                <w:spacing w:val="-4"/>
                <w:sz w:val="16"/>
                <w:szCs w:val="16"/>
              </w:rPr>
              <w:t xml:space="preserve"> meziroční</w:t>
            </w:r>
            <w:r>
              <w:rPr>
                <w:spacing w:val="-4"/>
                <w:sz w:val="16"/>
                <w:szCs w:val="16"/>
              </w:rPr>
              <w:t>ch temp</w:t>
            </w:r>
            <w:r w:rsidRPr="00753032">
              <w:rPr>
                <w:spacing w:val="-4"/>
                <w:sz w:val="16"/>
                <w:szCs w:val="16"/>
              </w:rPr>
              <w:t xml:space="preserve"> než v EU, od konce poslední recese však v ú</w:t>
            </w:r>
            <w:r>
              <w:rPr>
                <w:spacing w:val="-4"/>
                <w:sz w:val="16"/>
                <w:szCs w:val="16"/>
              </w:rPr>
              <w:t>hrnu rostla srovnatelným tempem.</w:t>
            </w:r>
          </w:p>
          <w:p w:rsidR="00355CAA" w:rsidRPr="00753032" w:rsidRDefault="00355CAA" w:rsidP="00A0172C">
            <w:pPr>
              <w:spacing w:line="240" w:lineRule="auto"/>
              <w:rPr>
                <w:spacing w:val="-4"/>
                <w:sz w:val="16"/>
                <w:szCs w:val="16"/>
              </w:rPr>
            </w:pPr>
          </w:p>
          <w:p w:rsidR="00355CAA" w:rsidRPr="005B2702" w:rsidRDefault="00355CAA" w:rsidP="00A0172C">
            <w:pPr>
              <w:spacing w:line="240" w:lineRule="auto"/>
              <w:rPr>
                <w:spacing w:val="-2"/>
                <w:sz w:val="16"/>
                <w:szCs w:val="16"/>
              </w:rPr>
            </w:pPr>
            <w:r w:rsidRPr="00753032">
              <w:rPr>
                <w:spacing w:val="-4"/>
                <w:sz w:val="16"/>
                <w:szCs w:val="16"/>
              </w:rPr>
              <w:t>Úrovně produkce z počátku konjunkturního roku 2008 dosáhlo letos jen pět států EU</w:t>
            </w:r>
            <w:r>
              <w:rPr>
                <w:spacing w:val="-4"/>
                <w:sz w:val="16"/>
                <w:szCs w:val="16"/>
              </w:rPr>
              <w:t>.</w:t>
            </w:r>
          </w:p>
        </w:tc>
        <w:tc>
          <w:tcPr>
            <w:tcW w:w="144" w:type="pct"/>
          </w:tcPr>
          <w:p w:rsidR="00355CAA" w:rsidRPr="005B2702" w:rsidRDefault="00355CAA" w:rsidP="00A0172C">
            <w:pPr>
              <w:rPr>
                <w:spacing w:val="-4"/>
                <w:szCs w:val="20"/>
              </w:rPr>
            </w:pPr>
          </w:p>
        </w:tc>
        <w:tc>
          <w:tcPr>
            <w:tcW w:w="3840" w:type="pct"/>
          </w:tcPr>
          <w:p w:rsidR="00355CAA" w:rsidRDefault="00355CAA" w:rsidP="00A0172C">
            <w:pPr>
              <w:pStyle w:val="Textpoznpodarou"/>
              <w:jc w:val="both"/>
              <w:rPr>
                <w:spacing w:val="-4"/>
              </w:rPr>
            </w:pPr>
            <w:r>
              <w:rPr>
                <w:spacing w:val="-4"/>
              </w:rPr>
              <w:t>Stavební produkce v EU (na rozdíl od ČR) od poloviny roku 2013 nepřetržitě rostla. V 1. čtvrtletí meziročně posílila o 2,1 %, za celý loňský rok o 1,7 %. V roce 2016 klesala převážně v novějších členských státech, které se potýkaly s nerovnoměrným čerpáním prostředků z rozpočtu EU při přechodu na nové programové obdob</w:t>
            </w:r>
            <w:r w:rsidR="00985157">
              <w:rPr>
                <w:spacing w:val="-4"/>
              </w:rPr>
              <w:t>í. V šesti zemích poklesl výkon</w:t>
            </w:r>
            <w:r>
              <w:rPr>
                <w:spacing w:val="-4"/>
              </w:rPr>
              <w:t xml:space="preserve"> stavebnictví v rozmezí 10-19 % (v Česku o 6,1 %). V 1. čtvrtletí 2017 zaznamenalo snížení produkce již jen sedm států EU (vedle ČR např. </w:t>
            </w:r>
            <w:r w:rsidRPr="008548EA">
              <w:rPr>
                <w:spacing w:val="-4"/>
              </w:rPr>
              <w:t>Sloven</w:t>
            </w:r>
            <w:r w:rsidR="0014731B" w:rsidRPr="008548EA">
              <w:rPr>
                <w:spacing w:val="-4"/>
              </w:rPr>
              <w:t>s</w:t>
            </w:r>
            <w:r w:rsidRPr="008548EA">
              <w:rPr>
                <w:spacing w:val="-4"/>
              </w:rPr>
              <w:t>ko, Rumunsko</w:t>
            </w:r>
            <w:r>
              <w:rPr>
                <w:spacing w:val="-4"/>
              </w:rPr>
              <w:t xml:space="preserve"> a Bulharsko). Úroveň produkce z počátku konjunkturního roku 2008 dosud překonalo jen pět zemí (</w:t>
            </w:r>
            <w:r w:rsidR="00985157">
              <w:rPr>
                <w:spacing w:val="-4"/>
              </w:rPr>
              <w:t>Německo, severské státy, Malta). T</w:t>
            </w:r>
            <w:r>
              <w:rPr>
                <w:spacing w:val="-4"/>
              </w:rPr>
              <w:t xml:space="preserve">éto hladině se </w:t>
            </w:r>
            <w:r w:rsidR="00985157">
              <w:rPr>
                <w:spacing w:val="-4"/>
              </w:rPr>
              <w:t>blížilo Polsko i Velká Británie,</w:t>
            </w:r>
            <w:r>
              <w:rPr>
                <w:spacing w:val="-4"/>
              </w:rPr>
              <w:t xml:space="preserve"> Česko za ní zaos</w:t>
            </w:r>
            <w:r w:rsidR="00985157">
              <w:rPr>
                <w:spacing w:val="-4"/>
              </w:rPr>
              <w:t>távalo o 30 %, Slovensko o 38 %. V</w:t>
            </w:r>
            <w:r w:rsidR="003F0293">
              <w:rPr>
                <w:spacing w:val="-4"/>
              </w:rPr>
              <w:t>e většině jihoevropských států</w:t>
            </w:r>
            <w:r>
              <w:rPr>
                <w:spacing w:val="-4"/>
              </w:rPr>
              <w:t xml:space="preserve"> však byla redukce mnohem hlubší.</w:t>
            </w:r>
          </w:p>
          <w:p w:rsidR="00355CAA" w:rsidRPr="00E971D8" w:rsidRDefault="00355CAA" w:rsidP="00A0172C">
            <w:pPr>
              <w:pStyle w:val="Textpoznpodarou"/>
              <w:jc w:val="both"/>
              <w:rPr>
                <w:spacing w:val="-4"/>
                <w:sz w:val="13"/>
                <w:szCs w:val="13"/>
              </w:rPr>
            </w:pPr>
          </w:p>
        </w:tc>
      </w:tr>
      <w:tr w:rsidR="00355CAA" w:rsidRPr="006C5BE9" w:rsidTr="008F1638">
        <w:tc>
          <w:tcPr>
            <w:tcW w:w="1016" w:type="pct"/>
            <w:shd w:val="clear" w:color="auto" w:fill="auto"/>
          </w:tcPr>
          <w:p w:rsidR="00355CAA" w:rsidRDefault="00355CAA" w:rsidP="00355CAA">
            <w:pPr>
              <w:spacing w:line="240" w:lineRule="auto"/>
              <w:rPr>
                <w:spacing w:val="-2"/>
                <w:sz w:val="16"/>
                <w:szCs w:val="16"/>
              </w:rPr>
            </w:pPr>
            <w:r>
              <w:rPr>
                <w:spacing w:val="-2"/>
                <w:sz w:val="16"/>
                <w:szCs w:val="16"/>
              </w:rPr>
              <w:lastRenderedPageBreak/>
              <w:t>Tržby ve službách na počátku roku výrazně zrychlily a dosáhly nejvyššího meziročního tempa od konce roku 2007.</w:t>
            </w:r>
          </w:p>
          <w:p w:rsidR="00355CAA" w:rsidRDefault="00355CAA" w:rsidP="00355CAA">
            <w:pPr>
              <w:spacing w:line="240" w:lineRule="auto"/>
              <w:rPr>
                <w:spacing w:val="-2"/>
                <w:sz w:val="16"/>
                <w:szCs w:val="16"/>
              </w:rPr>
            </w:pPr>
          </w:p>
          <w:p w:rsidR="00355CAA" w:rsidRDefault="00355CAA" w:rsidP="00355CAA">
            <w:pPr>
              <w:spacing w:line="240" w:lineRule="auto"/>
              <w:rPr>
                <w:spacing w:val="-2"/>
                <w:sz w:val="16"/>
                <w:szCs w:val="16"/>
              </w:rPr>
            </w:pPr>
          </w:p>
          <w:p w:rsidR="00355CAA" w:rsidRDefault="00355CAA" w:rsidP="00355CAA">
            <w:pPr>
              <w:spacing w:line="240" w:lineRule="auto"/>
              <w:rPr>
                <w:spacing w:val="-2"/>
                <w:sz w:val="16"/>
                <w:szCs w:val="16"/>
              </w:rPr>
            </w:pPr>
          </w:p>
          <w:p w:rsidR="00355CAA" w:rsidRDefault="00355CAA" w:rsidP="00355CAA">
            <w:pPr>
              <w:spacing w:line="240" w:lineRule="auto"/>
              <w:rPr>
                <w:spacing w:val="-2"/>
                <w:sz w:val="16"/>
                <w:szCs w:val="16"/>
              </w:rPr>
            </w:pPr>
          </w:p>
          <w:p w:rsidR="00355CAA" w:rsidRDefault="00355CAA" w:rsidP="00355CAA">
            <w:pPr>
              <w:spacing w:line="240" w:lineRule="auto"/>
              <w:rPr>
                <w:spacing w:val="-2"/>
                <w:sz w:val="16"/>
                <w:szCs w:val="16"/>
              </w:rPr>
            </w:pPr>
            <w:r>
              <w:rPr>
                <w:spacing w:val="-2"/>
                <w:sz w:val="16"/>
                <w:szCs w:val="16"/>
              </w:rPr>
              <w:t>K růstu tržeb přispěly nejvíce doprava a skladování, meziročně příznivější výsledků ale dosáhla všechna hlavní odvětví služeb.</w:t>
            </w:r>
          </w:p>
          <w:p w:rsidR="00355CAA" w:rsidRDefault="00355CAA" w:rsidP="00355CAA">
            <w:pPr>
              <w:spacing w:line="240" w:lineRule="auto"/>
              <w:rPr>
                <w:spacing w:val="-2"/>
                <w:sz w:val="16"/>
                <w:szCs w:val="16"/>
              </w:rPr>
            </w:pPr>
          </w:p>
          <w:p w:rsidR="00355CAA" w:rsidRDefault="00355CAA" w:rsidP="00355CAA">
            <w:pPr>
              <w:spacing w:line="240" w:lineRule="auto"/>
              <w:rPr>
                <w:spacing w:val="-2"/>
                <w:sz w:val="16"/>
                <w:szCs w:val="16"/>
              </w:rPr>
            </w:pPr>
          </w:p>
          <w:p w:rsidR="00355CAA" w:rsidRPr="005B2702" w:rsidRDefault="00355CAA" w:rsidP="00355CAA">
            <w:pPr>
              <w:spacing w:line="240" w:lineRule="auto"/>
              <w:rPr>
                <w:spacing w:val="-2"/>
                <w:sz w:val="16"/>
                <w:szCs w:val="16"/>
              </w:rPr>
            </w:pPr>
          </w:p>
          <w:p w:rsidR="00355CAA" w:rsidRDefault="00B831B4" w:rsidP="00355CAA">
            <w:pPr>
              <w:spacing w:line="240" w:lineRule="auto"/>
              <w:rPr>
                <w:spacing w:val="-2"/>
                <w:sz w:val="16"/>
                <w:szCs w:val="16"/>
              </w:rPr>
            </w:pPr>
            <w:r>
              <w:rPr>
                <w:spacing w:val="-2"/>
                <w:sz w:val="16"/>
                <w:szCs w:val="16"/>
              </w:rPr>
              <w:t>M</w:t>
            </w:r>
            <w:r w:rsidR="00355CAA">
              <w:rPr>
                <w:spacing w:val="-2"/>
                <w:sz w:val="16"/>
                <w:szCs w:val="16"/>
              </w:rPr>
              <w:t>eziroční pokles</w:t>
            </w:r>
            <w:r w:rsidR="00D81B44">
              <w:rPr>
                <w:spacing w:val="-2"/>
                <w:sz w:val="16"/>
                <w:szCs w:val="16"/>
              </w:rPr>
              <w:t xml:space="preserve"> tržeb</w:t>
            </w:r>
            <w:r w:rsidR="00355CAA">
              <w:rPr>
                <w:spacing w:val="-2"/>
                <w:sz w:val="16"/>
                <w:szCs w:val="16"/>
              </w:rPr>
              <w:t xml:space="preserve"> architektonických a</w:t>
            </w:r>
            <w:r w:rsidR="00355CAA" w:rsidRPr="00753032">
              <w:rPr>
                <w:spacing w:val="-4"/>
                <w:sz w:val="16"/>
                <w:szCs w:val="16"/>
              </w:rPr>
              <w:t> </w:t>
            </w:r>
            <w:r>
              <w:rPr>
                <w:spacing w:val="-2"/>
                <w:sz w:val="16"/>
                <w:szCs w:val="16"/>
              </w:rPr>
              <w:t xml:space="preserve">inženýrských činností přetrvával </w:t>
            </w:r>
            <w:r w:rsidR="00D81B44">
              <w:rPr>
                <w:spacing w:val="-2"/>
                <w:sz w:val="16"/>
                <w:szCs w:val="16"/>
              </w:rPr>
              <w:t>již šesté čtvrtletí v řadě, jeho hloubka se však mírnila.</w:t>
            </w:r>
          </w:p>
          <w:p w:rsidR="00355CAA" w:rsidRPr="005B2702" w:rsidRDefault="00355CAA" w:rsidP="00A0172C">
            <w:pPr>
              <w:spacing w:line="240" w:lineRule="auto"/>
              <w:rPr>
                <w:spacing w:val="-2"/>
                <w:sz w:val="16"/>
                <w:szCs w:val="16"/>
              </w:rPr>
            </w:pPr>
          </w:p>
        </w:tc>
        <w:tc>
          <w:tcPr>
            <w:tcW w:w="144" w:type="pct"/>
          </w:tcPr>
          <w:p w:rsidR="00355CAA" w:rsidRPr="005B2702" w:rsidRDefault="00355CAA" w:rsidP="00A0172C">
            <w:pPr>
              <w:rPr>
                <w:spacing w:val="-4"/>
                <w:szCs w:val="20"/>
              </w:rPr>
            </w:pPr>
          </w:p>
        </w:tc>
        <w:tc>
          <w:tcPr>
            <w:tcW w:w="3840" w:type="pct"/>
          </w:tcPr>
          <w:p w:rsidR="00355CAA" w:rsidRDefault="00355CAA" w:rsidP="00A0172C">
            <w:pPr>
              <w:pStyle w:val="Textpoznpodarou"/>
              <w:jc w:val="both"/>
              <w:rPr>
                <w:color w:val="000000" w:themeColor="text1"/>
                <w:spacing w:val="-4"/>
              </w:rPr>
            </w:pPr>
            <w:r>
              <w:rPr>
                <w:color w:val="000000" w:themeColor="text1"/>
                <w:spacing w:val="-4"/>
              </w:rPr>
              <w:t>Růst tržeb</w:t>
            </w:r>
            <w:r w:rsidRPr="000B5816">
              <w:rPr>
                <w:color w:val="000000" w:themeColor="text1"/>
                <w:spacing w:val="-4"/>
              </w:rPr>
              <w:t xml:space="preserve"> ve vybraných službách</w:t>
            </w:r>
            <w:r w:rsidRPr="006046C4">
              <w:rPr>
                <w:color w:val="000000" w:themeColor="text1"/>
                <w:spacing w:val="-4"/>
                <w:vertAlign w:val="superscript"/>
              </w:rPr>
              <w:footnoteReference w:id="18"/>
            </w:r>
            <w:r>
              <w:rPr>
                <w:color w:val="000000" w:themeColor="text1"/>
                <w:spacing w:val="-4"/>
              </w:rPr>
              <w:t xml:space="preserve"> na počátku roku výrazně zrychlil z 1,5 % (ve 2.</w:t>
            </w:r>
            <w:r>
              <w:rPr>
                <w:spacing w:val="-4"/>
              </w:rPr>
              <w:t> </w:t>
            </w:r>
            <w:r w:rsidR="00357C28">
              <w:rPr>
                <w:color w:val="000000" w:themeColor="text1"/>
                <w:spacing w:val="-4"/>
              </w:rPr>
              <w:t>pololetí 2016) na 5,3</w:t>
            </w:r>
            <w:r>
              <w:rPr>
                <w:color w:val="000000" w:themeColor="text1"/>
                <w:spacing w:val="-4"/>
              </w:rPr>
              <w:t xml:space="preserve"> %. Na letošním růstu se třetinou podílelo odvětví dopravy a</w:t>
            </w:r>
            <w:r>
              <w:rPr>
                <w:spacing w:val="-4"/>
              </w:rPr>
              <w:t> </w:t>
            </w:r>
            <w:r>
              <w:rPr>
                <w:color w:val="000000" w:themeColor="text1"/>
                <w:spacing w:val="-4"/>
              </w:rPr>
              <w:t>skla</w:t>
            </w:r>
            <w:r w:rsidR="00357C28">
              <w:rPr>
                <w:color w:val="000000" w:themeColor="text1"/>
                <w:spacing w:val="-4"/>
              </w:rPr>
              <w:t>dování, jehož dynamika (+5</w:t>
            </w:r>
            <w:r>
              <w:rPr>
                <w:color w:val="000000" w:themeColor="text1"/>
                <w:spacing w:val="-4"/>
              </w:rPr>
              <w:t>,6 %) byla nejvyšší za posledních dvanáct čtvrtletí. Rostoucí tržby ve všech druzích dopravy (vyjma vodní) souvisely se sílícím zahraničním obchode</w:t>
            </w:r>
            <w:r w:rsidR="00357C28">
              <w:rPr>
                <w:color w:val="000000" w:themeColor="text1"/>
                <w:spacing w:val="-4"/>
              </w:rPr>
              <w:t>m, svižný růst ve skladování (+8,0</w:t>
            </w:r>
            <w:r>
              <w:rPr>
                <w:color w:val="000000" w:themeColor="text1"/>
                <w:spacing w:val="-4"/>
              </w:rPr>
              <w:t xml:space="preserve"> %) odrážel i dobré výsledky průmyslu. Téměř 1 </w:t>
            </w:r>
            <w:proofErr w:type="spellStart"/>
            <w:r>
              <w:rPr>
                <w:color w:val="000000" w:themeColor="text1"/>
                <w:spacing w:val="-4"/>
              </w:rPr>
              <w:t>p.b</w:t>
            </w:r>
            <w:proofErr w:type="spellEnd"/>
            <w:r>
              <w:rPr>
                <w:color w:val="000000" w:themeColor="text1"/>
                <w:spacing w:val="-4"/>
              </w:rPr>
              <w:t>. přispěly k růstu i administrativní a podpůrné činnosti (s</w:t>
            </w:r>
            <w:r>
              <w:rPr>
                <w:spacing w:val="-4"/>
              </w:rPr>
              <w:t> </w:t>
            </w:r>
            <w:r w:rsidR="00357C28">
              <w:rPr>
                <w:color w:val="000000" w:themeColor="text1"/>
                <w:spacing w:val="-4"/>
              </w:rPr>
              <w:t>tržbami vyššími o 9,5</w:t>
            </w:r>
            <w:r>
              <w:rPr>
                <w:color w:val="000000" w:themeColor="text1"/>
                <w:spacing w:val="-4"/>
              </w:rPr>
              <w:t xml:space="preserve"> %, za celý rok 2016 bylo jejich tempo</w:t>
            </w:r>
            <w:r w:rsidR="00357C28">
              <w:rPr>
                <w:color w:val="000000" w:themeColor="text1"/>
                <w:spacing w:val="-4"/>
              </w:rPr>
              <w:t xml:space="preserve"> 4,2 %</w:t>
            </w:r>
            <w:r>
              <w:rPr>
                <w:color w:val="000000" w:themeColor="text1"/>
                <w:spacing w:val="-4"/>
              </w:rPr>
              <w:t xml:space="preserve">). Projevila se nejen dlouhodobá expanze pracovních agentur (jejichž služeb si </w:t>
            </w:r>
            <w:r w:rsidR="00357C28">
              <w:rPr>
                <w:color w:val="000000" w:themeColor="text1"/>
                <w:spacing w:val="-4"/>
              </w:rPr>
              <w:t xml:space="preserve">zřejmě </w:t>
            </w:r>
            <w:r>
              <w:rPr>
                <w:color w:val="000000" w:themeColor="text1"/>
                <w:spacing w:val="-4"/>
              </w:rPr>
              <w:t>podniky zvykly využívat i</w:t>
            </w:r>
            <w:r w:rsidR="00357C28">
              <w:rPr>
                <w:spacing w:val="-4"/>
              </w:rPr>
              <w:t> </w:t>
            </w:r>
            <w:r>
              <w:rPr>
                <w:color w:val="000000" w:themeColor="text1"/>
                <w:spacing w:val="-4"/>
              </w:rPr>
              <w:t>v období stabilního hospodářského růstu) či dvouciferný růst tržeb za pronájmy a</w:t>
            </w:r>
            <w:r>
              <w:rPr>
                <w:spacing w:val="-4"/>
              </w:rPr>
              <w:t> </w:t>
            </w:r>
            <w:r>
              <w:rPr>
                <w:color w:val="000000" w:themeColor="text1"/>
                <w:spacing w:val="-4"/>
              </w:rPr>
              <w:t>leasing automobilů, ale i oživení u cestovních agentur a</w:t>
            </w:r>
            <w:r w:rsidRPr="00223004">
              <w:rPr>
                <w:color w:val="000000" w:themeColor="text1"/>
                <w:spacing w:val="-4"/>
              </w:rPr>
              <w:t xml:space="preserve"> kanceláří </w:t>
            </w:r>
            <w:r>
              <w:rPr>
                <w:color w:val="000000" w:themeColor="text1"/>
                <w:spacing w:val="-4"/>
              </w:rPr>
              <w:t xml:space="preserve">podpořené i silnějším přílivem turistů z Ruska. Delší zimní sezóna se promítla </w:t>
            </w:r>
            <w:r w:rsidR="00E62A33">
              <w:rPr>
                <w:color w:val="000000" w:themeColor="text1"/>
                <w:spacing w:val="-4"/>
              </w:rPr>
              <w:t>v počtu přenocování domácích (+11</w:t>
            </w:r>
            <w:r>
              <w:rPr>
                <w:color w:val="000000" w:themeColor="text1"/>
                <w:spacing w:val="-4"/>
              </w:rPr>
              <w:t>,3 % meziročně) i</w:t>
            </w:r>
            <w:r>
              <w:rPr>
                <w:spacing w:val="-4"/>
              </w:rPr>
              <w:t> </w:t>
            </w:r>
            <w:r w:rsidR="00E62A33">
              <w:rPr>
                <w:color w:val="000000" w:themeColor="text1"/>
                <w:spacing w:val="-4"/>
              </w:rPr>
              <w:t>zahraničních hostů (+7</w:t>
            </w:r>
            <w:r>
              <w:rPr>
                <w:color w:val="000000" w:themeColor="text1"/>
                <w:spacing w:val="-4"/>
              </w:rPr>
              <w:t>,3 %) a</w:t>
            </w:r>
            <w:r>
              <w:rPr>
                <w:spacing w:val="-4"/>
              </w:rPr>
              <w:t> </w:t>
            </w:r>
            <w:r>
              <w:rPr>
                <w:color w:val="000000" w:themeColor="text1"/>
                <w:spacing w:val="-4"/>
              </w:rPr>
              <w:t>p</w:t>
            </w:r>
            <w:r w:rsidR="00813DB0">
              <w:rPr>
                <w:color w:val="000000" w:themeColor="text1"/>
                <w:spacing w:val="-4"/>
              </w:rPr>
              <w:t>odpořila tržby v ubytování (+9,3</w:t>
            </w:r>
            <w:r>
              <w:rPr>
                <w:color w:val="000000" w:themeColor="text1"/>
                <w:spacing w:val="-4"/>
              </w:rPr>
              <w:t xml:space="preserve"> %) </w:t>
            </w:r>
            <w:r w:rsidR="00813DB0">
              <w:rPr>
                <w:color w:val="000000" w:themeColor="text1"/>
                <w:spacing w:val="-4"/>
              </w:rPr>
              <w:t>i stravování a pohostinství (+13,6</w:t>
            </w:r>
            <w:r>
              <w:rPr>
                <w:color w:val="000000" w:themeColor="text1"/>
                <w:spacing w:val="-4"/>
              </w:rPr>
              <w:t xml:space="preserve"> %). Mírně posílily tržby v</w:t>
            </w:r>
            <w:r w:rsidR="00813DB0">
              <w:rPr>
                <w:spacing w:val="-4"/>
              </w:rPr>
              <w:t> </w:t>
            </w:r>
            <w:r>
              <w:rPr>
                <w:color w:val="000000" w:themeColor="text1"/>
                <w:spacing w:val="-4"/>
              </w:rPr>
              <w:t>profesních, vědeckých a</w:t>
            </w:r>
            <w:r>
              <w:rPr>
                <w:spacing w:val="-4"/>
              </w:rPr>
              <w:t> </w:t>
            </w:r>
            <w:r w:rsidR="00813DB0">
              <w:rPr>
                <w:color w:val="000000" w:themeColor="text1"/>
                <w:spacing w:val="-4"/>
              </w:rPr>
              <w:t>technických činnostech (+2,3</w:t>
            </w:r>
            <w:r>
              <w:rPr>
                <w:color w:val="000000" w:themeColor="text1"/>
                <w:spacing w:val="-4"/>
              </w:rPr>
              <w:t xml:space="preserve"> %), především vliv</w:t>
            </w:r>
            <w:r w:rsidR="00813DB0">
              <w:rPr>
                <w:color w:val="000000" w:themeColor="text1"/>
                <w:spacing w:val="-4"/>
              </w:rPr>
              <w:t>em právních a účetních činností, r</w:t>
            </w:r>
            <w:r>
              <w:rPr>
                <w:color w:val="000000" w:themeColor="text1"/>
                <w:spacing w:val="-4"/>
              </w:rPr>
              <w:t xml:space="preserve">ůst ale zaznamenala </w:t>
            </w:r>
            <w:r w:rsidR="00E62A33">
              <w:rPr>
                <w:color w:val="000000" w:themeColor="text1"/>
                <w:spacing w:val="-4"/>
              </w:rPr>
              <w:t xml:space="preserve">téměř </w:t>
            </w:r>
            <w:r>
              <w:rPr>
                <w:color w:val="000000" w:themeColor="text1"/>
                <w:spacing w:val="-4"/>
              </w:rPr>
              <w:t xml:space="preserve">všechna dílčí odvětví. </w:t>
            </w:r>
            <w:r w:rsidR="00E62A33">
              <w:rPr>
                <w:color w:val="000000" w:themeColor="text1"/>
                <w:spacing w:val="-4"/>
              </w:rPr>
              <w:t>Výjimkou byly se stavebnictvím provázané</w:t>
            </w:r>
            <w:r w:rsidR="00B831B4">
              <w:rPr>
                <w:color w:val="000000" w:themeColor="text1"/>
                <w:spacing w:val="-4"/>
              </w:rPr>
              <w:t xml:space="preserve"> </w:t>
            </w:r>
            <w:r>
              <w:rPr>
                <w:color w:val="000000" w:themeColor="text1"/>
                <w:spacing w:val="-4"/>
              </w:rPr>
              <w:t>architektonické</w:t>
            </w:r>
            <w:r w:rsidRPr="007B2C32">
              <w:rPr>
                <w:color w:val="000000" w:themeColor="text1"/>
                <w:spacing w:val="-4"/>
              </w:rPr>
              <w:t xml:space="preserve"> a</w:t>
            </w:r>
            <w:r>
              <w:rPr>
                <w:spacing w:val="-4"/>
              </w:rPr>
              <w:t> </w:t>
            </w:r>
            <w:r w:rsidRPr="007B2C32">
              <w:rPr>
                <w:color w:val="000000" w:themeColor="text1"/>
                <w:spacing w:val="-4"/>
              </w:rPr>
              <w:t>inženýrské činnost</w:t>
            </w:r>
            <w:r>
              <w:rPr>
                <w:color w:val="000000" w:themeColor="text1"/>
                <w:spacing w:val="-4"/>
              </w:rPr>
              <w:t>i</w:t>
            </w:r>
            <w:r w:rsidR="00E62A33">
              <w:rPr>
                <w:color w:val="000000" w:themeColor="text1"/>
                <w:spacing w:val="-4"/>
              </w:rPr>
              <w:t>, jež</w:t>
            </w:r>
            <w:r>
              <w:rPr>
                <w:color w:val="000000" w:themeColor="text1"/>
                <w:spacing w:val="-4"/>
              </w:rPr>
              <w:t xml:space="preserve"> </w:t>
            </w:r>
            <w:r w:rsidR="00B831B4">
              <w:rPr>
                <w:color w:val="000000" w:themeColor="text1"/>
                <w:spacing w:val="-4"/>
              </w:rPr>
              <w:t xml:space="preserve">pokračovaly v meziročním poklesu již šesté čtvrtletí v řadě, </w:t>
            </w:r>
            <w:r w:rsidR="00E533B7">
              <w:rPr>
                <w:color w:val="000000" w:themeColor="text1"/>
                <w:spacing w:val="-4"/>
              </w:rPr>
              <w:t>tento pokles však na počátku roku zpomalil</w:t>
            </w:r>
            <w:r w:rsidR="00B831B4">
              <w:rPr>
                <w:color w:val="000000" w:themeColor="text1"/>
                <w:spacing w:val="-4"/>
              </w:rPr>
              <w:t xml:space="preserve"> (-0,5 %). Již čtvrtý kvartál přetrvá</w:t>
            </w:r>
            <w:r>
              <w:rPr>
                <w:color w:val="000000" w:themeColor="text1"/>
                <w:spacing w:val="-4"/>
              </w:rPr>
              <w:t>val dvouciferný růst průzkumu trhu a</w:t>
            </w:r>
            <w:r w:rsidR="00B831B4">
              <w:rPr>
                <w:spacing w:val="-4"/>
              </w:rPr>
              <w:t> </w:t>
            </w:r>
            <w:r>
              <w:rPr>
                <w:color w:val="000000" w:themeColor="text1"/>
                <w:spacing w:val="-4"/>
              </w:rPr>
              <w:t>veřejného mínění, naopak tržby za reklamní činn</w:t>
            </w:r>
            <w:r w:rsidR="00B831B4">
              <w:rPr>
                <w:color w:val="000000" w:themeColor="text1"/>
                <w:spacing w:val="-4"/>
              </w:rPr>
              <w:t>osti po stagnaci</w:t>
            </w:r>
            <w:r>
              <w:rPr>
                <w:color w:val="000000" w:themeColor="text1"/>
                <w:spacing w:val="-4"/>
              </w:rPr>
              <w:t xml:space="preserve"> za celý loňsk</w:t>
            </w:r>
            <w:r w:rsidR="00B831B4">
              <w:rPr>
                <w:color w:val="000000" w:themeColor="text1"/>
                <w:spacing w:val="-4"/>
              </w:rPr>
              <w:t>ý rok letos ožily jen mírně</w:t>
            </w:r>
            <w:r>
              <w:rPr>
                <w:color w:val="000000" w:themeColor="text1"/>
                <w:spacing w:val="-4"/>
              </w:rPr>
              <w:t>. Přetrvával stabilní růst v odvětví informačních a</w:t>
            </w:r>
            <w:r w:rsidR="006B59D7">
              <w:rPr>
                <w:spacing w:val="-4"/>
              </w:rPr>
              <w:t> </w:t>
            </w:r>
            <w:r>
              <w:rPr>
                <w:color w:val="000000" w:themeColor="text1"/>
                <w:spacing w:val="-4"/>
              </w:rPr>
              <w:t>komunikačních činností</w:t>
            </w:r>
            <w:r w:rsidR="00813DB0">
              <w:rPr>
                <w:color w:val="000000" w:themeColor="text1"/>
                <w:spacing w:val="-4"/>
              </w:rPr>
              <w:t xml:space="preserve"> (+3,3 %). Podobným tempem rovněž posílily i </w:t>
            </w:r>
            <w:r w:rsidR="007142C1">
              <w:rPr>
                <w:color w:val="000000" w:themeColor="text1"/>
                <w:spacing w:val="-4"/>
              </w:rPr>
              <w:t xml:space="preserve">v období recese silně zasažené </w:t>
            </w:r>
            <w:r>
              <w:rPr>
                <w:color w:val="000000" w:themeColor="text1"/>
                <w:spacing w:val="-4"/>
              </w:rPr>
              <w:t xml:space="preserve">tržby v činnostech v oblasti nemovitostí (tažené </w:t>
            </w:r>
            <w:r w:rsidR="007142C1">
              <w:rPr>
                <w:color w:val="000000" w:themeColor="text1"/>
                <w:spacing w:val="-4"/>
              </w:rPr>
              <w:t xml:space="preserve">letos </w:t>
            </w:r>
            <w:r>
              <w:rPr>
                <w:color w:val="000000" w:themeColor="text1"/>
                <w:spacing w:val="-4"/>
              </w:rPr>
              <w:t>z</w:t>
            </w:r>
            <w:r w:rsidR="00813DB0">
              <w:rPr>
                <w:color w:val="000000" w:themeColor="text1"/>
                <w:spacing w:val="-4"/>
              </w:rPr>
              <w:t>ejména pronájmem nemovitostí) a </w:t>
            </w:r>
            <w:r w:rsidR="007142C1">
              <w:rPr>
                <w:color w:val="000000" w:themeColor="text1"/>
                <w:spacing w:val="-4"/>
              </w:rPr>
              <w:t>dosáhly nejlepšího</w:t>
            </w:r>
            <w:r>
              <w:rPr>
                <w:color w:val="000000" w:themeColor="text1"/>
                <w:spacing w:val="-4"/>
              </w:rPr>
              <w:t xml:space="preserve"> výsledku </w:t>
            </w:r>
            <w:r w:rsidR="007142C1">
              <w:rPr>
                <w:color w:val="000000" w:themeColor="text1"/>
                <w:spacing w:val="-4"/>
              </w:rPr>
              <w:t>od konce roku 2007</w:t>
            </w:r>
            <w:r>
              <w:rPr>
                <w:color w:val="000000" w:themeColor="text1"/>
                <w:spacing w:val="-4"/>
              </w:rPr>
              <w:t>.</w:t>
            </w:r>
          </w:p>
          <w:p w:rsidR="00355CAA" w:rsidRPr="006C5BE9" w:rsidRDefault="00355CAA" w:rsidP="00A0172C">
            <w:pPr>
              <w:pStyle w:val="Textpoznpodarou"/>
              <w:jc w:val="both"/>
              <w:rPr>
                <w:spacing w:val="-4"/>
                <w:sz w:val="13"/>
                <w:szCs w:val="13"/>
              </w:rPr>
            </w:pPr>
          </w:p>
        </w:tc>
      </w:tr>
      <w:tr w:rsidR="00355CAA" w:rsidRPr="006C5BE9" w:rsidTr="008F1638">
        <w:tc>
          <w:tcPr>
            <w:tcW w:w="1016" w:type="pct"/>
            <w:shd w:val="clear" w:color="auto" w:fill="auto"/>
          </w:tcPr>
          <w:p w:rsidR="00355CAA" w:rsidRPr="005B2702" w:rsidRDefault="00355CAA" w:rsidP="00A0172C">
            <w:pPr>
              <w:spacing w:line="240" w:lineRule="auto"/>
              <w:rPr>
                <w:spacing w:val="-2"/>
                <w:sz w:val="16"/>
                <w:szCs w:val="16"/>
              </w:rPr>
            </w:pPr>
            <w:r>
              <w:rPr>
                <w:spacing w:val="-2"/>
                <w:sz w:val="16"/>
                <w:szCs w:val="16"/>
              </w:rPr>
              <w:t>Tržby ve službách letos poprvé dosáhly úrovně počátku kon</w:t>
            </w:r>
            <w:r w:rsidR="007279B9">
              <w:rPr>
                <w:spacing w:val="-2"/>
                <w:sz w:val="16"/>
                <w:szCs w:val="16"/>
              </w:rPr>
              <w:t>junkturního roku 2008, hlavně</w:t>
            </w:r>
            <w:r>
              <w:rPr>
                <w:spacing w:val="-2"/>
                <w:sz w:val="16"/>
                <w:szCs w:val="16"/>
              </w:rPr>
              <w:t xml:space="preserve"> zásluhou administra</w:t>
            </w:r>
            <w:r w:rsidR="006B59D7">
              <w:rPr>
                <w:spacing w:val="-2"/>
                <w:sz w:val="16"/>
                <w:szCs w:val="16"/>
              </w:rPr>
              <w:t>tivních a podpůrných činností a</w:t>
            </w:r>
            <w:r w:rsidR="006B59D7">
              <w:rPr>
                <w:spacing w:val="-4"/>
                <w:sz w:val="16"/>
                <w:szCs w:val="16"/>
              </w:rPr>
              <w:t> </w:t>
            </w:r>
            <w:r>
              <w:rPr>
                <w:spacing w:val="-2"/>
                <w:sz w:val="16"/>
                <w:szCs w:val="16"/>
              </w:rPr>
              <w:t>také dopravy a skladování.</w:t>
            </w:r>
          </w:p>
        </w:tc>
        <w:tc>
          <w:tcPr>
            <w:tcW w:w="144" w:type="pct"/>
          </w:tcPr>
          <w:p w:rsidR="00355CAA" w:rsidRPr="005B2702" w:rsidRDefault="00355CAA" w:rsidP="00A0172C">
            <w:pPr>
              <w:rPr>
                <w:spacing w:val="-4"/>
                <w:szCs w:val="20"/>
              </w:rPr>
            </w:pPr>
          </w:p>
        </w:tc>
        <w:tc>
          <w:tcPr>
            <w:tcW w:w="3840" w:type="pct"/>
          </w:tcPr>
          <w:p w:rsidR="00355CAA" w:rsidRDefault="00355CAA" w:rsidP="007279B9">
            <w:pPr>
              <w:pStyle w:val="Textpoznpodarou"/>
              <w:jc w:val="both"/>
              <w:rPr>
                <w:color w:val="000000" w:themeColor="text1"/>
                <w:spacing w:val="-4"/>
              </w:rPr>
            </w:pPr>
            <w:r>
              <w:rPr>
                <w:color w:val="000000" w:themeColor="text1"/>
                <w:spacing w:val="-4"/>
              </w:rPr>
              <w:t>Tržby ve vybraných službách</w:t>
            </w:r>
            <w:r w:rsidR="007279B9">
              <w:rPr>
                <w:color w:val="000000" w:themeColor="text1"/>
                <w:spacing w:val="-4"/>
              </w:rPr>
              <w:t xml:space="preserve"> </w:t>
            </w:r>
            <w:r>
              <w:rPr>
                <w:color w:val="000000" w:themeColor="text1"/>
                <w:spacing w:val="-4"/>
              </w:rPr>
              <w:t>dosáhly</w:t>
            </w:r>
            <w:r w:rsidR="007279B9">
              <w:rPr>
                <w:color w:val="000000" w:themeColor="text1"/>
                <w:spacing w:val="-4"/>
              </w:rPr>
              <w:t xml:space="preserve"> </w:t>
            </w:r>
            <w:r>
              <w:rPr>
                <w:color w:val="000000" w:themeColor="text1"/>
                <w:spacing w:val="-4"/>
              </w:rPr>
              <w:t>letos poprvé úrovně počátku konjunkturního roku 2008. Proti konci poslední recese (1.</w:t>
            </w:r>
            <w:r w:rsidR="007279B9">
              <w:rPr>
                <w:color w:val="000000" w:themeColor="text1"/>
                <w:spacing w:val="-4"/>
              </w:rPr>
              <w:t xml:space="preserve"> čtvrtletí 2013) byly vyšší o 13,8</w:t>
            </w:r>
            <w:r>
              <w:rPr>
                <w:color w:val="000000" w:themeColor="text1"/>
                <w:spacing w:val="-4"/>
              </w:rPr>
              <w:t xml:space="preserve"> %. Dlouhodobě s</w:t>
            </w:r>
            <w:r w:rsidR="007279B9">
              <w:rPr>
                <w:color w:val="000000" w:themeColor="text1"/>
                <w:spacing w:val="-4"/>
              </w:rPr>
              <w:t xml:space="preserve">e </w:t>
            </w:r>
            <w:r w:rsidR="00DB7D77">
              <w:rPr>
                <w:color w:val="000000" w:themeColor="text1"/>
                <w:spacing w:val="-4"/>
              </w:rPr>
              <w:t>daří</w:t>
            </w:r>
            <w:r w:rsidR="007279B9">
              <w:rPr>
                <w:color w:val="000000" w:themeColor="text1"/>
                <w:spacing w:val="-4"/>
              </w:rPr>
              <w:t xml:space="preserve"> </w:t>
            </w:r>
            <w:r w:rsidR="003D59BE">
              <w:rPr>
                <w:color w:val="000000" w:themeColor="text1"/>
                <w:spacing w:val="-4"/>
              </w:rPr>
              <w:t>administrativním</w:t>
            </w:r>
            <w:r>
              <w:rPr>
                <w:color w:val="000000" w:themeColor="text1"/>
                <w:spacing w:val="-4"/>
              </w:rPr>
              <w:t xml:space="preserve"> a</w:t>
            </w:r>
            <w:r>
              <w:rPr>
                <w:spacing w:val="-4"/>
              </w:rPr>
              <w:t> </w:t>
            </w:r>
            <w:r w:rsidR="00DB7D77">
              <w:rPr>
                <w:color w:val="000000" w:themeColor="text1"/>
                <w:spacing w:val="-4"/>
              </w:rPr>
              <w:t xml:space="preserve">podpůrným činnostem, jejichž tržby se od konce recese navýšily o </w:t>
            </w:r>
            <w:r w:rsidR="00734597">
              <w:rPr>
                <w:color w:val="000000" w:themeColor="text1"/>
                <w:spacing w:val="-4"/>
              </w:rPr>
              <w:t xml:space="preserve">téměř </w:t>
            </w:r>
            <w:r w:rsidR="00DB7D77">
              <w:rPr>
                <w:color w:val="000000" w:themeColor="text1"/>
                <w:spacing w:val="-4"/>
              </w:rPr>
              <w:t>3</w:t>
            </w:r>
            <w:r w:rsidR="00734597">
              <w:rPr>
                <w:color w:val="000000" w:themeColor="text1"/>
                <w:spacing w:val="-4"/>
              </w:rPr>
              <w:t>0</w:t>
            </w:r>
            <w:r w:rsidR="00DB7D77">
              <w:rPr>
                <w:color w:val="000000" w:themeColor="text1"/>
                <w:spacing w:val="-4"/>
              </w:rPr>
              <w:t xml:space="preserve"> %, proti počátku rok</w:t>
            </w:r>
            <w:r w:rsidR="00734597">
              <w:rPr>
                <w:color w:val="000000" w:themeColor="text1"/>
                <w:spacing w:val="-4"/>
              </w:rPr>
              <w:t>u 2008 o 23</w:t>
            </w:r>
            <w:r w:rsidR="00DB7D77">
              <w:rPr>
                <w:color w:val="000000" w:themeColor="text1"/>
                <w:spacing w:val="-4"/>
              </w:rPr>
              <w:t xml:space="preserve"> %. N</w:t>
            </w:r>
            <w:r>
              <w:rPr>
                <w:color w:val="000000" w:themeColor="text1"/>
                <w:spacing w:val="-4"/>
              </w:rPr>
              <w:t xml:space="preserve">aopak </w:t>
            </w:r>
            <w:r w:rsidR="003D59BE">
              <w:rPr>
                <w:color w:val="000000" w:themeColor="text1"/>
                <w:spacing w:val="-4"/>
              </w:rPr>
              <w:t xml:space="preserve">nejvíce oproti konjunktuře </w:t>
            </w:r>
            <w:r>
              <w:rPr>
                <w:color w:val="000000" w:themeColor="text1"/>
                <w:spacing w:val="-4"/>
              </w:rPr>
              <w:t>zaostávaly profesní, věde</w:t>
            </w:r>
            <w:r w:rsidR="003D59BE">
              <w:rPr>
                <w:color w:val="000000" w:themeColor="text1"/>
                <w:spacing w:val="-4"/>
              </w:rPr>
              <w:t>cké a technické činnosti (o </w:t>
            </w:r>
            <w:r w:rsidR="007279B9">
              <w:rPr>
                <w:color w:val="000000" w:themeColor="text1"/>
                <w:spacing w:val="-4"/>
              </w:rPr>
              <w:t>22,2</w:t>
            </w:r>
            <w:r w:rsidR="007279B9">
              <w:rPr>
                <w:spacing w:val="-4"/>
              </w:rPr>
              <w:t> </w:t>
            </w:r>
            <w:r w:rsidR="00DB7D77">
              <w:rPr>
                <w:color w:val="000000" w:themeColor="text1"/>
                <w:spacing w:val="-4"/>
              </w:rPr>
              <w:t>%), kde hluboká recese postihla všechna dílčí odvětví (nejvíce architekt</w:t>
            </w:r>
            <w:r w:rsidR="00E533B7">
              <w:rPr>
                <w:color w:val="000000" w:themeColor="text1"/>
                <w:spacing w:val="-4"/>
              </w:rPr>
              <w:t xml:space="preserve">onické a inženýrské činnosti). </w:t>
            </w:r>
            <w:r w:rsidR="00DB7D77">
              <w:rPr>
                <w:color w:val="000000" w:themeColor="text1"/>
                <w:spacing w:val="-4"/>
              </w:rPr>
              <w:t>Citelně zaostávaly také</w:t>
            </w:r>
            <w:r>
              <w:rPr>
                <w:color w:val="000000" w:themeColor="text1"/>
                <w:spacing w:val="-4"/>
              </w:rPr>
              <w:t xml:space="preserve"> činnosti v obla</w:t>
            </w:r>
            <w:r w:rsidR="00734597">
              <w:rPr>
                <w:color w:val="000000" w:themeColor="text1"/>
                <w:spacing w:val="-4"/>
              </w:rPr>
              <w:t>sti nemovitostí (o 12,7</w:t>
            </w:r>
            <w:r>
              <w:rPr>
                <w:color w:val="000000" w:themeColor="text1"/>
                <w:spacing w:val="-4"/>
              </w:rPr>
              <w:t xml:space="preserve"> %).</w:t>
            </w:r>
            <w:r w:rsidR="007279B9">
              <w:rPr>
                <w:color w:val="000000" w:themeColor="text1"/>
                <w:spacing w:val="-4"/>
              </w:rPr>
              <w:t xml:space="preserve"> </w:t>
            </w:r>
          </w:p>
          <w:p w:rsidR="00DB7D77" w:rsidRPr="006C5BE9" w:rsidRDefault="00DB7D77" w:rsidP="007279B9">
            <w:pPr>
              <w:pStyle w:val="Textpoznpodarou"/>
              <w:jc w:val="both"/>
              <w:rPr>
                <w:spacing w:val="-4"/>
                <w:sz w:val="13"/>
                <w:szCs w:val="13"/>
              </w:rPr>
            </w:pPr>
          </w:p>
        </w:tc>
      </w:tr>
      <w:tr w:rsidR="00355CAA" w:rsidRPr="006C5BE9" w:rsidTr="008F1638">
        <w:tc>
          <w:tcPr>
            <w:tcW w:w="1016" w:type="pct"/>
            <w:shd w:val="clear" w:color="auto" w:fill="auto"/>
          </w:tcPr>
          <w:p w:rsidR="00EF3CF0" w:rsidRDefault="00EF3CF0" w:rsidP="00EF3CF0">
            <w:pPr>
              <w:spacing w:line="240" w:lineRule="auto"/>
              <w:rPr>
                <w:spacing w:val="-2"/>
                <w:sz w:val="16"/>
                <w:szCs w:val="16"/>
              </w:rPr>
            </w:pPr>
            <w:r>
              <w:rPr>
                <w:spacing w:val="-2"/>
                <w:sz w:val="16"/>
                <w:szCs w:val="16"/>
              </w:rPr>
              <w:t>Vysoká důvěra spotřebitelů, jenž se dotýkala rekordní úrovně držela meziroční tempa růstu maloobchodních tržeb nad 5 %.</w:t>
            </w:r>
          </w:p>
          <w:p w:rsidR="00355CAA" w:rsidRPr="005B2702" w:rsidRDefault="00355CAA" w:rsidP="00A0172C">
            <w:pPr>
              <w:spacing w:line="240" w:lineRule="auto"/>
              <w:rPr>
                <w:spacing w:val="-2"/>
                <w:sz w:val="16"/>
                <w:szCs w:val="16"/>
              </w:rPr>
            </w:pPr>
          </w:p>
        </w:tc>
        <w:tc>
          <w:tcPr>
            <w:tcW w:w="144" w:type="pct"/>
          </w:tcPr>
          <w:p w:rsidR="00355CAA" w:rsidRPr="005B2702" w:rsidRDefault="00355CAA" w:rsidP="00A0172C">
            <w:pPr>
              <w:rPr>
                <w:spacing w:val="-4"/>
                <w:szCs w:val="20"/>
              </w:rPr>
            </w:pPr>
          </w:p>
        </w:tc>
        <w:tc>
          <w:tcPr>
            <w:tcW w:w="3840" w:type="pct"/>
          </w:tcPr>
          <w:p w:rsidR="00355CAA" w:rsidRDefault="00EF3CF0" w:rsidP="00A0172C">
            <w:pPr>
              <w:pStyle w:val="Textpoznpodarou"/>
              <w:jc w:val="both"/>
              <w:rPr>
                <w:color w:val="000000" w:themeColor="text1"/>
                <w:spacing w:val="-4"/>
              </w:rPr>
            </w:pPr>
            <w:r>
              <w:rPr>
                <w:color w:val="000000" w:themeColor="text1"/>
                <w:spacing w:val="-4"/>
              </w:rPr>
              <w:t>Příznivá situace na pracovním trhu poháněla růst disponibilních příjmů domácností a projevila se i v optimistických náladách spotřebitelů.</w:t>
            </w:r>
            <w:r w:rsidRPr="00203F25">
              <w:rPr>
                <w:color w:val="000000" w:themeColor="text1"/>
                <w:spacing w:val="-4"/>
              </w:rPr>
              <w:t xml:space="preserve"> Sezóně očištěné saldo důvěry </w:t>
            </w:r>
            <w:r>
              <w:rPr>
                <w:color w:val="000000" w:themeColor="text1"/>
                <w:spacing w:val="-4"/>
              </w:rPr>
              <w:t xml:space="preserve">atakovalo </w:t>
            </w:r>
            <w:r w:rsidRPr="00203F25">
              <w:rPr>
                <w:color w:val="000000" w:themeColor="text1"/>
                <w:spacing w:val="-4"/>
              </w:rPr>
              <w:t>na počátk</w:t>
            </w:r>
            <w:r>
              <w:rPr>
                <w:color w:val="000000" w:themeColor="text1"/>
                <w:spacing w:val="-4"/>
              </w:rPr>
              <w:t xml:space="preserve">u roku nejvyšší hodnoty </w:t>
            </w:r>
            <w:r w:rsidRPr="006B4FFB">
              <w:rPr>
                <w:color w:val="000000" w:themeColor="text1"/>
                <w:spacing w:val="-6"/>
              </w:rPr>
              <w:t>(+7,5 bodu)</w:t>
            </w:r>
            <w:r w:rsidRPr="00203F25">
              <w:rPr>
                <w:color w:val="000000" w:themeColor="text1"/>
                <w:spacing w:val="-4"/>
              </w:rPr>
              <w:t xml:space="preserve"> v historii </w:t>
            </w:r>
            <w:r>
              <w:rPr>
                <w:color w:val="000000" w:themeColor="text1"/>
                <w:spacing w:val="-4"/>
              </w:rPr>
              <w:t>sledování. Přetrvávala i vysoká tempa maloobchodních tržeb</w:t>
            </w:r>
            <w:r>
              <w:rPr>
                <w:rStyle w:val="Znakapoznpodarou"/>
                <w:color w:val="000000" w:themeColor="text1"/>
                <w:spacing w:val="-4"/>
              </w:rPr>
              <w:footnoteReference w:id="19"/>
            </w:r>
            <w:r>
              <w:rPr>
                <w:color w:val="000000" w:themeColor="text1"/>
                <w:spacing w:val="-4"/>
              </w:rPr>
              <w:t xml:space="preserve"> – v 1. čtvrtle</w:t>
            </w:r>
            <w:r w:rsidR="006743E8">
              <w:rPr>
                <w:color w:val="000000" w:themeColor="text1"/>
                <w:spacing w:val="-4"/>
              </w:rPr>
              <w:t>tí +5,7 % meziročně (</w:t>
            </w:r>
            <w:r>
              <w:rPr>
                <w:color w:val="000000" w:themeColor="text1"/>
                <w:spacing w:val="-4"/>
              </w:rPr>
              <w:t>za celý loňský rok</w:t>
            </w:r>
            <w:r w:rsidR="00E533B7">
              <w:rPr>
                <w:color w:val="000000" w:themeColor="text1"/>
                <w:spacing w:val="-4"/>
              </w:rPr>
              <w:t xml:space="preserve"> +</w:t>
            </w:r>
            <w:r w:rsidR="006743E8">
              <w:rPr>
                <w:color w:val="000000" w:themeColor="text1"/>
                <w:spacing w:val="-4"/>
              </w:rPr>
              <w:t>5,2 %</w:t>
            </w:r>
            <w:r>
              <w:rPr>
                <w:color w:val="000000" w:themeColor="text1"/>
                <w:spacing w:val="-4"/>
              </w:rPr>
              <w:t>).</w:t>
            </w:r>
          </w:p>
          <w:p w:rsidR="00EF3CF0" w:rsidRPr="006C5BE9" w:rsidRDefault="00EF3CF0" w:rsidP="00A0172C">
            <w:pPr>
              <w:pStyle w:val="Textpoznpodarou"/>
              <w:jc w:val="both"/>
              <w:rPr>
                <w:spacing w:val="-4"/>
                <w:sz w:val="13"/>
                <w:szCs w:val="13"/>
              </w:rPr>
            </w:pPr>
          </w:p>
        </w:tc>
      </w:tr>
      <w:tr w:rsidR="00355CAA" w:rsidRPr="006C5BE9" w:rsidTr="008F1638">
        <w:tc>
          <w:tcPr>
            <w:tcW w:w="1016" w:type="pct"/>
            <w:shd w:val="clear" w:color="auto" w:fill="auto"/>
          </w:tcPr>
          <w:p w:rsidR="00EF3CF0" w:rsidRDefault="00EF3CF0" w:rsidP="00EF3CF0">
            <w:pPr>
              <w:spacing w:line="240" w:lineRule="auto"/>
              <w:rPr>
                <w:spacing w:val="-2"/>
                <w:sz w:val="16"/>
                <w:szCs w:val="16"/>
              </w:rPr>
            </w:pPr>
            <w:r>
              <w:rPr>
                <w:spacing w:val="-2"/>
                <w:sz w:val="16"/>
                <w:szCs w:val="16"/>
              </w:rPr>
              <w:t>Tržby za nepotravi</w:t>
            </w:r>
            <w:r w:rsidR="00F91EAF">
              <w:rPr>
                <w:spacing w:val="-2"/>
                <w:sz w:val="16"/>
                <w:szCs w:val="16"/>
              </w:rPr>
              <w:t>nářské zboží posílily nejvíce od konce roku 2007</w:t>
            </w:r>
            <w:r>
              <w:rPr>
                <w:spacing w:val="-2"/>
                <w:sz w:val="16"/>
                <w:szCs w:val="16"/>
              </w:rPr>
              <w:t>, pokračoval rozmach internetového prodeje.</w:t>
            </w:r>
          </w:p>
          <w:p w:rsidR="00EF3CF0" w:rsidRDefault="00EF3CF0" w:rsidP="00EF3CF0">
            <w:pPr>
              <w:spacing w:line="240" w:lineRule="auto"/>
              <w:rPr>
                <w:spacing w:val="-2"/>
                <w:sz w:val="16"/>
                <w:szCs w:val="16"/>
              </w:rPr>
            </w:pPr>
          </w:p>
          <w:p w:rsidR="00EF3CF0" w:rsidRDefault="00EF3CF0" w:rsidP="00EF3CF0">
            <w:pPr>
              <w:spacing w:line="240" w:lineRule="auto"/>
              <w:rPr>
                <w:spacing w:val="-2"/>
                <w:sz w:val="16"/>
                <w:szCs w:val="16"/>
              </w:rPr>
            </w:pPr>
          </w:p>
          <w:p w:rsidR="00EF3CF0" w:rsidRDefault="00EF3CF0" w:rsidP="00EF3CF0">
            <w:pPr>
              <w:spacing w:line="240" w:lineRule="auto"/>
              <w:rPr>
                <w:spacing w:val="-2"/>
                <w:sz w:val="16"/>
                <w:szCs w:val="16"/>
              </w:rPr>
            </w:pPr>
          </w:p>
          <w:p w:rsidR="00EF3CF0" w:rsidRDefault="00EF3CF0" w:rsidP="00EF3CF0">
            <w:pPr>
              <w:spacing w:line="240" w:lineRule="auto"/>
              <w:rPr>
                <w:spacing w:val="-2"/>
                <w:sz w:val="16"/>
                <w:szCs w:val="16"/>
              </w:rPr>
            </w:pPr>
          </w:p>
          <w:p w:rsidR="00F91EAF" w:rsidRDefault="00F91EAF" w:rsidP="00EF3CF0">
            <w:pPr>
              <w:spacing w:line="240" w:lineRule="auto"/>
              <w:rPr>
                <w:spacing w:val="-2"/>
                <w:sz w:val="16"/>
                <w:szCs w:val="16"/>
              </w:rPr>
            </w:pPr>
          </w:p>
          <w:p w:rsidR="00F91EAF" w:rsidRDefault="00F91EAF" w:rsidP="00EF3CF0">
            <w:pPr>
              <w:spacing w:line="240" w:lineRule="auto"/>
              <w:rPr>
                <w:spacing w:val="-2"/>
                <w:sz w:val="16"/>
                <w:szCs w:val="16"/>
              </w:rPr>
            </w:pPr>
          </w:p>
          <w:p w:rsidR="00EF3CF0" w:rsidRDefault="00EF3CF0" w:rsidP="00EF3CF0">
            <w:pPr>
              <w:spacing w:line="240" w:lineRule="auto"/>
              <w:rPr>
                <w:spacing w:val="-2"/>
                <w:sz w:val="16"/>
                <w:szCs w:val="16"/>
              </w:rPr>
            </w:pPr>
          </w:p>
          <w:p w:rsidR="00EF3CF0" w:rsidRPr="005B2702" w:rsidRDefault="00EF3CF0" w:rsidP="00EF3CF0">
            <w:pPr>
              <w:spacing w:line="240" w:lineRule="auto"/>
              <w:rPr>
                <w:spacing w:val="-2"/>
                <w:sz w:val="16"/>
                <w:szCs w:val="16"/>
              </w:rPr>
            </w:pPr>
            <w:r>
              <w:rPr>
                <w:spacing w:val="-4"/>
                <w:sz w:val="16"/>
                <w:szCs w:val="16"/>
              </w:rPr>
              <w:t>Růst maloobch</w:t>
            </w:r>
            <w:r w:rsidR="003D2393">
              <w:rPr>
                <w:spacing w:val="-4"/>
                <w:sz w:val="16"/>
                <w:szCs w:val="16"/>
              </w:rPr>
              <w:t>odních tržeb v ČR byl letos šestý</w:t>
            </w:r>
            <w:r>
              <w:rPr>
                <w:spacing w:val="-4"/>
                <w:sz w:val="16"/>
                <w:szCs w:val="16"/>
              </w:rPr>
              <w:t xml:space="preserve"> nejvyšší ze zemí EU, dynamicky posilovaly novější členské státy, z velk</w:t>
            </w:r>
            <w:r w:rsidR="003D2393">
              <w:rPr>
                <w:spacing w:val="-4"/>
                <w:sz w:val="16"/>
                <w:szCs w:val="16"/>
              </w:rPr>
              <w:t>ých ekonomik nejvíce Francie</w:t>
            </w:r>
            <w:r>
              <w:rPr>
                <w:spacing w:val="-4"/>
                <w:sz w:val="16"/>
                <w:szCs w:val="16"/>
              </w:rPr>
              <w:t>.</w:t>
            </w:r>
          </w:p>
          <w:p w:rsidR="00355CAA" w:rsidRPr="005B2702" w:rsidRDefault="00355CAA" w:rsidP="00A0172C">
            <w:pPr>
              <w:spacing w:line="240" w:lineRule="auto"/>
              <w:rPr>
                <w:spacing w:val="-2"/>
                <w:sz w:val="16"/>
                <w:szCs w:val="16"/>
              </w:rPr>
            </w:pPr>
          </w:p>
        </w:tc>
        <w:tc>
          <w:tcPr>
            <w:tcW w:w="144" w:type="pct"/>
          </w:tcPr>
          <w:p w:rsidR="00355CAA" w:rsidRPr="005B2702" w:rsidRDefault="00355CAA" w:rsidP="00A0172C">
            <w:pPr>
              <w:rPr>
                <w:spacing w:val="-4"/>
                <w:szCs w:val="20"/>
              </w:rPr>
            </w:pPr>
          </w:p>
        </w:tc>
        <w:tc>
          <w:tcPr>
            <w:tcW w:w="3840" w:type="pct"/>
          </w:tcPr>
          <w:p w:rsidR="00EF3CF0" w:rsidRPr="00DB7D77" w:rsidRDefault="00EF3CF0" w:rsidP="00A0172C">
            <w:pPr>
              <w:pStyle w:val="Textpoznpodarou"/>
              <w:jc w:val="both"/>
              <w:rPr>
                <w:spacing w:val="-4"/>
              </w:rPr>
            </w:pPr>
            <w:r>
              <w:rPr>
                <w:color w:val="000000" w:themeColor="text1"/>
                <w:spacing w:val="-4"/>
              </w:rPr>
              <w:t>Tržby za potraviny se po stagnaci ve 4. čtvrtletí 201</w:t>
            </w:r>
            <w:r w:rsidR="00541822">
              <w:rPr>
                <w:color w:val="000000" w:themeColor="text1"/>
                <w:spacing w:val="-4"/>
              </w:rPr>
              <w:t>6 vrátily k mírnému růstu (o 1,5</w:t>
            </w:r>
            <w:r>
              <w:rPr>
                <w:color w:val="000000" w:themeColor="text1"/>
                <w:spacing w:val="-4"/>
              </w:rPr>
              <w:t xml:space="preserve"> %). Jejich slabší tempa (oproti první polovině roku 2016) souvisela s nižšími tržbami za služby v nespecializovaných (zejm. velkých) prodejnách potravin. Naopak váhově méně významné tržby ve specializovaných prodejnách potravin v tempech nepolevovaly (rostly kolem 3 % meziročně již od počátku roku 2015). </w:t>
            </w:r>
            <w:r w:rsidR="00541822">
              <w:rPr>
                <w:color w:val="000000" w:themeColor="text1"/>
                <w:spacing w:val="-4"/>
              </w:rPr>
              <w:t>Velmi se d</w:t>
            </w:r>
            <w:r w:rsidR="00E62A33">
              <w:rPr>
                <w:color w:val="000000" w:themeColor="text1"/>
                <w:spacing w:val="-4"/>
              </w:rPr>
              <w:t xml:space="preserve">ařilo </w:t>
            </w:r>
            <w:r>
              <w:rPr>
                <w:color w:val="000000" w:themeColor="text1"/>
                <w:spacing w:val="-4"/>
              </w:rPr>
              <w:t xml:space="preserve">prodejcům </w:t>
            </w:r>
            <w:proofErr w:type="spellStart"/>
            <w:r>
              <w:rPr>
                <w:color w:val="000000" w:themeColor="text1"/>
                <w:spacing w:val="-4"/>
              </w:rPr>
              <w:t>nepotravinářské</w:t>
            </w:r>
            <w:r w:rsidR="004C7C50">
              <w:rPr>
                <w:color w:val="000000" w:themeColor="text1"/>
                <w:spacing w:val="-4"/>
              </w:rPr>
              <w:t>ho</w:t>
            </w:r>
            <w:proofErr w:type="spellEnd"/>
            <w:r w:rsidR="004C7C50">
              <w:rPr>
                <w:color w:val="000000" w:themeColor="text1"/>
                <w:spacing w:val="-4"/>
              </w:rPr>
              <w:t xml:space="preserve"> zboží, </w:t>
            </w:r>
            <w:r w:rsidR="00541822">
              <w:rPr>
                <w:color w:val="000000" w:themeColor="text1"/>
                <w:spacing w:val="-4"/>
              </w:rPr>
              <w:t>jejichž tempo tržeb se zvyšovalo již třetí čtvrtletí v řadě a na počátku roku vystoupalo až na 8,8 %</w:t>
            </w:r>
            <w:r>
              <w:rPr>
                <w:color w:val="000000" w:themeColor="text1"/>
                <w:spacing w:val="-4"/>
              </w:rPr>
              <w:t xml:space="preserve"> (nejvyšší meziroční te</w:t>
            </w:r>
            <w:r w:rsidR="00541822">
              <w:rPr>
                <w:color w:val="000000" w:themeColor="text1"/>
                <w:spacing w:val="-4"/>
              </w:rPr>
              <w:t>mpo od konce roku 2007</w:t>
            </w:r>
            <w:r>
              <w:rPr>
                <w:color w:val="000000" w:themeColor="text1"/>
                <w:spacing w:val="-4"/>
              </w:rPr>
              <w:t>). Dvojciferné navýšení tržeb vykázaly prodejny s výrobky pro kulturu a</w:t>
            </w:r>
            <w:r w:rsidR="006B59D7">
              <w:rPr>
                <w:spacing w:val="-4"/>
              </w:rPr>
              <w:t> </w:t>
            </w:r>
            <w:r>
              <w:rPr>
                <w:color w:val="000000" w:themeColor="text1"/>
                <w:spacing w:val="-4"/>
              </w:rPr>
              <w:t xml:space="preserve">rekreaci, podobně jako u oděvů, obuvi a koženého zboží. Příznivě se vyvíjely tržby </w:t>
            </w:r>
            <w:r w:rsidR="006B59D7">
              <w:rPr>
                <w:spacing w:val="-4"/>
              </w:rPr>
              <w:t> </w:t>
            </w:r>
            <w:r>
              <w:rPr>
                <w:color w:val="000000" w:themeColor="text1"/>
                <w:spacing w:val="-4"/>
              </w:rPr>
              <w:t>i</w:t>
            </w:r>
            <w:r w:rsidR="007B04E8">
              <w:rPr>
                <w:spacing w:val="-4"/>
              </w:rPr>
              <w:t> </w:t>
            </w:r>
            <w:r w:rsidR="007B04E8">
              <w:rPr>
                <w:color w:val="000000" w:themeColor="text1"/>
                <w:spacing w:val="-4"/>
              </w:rPr>
              <w:t>v</w:t>
            </w:r>
            <w:r w:rsidR="007B04E8">
              <w:rPr>
                <w:spacing w:val="-4"/>
              </w:rPr>
              <w:t> </w:t>
            </w:r>
            <w:r>
              <w:rPr>
                <w:color w:val="000000" w:themeColor="text1"/>
                <w:spacing w:val="-4"/>
              </w:rPr>
              <w:t>ostatních kategoriích specializovaných prodejen, podporované i nižšími cenami (tržby v běžných cenách rostly nižším tempem než ve stálých cenách). Rozmach internetovéh</w:t>
            </w:r>
            <w:r w:rsidR="00F91EAF">
              <w:rPr>
                <w:color w:val="000000" w:themeColor="text1"/>
                <w:spacing w:val="-4"/>
              </w:rPr>
              <w:t>o prodeje nadále pokračoval (+23,8 %, resp. +21,4</w:t>
            </w:r>
            <w:r>
              <w:rPr>
                <w:color w:val="000000" w:themeColor="text1"/>
                <w:spacing w:val="-4"/>
              </w:rPr>
              <w:t xml:space="preserve"> % celý rok 2016). Tempo tržeb za prodej</w:t>
            </w:r>
            <w:r w:rsidR="00F91EAF">
              <w:rPr>
                <w:color w:val="000000" w:themeColor="text1"/>
                <w:spacing w:val="-4"/>
              </w:rPr>
              <w:t xml:space="preserve"> pohonných hmot (+3,7</w:t>
            </w:r>
            <w:r>
              <w:rPr>
                <w:color w:val="000000" w:themeColor="text1"/>
                <w:spacing w:val="-4"/>
              </w:rPr>
              <w:t xml:space="preserve"> %) se proti </w:t>
            </w:r>
            <w:r w:rsidR="00F91EAF">
              <w:rPr>
                <w:color w:val="000000" w:themeColor="text1"/>
                <w:spacing w:val="-4"/>
              </w:rPr>
              <w:t xml:space="preserve">počátku </w:t>
            </w:r>
            <w:r>
              <w:rPr>
                <w:color w:val="000000" w:themeColor="text1"/>
                <w:spacing w:val="-4"/>
              </w:rPr>
              <w:t xml:space="preserve">loňskému roku snížilo </w:t>
            </w:r>
            <w:r w:rsidR="00F91EAF">
              <w:rPr>
                <w:color w:val="000000" w:themeColor="text1"/>
                <w:spacing w:val="-4"/>
              </w:rPr>
              <w:t xml:space="preserve">téměř </w:t>
            </w:r>
            <w:r>
              <w:rPr>
                <w:color w:val="000000" w:themeColor="text1"/>
                <w:spacing w:val="-4"/>
              </w:rPr>
              <w:t xml:space="preserve">na </w:t>
            </w:r>
            <w:r w:rsidRPr="00E533B7">
              <w:rPr>
                <w:color w:val="0D0D0D" w:themeColor="text1" w:themeTint="F2"/>
                <w:spacing w:val="-4"/>
              </w:rPr>
              <w:t>polovinu, stimulační vliv nižších cen na spotřebu se oslabil (</w:t>
            </w:r>
            <w:r w:rsidR="00F91EAF" w:rsidRPr="00E533B7">
              <w:rPr>
                <w:color w:val="0D0D0D" w:themeColor="text1" w:themeTint="F2"/>
                <w:spacing w:val="-4"/>
              </w:rPr>
              <w:t xml:space="preserve">spotřebitelské </w:t>
            </w:r>
            <w:r w:rsidRPr="00E533B7">
              <w:rPr>
                <w:color w:val="0D0D0D" w:themeColor="text1" w:themeTint="F2"/>
                <w:spacing w:val="-4"/>
              </w:rPr>
              <w:t>ceny PHM byly v únoru 2017 nejvyšší za p</w:t>
            </w:r>
            <w:r w:rsidR="003D2393" w:rsidRPr="00E533B7">
              <w:rPr>
                <w:color w:val="0D0D0D" w:themeColor="text1" w:themeTint="F2"/>
                <w:spacing w:val="-4"/>
              </w:rPr>
              <w:t>osledních 18 měsíců). M</w:t>
            </w:r>
            <w:r w:rsidRPr="00E533B7">
              <w:rPr>
                <w:color w:val="0D0D0D" w:themeColor="text1" w:themeTint="F2"/>
                <w:spacing w:val="-4"/>
              </w:rPr>
              <w:t>eziroční růst maloobchodních tržeb v ČR byl letos proti EU o 3</w:t>
            </w:r>
            <w:r w:rsidR="003D2393" w:rsidRPr="00E533B7">
              <w:rPr>
                <w:color w:val="0D0D0D" w:themeColor="text1" w:themeTint="F2"/>
                <w:spacing w:val="-4"/>
              </w:rPr>
              <w:t>,5</w:t>
            </w:r>
            <w:r w:rsidRPr="00E533B7">
              <w:rPr>
                <w:color w:val="0D0D0D" w:themeColor="text1" w:themeTint="F2"/>
                <w:spacing w:val="-4"/>
              </w:rPr>
              <w:t xml:space="preserve"> </w:t>
            </w:r>
            <w:proofErr w:type="spellStart"/>
            <w:r w:rsidR="003D2393" w:rsidRPr="00E533B7">
              <w:rPr>
                <w:color w:val="0D0D0D" w:themeColor="text1" w:themeTint="F2"/>
                <w:spacing w:val="-4"/>
              </w:rPr>
              <w:t>p.b</w:t>
            </w:r>
            <w:proofErr w:type="spellEnd"/>
            <w:r w:rsidR="003D2393" w:rsidRPr="00E533B7">
              <w:rPr>
                <w:color w:val="0D0D0D" w:themeColor="text1" w:themeTint="F2"/>
                <w:spacing w:val="-4"/>
              </w:rPr>
              <w:t>. vyšší.</w:t>
            </w:r>
            <w:r w:rsidRPr="00E533B7">
              <w:rPr>
                <w:color w:val="0D0D0D" w:themeColor="text1" w:themeTint="F2"/>
                <w:spacing w:val="-4"/>
              </w:rPr>
              <w:t xml:space="preserve"> </w:t>
            </w:r>
            <w:r w:rsidR="003D2393" w:rsidRPr="00E533B7">
              <w:rPr>
                <w:color w:val="0D0D0D" w:themeColor="text1" w:themeTint="F2"/>
                <w:spacing w:val="-4"/>
              </w:rPr>
              <w:t>Česko se tak zařadilo v pořadí zemí na šesté</w:t>
            </w:r>
            <w:r w:rsidRPr="00E533B7">
              <w:rPr>
                <w:color w:val="0D0D0D" w:themeColor="text1" w:themeTint="F2"/>
                <w:spacing w:val="-4"/>
              </w:rPr>
              <w:t xml:space="preserve"> místo. Vysokých temp dosáhly až na výjimky (Lucembursko, Irsko) novější členské státy EU</w:t>
            </w:r>
            <w:r w:rsidR="003D2393" w:rsidRPr="00E533B7">
              <w:rPr>
                <w:color w:val="0D0D0D" w:themeColor="text1" w:themeTint="F2"/>
                <w:spacing w:val="-4"/>
              </w:rPr>
              <w:t xml:space="preserve"> (především Slovinsko +13,5 %).</w:t>
            </w:r>
            <w:r w:rsidRPr="00E533B7">
              <w:rPr>
                <w:color w:val="0D0D0D" w:themeColor="text1" w:themeTint="F2"/>
                <w:spacing w:val="-4"/>
              </w:rPr>
              <w:t>. V Polsku činil růst 6,7 %, na Slovensku 5,4</w:t>
            </w:r>
            <w:r w:rsidR="00E533B7" w:rsidRPr="00E533B7">
              <w:rPr>
                <w:color w:val="0D0D0D" w:themeColor="text1" w:themeTint="F2"/>
                <w:spacing w:val="-4"/>
              </w:rPr>
              <w:t xml:space="preserve"> %, ale v Německu a Rakousku</w:t>
            </w:r>
            <w:r w:rsidR="003D2393" w:rsidRPr="00E533B7">
              <w:rPr>
                <w:color w:val="0D0D0D" w:themeColor="text1" w:themeTint="F2"/>
                <w:spacing w:val="-4"/>
              </w:rPr>
              <w:t xml:space="preserve"> jen 1,5</w:t>
            </w:r>
            <w:r w:rsidRPr="00E533B7">
              <w:rPr>
                <w:color w:val="0D0D0D" w:themeColor="text1" w:themeTint="F2"/>
                <w:spacing w:val="-4"/>
              </w:rPr>
              <w:t xml:space="preserve"> %, resp. 1,6 %.</w:t>
            </w:r>
            <w:r w:rsidR="003D2393" w:rsidRPr="00E533B7">
              <w:rPr>
                <w:color w:val="0D0D0D" w:themeColor="text1" w:themeTint="F2"/>
                <w:spacing w:val="-4"/>
              </w:rPr>
              <w:t xml:space="preserve"> Z velkých ekonomik EU posilovaly tržby nejvíce ve Francii (+2,9 %), naopak v dalších dvou státech sužovaných vysokou nezaměstnaností (Itálie, Španělsko) se </w:t>
            </w:r>
            <w:r w:rsidR="00FA2A4A" w:rsidRPr="00E533B7">
              <w:rPr>
                <w:color w:val="0D0D0D" w:themeColor="text1" w:themeTint="F2"/>
                <w:spacing w:val="-4"/>
              </w:rPr>
              <w:t xml:space="preserve">v 1. čtvrtletí </w:t>
            </w:r>
            <w:r w:rsidR="003D2393" w:rsidRPr="00E533B7">
              <w:rPr>
                <w:color w:val="0D0D0D" w:themeColor="text1" w:themeTint="F2"/>
                <w:spacing w:val="-4"/>
              </w:rPr>
              <w:t>zvyšovaly o méně než 1 %.</w:t>
            </w:r>
          </w:p>
        </w:tc>
      </w:tr>
    </w:tbl>
    <w:p w:rsidR="00813CB4" w:rsidRPr="00FA2A4A" w:rsidRDefault="00813CB4" w:rsidP="00492991">
      <w:pPr>
        <w:pStyle w:val="Textpoznpodarou"/>
        <w:jc w:val="both"/>
        <w:rPr>
          <w:sz w:val="10"/>
          <w:szCs w:val="10"/>
        </w:rPr>
      </w:pPr>
    </w:p>
    <w:tbl>
      <w:tblPr>
        <w:tblW w:w="4963" w:type="pct"/>
        <w:tblInd w:w="108" w:type="dxa"/>
        <w:tblLayout w:type="fixed"/>
        <w:tblLook w:val="00A0"/>
      </w:tblPr>
      <w:tblGrid>
        <w:gridCol w:w="1997"/>
        <w:gridCol w:w="284"/>
        <w:gridCol w:w="980"/>
        <w:gridCol w:w="6520"/>
      </w:tblGrid>
      <w:tr w:rsidR="003C6DB9" w:rsidRPr="00AA4A76" w:rsidTr="00E62A33">
        <w:trPr>
          <w:trHeight w:val="145"/>
        </w:trPr>
        <w:tc>
          <w:tcPr>
            <w:tcW w:w="1021" w:type="pct"/>
            <w:shd w:val="clear" w:color="auto" w:fill="auto"/>
          </w:tcPr>
          <w:p w:rsidR="003C6DB9" w:rsidRPr="00AA4A76" w:rsidRDefault="003C6DB9" w:rsidP="00A0172C">
            <w:pPr>
              <w:spacing w:line="240" w:lineRule="auto"/>
              <w:jc w:val="center"/>
              <w:rPr>
                <w:color w:val="000000"/>
                <w:szCs w:val="20"/>
              </w:rPr>
            </w:pPr>
          </w:p>
        </w:tc>
        <w:tc>
          <w:tcPr>
            <w:tcW w:w="145" w:type="pct"/>
          </w:tcPr>
          <w:p w:rsidR="003C6DB9" w:rsidRPr="00AA4A76" w:rsidRDefault="003C6DB9" w:rsidP="00A0172C">
            <w:pPr>
              <w:pStyle w:val="Textpoznpodarou"/>
              <w:jc w:val="both"/>
              <w:rPr>
                <w:highlight w:val="yellow"/>
              </w:rPr>
            </w:pPr>
          </w:p>
        </w:tc>
        <w:tc>
          <w:tcPr>
            <w:tcW w:w="501" w:type="pct"/>
          </w:tcPr>
          <w:p w:rsidR="003C6DB9" w:rsidRPr="00E62A33" w:rsidRDefault="003C6DB9" w:rsidP="00A0172C">
            <w:pPr>
              <w:pStyle w:val="Textpoznpodarou"/>
              <w:jc w:val="both"/>
              <w:rPr>
                <w:spacing w:val="-2"/>
                <w:highlight w:val="yellow"/>
              </w:rPr>
            </w:pPr>
            <w:r w:rsidRPr="00E62A33">
              <w:rPr>
                <w:color w:val="000000"/>
                <w:spacing w:val="-2"/>
              </w:rPr>
              <w:t>Graf č. 8</w:t>
            </w:r>
          </w:p>
        </w:tc>
        <w:tc>
          <w:tcPr>
            <w:tcW w:w="3333" w:type="pct"/>
          </w:tcPr>
          <w:p w:rsidR="003C6DB9" w:rsidRPr="00E62A33" w:rsidRDefault="003C6DB9" w:rsidP="00A0172C">
            <w:pPr>
              <w:pStyle w:val="Textpoznpodarou"/>
              <w:rPr>
                <w:spacing w:val="-2"/>
                <w:lang w:eastAsia="en-US"/>
              </w:rPr>
            </w:pPr>
            <w:r w:rsidRPr="00E62A33">
              <w:rPr>
                <w:b/>
                <w:spacing w:val="-2"/>
              </w:rPr>
              <w:t xml:space="preserve">Tržby v maloobchodu </w:t>
            </w:r>
            <w:r w:rsidRPr="00E62A33">
              <w:rPr>
                <w:bCs/>
                <w:spacing w:val="-2"/>
              </w:rPr>
              <w:t xml:space="preserve">(reálně, </w:t>
            </w:r>
            <w:r w:rsidR="00813CB4" w:rsidRPr="00E62A33">
              <w:rPr>
                <w:rFonts w:cs="Arial"/>
                <w:spacing w:val="-2"/>
              </w:rPr>
              <w:t>očištěno</w:t>
            </w:r>
            <w:r w:rsidR="00E62A33" w:rsidRPr="00E62A33">
              <w:rPr>
                <w:rFonts w:cs="Arial"/>
                <w:spacing w:val="-2"/>
              </w:rPr>
              <w:t xml:space="preserve"> od vlivu počtu pracovních dnů, </w:t>
            </w:r>
            <w:r w:rsidR="00E62A33" w:rsidRPr="00E62A33">
              <w:rPr>
                <w:spacing w:val="-2"/>
              </w:rPr>
              <w:t>meziročně</w:t>
            </w:r>
            <w:r w:rsidR="00E62A33" w:rsidRPr="00E62A33">
              <w:rPr>
                <w:bCs/>
                <w:spacing w:val="-2"/>
              </w:rPr>
              <w:t xml:space="preserve"> v %)</w:t>
            </w:r>
            <w:r w:rsidRPr="00E62A33">
              <w:rPr>
                <w:bCs/>
                <w:spacing w:val="-2"/>
              </w:rPr>
              <w:t xml:space="preserve"> </w:t>
            </w:r>
            <w:r w:rsidRPr="00E62A33">
              <w:rPr>
                <w:b/>
                <w:spacing w:val="-2"/>
              </w:rPr>
              <w:t xml:space="preserve">saldo indikátoru důvěry spotřebitelů </w:t>
            </w:r>
            <w:r w:rsidRPr="00E62A33">
              <w:rPr>
                <w:spacing w:val="-2"/>
              </w:rPr>
              <w:t>(pravá osa)</w:t>
            </w:r>
          </w:p>
        </w:tc>
      </w:tr>
      <w:tr w:rsidR="003C6DB9" w:rsidRPr="00AA4A76" w:rsidTr="00E62A33">
        <w:trPr>
          <w:trHeight w:val="145"/>
        </w:trPr>
        <w:tc>
          <w:tcPr>
            <w:tcW w:w="1021" w:type="pct"/>
            <w:shd w:val="clear" w:color="auto" w:fill="auto"/>
          </w:tcPr>
          <w:p w:rsidR="003C6DB9" w:rsidRPr="006D3F53" w:rsidRDefault="003C6DB9" w:rsidP="00A0172C">
            <w:pPr>
              <w:spacing w:line="240" w:lineRule="auto"/>
              <w:rPr>
                <w:color w:val="000000"/>
                <w:sz w:val="16"/>
                <w:szCs w:val="16"/>
                <w:highlight w:val="yellow"/>
              </w:rPr>
            </w:pPr>
          </w:p>
        </w:tc>
        <w:tc>
          <w:tcPr>
            <w:tcW w:w="145" w:type="pct"/>
          </w:tcPr>
          <w:p w:rsidR="003C6DB9" w:rsidRPr="00A74192" w:rsidRDefault="003C6DB9" w:rsidP="00A0172C">
            <w:pPr>
              <w:pStyle w:val="Textpoznpodarou"/>
              <w:jc w:val="both"/>
            </w:pPr>
          </w:p>
        </w:tc>
        <w:tc>
          <w:tcPr>
            <w:tcW w:w="3834" w:type="pct"/>
            <w:gridSpan w:val="2"/>
          </w:tcPr>
          <w:p w:rsidR="003C6DB9" w:rsidRPr="00E62A33" w:rsidRDefault="00ED2B0B" w:rsidP="00E62A33">
            <w:pPr>
              <w:pStyle w:val="Textpoznpodarou"/>
              <w:ind w:left="-124"/>
              <w:jc w:val="right"/>
              <w:rPr>
                <w:sz w:val="16"/>
                <w:szCs w:val="16"/>
              </w:rPr>
            </w:pPr>
            <w:r w:rsidRPr="00ED2B0B">
              <w:rPr>
                <w:noProof/>
                <w:sz w:val="14"/>
                <w:szCs w:val="14"/>
              </w:rPr>
              <w:drawing>
                <wp:inline distT="0" distB="0" distL="0" distR="0">
                  <wp:extent cx="4782518" cy="3411121"/>
                  <wp:effectExtent l="1905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3C6DB9" w:rsidRPr="00E62A33">
              <w:rPr>
                <w:sz w:val="14"/>
                <w:szCs w:val="14"/>
              </w:rPr>
              <w:t>Zdroj: ČSÚ</w:t>
            </w:r>
          </w:p>
        </w:tc>
      </w:tr>
    </w:tbl>
    <w:p w:rsidR="006743E8" w:rsidRPr="006B7CCE" w:rsidRDefault="006743E8" w:rsidP="005E4483">
      <w:pPr>
        <w:pStyle w:val="Textpoznpodarou"/>
        <w:jc w:val="both"/>
      </w:pPr>
    </w:p>
    <w:p w:rsidR="00576A3E" w:rsidRPr="00A74192" w:rsidRDefault="00576A3E" w:rsidP="009F777A">
      <w:pPr>
        <w:pStyle w:val="Nadpis1"/>
        <w:numPr>
          <w:ilvl w:val="0"/>
          <w:numId w:val="12"/>
        </w:numPr>
        <w:ind w:left="709"/>
        <w:jc w:val="both"/>
      </w:pPr>
      <w:bookmarkStart w:id="10" w:name="_Toc469299932"/>
      <w:bookmarkStart w:id="11" w:name="_Toc485271457"/>
      <w:r w:rsidRPr="00A74192">
        <w:t>Vnější ekonomické vztahy</w:t>
      </w:r>
      <w:bookmarkEnd w:id="10"/>
      <w:bookmarkEnd w:id="11"/>
    </w:p>
    <w:tbl>
      <w:tblPr>
        <w:tblW w:w="4963" w:type="pct"/>
        <w:tblInd w:w="108" w:type="dxa"/>
        <w:tblLayout w:type="fixed"/>
        <w:tblLook w:val="00A0"/>
      </w:tblPr>
      <w:tblGrid>
        <w:gridCol w:w="1985"/>
        <w:gridCol w:w="282"/>
        <w:gridCol w:w="1135"/>
        <w:gridCol w:w="143"/>
        <w:gridCol w:w="2533"/>
        <w:gridCol w:w="3703"/>
      </w:tblGrid>
      <w:tr w:rsidR="006647AD" w:rsidRPr="00A74192" w:rsidTr="008F1638">
        <w:tc>
          <w:tcPr>
            <w:tcW w:w="1015" w:type="pct"/>
          </w:tcPr>
          <w:p w:rsidR="006647AD" w:rsidRPr="001841D7" w:rsidRDefault="006647AD" w:rsidP="00B25E31">
            <w:pPr>
              <w:spacing w:line="240" w:lineRule="auto"/>
              <w:rPr>
                <w:sz w:val="16"/>
                <w:szCs w:val="16"/>
                <w:highlight w:val="yellow"/>
              </w:rPr>
            </w:pPr>
            <w:r w:rsidRPr="00497294">
              <w:rPr>
                <w:sz w:val="16"/>
                <w:szCs w:val="16"/>
              </w:rPr>
              <w:t>Kladné saldo obchodu se zbožím stálo za</w:t>
            </w:r>
            <w:r w:rsidR="00B25E31">
              <w:rPr>
                <w:sz w:val="16"/>
                <w:szCs w:val="16"/>
              </w:rPr>
              <w:t> </w:t>
            </w:r>
            <w:r w:rsidRPr="00497294">
              <w:rPr>
                <w:sz w:val="16"/>
                <w:szCs w:val="16"/>
              </w:rPr>
              <w:t>celkovým přebytkem běžného účtu.</w:t>
            </w:r>
          </w:p>
        </w:tc>
        <w:tc>
          <w:tcPr>
            <w:tcW w:w="144" w:type="pct"/>
          </w:tcPr>
          <w:p w:rsidR="006647AD" w:rsidRPr="002804BB" w:rsidRDefault="006647AD" w:rsidP="00134DFD">
            <w:pPr>
              <w:pStyle w:val="Textpoznpodarou"/>
              <w:jc w:val="both"/>
              <w:rPr>
                <w:color w:val="FF0000"/>
                <w:highlight w:val="yellow"/>
              </w:rPr>
            </w:pPr>
          </w:p>
        </w:tc>
        <w:tc>
          <w:tcPr>
            <w:tcW w:w="3841" w:type="pct"/>
            <w:gridSpan w:val="4"/>
          </w:tcPr>
          <w:p w:rsidR="006647AD" w:rsidRDefault="006647AD" w:rsidP="00134DFD">
            <w:pPr>
              <w:pStyle w:val="Textpoznpodarou"/>
              <w:jc w:val="both"/>
              <w:rPr>
                <w:sz w:val="16"/>
                <w:szCs w:val="16"/>
              </w:rPr>
            </w:pPr>
            <w:r w:rsidRPr="005F17C4">
              <w:t>Přebytek běžného účtu platební bilance</w:t>
            </w:r>
            <w:r w:rsidR="0030192C">
              <w:t xml:space="preserve"> (PB)</w:t>
            </w:r>
            <w:r w:rsidRPr="005F17C4">
              <w:t xml:space="preserve"> v 1. čtvrtletí 2017 dosáhl </w:t>
            </w:r>
            <w:r w:rsidR="0030192C">
              <w:t>94</w:t>
            </w:r>
            <w:r w:rsidRPr="005F17C4">
              <w:t>,</w:t>
            </w:r>
            <w:r w:rsidR="0030192C">
              <w:t>5</w:t>
            </w:r>
            <w:r w:rsidR="007240C5">
              <w:t> </w:t>
            </w:r>
            <w:r w:rsidRPr="005F17C4">
              <w:t>mld.</w:t>
            </w:r>
            <w:r w:rsidR="007240C5">
              <w:t> </w:t>
            </w:r>
            <w:r w:rsidRPr="005F17C4">
              <w:t>korun</w:t>
            </w:r>
            <w:r>
              <w:t>. V porovnání se stejným obdobím předchozího roku se snížil o</w:t>
            </w:r>
            <w:r w:rsidR="007240C5">
              <w:t> </w:t>
            </w:r>
            <w:r w:rsidR="0030192C">
              <w:t>15</w:t>
            </w:r>
            <w:r>
              <w:t>,</w:t>
            </w:r>
            <w:r w:rsidR="0030192C">
              <w:t>4</w:t>
            </w:r>
            <w:r>
              <w:t xml:space="preserve"> mld. korun. Největší podíl na přebytku měl tradičně obchod se zbožím, jehož kladné saldo dosáhlo 8</w:t>
            </w:r>
            <w:r w:rsidR="0030192C">
              <w:t>3</w:t>
            </w:r>
            <w:r>
              <w:t>,</w:t>
            </w:r>
            <w:r w:rsidR="0030192C">
              <w:t>8</w:t>
            </w:r>
            <w:r>
              <w:t xml:space="preserve"> mld. korun a udrželo se tak na úrovni loňského roku (83,7</w:t>
            </w:r>
            <w:r w:rsidR="00CB2B15">
              <w:t> </w:t>
            </w:r>
            <w:r>
              <w:t xml:space="preserve">mld.). </w:t>
            </w:r>
            <w:r w:rsidR="0030192C">
              <w:t xml:space="preserve">Vzrostlo i kladné saldo bilance služeb, které se v předchozích letech </w:t>
            </w:r>
            <w:r>
              <w:t>drž</w:t>
            </w:r>
            <w:r w:rsidR="0030192C">
              <w:t>elo</w:t>
            </w:r>
            <w:r>
              <w:t xml:space="preserve"> na relativně konstantní úrovni</w:t>
            </w:r>
            <w:r w:rsidR="0030192C">
              <w:t>.</w:t>
            </w:r>
            <w:r>
              <w:t xml:space="preserve"> </w:t>
            </w:r>
            <w:r w:rsidR="0030192C">
              <w:t>V</w:t>
            </w:r>
            <w:r>
              <w:t xml:space="preserve"> 1. čtvrtletí dosáhlo </w:t>
            </w:r>
            <w:r w:rsidR="0030192C">
              <w:t>28,0</w:t>
            </w:r>
            <w:r w:rsidR="00CB2B15">
              <w:t> </w:t>
            </w:r>
            <w:r>
              <w:t xml:space="preserve">mld. korun. Saldo prvotních důchodů, které bylo na začátku let 2015 i 2016 záporné, dosáhlo </w:t>
            </w:r>
            <w:r w:rsidR="0030192C">
              <w:noBreakHyphen/>
            </w:r>
            <w:r>
              <w:t>2,</w:t>
            </w:r>
            <w:r w:rsidR="0030192C">
              <w:t>3</w:t>
            </w:r>
            <w:r>
              <w:t xml:space="preserve"> mld. korun</w:t>
            </w:r>
            <w:r w:rsidR="0030192C">
              <w:t>. Za meziročním poklesem přebytku PB stojí záporné</w:t>
            </w:r>
            <w:r>
              <w:t xml:space="preserve"> saldo druhotných důchodů</w:t>
            </w:r>
            <w:r w:rsidR="0030192C">
              <w:t xml:space="preserve">, které </w:t>
            </w:r>
            <w:r>
              <w:t>bylo po dvou letech přebytku v deficitu 1</w:t>
            </w:r>
            <w:r w:rsidR="0030192C">
              <w:t>5</w:t>
            </w:r>
            <w:r>
              <w:t>,</w:t>
            </w:r>
            <w:r w:rsidR="0030192C">
              <w:t>0</w:t>
            </w:r>
            <w:r>
              <w:t xml:space="preserve"> mld. korun. </w:t>
            </w:r>
            <w:r w:rsidR="008054FB">
              <w:t xml:space="preserve">Objem toků </w:t>
            </w:r>
            <w:r>
              <w:t xml:space="preserve">na kapitálovém účtu </w:t>
            </w:r>
            <w:r w:rsidR="0030192C">
              <w:t xml:space="preserve">PB </w:t>
            </w:r>
            <w:r>
              <w:t xml:space="preserve">byl v 1. čtvrtletí </w:t>
            </w:r>
            <w:r w:rsidR="008054FB">
              <w:t>poměrně malý. Do</w:t>
            </w:r>
            <w:r w:rsidR="00D74E97">
              <w:t> </w:t>
            </w:r>
            <w:r w:rsidR="008054FB">
              <w:t xml:space="preserve">Česka přiteklo v 1. čtvrtletí 0,8 mld. korun a z Česka </w:t>
            </w:r>
            <w:r w:rsidR="001718C2">
              <w:t>odteklo</w:t>
            </w:r>
            <w:r w:rsidR="008054FB">
              <w:t xml:space="preserve"> 1,7</w:t>
            </w:r>
            <w:r w:rsidR="00D74E97">
              <w:t> </w:t>
            </w:r>
            <w:r w:rsidR="008054FB">
              <w:t>mld. korun.</w:t>
            </w:r>
          </w:p>
          <w:p w:rsidR="006647AD" w:rsidRPr="0037368B" w:rsidRDefault="006647AD" w:rsidP="00134DFD">
            <w:pPr>
              <w:pStyle w:val="Textpoznpodarou"/>
              <w:jc w:val="both"/>
              <w:rPr>
                <w:sz w:val="16"/>
                <w:szCs w:val="16"/>
                <w:highlight w:val="yellow"/>
              </w:rPr>
            </w:pPr>
          </w:p>
        </w:tc>
      </w:tr>
      <w:tr w:rsidR="006647AD" w:rsidRPr="00A74192" w:rsidTr="008F1638">
        <w:tc>
          <w:tcPr>
            <w:tcW w:w="1015" w:type="pct"/>
          </w:tcPr>
          <w:p w:rsidR="006647AD" w:rsidRPr="001841D7" w:rsidRDefault="006647AD" w:rsidP="00134DFD">
            <w:pPr>
              <w:spacing w:line="240" w:lineRule="auto"/>
              <w:rPr>
                <w:sz w:val="16"/>
                <w:szCs w:val="16"/>
                <w:highlight w:val="yellow"/>
              </w:rPr>
            </w:pPr>
            <w:r w:rsidRPr="00497294">
              <w:rPr>
                <w:sz w:val="16"/>
                <w:szCs w:val="16"/>
              </w:rPr>
              <w:t>Mimořádně vysok</w:t>
            </w:r>
            <w:r>
              <w:rPr>
                <w:sz w:val="16"/>
                <w:szCs w:val="16"/>
              </w:rPr>
              <w:t>ý</w:t>
            </w:r>
            <w:r w:rsidRPr="00497294">
              <w:rPr>
                <w:sz w:val="16"/>
                <w:szCs w:val="16"/>
              </w:rPr>
              <w:t xml:space="preserve"> </w:t>
            </w:r>
            <w:r>
              <w:rPr>
                <w:sz w:val="16"/>
                <w:szCs w:val="16"/>
              </w:rPr>
              <w:t>objem</w:t>
            </w:r>
            <w:r w:rsidRPr="00497294">
              <w:rPr>
                <w:sz w:val="16"/>
                <w:szCs w:val="16"/>
              </w:rPr>
              <w:t xml:space="preserve"> toků na finančním účtu je spojen s očekávaným ukončením intervencí.</w:t>
            </w:r>
          </w:p>
        </w:tc>
        <w:tc>
          <w:tcPr>
            <w:tcW w:w="144" w:type="pct"/>
          </w:tcPr>
          <w:p w:rsidR="006647AD" w:rsidRPr="002804BB" w:rsidRDefault="006647AD" w:rsidP="00134DFD">
            <w:pPr>
              <w:pStyle w:val="Textpoznpodarou"/>
              <w:jc w:val="both"/>
              <w:rPr>
                <w:color w:val="FF0000"/>
                <w:highlight w:val="yellow"/>
              </w:rPr>
            </w:pPr>
          </w:p>
        </w:tc>
        <w:tc>
          <w:tcPr>
            <w:tcW w:w="3841" w:type="pct"/>
            <w:gridSpan w:val="4"/>
          </w:tcPr>
          <w:p w:rsidR="006647AD" w:rsidRDefault="006647AD" w:rsidP="00134DFD">
            <w:pPr>
              <w:pStyle w:val="Textpoznpodarou"/>
              <w:jc w:val="both"/>
              <w:rPr>
                <w:sz w:val="16"/>
                <w:szCs w:val="16"/>
              </w:rPr>
            </w:pPr>
            <w:r>
              <w:t xml:space="preserve">Kladné saldo finančního účtu (FÚ) platební bilance činilo </w:t>
            </w:r>
            <w:r w:rsidR="008054FB">
              <w:t>39,8</w:t>
            </w:r>
            <w:r>
              <w:t xml:space="preserve"> mld. korun a</w:t>
            </w:r>
            <w:r w:rsidR="00CB2B15">
              <w:t> </w:t>
            </w:r>
            <w:r>
              <w:t xml:space="preserve">v porovnání se stejným obdobím předchozího roku se snížilo o </w:t>
            </w:r>
            <w:r w:rsidR="008054FB">
              <w:t>91,4</w:t>
            </w:r>
            <w:r>
              <w:t xml:space="preserve"> mld. Saldo se řádově udrželo na úrovni předchozích let, to však neplatilo o celkových tocích peněz na FÚ. Nejvýraznější položkou působící ve směru přebytku FÚ se stala rezervní aktiva, která se v 1. čtvrtletí zvýšila o 1 119 mld. korun. To je více než sedminásobek hodnoty ve stejném období roku 2016 a dvojnásobek hodnoty za</w:t>
            </w:r>
            <w:r w:rsidR="00D74E97">
              <w:t> </w:t>
            </w:r>
            <w:r>
              <w:t>celý rok 2016. Příliv přímých investic ze zahraničí ve výši 5</w:t>
            </w:r>
            <w:r w:rsidR="008054FB">
              <w:t>9</w:t>
            </w:r>
            <w:r>
              <w:t>,</w:t>
            </w:r>
            <w:r w:rsidR="008054FB">
              <w:t>1 mld. korun vedl k deficitu 54,0</w:t>
            </w:r>
            <w:r>
              <w:t xml:space="preserve"> mld., jehož hodnota byla vyšší, než je v tomto období obvyklé, ale ve srovnání s ostatními položkami FÚ byla méně významná. Hlavními faktory působícími ve směru deficitu FÚ tak byly portfoliové investice a ostatní investice.</w:t>
            </w:r>
          </w:p>
          <w:p w:rsidR="006647AD" w:rsidRPr="00FC579C" w:rsidRDefault="006647AD" w:rsidP="00134DFD">
            <w:pPr>
              <w:pStyle w:val="Textpoznpodarou"/>
              <w:jc w:val="both"/>
            </w:pPr>
            <w:r>
              <w:t xml:space="preserve"> </w:t>
            </w:r>
          </w:p>
        </w:tc>
      </w:tr>
      <w:tr w:rsidR="006647AD" w:rsidRPr="00A74192" w:rsidTr="008F1638">
        <w:tc>
          <w:tcPr>
            <w:tcW w:w="1015" w:type="pct"/>
          </w:tcPr>
          <w:p w:rsidR="006647AD" w:rsidRPr="001841D7" w:rsidRDefault="006647AD" w:rsidP="00134DFD">
            <w:pPr>
              <w:spacing w:line="240" w:lineRule="auto"/>
              <w:rPr>
                <w:sz w:val="16"/>
                <w:szCs w:val="16"/>
                <w:highlight w:val="yellow"/>
              </w:rPr>
            </w:pPr>
            <w:r w:rsidRPr="00497294">
              <w:rPr>
                <w:sz w:val="16"/>
                <w:szCs w:val="16"/>
              </w:rPr>
              <w:t>Příliv portfoliových investic byl spojen s výrazným nárůstem objemu domácích dluhopisů v rukou nerezidentů.</w:t>
            </w:r>
          </w:p>
        </w:tc>
        <w:tc>
          <w:tcPr>
            <w:tcW w:w="144" w:type="pct"/>
          </w:tcPr>
          <w:p w:rsidR="006647AD" w:rsidRPr="002804BB" w:rsidRDefault="006647AD" w:rsidP="00134DFD">
            <w:pPr>
              <w:pStyle w:val="Textpoznpodarou"/>
              <w:jc w:val="both"/>
              <w:rPr>
                <w:color w:val="FF0000"/>
                <w:highlight w:val="yellow"/>
              </w:rPr>
            </w:pPr>
          </w:p>
        </w:tc>
        <w:tc>
          <w:tcPr>
            <w:tcW w:w="3841" w:type="pct"/>
            <w:gridSpan w:val="4"/>
          </w:tcPr>
          <w:p w:rsidR="006647AD" w:rsidRDefault="006647AD" w:rsidP="00134DFD">
            <w:pPr>
              <w:pStyle w:val="Textpoznpodarou"/>
              <w:jc w:val="both"/>
              <w:rPr>
                <w:sz w:val="16"/>
                <w:szCs w:val="16"/>
              </w:rPr>
            </w:pPr>
            <w:r w:rsidRPr="0017557E">
              <w:t>Čistý příliv portfoliových investic v 1. čtvrtletí 2017 činil 4</w:t>
            </w:r>
            <w:r w:rsidR="008054FB">
              <w:t>45,6</w:t>
            </w:r>
            <w:r w:rsidRPr="0017557E">
              <w:t xml:space="preserve"> mld. korun. To</w:t>
            </w:r>
            <w:r w:rsidR="00CB2B15">
              <w:t> </w:t>
            </w:r>
            <w:r w:rsidRPr="0017557E">
              <w:t>odpovídá de</w:t>
            </w:r>
            <w:r w:rsidR="002D6B11">
              <w:t>seti</w:t>
            </w:r>
            <w:r w:rsidRPr="0017557E">
              <w:t>násobku hodnoty z 1. čtvrtletí 2016</w:t>
            </w:r>
            <w:r>
              <w:t xml:space="preserve"> a 2,</w:t>
            </w:r>
            <w:r w:rsidR="002D6B11">
              <w:t>6</w:t>
            </w:r>
            <w:r>
              <w:t>násobku přílivu za</w:t>
            </w:r>
            <w:r w:rsidR="00D74E97">
              <w:t> </w:t>
            </w:r>
            <w:r>
              <w:t>celý rok 2016. Stály za tím téměř výhradně dluhové cenné papíry, kterých zahraniční držitelé nakoupili za 4</w:t>
            </w:r>
            <w:r w:rsidR="002D6B11">
              <w:t>37,2</w:t>
            </w:r>
            <w:r>
              <w:t xml:space="preserve"> mld. korun. Z velké části šlo o dluhopisy vládních institucí (3</w:t>
            </w:r>
            <w:r w:rsidR="002D6B11">
              <w:t>57,3</w:t>
            </w:r>
            <w:r>
              <w:t xml:space="preserve"> mld. korun, více než pětinásobek 1. čtvrtletí 2016). Ve</w:t>
            </w:r>
            <w:r w:rsidR="00CB2B15">
              <w:t> </w:t>
            </w:r>
            <w:r>
              <w:t xml:space="preserve">struktuře držitelů domácích dluhopisů se tak výrazně zvýšil podíl zahraničních držitelů. Podle dat MF bylo na konci března 47,26 % korunových dluhopisu v rukou nerezidentů (v prosinci 2016 to bylo 31,56 %). Položka ostatních investic </w:t>
            </w:r>
            <w:r>
              <w:lastRenderedPageBreak/>
              <w:t xml:space="preserve">v 1. čtvrtletí 2017 skončila v deficitu </w:t>
            </w:r>
            <w:r w:rsidR="002D6B11">
              <w:t>581,5</w:t>
            </w:r>
            <w:r>
              <w:t xml:space="preserve"> mld. korun (ve stejném období roku 2016 to byl přebytek 13,7 mld.).</w:t>
            </w:r>
          </w:p>
          <w:p w:rsidR="006647AD" w:rsidRPr="00981329" w:rsidRDefault="006647AD" w:rsidP="00134DFD">
            <w:pPr>
              <w:pStyle w:val="Textpoznpodarou"/>
              <w:jc w:val="both"/>
              <w:rPr>
                <w:sz w:val="16"/>
                <w:szCs w:val="16"/>
                <w:highlight w:val="yellow"/>
              </w:rPr>
            </w:pPr>
          </w:p>
        </w:tc>
      </w:tr>
      <w:tr w:rsidR="00FC6DB5" w:rsidRPr="006647AD" w:rsidTr="008F1638">
        <w:tc>
          <w:tcPr>
            <w:tcW w:w="1015" w:type="pct"/>
          </w:tcPr>
          <w:p w:rsidR="00FC6DB5" w:rsidRPr="006647AD" w:rsidRDefault="00FC6DB5" w:rsidP="006647AD">
            <w:pPr>
              <w:spacing w:line="240" w:lineRule="auto"/>
              <w:jc w:val="center"/>
              <w:rPr>
                <w:szCs w:val="20"/>
                <w:highlight w:val="yellow"/>
              </w:rPr>
            </w:pPr>
          </w:p>
        </w:tc>
        <w:tc>
          <w:tcPr>
            <w:tcW w:w="144" w:type="pct"/>
          </w:tcPr>
          <w:p w:rsidR="00FC6DB5" w:rsidRPr="006647AD" w:rsidRDefault="00FC6DB5" w:rsidP="00D94859">
            <w:pPr>
              <w:pStyle w:val="Textpoznpodarou"/>
              <w:rPr>
                <w:color w:val="FF0000"/>
              </w:rPr>
            </w:pPr>
          </w:p>
        </w:tc>
        <w:tc>
          <w:tcPr>
            <w:tcW w:w="580" w:type="pct"/>
          </w:tcPr>
          <w:p w:rsidR="00FC6DB5" w:rsidRPr="006647AD" w:rsidRDefault="00FC6DB5" w:rsidP="006647AD">
            <w:pPr>
              <w:pStyle w:val="Textpoznpodarou"/>
              <w:rPr>
                <w:color w:val="FF0000"/>
                <w:highlight w:val="yellow"/>
              </w:rPr>
            </w:pPr>
            <w:r w:rsidRPr="006647AD">
              <w:t>Graf č. 9</w:t>
            </w:r>
          </w:p>
        </w:tc>
        <w:tc>
          <w:tcPr>
            <w:tcW w:w="3261" w:type="pct"/>
            <w:gridSpan w:val="3"/>
          </w:tcPr>
          <w:p w:rsidR="00FC6DB5" w:rsidRPr="006647AD" w:rsidRDefault="00FC6DB5" w:rsidP="00ED2B0B">
            <w:pPr>
              <w:pStyle w:val="Textpoznpodarou"/>
              <w:jc w:val="both"/>
              <w:rPr>
                <w:color w:val="FF0000"/>
                <w:highlight w:val="yellow"/>
              </w:rPr>
            </w:pPr>
            <w:r w:rsidRPr="006647AD">
              <w:rPr>
                <w:b/>
              </w:rPr>
              <w:t xml:space="preserve">Běžný účet platební bilance </w:t>
            </w:r>
            <w:r w:rsidRPr="006647AD">
              <w:t>(1. čtvrtletí v mld. korun)</w:t>
            </w:r>
          </w:p>
        </w:tc>
      </w:tr>
      <w:tr w:rsidR="006647AD" w:rsidRPr="00A74192" w:rsidTr="008F1638">
        <w:tc>
          <w:tcPr>
            <w:tcW w:w="1015" w:type="pct"/>
          </w:tcPr>
          <w:p w:rsidR="006647AD" w:rsidRPr="002804BB" w:rsidRDefault="006647AD" w:rsidP="008A03DE">
            <w:pPr>
              <w:spacing w:line="240" w:lineRule="auto"/>
              <w:rPr>
                <w:sz w:val="16"/>
                <w:szCs w:val="16"/>
                <w:highlight w:val="yellow"/>
              </w:rPr>
            </w:pPr>
          </w:p>
        </w:tc>
        <w:tc>
          <w:tcPr>
            <w:tcW w:w="144" w:type="pct"/>
          </w:tcPr>
          <w:p w:rsidR="006647AD" w:rsidRPr="00A74192" w:rsidRDefault="006647AD" w:rsidP="00D94859">
            <w:pPr>
              <w:pStyle w:val="Textpoznpodarou"/>
              <w:rPr>
                <w:color w:val="FF0000"/>
              </w:rPr>
            </w:pPr>
          </w:p>
        </w:tc>
        <w:tc>
          <w:tcPr>
            <w:tcW w:w="3841" w:type="pct"/>
            <w:gridSpan w:val="4"/>
          </w:tcPr>
          <w:p w:rsidR="006647AD" w:rsidRPr="006647AD" w:rsidRDefault="000921B6" w:rsidP="006647AD">
            <w:pPr>
              <w:pStyle w:val="Textpoznpodarou"/>
              <w:ind w:left="-73"/>
              <w:jc w:val="both"/>
              <w:rPr>
                <w:sz w:val="16"/>
                <w:highlight w:val="yellow"/>
              </w:rPr>
            </w:pPr>
            <w:r w:rsidRPr="000921B6">
              <w:rPr>
                <w:noProof/>
                <w:sz w:val="16"/>
              </w:rPr>
              <w:drawing>
                <wp:inline distT="0" distB="0" distL="0" distR="0">
                  <wp:extent cx="4737600" cy="3553200"/>
                  <wp:effectExtent l="0" t="0" r="0" b="0"/>
                  <wp:docPr id="3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47AD" w:rsidRPr="000921B6" w:rsidRDefault="006647AD" w:rsidP="006647AD">
            <w:pPr>
              <w:pStyle w:val="Textpoznpodarou"/>
              <w:ind w:left="-73"/>
              <w:jc w:val="right"/>
              <w:rPr>
                <w:sz w:val="14"/>
                <w:szCs w:val="14"/>
              </w:rPr>
            </w:pPr>
            <w:r w:rsidRPr="000921B6">
              <w:rPr>
                <w:sz w:val="14"/>
                <w:szCs w:val="14"/>
              </w:rPr>
              <w:t>Zdroj: ČNB</w:t>
            </w:r>
          </w:p>
          <w:p w:rsidR="008901CC" w:rsidRPr="006647AD" w:rsidRDefault="008901CC" w:rsidP="006647AD">
            <w:pPr>
              <w:pStyle w:val="Textpoznpodarou"/>
              <w:ind w:left="-73"/>
              <w:jc w:val="right"/>
              <w:rPr>
                <w:color w:val="FF0000"/>
                <w:sz w:val="18"/>
                <w:szCs w:val="18"/>
                <w:highlight w:val="yellow"/>
              </w:rPr>
            </w:pPr>
          </w:p>
        </w:tc>
      </w:tr>
      <w:tr w:rsidR="006647AD" w:rsidRPr="00A74192" w:rsidTr="008F1638">
        <w:tc>
          <w:tcPr>
            <w:tcW w:w="1015" w:type="pct"/>
          </w:tcPr>
          <w:p w:rsidR="006647AD" w:rsidRPr="001841D7" w:rsidRDefault="006647AD" w:rsidP="00134DFD">
            <w:pPr>
              <w:spacing w:line="240" w:lineRule="auto"/>
              <w:rPr>
                <w:sz w:val="16"/>
                <w:szCs w:val="16"/>
                <w:highlight w:val="yellow"/>
              </w:rPr>
            </w:pPr>
            <w:r w:rsidRPr="00497294">
              <w:rPr>
                <w:sz w:val="16"/>
                <w:szCs w:val="16"/>
              </w:rPr>
              <w:t>Meziroční růst českého exportu z</w:t>
            </w:r>
            <w:r>
              <w:rPr>
                <w:sz w:val="16"/>
                <w:szCs w:val="16"/>
              </w:rPr>
              <w:t>r</w:t>
            </w:r>
            <w:r w:rsidRPr="00497294">
              <w:rPr>
                <w:sz w:val="16"/>
                <w:szCs w:val="16"/>
              </w:rPr>
              <w:t>ychlil.</w:t>
            </w:r>
          </w:p>
        </w:tc>
        <w:tc>
          <w:tcPr>
            <w:tcW w:w="144" w:type="pct"/>
          </w:tcPr>
          <w:p w:rsidR="006647AD" w:rsidRPr="002804BB" w:rsidRDefault="006647AD" w:rsidP="00134DFD">
            <w:pPr>
              <w:pStyle w:val="Textpoznpodarou"/>
              <w:jc w:val="both"/>
              <w:rPr>
                <w:highlight w:val="yellow"/>
              </w:rPr>
            </w:pPr>
          </w:p>
        </w:tc>
        <w:tc>
          <w:tcPr>
            <w:tcW w:w="3841" w:type="pct"/>
            <w:gridSpan w:val="4"/>
          </w:tcPr>
          <w:p w:rsidR="006647AD" w:rsidRDefault="006647AD" w:rsidP="00134DFD">
            <w:pPr>
              <w:pStyle w:val="Textpoznpodarou"/>
              <w:jc w:val="both"/>
              <w:rPr>
                <w:sz w:val="16"/>
                <w:szCs w:val="16"/>
              </w:rPr>
            </w:pPr>
            <w:r w:rsidRPr="00C2133F">
              <w:t xml:space="preserve">Hodnota vývozu v 1. čtvrtletí 2017 dosáhla </w:t>
            </w:r>
            <w:r>
              <w:t>898,0 mld. korun</w:t>
            </w:r>
            <w:r w:rsidRPr="00A74192">
              <w:rPr>
                <w:rStyle w:val="Znakapoznpodarou"/>
              </w:rPr>
              <w:footnoteReference w:id="20"/>
            </w:r>
            <w:r w:rsidRPr="00C2133F">
              <w:t xml:space="preserve"> a </w:t>
            </w:r>
            <w:r>
              <w:t xml:space="preserve">export </w:t>
            </w:r>
            <w:r w:rsidRPr="00C2133F">
              <w:t xml:space="preserve">překonal stejné období předchozího roku o </w:t>
            </w:r>
            <w:r>
              <w:t xml:space="preserve">68,0 </w:t>
            </w:r>
            <w:r w:rsidRPr="00C2133F">
              <w:t>mld</w:t>
            </w:r>
            <w:r>
              <w:t>. korun</w:t>
            </w:r>
            <w:r w:rsidRPr="00C2133F">
              <w:t>.</w:t>
            </w:r>
            <w:r>
              <w:t xml:space="preserve"> </w:t>
            </w:r>
            <w:r w:rsidRPr="00C2133F">
              <w:t xml:space="preserve">Meziroční růst hodnoty exportu dosáhl </w:t>
            </w:r>
            <w:r>
              <w:t xml:space="preserve">8,2 </w:t>
            </w:r>
            <w:r w:rsidRPr="00C2133F">
              <w:t xml:space="preserve">%. </w:t>
            </w:r>
            <w:r>
              <w:t>Převýšen byl i mimořádně silný výsledek 2. čtvrtletí roku 2016 o</w:t>
            </w:r>
            <w:r w:rsidR="007240C5">
              <w:t> </w:t>
            </w:r>
            <w:r>
              <w:t xml:space="preserve">35,5 mld. korun. Český vývoz tak po útlumu v 2. polovině roku 2016 nabral nový dech, meziroční přírůstek byl nejvyšší od 4. čtvrtletí 2014. </w:t>
            </w:r>
          </w:p>
          <w:p w:rsidR="006647AD" w:rsidRPr="00365E26" w:rsidRDefault="006647AD" w:rsidP="00134DFD">
            <w:pPr>
              <w:pStyle w:val="Textpoznpodarou"/>
              <w:jc w:val="both"/>
              <w:rPr>
                <w:sz w:val="16"/>
                <w:szCs w:val="16"/>
                <w:highlight w:val="yellow"/>
              </w:rPr>
            </w:pPr>
          </w:p>
        </w:tc>
      </w:tr>
      <w:tr w:rsidR="006647AD" w:rsidRPr="00A74192" w:rsidTr="008F1638">
        <w:tc>
          <w:tcPr>
            <w:tcW w:w="1015" w:type="pct"/>
          </w:tcPr>
          <w:p w:rsidR="006647AD" w:rsidRPr="001841D7" w:rsidRDefault="006647AD" w:rsidP="00B25E31">
            <w:pPr>
              <w:spacing w:line="240" w:lineRule="auto"/>
              <w:rPr>
                <w:sz w:val="16"/>
                <w:szCs w:val="16"/>
                <w:highlight w:val="yellow"/>
              </w:rPr>
            </w:pPr>
            <w:r w:rsidRPr="00F35066">
              <w:rPr>
                <w:sz w:val="16"/>
                <w:szCs w:val="16"/>
              </w:rPr>
              <w:t>Klesl vývoz na Slovensko. Export do</w:t>
            </w:r>
            <w:r w:rsidR="00B25E31">
              <w:rPr>
                <w:sz w:val="16"/>
                <w:szCs w:val="16"/>
              </w:rPr>
              <w:t> </w:t>
            </w:r>
            <w:r w:rsidRPr="00F35066">
              <w:rPr>
                <w:sz w:val="16"/>
                <w:szCs w:val="16"/>
              </w:rPr>
              <w:t>Ruska meziročně vzrostl, nevrátil se však zatím na hodnoty před rokem 2014.</w:t>
            </w:r>
          </w:p>
        </w:tc>
        <w:tc>
          <w:tcPr>
            <w:tcW w:w="144" w:type="pct"/>
          </w:tcPr>
          <w:p w:rsidR="006647AD" w:rsidRPr="002804BB" w:rsidRDefault="006647AD" w:rsidP="00134DFD">
            <w:pPr>
              <w:pStyle w:val="Textpoznpodarou"/>
              <w:jc w:val="both"/>
              <w:rPr>
                <w:highlight w:val="yellow"/>
              </w:rPr>
            </w:pPr>
          </w:p>
        </w:tc>
        <w:tc>
          <w:tcPr>
            <w:tcW w:w="3841" w:type="pct"/>
            <w:gridSpan w:val="4"/>
          </w:tcPr>
          <w:p w:rsidR="006647AD" w:rsidRPr="00813CB4" w:rsidRDefault="006647AD" w:rsidP="00134DFD">
            <w:pPr>
              <w:pStyle w:val="Textpoznpodarou"/>
              <w:jc w:val="both"/>
              <w:rPr>
                <w:spacing w:val="-3"/>
                <w:sz w:val="16"/>
                <w:szCs w:val="16"/>
              </w:rPr>
            </w:pPr>
            <w:r w:rsidRPr="00813CB4">
              <w:rPr>
                <w:spacing w:val="-3"/>
              </w:rPr>
              <w:t>Teritoriální struktura exportu zůstává nezměněna. Největší podíl vývozu (84</w:t>
            </w:r>
            <w:r w:rsidR="00362408">
              <w:rPr>
                <w:spacing w:val="-3"/>
              </w:rPr>
              <w:t>,0</w:t>
            </w:r>
            <w:r w:rsidRPr="00813CB4">
              <w:rPr>
                <w:spacing w:val="-3"/>
              </w:rPr>
              <w:t xml:space="preserve"> %) míří do EU a v porovnání s předchozím čtvrtletím se mírně zvýšil, což je pravidelný úkaz. Posílený růst celkového exportu souvisel s nárůstem exportu do jednotlivých teritorií. </w:t>
            </w:r>
            <w:r w:rsidR="00362408">
              <w:rPr>
                <w:spacing w:val="-3"/>
              </w:rPr>
              <w:t>Vývoz</w:t>
            </w:r>
            <w:r w:rsidRPr="00813CB4">
              <w:rPr>
                <w:spacing w:val="-3"/>
              </w:rPr>
              <w:t xml:space="preserve"> do EU se meziročně zvýšil o 7,0 %, export mimo EU dokonce o</w:t>
            </w:r>
            <w:r w:rsidR="00362408">
              <w:rPr>
                <w:spacing w:val="-3"/>
              </w:rPr>
              <w:t> </w:t>
            </w:r>
            <w:r w:rsidRPr="00813CB4">
              <w:rPr>
                <w:spacing w:val="-3"/>
              </w:rPr>
              <w:t>14,9</w:t>
            </w:r>
            <w:r w:rsidR="00362408">
              <w:rPr>
                <w:spacing w:val="-3"/>
              </w:rPr>
              <w:t> </w:t>
            </w:r>
            <w:r w:rsidRPr="00813CB4">
              <w:rPr>
                <w:spacing w:val="-3"/>
              </w:rPr>
              <w:t>%. Meziroční růst vývozu do Německa po nevýrazném roku 2016 posílil na</w:t>
            </w:r>
            <w:r w:rsidR="00362408">
              <w:rPr>
                <w:spacing w:val="-3"/>
              </w:rPr>
              <w:t> </w:t>
            </w:r>
            <w:r w:rsidRPr="00813CB4">
              <w:rPr>
                <w:spacing w:val="-3"/>
              </w:rPr>
              <w:t>8,5 % v 1. čtvrtletí 2017. Prudce vzrostl vývoz do Polska (14,9 %) a Rakouska (15,2 %). Dařilo se i vývozu do Francie (+11,8 %), u kterého se neprojevil ani útlum minulého roku. Naopak pokračuje prudký pokles exportu na</w:t>
            </w:r>
            <w:r w:rsidR="00362408">
              <w:rPr>
                <w:spacing w:val="-3"/>
              </w:rPr>
              <w:t xml:space="preserve"> </w:t>
            </w:r>
            <w:r w:rsidRPr="00813CB4">
              <w:rPr>
                <w:spacing w:val="-3"/>
              </w:rPr>
              <w:t>Slovensko</w:t>
            </w:r>
            <w:r w:rsidR="00362408">
              <w:rPr>
                <w:spacing w:val="-3"/>
              </w:rPr>
              <w:t xml:space="preserve"> </w:t>
            </w:r>
            <w:r w:rsidRPr="00813CB4">
              <w:rPr>
                <w:spacing w:val="-3"/>
              </w:rPr>
              <w:t>(-9,9 %). Tento propad se podepsal i na poklesu podílu vývozu na</w:t>
            </w:r>
            <w:r w:rsidR="00CB2B15" w:rsidRPr="00813CB4">
              <w:rPr>
                <w:spacing w:val="-3"/>
              </w:rPr>
              <w:t> </w:t>
            </w:r>
            <w:r w:rsidRPr="00813CB4">
              <w:rPr>
                <w:spacing w:val="-3"/>
              </w:rPr>
              <w:t>Slovensko na celkovém exportu, který v 1. čtvrtletí 2017 činil 8,6 % a byl tak nejnižší od 1. čtvrtletí roku 2007. Vývoz do Ruska vzrostl meziročně o 30,4 %, za</w:t>
            </w:r>
            <w:r w:rsidR="00CB2B15" w:rsidRPr="00813CB4">
              <w:rPr>
                <w:spacing w:val="-3"/>
              </w:rPr>
              <w:t> </w:t>
            </w:r>
            <w:r w:rsidRPr="00813CB4">
              <w:rPr>
                <w:spacing w:val="-3"/>
              </w:rPr>
              <w:t>úrovní před uvalením hospodářských sankcí však stále zaostává (10 mld. korun).</w:t>
            </w:r>
          </w:p>
          <w:p w:rsidR="006647AD" w:rsidRPr="00365E26" w:rsidRDefault="006647AD" w:rsidP="00134DFD">
            <w:pPr>
              <w:pStyle w:val="Textpoznpodarou"/>
              <w:jc w:val="both"/>
              <w:rPr>
                <w:sz w:val="16"/>
                <w:szCs w:val="16"/>
              </w:rPr>
            </w:pPr>
          </w:p>
        </w:tc>
      </w:tr>
      <w:tr w:rsidR="006647AD" w:rsidRPr="00A74192" w:rsidTr="008F1638">
        <w:tc>
          <w:tcPr>
            <w:tcW w:w="1015" w:type="pct"/>
          </w:tcPr>
          <w:p w:rsidR="006647AD" w:rsidRPr="001841D7" w:rsidRDefault="006647AD" w:rsidP="00B25E31">
            <w:pPr>
              <w:spacing w:line="240" w:lineRule="auto"/>
              <w:rPr>
                <w:sz w:val="16"/>
                <w:szCs w:val="16"/>
                <w:highlight w:val="yellow"/>
              </w:rPr>
            </w:pPr>
            <w:r w:rsidRPr="00F35066">
              <w:rPr>
                <w:sz w:val="16"/>
                <w:szCs w:val="16"/>
              </w:rPr>
              <w:t>Opět zrychlil růst exportu motorových vozidel. Hodnota vývozu chemických výrobků a</w:t>
            </w:r>
            <w:r w:rsidR="00B25E31">
              <w:rPr>
                <w:sz w:val="16"/>
                <w:szCs w:val="16"/>
              </w:rPr>
              <w:t> </w:t>
            </w:r>
            <w:r w:rsidRPr="00F35066">
              <w:rPr>
                <w:sz w:val="16"/>
                <w:szCs w:val="16"/>
              </w:rPr>
              <w:t>přípravků se vrátila na obvyklou úroveň.</w:t>
            </w:r>
          </w:p>
        </w:tc>
        <w:tc>
          <w:tcPr>
            <w:tcW w:w="144" w:type="pct"/>
          </w:tcPr>
          <w:p w:rsidR="006647AD" w:rsidRPr="002804BB" w:rsidRDefault="006647AD" w:rsidP="00134DFD">
            <w:pPr>
              <w:pStyle w:val="Textpoznpodarou"/>
              <w:jc w:val="both"/>
              <w:rPr>
                <w:highlight w:val="yellow"/>
              </w:rPr>
            </w:pPr>
          </w:p>
        </w:tc>
        <w:tc>
          <w:tcPr>
            <w:tcW w:w="3841" w:type="pct"/>
            <w:gridSpan w:val="4"/>
          </w:tcPr>
          <w:p w:rsidR="006647AD" w:rsidRDefault="006647AD" w:rsidP="00134DFD">
            <w:pPr>
              <w:pStyle w:val="Textpoznpodarou"/>
              <w:jc w:val="both"/>
              <w:rPr>
                <w:sz w:val="16"/>
                <w:szCs w:val="16"/>
              </w:rPr>
            </w:pPr>
            <w:r>
              <w:t xml:space="preserve">Tahounem českého vývozu zůstávají motorová vozidla. Jejich podíl na exportu dosáhl v 1. čtvrtletí 29,5 % a byl nejvyšší v historii. Po dvou slabších (i když v porovnání s ostatními zbožovými oddíly dobrých) čtvrtletích znovu zrychlilo tempo růstu hodnoty vývozu motorových vozidel a dosáhlo 12,2 %. Dařilo </w:t>
            </w:r>
            <w:proofErr w:type="spellStart"/>
            <w:r w:rsidRPr="00362408">
              <w:t>sei</w:t>
            </w:r>
            <w:proofErr w:type="spellEnd"/>
            <w:r w:rsidR="00CB2B15">
              <w:t> </w:t>
            </w:r>
            <w:r>
              <w:t xml:space="preserve">exportu v oddílu stroje a zařízení (meziroční nárůst o 13,2 %). </w:t>
            </w:r>
            <w:r w:rsidR="007240C5">
              <w:t>V 1. čtvrtletí bylo p</w:t>
            </w:r>
            <w:r>
              <w:t>atrné</w:t>
            </w:r>
            <w:r w:rsidR="007240C5">
              <w:t xml:space="preserve"> i oživení </w:t>
            </w:r>
            <w:r>
              <w:t>chemick</w:t>
            </w:r>
            <w:r w:rsidR="007240C5">
              <w:t>ého</w:t>
            </w:r>
            <w:r>
              <w:t xml:space="preserve"> průmysl po výpadku v letech 2015 a 2016. Hodnota vývozu chemických látek a přípravků dosáhla v 1. čtvrtletí 41,2 mld. korun, což odpovídá meziročnímu nárůstu o 18,7 % a hodnotě vývozu před</w:t>
            </w:r>
            <w:r w:rsidR="00362408">
              <w:t> </w:t>
            </w:r>
            <w:r>
              <w:t>havárií výrobních kapacit, která původní útlum zavinila. Po roce útlumu se</w:t>
            </w:r>
            <w:r w:rsidR="00362408">
              <w:t> </w:t>
            </w:r>
            <w:r>
              <w:t xml:space="preserve">oživil vývoz elektrických zařízení (9,8 %) i pryžových a plastových výrobků </w:t>
            </w:r>
            <w:r>
              <w:lastRenderedPageBreak/>
              <w:t>(10,5 %). Prudce vzrostl vývoz základních kovů (17,2 %). Zpomalení z konce minulého roku přetrvalo u potravinářských výrobků, kterých se meziročně vyvezlo o 5,2 % méně i u kovodělných výrobků (-12,9 %). Pokračovala stagnace vývozu počítačů, elektronických a optických přístrojů a zařízení.</w:t>
            </w:r>
          </w:p>
          <w:p w:rsidR="006647AD" w:rsidRPr="00365E26" w:rsidRDefault="006647AD" w:rsidP="00134DFD">
            <w:pPr>
              <w:pStyle w:val="Textpoznpodarou"/>
              <w:jc w:val="both"/>
              <w:rPr>
                <w:sz w:val="16"/>
                <w:szCs w:val="16"/>
              </w:rPr>
            </w:pPr>
          </w:p>
        </w:tc>
      </w:tr>
      <w:tr w:rsidR="006647AD" w:rsidRPr="00A74192" w:rsidTr="008F1638">
        <w:tc>
          <w:tcPr>
            <w:tcW w:w="1015" w:type="pct"/>
          </w:tcPr>
          <w:p w:rsidR="006647AD" w:rsidRPr="001841D7" w:rsidRDefault="006647AD" w:rsidP="00B25E31">
            <w:pPr>
              <w:spacing w:line="240" w:lineRule="auto"/>
              <w:rPr>
                <w:sz w:val="16"/>
                <w:szCs w:val="16"/>
                <w:highlight w:val="yellow"/>
              </w:rPr>
            </w:pPr>
            <w:r w:rsidRPr="00F35066">
              <w:rPr>
                <w:sz w:val="16"/>
                <w:szCs w:val="16"/>
              </w:rPr>
              <w:lastRenderedPageBreak/>
              <w:t>Dynamika dovozu do</w:t>
            </w:r>
            <w:r w:rsidR="00B25E31">
              <w:rPr>
                <w:sz w:val="16"/>
                <w:szCs w:val="16"/>
              </w:rPr>
              <w:t> </w:t>
            </w:r>
            <w:r w:rsidRPr="00F35066">
              <w:rPr>
                <w:sz w:val="16"/>
                <w:szCs w:val="16"/>
              </w:rPr>
              <w:t xml:space="preserve">ČR odrážela rostoucí ceny ropy a zemního plynu. </w:t>
            </w:r>
          </w:p>
        </w:tc>
        <w:tc>
          <w:tcPr>
            <w:tcW w:w="144" w:type="pct"/>
          </w:tcPr>
          <w:p w:rsidR="006647AD" w:rsidRPr="002804BB" w:rsidRDefault="006647AD" w:rsidP="00134DFD">
            <w:pPr>
              <w:pStyle w:val="Textpoznpodarou"/>
              <w:jc w:val="both"/>
              <w:rPr>
                <w:highlight w:val="yellow"/>
              </w:rPr>
            </w:pPr>
          </w:p>
        </w:tc>
        <w:tc>
          <w:tcPr>
            <w:tcW w:w="3841" w:type="pct"/>
            <w:gridSpan w:val="4"/>
          </w:tcPr>
          <w:p w:rsidR="006647AD" w:rsidRDefault="00DE1460" w:rsidP="00134DFD">
            <w:pPr>
              <w:pStyle w:val="Textpoznpodarou"/>
              <w:jc w:val="both"/>
              <w:rPr>
                <w:sz w:val="16"/>
                <w:szCs w:val="16"/>
              </w:rPr>
            </w:pPr>
            <w:r>
              <w:t>D</w:t>
            </w:r>
            <w:r w:rsidR="006647AD" w:rsidRPr="00C95515">
              <w:t>ovoz do České republiky v 1. čtvrtletí 2017 prudce vzrostl</w:t>
            </w:r>
            <w:r>
              <w:t>. Jeho h</w:t>
            </w:r>
            <w:r w:rsidR="006647AD">
              <w:t xml:space="preserve">odnota </w:t>
            </w:r>
            <w:r>
              <w:t>d</w:t>
            </w:r>
            <w:r w:rsidR="006647AD">
              <w:t>osáhla 835</w:t>
            </w:r>
            <w:r w:rsidR="006647AD" w:rsidRPr="00C95515">
              <w:t>,</w:t>
            </w:r>
            <w:r w:rsidR="006647AD">
              <w:t>8</w:t>
            </w:r>
            <w:r w:rsidR="006647AD" w:rsidRPr="00C95515">
              <w:t xml:space="preserve"> mld. korun a její meziroční </w:t>
            </w:r>
            <w:r w:rsidR="006647AD">
              <w:t>růst</w:t>
            </w:r>
            <w:r w:rsidR="006647AD" w:rsidRPr="00C95515">
              <w:t xml:space="preserve"> se zrychlil na 8,</w:t>
            </w:r>
            <w:r w:rsidR="006647AD">
              <w:t>8</w:t>
            </w:r>
            <w:r w:rsidR="006647AD" w:rsidRPr="00C95515">
              <w:t xml:space="preserve"> %.</w:t>
            </w:r>
            <w:r w:rsidR="006647AD">
              <w:t xml:space="preserve"> Část z tohoto nárůstu lze přisoudit meziročnímu navýšení cen ropy promítají</w:t>
            </w:r>
            <w:r w:rsidR="009742F7">
              <w:t>címu</w:t>
            </w:r>
            <w:r w:rsidR="006647AD">
              <w:t xml:space="preserve"> se do vyjádření dovozu v běžných cenách – hodnota dovozu ropy a</w:t>
            </w:r>
            <w:r w:rsidR="00CB2B15">
              <w:t> </w:t>
            </w:r>
            <w:r w:rsidR="006647AD">
              <w:t>zemního plynu meziročně vzrostla o 34,7 %. Podobné důvody lze hledat i za výrazným nárůstem hodnoty importu koksu a rafinovaných ropných výrobků (17,7 %). Růst dovozu motorových vozidel podpořený domácím ekonomickým růstem po zvolnění v minulém půlroce opět zrychlil (15,9 % v 1. čtvrtletí 2017). Meziroční pokles dovozu pokračoval u</w:t>
            </w:r>
            <w:r w:rsidR="00362408">
              <w:t> </w:t>
            </w:r>
            <w:r w:rsidR="006647AD">
              <w:t>potravinářských výrobků (-3,8 %) a</w:t>
            </w:r>
            <w:r w:rsidR="00CB2B15">
              <w:t> </w:t>
            </w:r>
            <w:r w:rsidR="006647AD">
              <w:t>kovodělných výrobků (-14,9 %). Rostoucí ceny ropy a zemního plynu se promítly i do výsledků dovozu dle teritoriální struktury. Dovoz ze zemí mimo EU meziročně vzrostl o 14,0 %, z toho dovoz z Ruska stoupl o 43,1 %. Dovoz z Německa se meziročně zvýšil o 9,8 %, což je</w:t>
            </w:r>
            <w:r w:rsidR="00362408">
              <w:t> </w:t>
            </w:r>
            <w:r w:rsidR="006647AD">
              <w:t>nejvíce od 3. čtvrtletí roku 2014. Silný byl i nárůst dovozu ze Slovenska (12,9</w:t>
            </w:r>
            <w:r w:rsidR="00362408">
              <w:t> </w:t>
            </w:r>
            <w:r w:rsidR="006647AD">
              <w:t>%) a Rakouska (16,8 %). Do</w:t>
            </w:r>
            <w:r w:rsidR="00CB2B15">
              <w:t> </w:t>
            </w:r>
            <w:r w:rsidR="006647AD">
              <w:t>výrazného poklesu dovozu z Velké Británie (</w:t>
            </w:r>
            <w:r w:rsidR="00362408">
              <w:noBreakHyphen/>
            </w:r>
            <w:r w:rsidR="006647AD">
              <w:t>18,0 %) se promítla vysoká základna stejného období minulého roku</w:t>
            </w:r>
            <w:r>
              <w:t>.</w:t>
            </w:r>
          </w:p>
          <w:p w:rsidR="006647AD" w:rsidRPr="00365E26" w:rsidRDefault="006647AD" w:rsidP="00134DFD">
            <w:pPr>
              <w:pStyle w:val="Textpoznpodarou"/>
              <w:jc w:val="both"/>
              <w:rPr>
                <w:sz w:val="14"/>
                <w:szCs w:val="14"/>
                <w:highlight w:val="yellow"/>
              </w:rPr>
            </w:pPr>
          </w:p>
        </w:tc>
      </w:tr>
      <w:tr w:rsidR="00FC6DB5" w:rsidRPr="00A74192" w:rsidTr="008F1638">
        <w:tc>
          <w:tcPr>
            <w:tcW w:w="1015" w:type="pct"/>
          </w:tcPr>
          <w:p w:rsidR="00FC6DB5" w:rsidRPr="002804BB" w:rsidRDefault="00FC6DB5" w:rsidP="006647AD">
            <w:pPr>
              <w:spacing w:line="240" w:lineRule="auto"/>
              <w:jc w:val="center"/>
              <w:rPr>
                <w:sz w:val="16"/>
                <w:szCs w:val="16"/>
                <w:highlight w:val="yellow"/>
              </w:rPr>
            </w:pPr>
          </w:p>
        </w:tc>
        <w:tc>
          <w:tcPr>
            <w:tcW w:w="144" w:type="pct"/>
          </w:tcPr>
          <w:p w:rsidR="00FC6DB5" w:rsidRPr="00A74192" w:rsidRDefault="00FC6DB5" w:rsidP="00D94859">
            <w:pPr>
              <w:pStyle w:val="Textpoznpodarou"/>
              <w:jc w:val="both"/>
            </w:pPr>
          </w:p>
        </w:tc>
        <w:tc>
          <w:tcPr>
            <w:tcW w:w="653" w:type="pct"/>
            <w:gridSpan w:val="2"/>
          </w:tcPr>
          <w:p w:rsidR="00FC6DB5" w:rsidRPr="00463736" w:rsidRDefault="00FC6DB5" w:rsidP="006647AD">
            <w:pPr>
              <w:pStyle w:val="Textpoznpodarou"/>
              <w:jc w:val="both"/>
              <w:rPr>
                <w:sz w:val="16"/>
                <w:szCs w:val="16"/>
                <w:highlight w:val="yellow"/>
              </w:rPr>
            </w:pPr>
            <w:r w:rsidRPr="00DC4FA6">
              <w:t>Graf č. 10</w:t>
            </w:r>
          </w:p>
        </w:tc>
        <w:tc>
          <w:tcPr>
            <w:tcW w:w="3188" w:type="pct"/>
            <w:gridSpan w:val="2"/>
          </w:tcPr>
          <w:p w:rsidR="00FC6DB5" w:rsidRPr="00463736" w:rsidRDefault="00FC6DB5" w:rsidP="00780DDF">
            <w:pPr>
              <w:pStyle w:val="Textpoznpodarou"/>
              <w:rPr>
                <w:sz w:val="16"/>
                <w:szCs w:val="16"/>
                <w:highlight w:val="yellow"/>
              </w:rPr>
            </w:pPr>
            <w:r w:rsidRPr="00DC4FA6">
              <w:rPr>
                <w:b/>
              </w:rPr>
              <w:t>Bilance zahraničního obchodu</w:t>
            </w:r>
            <w:r w:rsidR="008F1638">
              <w:rPr>
                <w:b/>
              </w:rPr>
              <w:t>*</w:t>
            </w:r>
            <w:r w:rsidRPr="00DC4FA6">
              <w:rPr>
                <w:b/>
              </w:rPr>
              <w:t xml:space="preserve"> v</w:t>
            </w:r>
            <w:r w:rsidR="00780DDF">
              <w:rPr>
                <w:b/>
              </w:rPr>
              <w:t xml:space="preserve">e statistice zahraničního obchodu </w:t>
            </w:r>
            <w:r w:rsidRPr="00ED2B0B">
              <w:t>(1</w:t>
            </w:r>
            <w:r w:rsidRPr="006647AD">
              <w:t>. čtvrtletí</w:t>
            </w:r>
            <w:r>
              <w:t xml:space="preserve">, </w:t>
            </w:r>
            <w:r w:rsidRPr="00DC4FA6">
              <w:t>v mld. korun</w:t>
            </w:r>
            <w:r>
              <w:t>, vybrané oddíly klasifikace CPA</w:t>
            </w:r>
            <w:r w:rsidRPr="00DC4FA6">
              <w:t>)</w:t>
            </w:r>
          </w:p>
        </w:tc>
      </w:tr>
      <w:tr w:rsidR="006647AD" w:rsidRPr="00A74192" w:rsidTr="008F1638">
        <w:tc>
          <w:tcPr>
            <w:tcW w:w="1015" w:type="pct"/>
          </w:tcPr>
          <w:p w:rsidR="006647AD" w:rsidRPr="002804BB" w:rsidRDefault="006647AD" w:rsidP="008A03DE">
            <w:pPr>
              <w:spacing w:line="240" w:lineRule="auto"/>
              <w:rPr>
                <w:sz w:val="16"/>
                <w:szCs w:val="16"/>
                <w:highlight w:val="yellow"/>
              </w:rPr>
            </w:pPr>
          </w:p>
        </w:tc>
        <w:tc>
          <w:tcPr>
            <w:tcW w:w="144" w:type="pct"/>
          </w:tcPr>
          <w:p w:rsidR="006647AD" w:rsidRPr="00A74192" w:rsidRDefault="006647AD" w:rsidP="00D94859">
            <w:pPr>
              <w:pStyle w:val="Textpoznpodarou"/>
              <w:jc w:val="both"/>
            </w:pPr>
          </w:p>
        </w:tc>
        <w:tc>
          <w:tcPr>
            <w:tcW w:w="3841" w:type="pct"/>
            <w:gridSpan w:val="4"/>
          </w:tcPr>
          <w:p w:rsidR="008F1638" w:rsidRPr="000921B6" w:rsidRDefault="000921B6" w:rsidP="008F1638">
            <w:pPr>
              <w:pStyle w:val="Textpoznpodarou"/>
              <w:ind w:left="-73"/>
              <w:jc w:val="right"/>
              <w:rPr>
                <w:sz w:val="14"/>
                <w:szCs w:val="14"/>
              </w:rPr>
            </w:pPr>
            <w:r w:rsidRPr="000921B6">
              <w:rPr>
                <w:noProof/>
                <w:sz w:val="14"/>
                <w:szCs w:val="14"/>
              </w:rPr>
              <w:drawing>
                <wp:inline distT="0" distB="0" distL="0" distR="0">
                  <wp:extent cx="4737600" cy="3553200"/>
                  <wp:effectExtent l="19050" t="0" r="0" b="0"/>
                  <wp:docPr id="3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8F1638" w:rsidRPr="008F1638" w:rsidTr="008F1638">
        <w:tc>
          <w:tcPr>
            <w:tcW w:w="1015" w:type="pct"/>
          </w:tcPr>
          <w:p w:rsidR="008F1638" w:rsidRPr="00F35066" w:rsidRDefault="008F1638" w:rsidP="006260B8">
            <w:pPr>
              <w:spacing w:line="240" w:lineRule="auto"/>
              <w:rPr>
                <w:sz w:val="16"/>
                <w:szCs w:val="16"/>
              </w:rPr>
            </w:pPr>
          </w:p>
        </w:tc>
        <w:tc>
          <w:tcPr>
            <w:tcW w:w="144" w:type="pct"/>
          </w:tcPr>
          <w:p w:rsidR="008F1638" w:rsidRPr="002804BB" w:rsidRDefault="008F1638" w:rsidP="006260B8">
            <w:pPr>
              <w:pStyle w:val="Textpoznpodarou"/>
              <w:jc w:val="both"/>
              <w:rPr>
                <w:highlight w:val="yellow"/>
              </w:rPr>
            </w:pPr>
          </w:p>
        </w:tc>
        <w:tc>
          <w:tcPr>
            <w:tcW w:w="1948" w:type="pct"/>
            <w:gridSpan w:val="3"/>
          </w:tcPr>
          <w:p w:rsidR="008F1638" w:rsidRPr="008F1638" w:rsidRDefault="008F1638" w:rsidP="006260B8">
            <w:pPr>
              <w:pStyle w:val="Textpoznpodarou"/>
              <w:jc w:val="both"/>
              <w:rPr>
                <w:sz w:val="14"/>
                <w:szCs w:val="14"/>
              </w:rPr>
            </w:pPr>
            <w:r w:rsidRPr="008F1638">
              <w:rPr>
                <w:sz w:val="14"/>
                <w:szCs w:val="14"/>
              </w:rPr>
              <w:t>*v národním pojetí</w:t>
            </w:r>
          </w:p>
        </w:tc>
        <w:tc>
          <w:tcPr>
            <w:tcW w:w="1893" w:type="pct"/>
          </w:tcPr>
          <w:p w:rsidR="008F1638" w:rsidRDefault="008F1638" w:rsidP="008F1638">
            <w:pPr>
              <w:pStyle w:val="Textpoznpodarou"/>
              <w:jc w:val="right"/>
              <w:rPr>
                <w:sz w:val="14"/>
                <w:szCs w:val="14"/>
              </w:rPr>
            </w:pPr>
            <w:r w:rsidRPr="008F1638">
              <w:rPr>
                <w:sz w:val="14"/>
                <w:szCs w:val="14"/>
              </w:rPr>
              <w:t>Zdroj: ČSÚ</w:t>
            </w:r>
          </w:p>
          <w:p w:rsidR="008F1638" w:rsidRPr="00365E26" w:rsidRDefault="008F1638" w:rsidP="008F1638">
            <w:pPr>
              <w:pStyle w:val="Textpoznpodarou"/>
              <w:jc w:val="right"/>
              <w:rPr>
                <w:sz w:val="16"/>
                <w:szCs w:val="16"/>
              </w:rPr>
            </w:pPr>
          </w:p>
        </w:tc>
      </w:tr>
      <w:tr w:rsidR="008F1638" w:rsidRPr="00A74192" w:rsidTr="008F1638">
        <w:tc>
          <w:tcPr>
            <w:tcW w:w="1015" w:type="pct"/>
          </w:tcPr>
          <w:p w:rsidR="008F1638" w:rsidRPr="001841D7" w:rsidRDefault="008F1638" w:rsidP="00B25E31">
            <w:pPr>
              <w:spacing w:line="240" w:lineRule="auto"/>
              <w:rPr>
                <w:sz w:val="16"/>
                <w:szCs w:val="16"/>
                <w:highlight w:val="yellow"/>
              </w:rPr>
            </w:pPr>
            <w:r w:rsidRPr="00F35066">
              <w:rPr>
                <w:sz w:val="16"/>
                <w:szCs w:val="16"/>
              </w:rPr>
              <w:t>Přetrvala kladná bilance zahraničního obchodu i</w:t>
            </w:r>
            <w:r w:rsidR="00B25E31">
              <w:rPr>
                <w:sz w:val="16"/>
                <w:szCs w:val="16"/>
              </w:rPr>
              <w:t> </w:t>
            </w:r>
            <w:r w:rsidRPr="00F35066">
              <w:rPr>
                <w:sz w:val="16"/>
                <w:szCs w:val="16"/>
              </w:rPr>
              <w:t>přes prohloubení záporného salda se zeměmi mimo EU.</w:t>
            </w:r>
          </w:p>
        </w:tc>
        <w:tc>
          <w:tcPr>
            <w:tcW w:w="144" w:type="pct"/>
          </w:tcPr>
          <w:p w:rsidR="008F1638" w:rsidRPr="002804BB" w:rsidRDefault="008F1638" w:rsidP="006260B8">
            <w:pPr>
              <w:pStyle w:val="Textpoznpodarou"/>
              <w:jc w:val="both"/>
              <w:rPr>
                <w:highlight w:val="yellow"/>
              </w:rPr>
            </w:pPr>
          </w:p>
        </w:tc>
        <w:tc>
          <w:tcPr>
            <w:tcW w:w="3841" w:type="pct"/>
            <w:gridSpan w:val="4"/>
          </w:tcPr>
          <w:p w:rsidR="008F1638" w:rsidRPr="00365E26" w:rsidRDefault="008F1638" w:rsidP="006260B8">
            <w:pPr>
              <w:pStyle w:val="Textpoznpodarou"/>
              <w:jc w:val="both"/>
              <w:rPr>
                <w:spacing w:val="-2"/>
                <w:sz w:val="16"/>
                <w:szCs w:val="16"/>
              </w:rPr>
            </w:pPr>
            <w:r w:rsidRPr="00365E26">
              <w:rPr>
                <w:spacing w:val="-2"/>
              </w:rPr>
              <w:t>Bilance zahraničního obchodu</w:t>
            </w:r>
            <w:r w:rsidRPr="00365E26">
              <w:rPr>
                <w:rStyle w:val="Znakapoznpodarou"/>
                <w:spacing w:val="-2"/>
              </w:rPr>
              <w:footnoteReference w:id="21"/>
            </w:r>
            <w:r w:rsidRPr="00365E26">
              <w:rPr>
                <w:spacing w:val="-2"/>
              </w:rPr>
              <w:t xml:space="preserve"> zůstává kladná. Přebytek v 1. čtvrtletí 2017 dosáhl 62,3 mld. korun a meziročně se zvýšil o 0,5 mld. Kladná zůstala bilance se</w:t>
            </w:r>
            <w:r w:rsidR="00362408" w:rsidRPr="00365E26">
              <w:rPr>
                <w:spacing w:val="-2"/>
              </w:rPr>
              <w:t> </w:t>
            </w:r>
            <w:r w:rsidRPr="00365E26">
              <w:rPr>
                <w:spacing w:val="-2"/>
              </w:rPr>
              <w:t>státy EU (186,1 mld. korun), která se meziročně zvýšila o 14,0 mld. korun. Naopak prohloubení deficitu o 13,6 mld. korun nastalo u výsledků bilance obchodu se státy mimo EU, do k</w:t>
            </w:r>
            <w:r w:rsidR="009742F7" w:rsidRPr="00365E26">
              <w:rPr>
                <w:spacing w:val="-2"/>
              </w:rPr>
              <w:t>terých se promítlo zvýšení cen</w:t>
            </w:r>
            <w:r w:rsidRPr="00365E26">
              <w:rPr>
                <w:spacing w:val="-2"/>
              </w:rPr>
              <w:t xml:space="preserve"> ropy a zemního plynu. To potvrzuje výsledek obchodu s Ruskem, který skončil v deficitu 11,1 mld. korun, což je prohloubení o 4,5 mld. oproti stejnému období minulého roku. Prakticky nezměněn zůstává deficit obchodu s Čínou, který je dlouhodobě vysoký a v 1. čtvrtletí 2017 dosáhl 69,9 mld. korun. Přetrvává záporné saldo bilance s Polskem, které se sice meziročně snížilo o 10,9 mld. korun, jde však jen o</w:t>
            </w:r>
            <w:r w:rsidR="00362408" w:rsidRPr="00365E26">
              <w:rPr>
                <w:spacing w:val="-2"/>
              </w:rPr>
              <w:t> </w:t>
            </w:r>
            <w:r w:rsidRPr="00365E26">
              <w:rPr>
                <w:spacing w:val="-2"/>
              </w:rPr>
              <w:t>návrat na dlouhodobý průměr. O 13,6 mld. korun se meziročně snížil přebytek obchodu se Slovenskem.</w:t>
            </w:r>
          </w:p>
        </w:tc>
      </w:tr>
    </w:tbl>
    <w:p w:rsidR="007D4281" w:rsidRPr="00A74192" w:rsidRDefault="007D4281" w:rsidP="009F777A">
      <w:pPr>
        <w:pStyle w:val="Nadpis1"/>
        <w:numPr>
          <w:ilvl w:val="0"/>
          <w:numId w:val="12"/>
        </w:numPr>
        <w:ind w:left="709"/>
        <w:jc w:val="both"/>
      </w:pPr>
      <w:bookmarkStart w:id="12" w:name="_Toc469299933"/>
      <w:bookmarkStart w:id="13" w:name="_Toc485271458"/>
      <w:r w:rsidRPr="00A74192">
        <w:lastRenderedPageBreak/>
        <w:t>Ceny</w:t>
      </w:r>
      <w:bookmarkEnd w:id="12"/>
      <w:bookmarkEnd w:id="13"/>
    </w:p>
    <w:tbl>
      <w:tblPr>
        <w:tblW w:w="4963" w:type="pct"/>
        <w:tblInd w:w="108" w:type="dxa"/>
        <w:tblLayout w:type="fixed"/>
        <w:tblLook w:val="00A0"/>
      </w:tblPr>
      <w:tblGrid>
        <w:gridCol w:w="1985"/>
        <w:gridCol w:w="282"/>
        <w:gridCol w:w="1135"/>
        <w:gridCol w:w="6379"/>
      </w:tblGrid>
      <w:tr w:rsidR="00F12A83" w:rsidRPr="00A74192" w:rsidTr="00646448">
        <w:tc>
          <w:tcPr>
            <w:tcW w:w="1015" w:type="pct"/>
          </w:tcPr>
          <w:p w:rsidR="00F12A83" w:rsidRPr="00A74192" w:rsidRDefault="008F1638" w:rsidP="00F12A83">
            <w:pPr>
              <w:spacing w:line="240" w:lineRule="auto"/>
              <w:ind w:right="-19"/>
              <w:rPr>
                <w:sz w:val="16"/>
                <w:szCs w:val="16"/>
              </w:rPr>
            </w:pPr>
            <w:r>
              <w:rPr>
                <w:sz w:val="16"/>
                <w:szCs w:val="16"/>
              </w:rPr>
              <w:t>Celková cenová hladina rostla. Výrazně k tomu přispěly statky spotřebovávané domácnostmi.</w:t>
            </w:r>
          </w:p>
        </w:tc>
        <w:tc>
          <w:tcPr>
            <w:tcW w:w="144" w:type="pct"/>
          </w:tcPr>
          <w:p w:rsidR="00F12A83" w:rsidRPr="00A74192" w:rsidRDefault="00F12A83" w:rsidP="00D94859">
            <w:pPr>
              <w:pStyle w:val="Textpoznpodarou"/>
              <w:jc w:val="both"/>
            </w:pPr>
          </w:p>
        </w:tc>
        <w:tc>
          <w:tcPr>
            <w:tcW w:w="3841" w:type="pct"/>
            <w:gridSpan w:val="2"/>
          </w:tcPr>
          <w:p w:rsidR="00284C6F" w:rsidRPr="00F02A72" w:rsidRDefault="00284C6F" w:rsidP="00284C6F">
            <w:pPr>
              <w:pStyle w:val="Textpoznpodarou"/>
              <w:ind w:right="-35"/>
              <w:jc w:val="both"/>
              <w:rPr>
                <w:spacing w:val="-4"/>
                <w:sz w:val="16"/>
                <w:szCs w:val="16"/>
              </w:rPr>
            </w:pPr>
            <w:r w:rsidRPr="00F02A72">
              <w:rPr>
                <w:spacing w:val="-4"/>
              </w:rPr>
              <w:t xml:space="preserve">Celková cenová hladina měřená implicitním cenovým deflátorem se v 1. čtvrtletí roku 2017 zvýšila o 0,9 %. Poměrně silně narostly ceny zboží, které spotřebovaly domácnosti (2,8 %). Jde o nejvyšší růst od 1. čtvrtletí roku 2012. Pozadu nezůstávaly ani ceny statků spotřebovávaných vládními institucemi, které se zvýšily o 3,0 %. Střídmý byl růst cen kapitálových statků (1,1 %). Z růstu cen jednotlivých výdajových položek je patrné, že celkový růst cenové hladiny byl tlumen zápornými směnnými relacemi (98,3 %). </w:t>
            </w:r>
          </w:p>
          <w:p w:rsidR="00F12A83" w:rsidRPr="00F02A72" w:rsidRDefault="00F12A83" w:rsidP="008A03DE">
            <w:pPr>
              <w:pStyle w:val="Textpoznpodarou"/>
              <w:ind w:right="-35"/>
              <w:jc w:val="both"/>
              <w:rPr>
                <w:spacing w:val="-4"/>
                <w:sz w:val="14"/>
                <w:szCs w:val="14"/>
              </w:rPr>
            </w:pPr>
          </w:p>
        </w:tc>
      </w:tr>
      <w:tr w:rsidR="00284C6F" w:rsidRPr="00A74192" w:rsidTr="00646448">
        <w:tc>
          <w:tcPr>
            <w:tcW w:w="1015" w:type="pct"/>
          </w:tcPr>
          <w:p w:rsidR="00284C6F" w:rsidRPr="00A74192" w:rsidRDefault="008F1638" w:rsidP="00B25E31">
            <w:pPr>
              <w:spacing w:line="240" w:lineRule="auto"/>
              <w:ind w:right="-19"/>
              <w:rPr>
                <w:sz w:val="16"/>
                <w:szCs w:val="16"/>
              </w:rPr>
            </w:pPr>
            <w:r>
              <w:rPr>
                <w:sz w:val="16"/>
                <w:szCs w:val="16"/>
              </w:rPr>
              <w:t>Spotřebitelské ceny se</w:t>
            </w:r>
            <w:r w:rsidR="00B25E31">
              <w:rPr>
                <w:sz w:val="16"/>
                <w:szCs w:val="16"/>
              </w:rPr>
              <w:t> </w:t>
            </w:r>
            <w:r w:rsidR="00646448">
              <w:rPr>
                <w:sz w:val="16"/>
                <w:szCs w:val="16"/>
              </w:rPr>
              <w:t>zvyšovaly a po celé období jejich meziroční dynamika překonávala inflační cíl.</w:t>
            </w:r>
          </w:p>
        </w:tc>
        <w:tc>
          <w:tcPr>
            <w:tcW w:w="144" w:type="pct"/>
          </w:tcPr>
          <w:p w:rsidR="00284C6F" w:rsidRPr="00A74192" w:rsidRDefault="00284C6F" w:rsidP="00D94859">
            <w:pPr>
              <w:pStyle w:val="Textpoznpodarou"/>
              <w:jc w:val="both"/>
            </w:pPr>
          </w:p>
        </w:tc>
        <w:tc>
          <w:tcPr>
            <w:tcW w:w="3841" w:type="pct"/>
            <w:gridSpan w:val="2"/>
          </w:tcPr>
          <w:p w:rsidR="00284C6F" w:rsidRPr="00F02A72" w:rsidRDefault="00284C6F" w:rsidP="00134DFD">
            <w:pPr>
              <w:pStyle w:val="Textpoznpodarou"/>
              <w:ind w:right="-35"/>
              <w:jc w:val="both"/>
              <w:rPr>
                <w:spacing w:val="-4"/>
                <w:sz w:val="16"/>
                <w:szCs w:val="16"/>
              </w:rPr>
            </w:pPr>
            <w:r w:rsidRPr="00F02A72">
              <w:rPr>
                <w:spacing w:val="-4"/>
              </w:rPr>
              <w:t>Meziroční nárůst spotřebitelských cen v 1. čtvrtletí roku 2017 činil 2,4 % a inflace spotřebitelských cen se tak po 17 čtvrtletích dostala nad 2% hranici inflačního cíle. Návrat k této úrovni byl poměrně rychlý</w:t>
            </w:r>
            <w:r w:rsidRPr="00F02A72">
              <w:rPr>
                <w:rStyle w:val="Znakapoznpodarou"/>
                <w:spacing w:val="-4"/>
              </w:rPr>
              <w:footnoteReference w:id="22"/>
            </w:r>
            <w:r w:rsidRPr="00F02A72">
              <w:rPr>
                <w:spacing w:val="-4"/>
              </w:rPr>
              <w:t xml:space="preserve"> – růst cen se během posledních dvou čtvrtletí zvýšil o 1,9 </w:t>
            </w:r>
            <w:proofErr w:type="spellStart"/>
            <w:r w:rsidRPr="00F02A72">
              <w:rPr>
                <w:spacing w:val="-4"/>
              </w:rPr>
              <w:t>p.b</w:t>
            </w:r>
            <w:proofErr w:type="spellEnd"/>
            <w:r w:rsidRPr="00F02A72">
              <w:rPr>
                <w:spacing w:val="-4"/>
              </w:rPr>
              <w:t>. Stála za tím především kombinace prudkého nárůstu cen potravin a nealkoholických nápojů a dopravy, jejichž společný pohyb poháněl pokles i</w:t>
            </w:r>
            <w:r w:rsidR="00646448">
              <w:rPr>
                <w:spacing w:val="-4"/>
              </w:rPr>
              <w:t> </w:t>
            </w:r>
            <w:r w:rsidRPr="00F02A72">
              <w:rPr>
                <w:spacing w:val="-4"/>
              </w:rPr>
              <w:t>růst spotřebitelských cen od konce roku 2014. Míra inflace</w:t>
            </w:r>
            <w:r w:rsidRPr="00F02A72">
              <w:rPr>
                <w:rStyle w:val="Znakapoznpodarou"/>
                <w:spacing w:val="-4"/>
              </w:rPr>
              <w:footnoteReference w:id="23"/>
            </w:r>
            <w:r w:rsidRPr="00F02A72">
              <w:rPr>
                <w:spacing w:val="-4"/>
              </w:rPr>
              <w:t xml:space="preserve"> během ledna až března činila 0,8 %, 1,0 % a 1,2 %. </w:t>
            </w:r>
          </w:p>
          <w:p w:rsidR="00284C6F" w:rsidRPr="00F02A72" w:rsidRDefault="00284C6F" w:rsidP="00134DFD">
            <w:pPr>
              <w:pStyle w:val="Textpoznpodarou"/>
              <w:ind w:right="-35"/>
              <w:jc w:val="both"/>
              <w:rPr>
                <w:spacing w:val="-4"/>
                <w:sz w:val="16"/>
                <w:szCs w:val="16"/>
              </w:rPr>
            </w:pPr>
          </w:p>
        </w:tc>
      </w:tr>
      <w:tr w:rsidR="00284C6F" w:rsidRPr="00A74192" w:rsidTr="00646448">
        <w:tc>
          <w:tcPr>
            <w:tcW w:w="1015" w:type="pct"/>
          </w:tcPr>
          <w:p w:rsidR="00284C6F" w:rsidRPr="00A74192" w:rsidRDefault="00646448" w:rsidP="00F12A83">
            <w:pPr>
              <w:spacing w:line="240" w:lineRule="auto"/>
              <w:ind w:right="-19"/>
              <w:rPr>
                <w:sz w:val="16"/>
                <w:szCs w:val="16"/>
              </w:rPr>
            </w:pPr>
            <w:r>
              <w:rPr>
                <w:sz w:val="16"/>
                <w:szCs w:val="16"/>
              </w:rPr>
              <w:t>K růstu spotřebitelských cen přispěly ceny dopravy, do kterých se promítl meziroční nárůst cen ropy.</w:t>
            </w:r>
          </w:p>
        </w:tc>
        <w:tc>
          <w:tcPr>
            <w:tcW w:w="144" w:type="pct"/>
          </w:tcPr>
          <w:p w:rsidR="00284C6F" w:rsidRPr="00A74192" w:rsidRDefault="00284C6F" w:rsidP="00D94859">
            <w:pPr>
              <w:pStyle w:val="Textpoznpodarou"/>
              <w:jc w:val="both"/>
            </w:pPr>
          </w:p>
        </w:tc>
        <w:tc>
          <w:tcPr>
            <w:tcW w:w="3841" w:type="pct"/>
            <w:gridSpan w:val="2"/>
          </w:tcPr>
          <w:p w:rsidR="00284C6F" w:rsidRPr="00F02A72" w:rsidRDefault="00284C6F" w:rsidP="00134DFD">
            <w:pPr>
              <w:pStyle w:val="Textpoznpodarou"/>
              <w:jc w:val="both"/>
              <w:rPr>
                <w:spacing w:val="-4"/>
                <w:sz w:val="16"/>
                <w:szCs w:val="16"/>
              </w:rPr>
            </w:pPr>
            <w:r w:rsidRPr="00F02A72">
              <w:rPr>
                <w:spacing w:val="-4"/>
              </w:rPr>
              <w:t>Meziroční růst cen dopravy se v 1. čtvrtletí roku 2017 vyšplhal na 6,0 %. Výrazně se na tomto pohybu podepsal silný meziroční růst cen ropy, které ve stejném období předchozího roku dosáhly nejnižší úrovně od roku 2004. Průměrná cena ropy BRENT v 1. čtvrtletí roku 2016 činila 33,70 dolarů za barel. V 1. čtvrtletí letošního roku to bylo 53,70 dolarů za barel. Toto navýšení se pak promítlo do cen provozu osobních dopravních prostředků, které meziročně vzrostly o 10,7 %. Samotné ceny automobilů, motocyklů a jízdních kol se meziročně zvýšily o 2,6 %</w:t>
            </w:r>
            <w:r w:rsidR="00045681">
              <w:rPr>
                <w:spacing w:val="-4"/>
              </w:rPr>
              <w:t>.</w:t>
            </w:r>
          </w:p>
          <w:p w:rsidR="00284C6F" w:rsidRPr="00F02A72" w:rsidRDefault="00284C6F" w:rsidP="00134DFD">
            <w:pPr>
              <w:pStyle w:val="Textpoznpodarou"/>
              <w:jc w:val="both"/>
              <w:rPr>
                <w:spacing w:val="-4"/>
                <w:sz w:val="16"/>
                <w:szCs w:val="16"/>
              </w:rPr>
            </w:pPr>
          </w:p>
        </w:tc>
      </w:tr>
      <w:tr w:rsidR="00FC6DB5" w:rsidRPr="00C610C5" w:rsidTr="00646448">
        <w:tc>
          <w:tcPr>
            <w:tcW w:w="1015" w:type="pct"/>
          </w:tcPr>
          <w:p w:rsidR="00FC6DB5" w:rsidRPr="00C610C5" w:rsidRDefault="00FC6DB5" w:rsidP="00C610C5">
            <w:pPr>
              <w:spacing w:line="240" w:lineRule="auto"/>
              <w:ind w:right="-19"/>
              <w:jc w:val="center"/>
              <w:rPr>
                <w:szCs w:val="20"/>
              </w:rPr>
            </w:pPr>
          </w:p>
        </w:tc>
        <w:tc>
          <w:tcPr>
            <w:tcW w:w="144" w:type="pct"/>
          </w:tcPr>
          <w:p w:rsidR="00FC6DB5" w:rsidRPr="00C610C5" w:rsidRDefault="00FC6DB5" w:rsidP="00D94859">
            <w:pPr>
              <w:pStyle w:val="Textpoznpodarou"/>
              <w:jc w:val="both"/>
            </w:pPr>
          </w:p>
        </w:tc>
        <w:tc>
          <w:tcPr>
            <w:tcW w:w="580" w:type="pct"/>
          </w:tcPr>
          <w:p w:rsidR="00FC6DB5" w:rsidRPr="00C610C5" w:rsidRDefault="00FC6DB5" w:rsidP="00134DFD">
            <w:pPr>
              <w:pStyle w:val="Textpoznpodarou"/>
              <w:jc w:val="both"/>
            </w:pPr>
            <w:r w:rsidRPr="00C610C5">
              <w:t>Graf č. 11</w:t>
            </w:r>
          </w:p>
        </w:tc>
        <w:tc>
          <w:tcPr>
            <w:tcW w:w="3261" w:type="pct"/>
          </w:tcPr>
          <w:p w:rsidR="00FC6DB5" w:rsidRPr="00C610C5" w:rsidRDefault="00FC6DB5" w:rsidP="00ED2B0B">
            <w:pPr>
              <w:pStyle w:val="Textpoznpodarou"/>
            </w:pPr>
            <w:r w:rsidRPr="00C610C5">
              <w:rPr>
                <w:b/>
              </w:rPr>
              <w:t>Ceny ve vybraných oddílech indexu spotřebitelských cen</w:t>
            </w:r>
            <w:r w:rsidRPr="00C610C5">
              <w:t xml:space="preserve"> (</w:t>
            </w:r>
            <w:r>
              <w:t xml:space="preserve">meziroční změna, </w:t>
            </w:r>
            <w:r w:rsidRPr="00C610C5">
              <w:t>v %)</w:t>
            </w:r>
          </w:p>
        </w:tc>
      </w:tr>
      <w:tr w:rsidR="00C610C5" w:rsidRPr="00A74192" w:rsidTr="00646448">
        <w:tc>
          <w:tcPr>
            <w:tcW w:w="1015" w:type="pct"/>
          </w:tcPr>
          <w:p w:rsidR="00C610C5" w:rsidRPr="00A74192" w:rsidRDefault="00C610C5" w:rsidP="00F12A83">
            <w:pPr>
              <w:spacing w:line="240" w:lineRule="auto"/>
              <w:ind w:right="-19"/>
              <w:rPr>
                <w:sz w:val="16"/>
                <w:szCs w:val="16"/>
              </w:rPr>
            </w:pPr>
          </w:p>
        </w:tc>
        <w:tc>
          <w:tcPr>
            <w:tcW w:w="144" w:type="pct"/>
          </w:tcPr>
          <w:p w:rsidR="00C610C5" w:rsidRPr="00A74192" w:rsidRDefault="00C610C5" w:rsidP="00D94859">
            <w:pPr>
              <w:pStyle w:val="Textpoznpodarou"/>
              <w:jc w:val="both"/>
            </w:pPr>
          </w:p>
        </w:tc>
        <w:tc>
          <w:tcPr>
            <w:tcW w:w="3841" w:type="pct"/>
            <w:gridSpan w:val="2"/>
          </w:tcPr>
          <w:p w:rsidR="00C610C5" w:rsidRDefault="00DE1460" w:rsidP="00C610C5">
            <w:pPr>
              <w:pStyle w:val="Textpoznpodarou"/>
              <w:ind w:left="-54"/>
              <w:jc w:val="both"/>
            </w:pPr>
            <w:r w:rsidRPr="00DE1460">
              <w:rPr>
                <w:noProof/>
              </w:rPr>
              <w:drawing>
                <wp:inline distT="0" distB="0" distL="0" distR="0">
                  <wp:extent cx="4737600" cy="3553200"/>
                  <wp:effectExtent l="0" t="0" r="0" b="0"/>
                  <wp:docPr id="3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10C5" w:rsidRPr="00DE1460" w:rsidRDefault="00C610C5" w:rsidP="00C610C5">
            <w:pPr>
              <w:pStyle w:val="Textpoznpodarou"/>
              <w:ind w:left="-54"/>
              <w:jc w:val="right"/>
              <w:rPr>
                <w:sz w:val="14"/>
                <w:szCs w:val="14"/>
              </w:rPr>
            </w:pPr>
            <w:r w:rsidRPr="00DE1460">
              <w:rPr>
                <w:sz w:val="14"/>
                <w:szCs w:val="14"/>
              </w:rPr>
              <w:t>Zdroj: ČSÚ</w:t>
            </w:r>
          </w:p>
          <w:p w:rsidR="00C610C5" w:rsidRPr="00F02A72" w:rsidRDefault="00C610C5" w:rsidP="00C610C5">
            <w:pPr>
              <w:pStyle w:val="Textpoznpodarou"/>
              <w:ind w:left="-54"/>
              <w:jc w:val="right"/>
              <w:rPr>
                <w:sz w:val="14"/>
                <w:szCs w:val="14"/>
              </w:rPr>
            </w:pPr>
          </w:p>
        </w:tc>
      </w:tr>
      <w:tr w:rsidR="00284C6F" w:rsidRPr="00A74192" w:rsidTr="00646448">
        <w:tc>
          <w:tcPr>
            <w:tcW w:w="1015" w:type="pct"/>
          </w:tcPr>
          <w:p w:rsidR="00284C6F" w:rsidRPr="00A74192" w:rsidRDefault="00646448" w:rsidP="00B25E31">
            <w:pPr>
              <w:spacing w:line="240" w:lineRule="auto"/>
              <w:ind w:right="-19"/>
              <w:rPr>
                <w:sz w:val="16"/>
                <w:szCs w:val="16"/>
              </w:rPr>
            </w:pPr>
            <w:r>
              <w:rPr>
                <w:sz w:val="16"/>
                <w:szCs w:val="16"/>
              </w:rPr>
              <w:t xml:space="preserve">Potraviny poháněly růst spotřebitelských cen již na konci roku 2016 </w:t>
            </w:r>
            <w:r w:rsidRPr="00B25E31">
              <w:rPr>
                <w:sz w:val="16"/>
                <w:szCs w:val="16"/>
              </w:rPr>
              <w:t>a</w:t>
            </w:r>
            <w:r w:rsidR="00B25E31">
              <w:rPr>
                <w:sz w:val="16"/>
                <w:szCs w:val="16"/>
              </w:rPr>
              <w:t> </w:t>
            </w:r>
            <w:r w:rsidRPr="00B25E31">
              <w:rPr>
                <w:sz w:val="16"/>
                <w:szCs w:val="16"/>
              </w:rPr>
              <w:t>pokračovaly</w:t>
            </w:r>
            <w:r>
              <w:rPr>
                <w:sz w:val="16"/>
                <w:szCs w:val="16"/>
              </w:rPr>
              <w:t xml:space="preserve"> v tom i</w:t>
            </w:r>
            <w:r w:rsidR="00B25E31">
              <w:rPr>
                <w:sz w:val="16"/>
                <w:szCs w:val="16"/>
              </w:rPr>
              <w:t> </w:t>
            </w:r>
            <w:r>
              <w:rPr>
                <w:sz w:val="16"/>
                <w:szCs w:val="16"/>
              </w:rPr>
              <w:t>letos.</w:t>
            </w:r>
          </w:p>
        </w:tc>
        <w:tc>
          <w:tcPr>
            <w:tcW w:w="144" w:type="pct"/>
          </w:tcPr>
          <w:p w:rsidR="00284C6F" w:rsidRPr="00A74192" w:rsidRDefault="00284C6F" w:rsidP="00D94859">
            <w:pPr>
              <w:pStyle w:val="Textpoznpodarou"/>
              <w:jc w:val="both"/>
            </w:pPr>
          </w:p>
        </w:tc>
        <w:tc>
          <w:tcPr>
            <w:tcW w:w="3841" w:type="pct"/>
            <w:gridSpan w:val="2"/>
          </w:tcPr>
          <w:p w:rsidR="00284C6F" w:rsidRPr="00F02A72" w:rsidRDefault="00284C6F" w:rsidP="00134DFD">
            <w:pPr>
              <w:pStyle w:val="Textpoznpodarou"/>
              <w:jc w:val="both"/>
              <w:rPr>
                <w:spacing w:val="-4"/>
                <w:sz w:val="16"/>
                <w:szCs w:val="16"/>
              </w:rPr>
            </w:pPr>
            <w:r w:rsidRPr="00F02A72">
              <w:rPr>
                <w:spacing w:val="-4"/>
              </w:rPr>
              <w:t>V meziročním růstu cen potravin, který v 1. čtvrtletí roku dosáhl 4,2 %, se nejvýrazněji projevil obnovený růst cen mléka, sýrů a vajec, jejichž pokles v předchozích dvou letech byl jedním z důvodů propadu celkového indexu. Rostly i</w:t>
            </w:r>
            <w:r w:rsidR="00CB2B15" w:rsidRPr="00F02A72">
              <w:rPr>
                <w:spacing w:val="-4"/>
              </w:rPr>
              <w:t> </w:t>
            </w:r>
            <w:r w:rsidRPr="00F02A72">
              <w:rPr>
                <w:spacing w:val="-4"/>
              </w:rPr>
              <w:t xml:space="preserve">ceny pekárenských výrobků a obilovin a masa. Totéž platilo pro ceny zeleniny, jejichž pravidelné silné výkyvy ale nemají velký vliv na hodnotu celkového indexu. Meziroční tempo růstu cen </w:t>
            </w:r>
            <w:r w:rsidRPr="00F02A72">
              <w:rPr>
                <w:spacing w:val="-4"/>
              </w:rPr>
              <w:lastRenderedPageBreak/>
              <w:t>alkoholických nápojů a tabáku dosáhlo 3,4 % a mírně se zpomalilo v porovnání s předchozími třemi čtvrtletími. I nadále však výrazně přispívaly k</w:t>
            </w:r>
            <w:r w:rsidR="00045681">
              <w:rPr>
                <w:spacing w:val="-4"/>
              </w:rPr>
              <w:t xml:space="preserve"> </w:t>
            </w:r>
            <w:r w:rsidRPr="00F02A72">
              <w:rPr>
                <w:spacing w:val="-4"/>
              </w:rPr>
              <w:t>celkovému růstu spotřebitelských cen.</w:t>
            </w:r>
          </w:p>
          <w:p w:rsidR="00284C6F" w:rsidRPr="00F02A72" w:rsidRDefault="00284C6F" w:rsidP="00134DFD">
            <w:pPr>
              <w:pStyle w:val="Textpoznpodarou"/>
              <w:jc w:val="both"/>
              <w:rPr>
                <w:spacing w:val="-4"/>
                <w:sz w:val="16"/>
                <w:szCs w:val="16"/>
              </w:rPr>
            </w:pPr>
          </w:p>
        </w:tc>
      </w:tr>
      <w:tr w:rsidR="00284C6F" w:rsidRPr="00A74192" w:rsidTr="00646448">
        <w:tc>
          <w:tcPr>
            <w:tcW w:w="1015" w:type="pct"/>
          </w:tcPr>
          <w:p w:rsidR="00284C6F" w:rsidRPr="00A74192" w:rsidRDefault="00646448" w:rsidP="00F12A83">
            <w:pPr>
              <w:spacing w:line="240" w:lineRule="auto"/>
              <w:ind w:right="-19"/>
              <w:rPr>
                <w:sz w:val="16"/>
                <w:szCs w:val="16"/>
              </w:rPr>
            </w:pPr>
            <w:r>
              <w:rPr>
                <w:sz w:val="16"/>
                <w:szCs w:val="16"/>
              </w:rPr>
              <w:lastRenderedPageBreak/>
              <w:t>Rostoucí ceny nemovitostí se promítaly do dynamiky cen nájmů a imputovaného nájemného.</w:t>
            </w:r>
          </w:p>
        </w:tc>
        <w:tc>
          <w:tcPr>
            <w:tcW w:w="144" w:type="pct"/>
          </w:tcPr>
          <w:p w:rsidR="00284C6F" w:rsidRPr="00A74192" w:rsidRDefault="00284C6F" w:rsidP="00D94859">
            <w:pPr>
              <w:pStyle w:val="Textpoznpodarou"/>
              <w:jc w:val="both"/>
            </w:pPr>
          </w:p>
        </w:tc>
        <w:tc>
          <w:tcPr>
            <w:tcW w:w="3841" w:type="pct"/>
            <w:gridSpan w:val="2"/>
          </w:tcPr>
          <w:p w:rsidR="00284C6F" w:rsidRPr="00F02A72" w:rsidRDefault="0021139C" w:rsidP="00134DFD">
            <w:pPr>
              <w:pStyle w:val="Textpoznpodarou"/>
              <w:ind w:right="-35"/>
              <w:jc w:val="both"/>
              <w:rPr>
                <w:spacing w:val="-4"/>
                <w:sz w:val="16"/>
                <w:szCs w:val="16"/>
              </w:rPr>
            </w:pPr>
            <w:r>
              <w:rPr>
                <w:spacing w:val="-4"/>
              </w:rPr>
              <w:t>M</w:t>
            </w:r>
            <w:r w:rsidR="00284C6F" w:rsidRPr="00F02A72">
              <w:rPr>
                <w:spacing w:val="-4"/>
              </w:rPr>
              <w:t xml:space="preserve">eziroční růst </w:t>
            </w:r>
            <w:r w:rsidRPr="00F02A72">
              <w:rPr>
                <w:spacing w:val="-4"/>
              </w:rPr>
              <w:t>cen bydlení, vody</w:t>
            </w:r>
            <w:r>
              <w:rPr>
                <w:spacing w:val="-4"/>
              </w:rPr>
              <w:t>,</w:t>
            </w:r>
            <w:r w:rsidRPr="00F02A72">
              <w:rPr>
                <w:spacing w:val="-4"/>
              </w:rPr>
              <w:t xml:space="preserve"> energií a paliv </w:t>
            </w:r>
            <w:r w:rsidR="00284C6F" w:rsidRPr="00F02A72">
              <w:rPr>
                <w:spacing w:val="-4"/>
              </w:rPr>
              <w:t>zůstal pod 1 % i v 1. čtvrtletí roku 2017, když dosáhl 0,8 %. Situace na trhu s nemovitostmi se promítala do cen nájemného, které meziročně zdražilo o 1,9 %</w:t>
            </w:r>
            <w:r w:rsidR="00045681">
              <w:rPr>
                <w:spacing w:val="-4"/>
              </w:rPr>
              <w:t>,</w:t>
            </w:r>
            <w:r w:rsidR="00284C6F" w:rsidRPr="00F02A72">
              <w:rPr>
                <w:spacing w:val="-4"/>
              </w:rPr>
              <w:t xml:space="preserve"> i do imputovaného nájemného, které se</w:t>
            </w:r>
            <w:r w:rsidR="00B25E31">
              <w:rPr>
                <w:spacing w:val="-4"/>
              </w:rPr>
              <w:t> </w:t>
            </w:r>
            <w:r w:rsidR="00284C6F" w:rsidRPr="00F02A72">
              <w:rPr>
                <w:spacing w:val="-4"/>
              </w:rPr>
              <w:t>zvýšilo o</w:t>
            </w:r>
            <w:r w:rsidR="00CB2B15" w:rsidRPr="00F02A72">
              <w:rPr>
                <w:spacing w:val="-4"/>
              </w:rPr>
              <w:t> </w:t>
            </w:r>
            <w:r w:rsidR="00284C6F" w:rsidRPr="00F02A72">
              <w:rPr>
                <w:spacing w:val="-4"/>
              </w:rPr>
              <w:t>2,8 %. Jejich růst tak ve srovnání s předchozím rokem zrychlil. Růst celkového indexu brzdily jen ceny elektrické a tepelné energie, plynu a ostatních paliv, které v 1. čtvrtletí klesly o</w:t>
            </w:r>
            <w:r w:rsidR="00646448">
              <w:rPr>
                <w:spacing w:val="-4"/>
              </w:rPr>
              <w:t> </w:t>
            </w:r>
            <w:r w:rsidR="00D57E4B">
              <w:rPr>
                <w:spacing w:val="-4"/>
              </w:rPr>
              <w:t>1,4</w:t>
            </w:r>
            <w:r w:rsidR="00284C6F" w:rsidRPr="00F02A72">
              <w:rPr>
                <w:spacing w:val="-4"/>
              </w:rPr>
              <w:t xml:space="preserve"> %.</w:t>
            </w:r>
          </w:p>
          <w:p w:rsidR="00284C6F" w:rsidRPr="00F02A72" w:rsidRDefault="00284C6F" w:rsidP="00134DFD">
            <w:pPr>
              <w:pStyle w:val="Textpoznpodarou"/>
              <w:ind w:right="-35"/>
              <w:jc w:val="both"/>
              <w:rPr>
                <w:spacing w:val="-4"/>
                <w:sz w:val="16"/>
                <w:szCs w:val="16"/>
              </w:rPr>
            </w:pPr>
          </w:p>
        </w:tc>
      </w:tr>
      <w:tr w:rsidR="00284C6F" w:rsidRPr="00A74192" w:rsidTr="00646448">
        <w:tc>
          <w:tcPr>
            <w:tcW w:w="1015" w:type="pct"/>
          </w:tcPr>
          <w:p w:rsidR="00284C6F" w:rsidRPr="00A74192" w:rsidRDefault="00646448" w:rsidP="00F12A83">
            <w:pPr>
              <w:spacing w:line="240" w:lineRule="auto"/>
              <w:ind w:right="-19"/>
              <w:rPr>
                <w:sz w:val="16"/>
                <w:szCs w:val="16"/>
              </w:rPr>
            </w:pPr>
            <w:r>
              <w:rPr>
                <w:sz w:val="16"/>
                <w:szCs w:val="16"/>
              </w:rPr>
              <w:t>Nemovitosti stále zdražují a nárůst jejich cen zrychluje.</w:t>
            </w:r>
          </w:p>
        </w:tc>
        <w:tc>
          <w:tcPr>
            <w:tcW w:w="144" w:type="pct"/>
          </w:tcPr>
          <w:p w:rsidR="00284C6F" w:rsidRPr="00A74192" w:rsidRDefault="00284C6F" w:rsidP="00D94859">
            <w:pPr>
              <w:pStyle w:val="Textpoznpodarou"/>
              <w:jc w:val="both"/>
            </w:pPr>
          </w:p>
        </w:tc>
        <w:tc>
          <w:tcPr>
            <w:tcW w:w="3841" w:type="pct"/>
            <w:gridSpan w:val="2"/>
          </w:tcPr>
          <w:p w:rsidR="005E1871" w:rsidRPr="00F02A72" w:rsidRDefault="00284C6F" w:rsidP="005E1871">
            <w:pPr>
              <w:pStyle w:val="Textpoznpodarou"/>
              <w:ind w:right="-35"/>
              <w:jc w:val="both"/>
              <w:rPr>
                <w:spacing w:val="-4"/>
                <w:sz w:val="16"/>
                <w:szCs w:val="16"/>
              </w:rPr>
            </w:pPr>
            <w:r w:rsidRPr="00F02A72">
              <w:rPr>
                <w:spacing w:val="-4"/>
              </w:rPr>
              <w:t xml:space="preserve">Ceny nemovitostí pokračovaly v silném růstu. Nabídkové ceny nemovitostí v celé ČR meziročně vzrostly o 9,5 %, což je o 0,4 </w:t>
            </w:r>
            <w:proofErr w:type="spellStart"/>
            <w:r w:rsidRPr="00F02A72">
              <w:rPr>
                <w:spacing w:val="-4"/>
              </w:rPr>
              <w:t>p.b</w:t>
            </w:r>
            <w:proofErr w:type="spellEnd"/>
            <w:r w:rsidRPr="00F02A72">
              <w:rPr>
                <w:spacing w:val="-4"/>
              </w:rPr>
              <w:t>. méně než v předchozím čtvrtletí. Drobné zpomalení bylo způsobeno propadem tempa růstu cen mimo Prahu, které vzrostly o</w:t>
            </w:r>
            <w:r w:rsidR="00646448">
              <w:rPr>
                <w:spacing w:val="-4"/>
              </w:rPr>
              <w:t> </w:t>
            </w:r>
            <w:r w:rsidRPr="00F02A72">
              <w:rPr>
                <w:spacing w:val="-4"/>
              </w:rPr>
              <w:t>4,6 % (8,5 % v předchozím čtvrtletí). Nemovitosti v Praze jsou nabízeny o 13,6 % dráž než ve stejném období minulého roku. Projevuje se tak</w:t>
            </w:r>
            <w:r w:rsidR="00BD0CBB" w:rsidRPr="00F02A72">
              <w:rPr>
                <w:spacing w:val="-4"/>
              </w:rPr>
              <w:t xml:space="preserve"> mimo jiné</w:t>
            </w:r>
            <w:r w:rsidRPr="00F02A72">
              <w:rPr>
                <w:spacing w:val="-4"/>
              </w:rPr>
              <w:t xml:space="preserve"> převažující nabídka nemovitostí s vyšší tržní hodnotou.</w:t>
            </w:r>
            <w:r w:rsidR="00BD0CBB" w:rsidRPr="00F02A72">
              <w:rPr>
                <w:spacing w:val="-4"/>
              </w:rPr>
              <w:t xml:space="preserve"> V 1. čtvrtletí pokračoval strmý nárůst realizovaných cen starších bytů i realizovaných cen nových bytů (zjišťovaných pouze v</w:t>
            </w:r>
            <w:r w:rsidR="00646448">
              <w:rPr>
                <w:spacing w:val="-4"/>
              </w:rPr>
              <w:t> </w:t>
            </w:r>
            <w:r w:rsidR="00BD0CBB" w:rsidRPr="00F02A72">
              <w:rPr>
                <w:spacing w:val="-4"/>
              </w:rPr>
              <w:t xml:space="preserve">Praze). </w:t>
            </w:r>
            <w:r w:rsidR="005E1871" w:rsidRPr="00F02A72">
              <w:rPr>
                <w:spacing w:val="-4"/>
              </w:rPr>
              <w:t>Meziroční t</w:t>
            </w:r>
            <w:r w:rsidR="00BD0CBB" w:rsidRPr="00F02A72">
              <w:rPr>
                <w:spacing w:val="-4"/>
              </w:rPr>
              <w:t>empo růstu realizovaných cen sta</w:t>
            </w:r>
            <w:r w:rsidR="005E1871" w:rsidRPr="00F02A72">
              <w:rPr>
                <w:spacing w:val="-4"/>
              </w:rPr>
              <w:t>r</w:t>
            </w:r>
            <w:r w:rsidR="00BD0CBB" w:rsidRPr="00F02A72">
              <w:rPr>
                <w:spacing w:val="-4"/>
              </w:rPr>
              <w:t>ších bytů v ČR se zrychlilo na</w:t>
            </w:r>
            <w:r w:rsidR="00B25E31">
              <w:rPr>
                <w:spacing w:val="-4"/>
              </w:rPr>
              <w:t> </w:t>
            </w:r>
            <w:r w:rsidR="00BD0CBB" w:rsidRPr="00F02A72">
              <w:rPr>
                <w:spacing w:val="-4"/>
              </w:rPr>
              <w:t>17,0 % (</w:t>
            </w:r>
            <w:r w:rsidR="005E1871" w:rsidRPr="00F02A72">
              <w:rPr>
                <w:spacing w:val="-4"/>
              </w:rPr>
              <w:t>ve 4. čtvrtletí 2016 to bylo 14,6 %</w:t>
            </w:r>
            <w:r w:rsidR="00BD0CBB" w:rsidRPr="00F02A72">
              <w:rPr>
                <w:spacing w:val="-4"/>
              </w:rPr>
              <w:t>)</w:t>
            </w:r>
            <w:r w:rsidR="005E1871" w:rsidRPr="00F02A72">
              <w:rPr>
                <w:spacing w:val="-4"/>
              </w:rPr>
              <w:t>, v Praze to bylo 15,2 % (zrychlení o</w:t>
            </w:r>
            <w:r w:rsidR="00B25E31">
              <w:rPr>
                <w:spacing w:val="-4"/>
              </w:rPr>
              <w:t> </w:t>
            </w:r>
            <w:r w:rsidR="005E1871" w:rsidRPr="00F02A72">
              <w:rPr>
                <w:spacing w:val="-4"/>
              </w:rPr>
              <w:t>1,3</w:t>
            </w:r>
            <w:r w:rsidR="00646448">
              <w:rPr>
                <w:spacing w:val="-4"/>
              </w:rPr>
              <w:t> </w:t>
            </w:r>
            <w:proofErr w:type="spellStart"/>
            <w:proofErr w:type="gramStart"/>
            <w:r w:rsidR="005E1871" w:rsidRPr="00F02A72">
              <w:rPr>
                <w:spacing w:val="-4"/>
              </w:rPr>
              <w:t>p.b</w:t>
            </w:r>
            <w:proofErr w:type="spellEnd"/>
            <w:r w:rsidR="005E1871" w:rsidRPr="00F02A72">
              <w:rPr>
                <w:spacing w:val="-4"/>
              </w:rPr>
              <w:t>.).</w:t>
            </w:r>
            <w:proofErr w:type="gramEnd"/>
            <w:r w:rsidR="00BD0CBB" w:rsidRPr="00F02A72">
              <w:rPr>
                <w:spacing w:val="-4"/>
              </w:rPr>
              <w:t xml:space="preserve"> </w:t>
            </w:r>
          </w:p>
          <w:p w:rsidR="005E1871" w:rsidRPr="00F02A72" w:rsidRDefault="005E1871" w:rsidP="005E1871">
            <w:pPr>
              <w:pStyle w:val="Textpoznpodarou"/>
              <w:ind w:right="-35"/>
              <w:jc w:val="both"/>
              <w:rPr>
                <w:spacing w:val="-4"/>
                <w:sz w:val="16"/>
                <w:szCs w:val="16"/>
              </w:rPr>
            </w:pPr>
          </w:p>
        </w:tc>
      </w:tr>
      <w:tr w:rsidR="00FC6DB5" w:rsidRPr="00C610C5" w:rsidTr="00646448">
        <w:tc>
          <w:tcPr>
            <w:tcW w:w="1015" w:type="pct"/>
          </w:tcPr>
          <w:p w:rsidR="00FC6DB5" w:rsidRPr="00C610C5" w:rsidRDefault="00FC6DB5" w:rsidP="00C610C5">
            <w:pPr>
              <w:pStyle w:val="Textpoznpodarou"/>
              <w:jc w:val="center"/>
            </w:pPr>
          </w:p>
        </w:tc>
        <w:tc>
          <w:tcPr>
            <w:tcW w:w="144" w:type="pct"/>
          </w:tcPr>
          <w:p w:rsidR="00FC6DB5" w:rsidRPr="00C610C5" w:rsidRDefault="00FC6DB5" w:rsidP="00D94859">
            <w:pPr>
              <w:pStyle w:val="Textpoznpodarou"/>
              <w:jc w:val="both"/>
            </w:pPr>
          </w:p>
        </w:tc>
        <w:tc>
          <w:tcPr>
            <w:tcW w:w="580" w:type="pct"/>
          </w:tcPr>
          <w:p w:rsidR="00FC6DB5" w:rsidRPr="00C610C5" w:rsidRDefault="00FC6DB5" w:rsidP="00FC6DB5">
            <w:pPr>
              <w:pStyle w:val="Textpoznpodarou"/>
              <w:ind w:right="-35"/>
              <w:jc w:val="both"/>
            </w:pPr>
            <w:r w:rsidRPr="00C610C5">
              <w:t>Graf č. 12</w:t>
            </w:r>
          </w:p>
        </w:tc>
        <w:tc>
          <w:tcPr>
            <w:tcW w:w="3261" w:type="pct"/>
          </w:tcPr>
          <w:p w:rsidR="00FC6DB5" w:rsidRPr="00C610C5" w:rsidRDefault="00FC6DB5" w:rsidP="00ED2B0B">
            <w:pPr>
              <w:pStyle w:val="Textpoznpodarou"/>
              <w:ind w:right="-35"/>
            </w:pPr>
            <w:r w:rsidRPr="00C610C5">
              <w:rPr>
                <w:b/>
                <w:lang w:eastAsia="en-US"/>
              </w:rPr>
              <w:t xml:space="preserve">Ceny nemovitostí </w:t>
            </w:r>
            <w:r w:rsidRPr="00C610C5">
              <w:rPr>
                <w:lang w:eastAsia="en-US"/>
              </w:rPr>
              <w:t>(</w:t>
            </w:r>
            <w:r>
              <w:rPr>
                <w:lang w:eastAsia="en-US"/>
              </w:rPr>
              <w:t>meziroční změna,</w:t>
            </w:r>
            <w:r w:rsidRPr="00C610C5">
              <w:rPr>
                <w:lang w:eastAsia="en-US"/>
              </w:rPr>
              <w:t xml:space="preserve"> v %)</w:t>
            </w:r>
          </w:p>
        </w:tc>
      </w:tr>
      <w:tr w:rsidR="00C610C5" w:rsidRPr="00A74192" w:rsidTr="00646448">
        <w:tc>
          <w:tcPr>
            <w:tcW w:w="1015" w:type="pct"/>
          </w:tcPr>
          <w:p w:rsidR="00C610C5" w:rsidRPr="00A74192" w:rsidRDefault="00C610C5" w:rsidP="00F12A83">
            <w:pPr>
              <w:spacing w:line="240" w:lineRule="auto"/>
              <w:ind w:right="-19"/>
              <w:rPr>
                <w:sz w:val="16"/>
                <w:szCs w:val="16"/>
              </w:rPr>
            </w:pPr>
          </w:p>
        </w:tc>
        <w:tc>
          <w:tcPr>
            <w:tcW w:w="144" w:type="pct"/>
          </w:tcPr>
          <w:p w:rsidR="00C610C5" w:rsidRPr="00A74192" w:rsidRDefault="00C610C5" w:rsidP="00D94859">
            <w:pPr>
              <w:pStyle w:val="Textpoznpodarou"/>
              <w:jc w:val="both"/>
            </w:pPr>
          </w:p>
        </w:tc>
        <w:tc>
          <w:tcPr>
            <w:tcW w:w="3841" w:type="pct"/>
            <w:gridSpan w:val="2"/>
          </w:tcPr>
          <w:p w:rsidR="00C610C5" w:rsidRDefault="00DE1460" w:rsidP="00C610C5">
            <w:pPr>
              <w:pStyle w:val="Textpoznpodarou"/>
              <w:ind w:left="-54" w:right="-35"/>
              <w:jc w:val="both"/>
            </w:pPr>
            <w:r w:rsidRPr="00DE1460">
              <w:rPr>
                <w:noProof/>
              </w:rPr>
              <w:drawing>
                <wp:inline distT="0" distB="0" distL="0" distR="0">
                  <wp:extent cx="4737600" cy="3553200"/>
                  <wp:effectExtent l="19050" t="0" r="0" b="0"/>
                  <wp:docPr id="3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10C5" w:rsidRPr="00DE1460" w:rsidRDefault="00C610C5" w:rsidP="00C610C5">
            <w:pPr>
              <w:pStyle w:val="Textpoznpodarou"/>
              <w:ind w:left="-54" w:right="-35"/>
              <w:jc w:val="right"/>
              <w:rPr>
                <w:sz w:val="14"/>
                <w:szCs w:val="14"/>
              </w:rPr>
            </w:pPr>
            <w:r w:rsidRPr="00DE1460">
              <w:rPr>
                <w:sz w:val="14"/>
                <w:szCs w:val="14"/>
              </w:rPr>
              <w:t>Zdroj: ČSÚ</w:t>
            </w:r>
          </w:p>
          <w:p w:rsidR="00C610C5" w:rsidRPr="00F02A72" w:rsidRDefault="00C610C5" w:rsidP="00C610C5">
            <w:pPr>
              <w:pStyle w:val="Textpoznpodarou"/>
              <w:ind w:left="-54" w:right="-35"/>
              <w:jc w:val="right"/>
              <w:rPr>
                <w:sz w:val="14"/>
                <w:szCs w:val="14"/>
              </w:rPr>
            </w:pPr>
          </w:p>
        </w:tc>
      </w:tr>
      <w:tr w:rsidR="00C610C5" w:rsidRPr="00A74192" w:rsidTr="00646448">
        <w:tc>
          <w:tcPr>
            <w:tcW w:w="1015" w:type="pct"/>
          </w:tcPr>
          <w:p w:rsidR="00C610C5" w:rsidRPr="00A74192" w:rsidRDefault="00646448" w:rsidP="00F12A83">
            <w:pPr>
              <w:spacing w:line="240" w:lineRule="auto"/>
              <w:ind w:right="-19"/>
              <w:rPr>
                <w:sz w:val="16"/>
                <w:szCs w:val="16"/>
              </w:rPr>
            </w:pPr>
            <w:r>
              <w:rPr>
                <w:sz w:val="16"/>
                <w:szCs w:val="16"/>
              </w:rPr>
              <w:t xml:space="preserve">Růst cen zrychlil i v EU. </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Meziroční růst spotřebitelských cen v evropské osmadvacítce dosáhl v 1. čtvrtletí 1,8</w:t>
            </w:r>
            <w:r w:rsidR="00646448">
              <w:rPr>
                <w:spacing w:val="-4"/>
              </w:rPr>
              <w:t> </w:t>
            </w:r>
            <w:r w:rsidRPr="00F02A72">
              <w:rPr>
                <w:spacing w:val="-4"/>
              </w:rPr>
              <w:t>%, stejně jako v samotné eurozóně. Inflace v eurozóně se tak po šestnácti čtvrtletích přiblížila k hladině, se kterou Evropská centrální banka spojuje cenovou stabilitu. V 1. čtvrtletí 2017 neklesala cenová hlad</w:t>
            </w:r>
            <w:r w:rsidR="00045681">
              <w:rPr>
                <w:spacing w:val="-4"/>
              </w:rPr>
              <w:t>ina v žádném z členských států U</w:t>
            </w:r>
            <w:r w:rsidRPr="00F02A72">
              <w:rPr>
                <w:spacing w:val="-4"/>
              </w:rPr>
              <w:t xml:space="preserve">nie. Na Slovensku vzrostly spotřebitelské ceny o 1 % – poprvé po dvanácti čtvrtletích meziročních poklesů. Růst cen v Polsku, který se obnovil v předchozím čtvrtletí, zesílil a dosáhl 1,7 %. Stabilně rostly ceny v Německu (1,9 %) a Rakousku (2,2 %).   </w:t>
            </w:r>
          </w:p>
          <w:p w:rsidR="00C610C5" w:rsidRPr="00F86A47" w:rsidRDefault="00C610C5" w:rsidP="00134DFD">
            <w:pPr>
              <w:pStyle w:val="Textpoznpodarou"/>
              <w:ind w:right="-35"/>
              <w:jc w:val="both"/>
              <w:rPr>
                <w:sz w:val="16"/>
                <w:szCs w:val="16"/>
              </w:rPr>
            </w:pPr>
          </w:p>
        </w:tc>
      </w:tr>
      <w:tr w:rsidR="00C610C5" w:rsidRPr="00A74192" w:rsidTr="00646448">
        <w:tc>
          <w:tcPr>
            <w:tcW w:w="1015" w:type="pct"/>
          </w:tcPr>
          <w:p w:rsidR="00B25E31" w:rsidRDefault="00B25E31" w:rsidP="00F12A83">
            <w:pPr>
              <w:spacing w:line="240" w:lineRule="auto"/>
              <w:ind w:right="-19"/>
              <w:rPr>
                <w:sz w:val="16"/>
                <w:szCs w:val="16"/>
              </w:rPr>
            </w:pPr>
          </w:p>
          <w:p w:rsidR="00B25E31" w:rsidRDefault="00B25E31" w:rsidP="00F12A83">
            <w:pPr>
              <w:spacing w:line="240" w:lineRule="auto"/>
              <w:ind w:right="-19"/>
              <w:rPr>
                <w:sz w:val="16"/>
                <w:szCs w:val="16"/>
              </w:rPr>
            </w:pPr>
          </w:p>
          <w:p w:rsidR="00C610C5" w:rsidRPr="00A74192" w:rsidRDefault="00646448" w:rsidP="00F12A83">
            <w:pPr>
              <w:spacing w:line="240" w:lineRule="auto"/>
              <w:ind w:right="-19"/>
              <w:rPr>
                <w:sz w:val="16"/>
                <w:szCs w:val="16"/>
              </w:rPr>
            </w:pPr>
            <w:r>
              <w:rPr>
                <w:sz w:val="16"/>
                <w:szCs w:val="16"/>
              </w:rPr>
              <w:t>Po třech letech začaly meziročně růst ceny průmyslových výrobců.</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Ceny průmyslových výrobců zaznamenaly v lednu první meziroční růst po</w:t>
            </w:r>
            <w:r w:rsidR="00CB2B15" w:rsidRPr="00F02A72">
              <w:rPr>
                <w:spacing w:val="-4"/>
              </w:rPr>
              <w:t> </w:t>
            </w:r>
            <w:r w:rsidRPr="00045681">
              <w:t>36</w:t>
            </w:r>
            <w:r w:rsidR="00045681">
              <w:t> </w:t>
            </w:r>
            <w:r w:rsidRPr="00045681">
              <w:t>měsících</w:t>
            </w:r>
            <w:r w:rsidRPr="00F02A72">
              <w:rPr>
                <w:spacing w:val="-4"/>
              </w:rPr>
              <w:t xml:space="preserve"> poklesu a za celé 1. čtvrtletí roku 2017 vzrostly o 2,7 %. Změnu přinesl nejen obnovený růst cen v sekci těžba a dobývání (meziroční nárůst cen v 1.</w:t>
            </w:r>
            <w:r w:rsidR="00045681">
              <w:rPr>
                <w:spacing w:val="-4"/>
              </w:rPr>
              <w:t> </w:t>
            </w:r>
            <w:r w:rsidRPr="00F02A72">
              <w:rPr>
                <w:spacing w:val="-4"/>
              </w:rPr>
              <w:t>čtvrtletí 2017 o</w:t>
            </w:r>
            <w:r w:rsidR="00B25E31">
              <w:rPr>
                <w:spacing w:val="-4"/>
              </w:rPr>
              <w:t> </w:t>
            </w:r>
            <w:r w:rsidRPr="00F02A72">
              <w:rPr>
                <w:spacing w:val="-4"/>
              </w:rPr>
              <w:t>4,8 %), ale především opětovný růst cen výrobků a služeb zpracovatelského průmyslu (3,4 %), které mají v celkovém indexu hlavní váhu a</w:t>
            </w:r>
            <w:r w:rsidR="00CB2B15" w:rsidRPr="00F02A72">
              <w:rPr>
                <w:spacing w:val="-4"/>
              </w:rPr>
              <w:t> </w:t>
            </w:r>
            <w:r w:rsidRPr="00F02A72">
              <w:rPr>
                <w:spacing w:val="-4"/>
              </w:rPr>
              <w:t xml:space="preserve">v roce 2016 klesaly. Obnovil se růst cen koksu a rafinovaných ropných produktů. Po 6,1% </w:t>
            </w:r>
            <w:r w:rsidRPr="00F02A72">
              <w:rPr>
                <w:spacing w:val="-4"/>
              </w:rPr>
              <w:lastRenderedPageBreak/>
              <w:t>poklesu v předchozím roce silně vzrostly i ceny chemických látek a</w:t>
            </w:r>
            <w:r w:rsidR="00CB2B15" w:rsidRPr="00F02A72">
              <w:rPr>
                <w:spacing w:val="-4"/>
              </w:rPr>
              <w:t> </w:t>
            </w:r>
            <w:r w:rsidRPr="00F02A72">
              <w:rPr>
                <w:spacing w:val="-4"/>
              </w:rPr>
              <w:t>výrobků (6,8 %). Ceny obecných kovů a kovodělných výrobků se zvýšily o 4,0 % a mírně vzrostly i ceny elektrických zařízení (1,8 %). Slabý pokles (</w:t>
            </w:r>
            <w:r w:rsidRPr="00F02A72">
              <w:rPr>
                <w:spacing w:val="-4"/>
              </w:rPr>
              <w:noBreakHyphen/>
              <w:t>1,2 %) zaznamenaly ceny základních farmaceutických výrobků, které v předchozím roce stagnovaly. Zbývající sekce, které mají v celkovém indexu nižší váhu, pokračovaly ve vývoji minulého roku. Ceny elektřiny, plynu, páry a klimatizovaného vzduchu klesly o 1,2 % a zásobování vodou a</w:t>
            </w:r>
            <w:r w:rsidR="00B25E31">
              <w:rPr>
                <w:spacing w:val="-4"/>
              </w:rPr>
              <w:t> </w:t>
            </w:r>
            <w:r w:rsidRPr="00F02A72">
              <w:rPr>
                <w:spacing w:val="-4"/>
              </w:rPr>
              <w:t>služby související s odpadními vodami se zdražily o 2,1 %.</w:t>
            </w:r>
          </w:p>
          <w:p w:rsidR="00C610C5" w:rsidRPr="00F02A72" w:rsidRDefault="00C610C5" w:rsidP="00134DFD">
            <w:pPr>
              <w:pStyle w:val="Textpoznpodarou"/>
              <w:ind w:right="-35"/>
              <w:jc w:val="both"/>
              <w:rPr>
                <w:spacing w:val="-4"/>
              </w:rPr>
            </w:pPr>
            <w:r w:rsidRPr="00F02A72">
              <w:rPr>
                <w:spacing w:val="-4"/>
              </w:rPr>
              <w:t xml:space="preserve"> </w:t>
            </w:r>
          </w:p>
        </w:tc>
      </w:tr>
      <w:tr w:rsidR="00C610C5" w:rsidRPr="00A74192" w:rsidTr="00646448">
        <w:tc>
          <w:tcPr>
            <w:tcW w:w="1015" w:type="pct"/>
          </w:tcPr>
          <w:p w:rsidR="00C610C5" w:rsidRPr="00A74192" w:rsidRDefault="00646448" w:rsidP="00646448">
            <w:pPr>
              <w:spacing w:line="240" w:lineRule="auto"/>
              <w:ind w:right="-19"/>
              <w:rPr>
                <w:sz w:val="16"/>
                <w:szCs w:val="16"/>
              </w:rPr>
            </w:pPr>
            <w:r>
              <w:rPr>
                <w:sz w:val="16"/>
                <w:szCs w:val="16"/>
              </w:rPr>
              <w:lastRenderedPageBreak/>
              <w:t>Růst cen průmyslových výrobců v EU v 1. čtvrtletí 2017 navázal na vývoj z minulého roku.</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Ceny průmyslových výrobců v EU v 1. čtvrtletí 2017 meziročně vzrostly o 4,</w:t>
            </w:r>
            <w:r w:rsidR="0021139C">
              <w:rPr>
                <w:spacing w:val="-4"/>
              </w:rPr>
              <w:t>7</w:t>
            </w:r>
            <w:r w:rsidRPr="00F02A72">
              <w:rPr>
                <w:spacing w:val="-4"/>
              </w:rPr>
              <w:t xml:space="preserve"> %. S výjimkou Lucemburska (-3,4 %) rostly ceny ve všech státe</w:t>
            </w:r>
            <w:r w:rsidR="0021139C">
              <w:rPr>
                <w:spacing w:val="-4"/>
              </w:rPr>
              <w:t>ch EU. Nejsilněji v Belgii (13,6</w:t>
            </w:r>
            <w:r w:rsidRPr="00F02A72">
              <w:rPr>
                <w:spacing w:val="-4"/>
              </w:rPr>
              <w:t xml:space="preserve"> %), Velké Británii (9,5 %) a Nizozemí (9,</w:t>
            </w:r>
            <w:r w:rsidR="0021139C">
              <w:rPr>
                <w:spacing w:val="-4"/>
              </w:rPr>
              <w:t>4</w:t>
            </w:r>
            <w:r w:rsidRPr="00F02A72">
              <w:rPr>
                <w:spacing w:val="-4"/>
              </w:rPr>
              <w:t xml:space="preserve"> %). Na opačném konci pořadí se</w:t>
            </w:r>
            <w:r w:rsidR="00B25E31">
              <w:rPr>
                <w:spacing w:val="-4"/>
              </w:rPr>
              <w:t> u</w:t>
            </w:r>
            <w:r w:rsidRPr="00F02A72">
              <w:rPr>
                <w:spacing w:val="-4"/>
              </w:rPr>
              <w:t>místilo kromě Lucemburska Lotyšsko (0,1 %) a Slovinsko (0,6 %). Blízké propojení ekonomik států střední Evropy ukazuje i cenový vývoj v průmyslu. Česká republika se umístila v těsn</w:t>
            </w:r>
            <w:r w:rsidR="00045681">
              <w:rPr>
                <w:spacing w:val="-4"/>
              </w:rPr>
              <w:t>é</w:t>
            </w:r>
            <w:r w:rsidRPr="00F02A72">
              <w:rPr>
                <w:spacing w:val="-4"/>
              </w:rPr>
              <w:t xml:space="preserve"> blízkosti svých sousedů. V Německu ceny v průmyslu meziročně vzrostly o 2,7 %, stejně jako na Slovensku. Rakousko se umístilo jen těsně za nimi s 2,</w:t>
            </w:r>
            <w:r w:rsidR="0021139C">
              <w:rPr>
                <w:spacing w:val="-4"/>
              </w:rPr>
              <w:t>6</w:t>
            </w:r>
            <w:r w:rsidRPr="00F02A72">
              <w:rPr>
                <w:spacing w:val="-4"/>
              </w:rPr>
              <w:t>% cenovým nárůstem. Výjimkou bylo Polsko, kde ceny vzrostly o 6,</w:t>
            </w:r>
            <w:r w:rsidR="0021139C">
              <w:rPr>
                <w:spacing w:val="-4"/>
              </w:rPr>
              <w:t>3</w:t>
            </w:r>
            <w:r w:rsidRPr="00F02A72">
              <w:rPr>
                <w:spacing w:val="-4"/>
              </w:rPr>
              <w:t xml:space="preserve"> %. </w:t>
            </w:r>
          </w:p>
          <w:p w:rsidR="00C610C5" w:rsidRPr="00F02A72" w:rsidRDefault="00C610C5" w:rsidP="00134DFD">
            <w:pPr>
              <w:pStyle w:val="Textpoznpodarou"/>
              <w:ind w:right="-35"/>
              <w:jc w:val="both"/>
              <w:rPr>
                <w:spacing w:val="-4"/>
                <w:sz w:val="16"/>
                <w:szCs w:val="16"/>
              </w:rPr>
            </w:pPr>
          </w:p>
        </w:tc>
      </w:tr>
      <w:tr w:rsidR="00FC6DB5" w:rsidRPr="00C610C5" w:rsidTr="00646448">
        <w:tc>
          <w:tcPr>
            <w:tcW w:w="1015" w:type="pct"/>
          </w:tcPr>
          <w:p w:rsidR="00FC6DB5" w:rsidRPr="00C610C5" w:rsidRDefault="00FC6DB5" w:rsidP="00C610C5">
            <w:pPr>
              <w:spacing w:line="240" w:lineRule="auto"/>
              <w:ind w:right="-19"/>
              <w:jc w:val="center"/>
              <w:rPr>
                <w:szCs w:val="20"/>
              </w:rPr>
            </w:pPr>
          </w:p>
        </w:tc>
        <w:tc>
          <w:tcPr>
            <w:tcW w:w="144" w:type="pct"/>
          </w:tcPr>
          <w:p w:rsidR="00FC6DB5" w:rsidRPr="00C610C5" w:rsidRDefault="00FC6DB5" w:rsidP="00D94859">
            <w:pPr>
              <w:pStyle w:val="Textpoznpodarou"/>
              <w:jc w:val="both"/>
            </w:pPr>
          </w:p>
        </w:tc>
        <w:tc>
          <w:tcPr>
            <w:tcW w:w="580" w:type="pct"/>
          </w:tcPr>
          <w:p w:rsidR="00FC6DB5" w:rsidRPr="00C610C5" w:rsidRDefault="00FC6DB5" w:rsidP="00FC6DB5">
            <w:pPr>
              <w:pStyle w:val="Textpoznpodarou"/>
              <w:ind w:right="-35"/>
              <w:jc w:val="both"/>
            </w:pPr>
            <w:r w:rsidRPr="00C610C5">
              <w:t>Graf č. 13</w:t>
            </w:r>
          </w:p>
        </w:tc>
        <w:tc>
          <w:tcPr>
            <w:tcW w:w="3261" w:type="pct"/>
          </w:tcPr>
          <w:p w:rsidR="00FC6DB5" w:rsidRPr="00C610C5" w:rsidRDefault="00FC6DB5" w:rsidP="00045681">
            <w:pPr>
              <w:pStyle w:val="Textpoznpodarou"/>
              <w:ind w:right="-35"/>
            </w:pPr>
            <w:r w:rsidRPr="00C610C5">
              <w:rPr>
                <w:b/>
                <w:lang w:eastAsia="en-US"/>
              </w:rPr>
              <w:t>Ceny hlavních skupin průmyslových výrobců</w:t>
            </w:r>
            <w:r w:rsidRPr="00C610C5">
              <w:rPr>
                <w:lang w:eastAsia="en-US"/>
              </w:rPr>
              <w:t xml:space="preserve"> (</w:t>
            </w:r>
            <w:r>
              <w:rPr>
                <w:lang w:eastAsia="en-US"/>
              </w:rPr>
              <w:t>meziroční změna,</w:t>
            </w:r>
            <w:r w:rsidRPr="00C610C5">
              <w:rPr>
                <w:lang w:eastAsia="en-US"/>
              </w:rPr>
              <w:t xml:space="preserve"> v</w:t>
            </w:r>
            <w:r w:rsidR="00045681">
              <w:rPr>
                <w:lang w:eastAsia="en-US"/>
              </w:rPr>
              <w:t> </w:t>
            </w:r>
            <w:r w:rsidRPr="00C610C5">
              <w:rPr>
                <w:lang w:eastAsia="en-US"/>
              </w:rPr>
              <w:t xml:space="preserve">%, podle </w:t>
            </w:r>
            <w:r>
              <w:rPr>
                <w:lang w:eastAsia="en-US"/>
              </w:rPr>
              <w:t>klasifikace</w:t>
            </w:r>
            <w:r w:rsidRPr="00C610C5">
              <w:rPr>
                <w:lang w:eastAsia="en-US"/>
              </w:rPr>
              <w:t xml:space="preserve"> CPA)</w:t>
            </w:r>
          </w:p>
        </w:tc>
      </w:tr>
      <w:tr w:rsidR="00C610C5" w:rsidRPr="00A74192" w:rsidTr="00646448">
        <w:tc>
          <w:tcPr>
            <w:tcW w:w="1015" w:type="pct"/>
          </w:tcPr>
          <w:p w:rsidR="00C610C5" w:rsidRPr="00A74192" w:rsidRDefault="00C610C5" w:rsidP="00F12A83">
            <w:pPr>
              <w:spacing w:line="240" w:lineRule="auto"/>
              <w:ind w:right="-19"/>
              <w:rPr>
                <w:sz w:val="16"/>
                <w:szCs w:val="16"/>
              </w:rPr>
            </w:pPr>
          </w:p>
        </w:tc>
        <w:tc>
          <w:tcPr>
            <w:tcW w:w="144" w:type="pct"/>
          </w:tcPr>
          <w:p w:rsidR="00C610C5" w:rsidRPr="00A74192" w:rsidRDefault="00C610C5" w:rsidP="00D94859">
            <w:pPr>
              <w:pStyle w:val="Textpoznpodarou"/>
              <w:jc w:val="both"/>
            </w:pPr>
          </w:p>
        </w:tc>
        <w:tc>
          <w:tcPr>
            <w:tcW w:w="3841" w:type="pct"/>
            <w:gridSpan w:val="2"/>
          </w:tcPr>
          <w:p w:rsidR="00C610C5" w:rsidRDefault="00DE1460" w:rsidP="00C610C5">
            <w:pPr>
              <w:pStyle w:val="Textpoznpodarou"/>
              <w:ind w:left="-54" w:right="-35"/>
              <w:jc w:val="both"/>
            </w:pPr>
            <w:r w:rsidRPr="00DE1460">
              <w:rPr>
                <w:noProof/>
              </w:rPr>
              <w:drawing>
                <wp:inline distT="0" distB="0" distL="0" distR="0">
                  <wp:extent cx="4737600" cy="3553200"/>
                  <wp:effectExtent l="0" t="0" r="0" b="0"/>
                  <wp:docPr id="3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10C5" w:rsidRPr="00DE1460" w:rsidRDefault="00C610C5" w:rsidP="00C610C5">
            <w:pPr>
              <w:pStyle w:val="Textpoznpodarou"/>
              <w:ind w:left="-54" w:right="-35"/>
              <w:jc w:val="right"/>
              <w:rPr>
                <w:sz w:val="14"/>
                <w:szCs w:val="14"/>
              </w:rPr>
            </w:pPr>
            <w:r w:rsidRPr="00DE1460">
              <w:rPr>
                <w:sz w:val="14"/>
                <w:szCs w:val="14"/>
              </w:rPr>
              <w:t>Zdroj: ČSÚ</w:t>
            </w:r>
          </w:p>
          <w:p w:rsidR="00C610C5" w:rsidRPr="00F02A72" w:rsidRDefault="00C610C5" w:rsidP="00C610C5">
            <w:pPr>
              <w:pStyle w:val="Textpoznpodarou"/>
              <w:ind w:left="-54" w:right="-35"/>
              <w:jc w:val="right"/>
              <w:rPr>
                <w:sz w:val="14"/>
                <w:szCs w:val="14"/>
              </w:rPr>
            </w:pPr>
          </w:p>
        </w:tc>
      </w:tr>
      <w:tr w:rsidR="00C610C5" w:rsidRPr="00A74192" w:rsidTr="00646448">
        <w:tc>
          <w:tcPr>
            <w:tcW w:w="1015" w:type="pct"/>
          </w:tcPr>
          <w:p w:rsidR="00C610C5" w:rsidRPr="00A74192" w:rsidRDefault="00646448" w:rsidP="00F12A83">
            <w:pPr>
              <w:spacing w:line="240" w:lineRule="auto"/>
              <w:ind w:right="-19"/>
              <w:rPr>
                <w:sz w:val="16"/>
                <w:szCs w:val="16"/>
              </w:rPr>
            </w:pPr>
            <w:r>
              <w:rPr>
                <w:sz w:val="16"/>
                <w:szCs w:val="16"/>
              </w:rPr>
              <w:t>Rostly ceny živočišné výroby. Ceny rostlinné výroby zastavily svůj meziroční propad.</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Ceny zemědělské výroby vč. ryb v 1. čtvrtletí meziročně klesly o 0,2 %. Jejich propad, který trval po celý loňský rok, se v jeho závěru začal zpomalovat a byl ukončen v březnu, kdy ceny vzrostly o 3,4 %. Rychlejší obnovení cenového růstu brzdila rostlinná výroba, která v 1. čtvrtletí 2017 klesla o 7,2 %, především kvůli přetrvávajícímu a hlubokému poklesu cen obilovin (-9,5 %). Ceny ovoce a zeleniny, které v minulém roce poměrně silně rostly, v 1. čtvrtletí letošního roku klesly o</w:t>
            </w:r>
            <w:r w:rsidR="00CB2B15" w:rsidRPr="00F02A72">
              <w:rPr>
                <w:spacing w:val="-4"/>
              </w:rPr>
              <w:t> </w:t>
            </w:r>
            <w:r w:rsidRPr="00F02A72">
              <w:rPr>
                <w:spacing w:val="-4"/>
              </w:rPr>
              <w:t>16,1</w:t>
            </w:r>
            <w:r w:rsidR="00CB2B15" w:rsidRPr="00F02A72">
              <w:rPr>
                <w:spacing w:val="-4"/>
              </w:rPr>
              <w:t> </w:t>
            </w:r>
            <w:r w:rsidRPr="00F02A72">
              <w:rPr>
                <w:spacing w:val="-4"/>
              </w:rPr>
              <w:t>%. Výrazně klesaly ceny brambor – ko</w:t>
            </w:r>
            <w:r w:rsidR="00CB2B15" w:rsidRPr="00F02A72">
              <w:rPr>
                <w:spacing w:val="-4"/>
              </w:rPr>
              <w:t>nzumních (-31,8 %) i na sadbu (</w:t>
            </w:r>
            <w:r w:rsidR="00CB2B15" w:rsidRPr="00F02A72">
              <w:rPr>
                <w:spacing w:val="-4"/>
              </w:rPr>
              <w:noBreakHyphen/>
            </w:r>
            <w:r w:rsidRPr="00F02A72">
              <w:rPr>
                <w:spacing w:val="-4"/>
              </w:rPr>
              <w:t>8,2</w:t>
            </w:r>
            <w:r w:rsidR="00CB2B15" w:rsidRPr="00F02A72">
              <w:rPr>
                <w:spacing w:val="-4"/>
              </w:rPr>
              <w:t> </w:t>
            </w:r>
            <w:r w:rsidRPr="00F02A72">
              <w:rPr>
                <w:spacing w:val="-4"/>
              </w:rPr>
              <w:t>%). Propad celkového indexu tak tlumily ceny živočišné výroby, které v 1.</w:t>
            </w:r>
            <w:r w:rsidR="00CB2B15" w:rsidRPr="00F02A72">
              <w:rPr>
                <w:spacing w:val="-4"/>
              </w:rPr>
              <w:t> </w:t>
            </w:r>
            <w:r w:rsidRPr="00F02A72">
              <w:rPr>
                <w:spacing w:val="-4"/>
              </w:rPr>
              <w:t>čtvrtletí 2017 vzrostly o</w:t>
            </w:r>
            <w:r w:rsidR="00B25E31">
              <w:rPr>
                <w:spacing w:val="-4"/>
              </w:rPr>
              <w:t> </w:t>
            </w:r>
            <w:r w:rsidRPr="00F02A72">
              <w:rPr>
                <w:spacing w:val="-4"/>
              </w:rPr>
              <w:t>7,5 %. Zrychlil se růst cen hospodářských zvířat (7,7 %), především prasat (18,8 %). Po</w:t>
            </w:r>
            <w:r w:rsidR="00CB2B15" w:rsidRPr="00F02A72">
              <w:rPr>
                <w:spacing w:val="-4"/>
              </w:rPr>
              <w:t> </w:t>
            </w:r>
            <w:r w:rsidRPr="00F02A72">
              <w:rPr>
                <w:spacing w:val="-4"/>
              </w:rPr>
              <w:t>delší době rostly i ceny mléka (7,6 %).</w:t>
            </w:r>
          </w:p>
          <w:p w:rsidR="00893F0C" w:rsidRPr="00F02A72" w:rsidRDefault="00893F0C" w:rsidP="00134DFD">
            <w:pPr>
              <w:pStyle w:val="Textpoznpodarou"/>
              <w:ind w:right="-35"/>
              <w:jc w:val="both"/>
              <w:rPr>
                <w:spacing w:val="-4"/>
                <w:sz w:val="16"/>
                <w:szCs w:val="16"/>
              </w:rPr>
            </w:pPr>
          </w:p>
        </w:tc>
      </w:tr>
      <w:tr w:rsidR="00C610C5" w:rsidRPr="00A74192" w:rsidTr="00646448">
        <w:tc>
          <w:tcPr>
            <w:tcW w:w="1015" w:type="pct"/>
          </w:tcPr>
          <w:p w:rsidR="00C610C5" w:rsidRPr="00A74192" w:rsidRDefault="00646448" w:rsidP="00B25E31">
            <w:pPr>
              <w:spacing w:line="240" w:lineRule="auto"/>
              <w:ind w:right="-19"/>
              <w:rPr>
                <w:sz w:val="16"/>
                <w:szCs w:val="16"/>
              </w:rPr>
            </w:pPr>
            <w:r>
              <w:rPr>
                <w:sz w:val="16"/>
                <w:szCs w:val="16"/>
              </w:rPr>
              <w:t>Ceny tržních služeb svou dynamiku mírně zrychlily a meziročně vzrostly o</w:t>
            </w:r>
            <w:r w:rsidR="00B25E31">
              <w:rPr>
                <w:sz w:val="16"/>
                <w:szCs w:val="16"/>
              </w:rPr>
              <w:t> </w:t>
            </w:r>
            <w:r>
              <w:rPr>
                <w:sz w:val="16"/>
                <w:szCs w:val="16"/>
              </w:rPr>
              <w:t>0,7 %</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Index cen tržních služeb v 1. čtvrtletí roku 2017 meziročně vzrostl o 0,7 %, což je nejvyšší hodnota od 4. čtvrtletí roku 2014. Přispělo k tomu obnovení meziročního růst cen v oddílu skladování a podpůrné služby v dopravě a jejich zvýšení o 0,7 % i</w:t>
            </w:r>
            <w:r w:rsidR="00CB2B15" w:rsidRPr="00F02A72">
              <w:rPr>
                <w:spacing w:val="-4"/>
              </w:rPr>
              <w:t> </w:t>
            </w:r>
            <w:r w:rsidRPr="00F02A72">
              <w:rPr>
                <w:spacing w:val="-4"/>
              </w:rPr>
              <w:t>zrychlení tempa růstu cen poštovních a kurýrních služeb na 8,4 %. Po šesti čtvrtletích poklesu se meziročně zvýšily i ceny pojištění, zajištění a penzijního financování o</w:t>
            </w:r>
            <w:r w:rsidR="00646448">
              <w:rPr>
                <w:spacing w:val="-4"/>
              </w:rPr>
              <w:t> </w:t>
            </w:r>
            <w:r w:rsidRPr="00F02A72">
              <w:rPr>
                <w:spacing w:val="-4"/>
              </w:rPr>
              <w:t>3,7</w:t>
            </w:r>
            <w:r w:rsidR="00646448">
              <w:rPr>
                <w:spacing w:val="-4"/>
              </w:rPr>
              <w:t> </w:t>
            </w:r>
            <w:r w:rsidRPr="00F02A72">
              <w:rPr>
                <w:spacing w:val="-4"/>
              </w:rPr>
              <w:t>%. Stále rostly ceny reklamních služeb a</w:t>
            </w:r>
            <w:r w:rsidR="00CB2B15" w:rsidRPr="00F02A72">
              <w:rPr>
                <w:spacing w:val="-4"/>
              </w:rPr>
              <w:t> </w:t>
            </w:r>
            <w:r w:rsidRPr="00F02A72">
              <w:rPr>
                <w:spacing w:val="-4"/>
              </w:rPr>
              <w:t xml:space="preserve">průzkumu trhu – o 1,5 % v 1. čtvrtletí </w:t>
            </w:r>
            <w:r w:rsidRPr="00F02A72">
              <w:rPr>
                <w:spacing w:val="-4"/>
              </w:rPr>
              <w:lastRenderedPageBreak/>
              <w:t>2017. Naopak ceny architektonických a</w:t>
            </w:r>
            <w:r w:rsidR="00CB2B15" w:rsidRPr="00F02A72">
              <w:rPr>
                <w:spacing w:val="-4"/>
              </w:rPr>
              <w:t> </w:t>
            </w:r>
            <w:r w:rsidRPr="00F02A72">
              <w:rPr>
                <w:spacing w:val="-4"/>
              </w:rPr>
              <w:t>inženýrských služeb klesly o 0,9 % a</w:t>
            </w:r>
            <w:r w:rsidR="00B25E31">
              <w:rPr>
                <w:spacing w:val="-4"/>
              </w:rPr>
              <w:t> </w:t>
            </w:r>
            <w:r w:rsidRPr="00F02A72">
              <w:rPr>
                <w:spacing w:val="-4"/>
              </w:rPr>
              <w:t>po</w:t>
            </w:r>
            <w:r w:rsidR="00B25E31">
              <w:rPr>
                <w:spacing w:val="-4"/>
              </w:rPr>
              <w:t> </w:t>
            </w:r>
            <w:r w:rsidRPr="00F02A72">
              <w:rPr>
                <w:spacing w:val="-4"/>
              </w:rPr>
              <w:t>poměrně silném růstu v předchozích třech čtvrtletích se snížily ceny služeb v oblasti zaměstnání o 1,5 %.</w:t>
            </w:r>
          </w:p>
          <w:p w:rsidR="00C610C5" w:rsidRPr="00F02A72" w:rsidRDefault="00C610C5" w:rsidP="00134DFD">
            <w:pPr>
              <w:pStyle w:val="Textpoznpodarou"/>
              <w:ind w:right="-35"/>
              <w:jc w:val="both"/>
              <w:rPr>
                <w:spacing w:val="-4"/>
                <w:sz w:val="16"/>
                <w:szCs w:val="16"/>
              </w:rPr>
            </w:pPr>
          </w:p>
        </w:tc>
      </w:tr>
      <w:tr w:rsidR="00C610C5" w:rsidRPr="00A74192" w:rsidTr="00646448">
        <w:tc>
          <w:tcPr>
            <w:tcW w:w="1015" w:type="pct"/>
          </w:tcPr>
          <w:p w:rsidR="00C610C5" w:rsidRPr="00A74192" w:rsidRDefault="00646448" w:rsidP="00F12A83">
            <w:pPr>
              <w:spacing w:line="240" w:lineRule="auto"/>
              <w:ind w:right="-19"/>
              <w:rPr>
                <w:sz w:val="16"/>
                <w:szCs w:val="16"/>
              </w:rPr>
            </w:pPr>
            <w:r>
              <w:rPr>
                <w:sz w:val="16"/>
                <w:szCs w:val="16"/>
              </w:rPr>
              <w:lastRenderedPageBreak/>
              <w:t>Ceny vývozu po dvou letech meziročně vzrostly.</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 xml:space="preserve">Ceny vývozu v 1. čtvrtletí vzrostly o 2,2 % a prolomily tak </w:t>
            </w:r>
            <w:r w:rsidR="00045681" w:rsidRPr="00F02A72">
              <w:rPr>
                <w:spacing w:val="-4"/>
              </w:rPr>
              <w:t xml:space="preserve">pokles trvající </w:t>
            </w:r>
            <w:r w:rsidRPr="00F02A72">
              <w:rPr>
                <w:spacing w:val="-4"/>
              </w:rPr>
              <w:t xml:space="preserve">osm čtvrtletí. </w:t>
            </w:r>
            <w:r w:rsidR="00045681">
              <w:rPr>
                <w:spacing w:val="-4"/>
              </w:rPr>
              <w:t>Ceny r</w:t>
            </w:r>
            <w:r w:rsidRPr="00F02A72">
              <w:rPr>
                <w:spacing w:val="-4"/>
              </w:rPr>
              <w:t xml:space="preserve">ostly </w:t>
            </w:r>
            <w:r w:rsidR="00045681">
              <w:rPr>
                <w:spacing w:val="-4"/>
              </w:rPr>
              <w:t>u</w:t>
            </w:r>
            <w:r w:rsidRPr="00F02A72">
              <w:rPr>
                <w:spacing w:val="-4"/>
              </w:rPr>
              <w:t xml:space="preserve"> většiny průmyslových skupin. Nejsilněji k růstu celkového indexu přispěly ceny minerálních paliv a maziv, u nichž se projevila nízká srovnávací základna 1. čtvrtletí minulého roku a jejichž ceny výrazně meziročně vzrostly (35,9 %). Druhou skupinou významnou pro celkový růst cen vývozu byly ostatní suroviny, jejichž ceny vzrostly o 15,2 %. Vzrostly i vývozní ceny chemikálií a</w:t>
            </w:r>
            <w:r w:rsidR="00CB2B15" w:rsidRPr="00F02A72">
              <w:rPr>
                <w:spacing w:val="-4"/>
              </w:rPr>
              <w:t> </w:t>
            </w:r>
            <w:r w:rsidRPr="00F02A72">
              <w:rPr>
                <w:spacing w:val="-4"/>
              </w:rPr>
              <w:t>příbuzných výrobků (2,</w:t>
            </w:r>
            <w:r w:rsidR="004D58CE">
              <w:rPr>
                <w:spacing w:val="-4"/>
              </w:rPr>
              <w:t>8 </w:t>
            </w:r>
            <w:r w:rsidRPr="00F02A72">
              <w:rPr>
                <w:spacing w:val="-4"/>
              </w:rPr>
              <w:t>%) a polotovarů (2,3 %).</w:t>
            </w:r>
            <w:r w:rsidR="00CB2B15" w:rsidRPr="00F02A72">
              <w:rPr>
                <w:spacing w:val="-4"/>
              </w:rPr>
              <w:t xml:space="preserve"> Klesaly ceny nápojů a tabáku (</w:t>
            </w:r>
            <w:r w:rsidR="00CB2B15" w:rsidRPr="00F02A72">
              <w:rPr>
                <w:spacing w:val="-4"/>
              </w:rPr>
              <w:noBreakHyphen/>
            </w:r>
            <w:r w:rsidRPr="00F02A72">
              <w:rPr>
                <w:spacing w:val="-4"/>
              </w:rPr>
              <w:t>2,4 %) a váhově významných strojů a dopravních prostředků (-0,2 %)</w:t>
            </w:r>
          </w:p>
          <w:p w:rsidR="00C610C5" w:rsidRPr="00F02A72" w:rsidRDefault="00C610C5" w:rsidP="00134DFD">
            <w:pPr>
              <w:pStyle w:val="Textpoznpodarou"/>
              <w:ind w:right="-35"/>
              <w:jc w:val="both"/>
              <w:rPr>
                <w:spacing w:val="-4"/>
                <w:sz w:val="16"/>
                <w:szCs w:val="16"/>
              </w:rPr>
            </w:pPr>
          </w:p>
        </w:tc>
      </w:tr>
      <w:tr w:rsidR="00C610C5" w:rsidRPr="00A74192" w:rsidTr="00646448">
        <w:tc>
          <w:tcPr>
            <w:tcW w:w="1015" w:type="pct"/>
          </w:tcPr>
          <w:p w:rsidR="00C610C5" w:rsidRPr="00A74192" w:rsidRDefault="00646448" w:rsidP="00F8410C">
            <w:pPr>
              <w:spacing w:line="240" w:lineRule="auto"/>
              <w:ind w:right="-19"/>
              <w:rPr>
                <w:sz w:val="16"/>
                <w:szCs w:val="16"/>
              </w:rPr>
            </w:pPr>
            <w:r>
              <w:rPr>
                <w:sz w:val="16"/>
                <w:szCs w:val="16"/>
              </w:rPr>
              <w:t xml:space="preserve">Zvýšení cen ropy mělo významný vliv na </w:t>
            </w:r>
            <w:r w:rsidR="00F8410C">
              <w:rPr>
                <w:sz w:val="16"/>
                <w:szCs w:val="16"/>
              </w:rPr>
              <w:t>zrychlení rů</w:t>
            </w:r>
            <w:r>
              <w:rPr>
                <w:sz w:val="16"/>
                <w:szCs w:val="16"/>
              </w:rPr>
              <w:t>st</w:t>
            </w:r>
            <w:r w:rsidR="00F8410C">
              <w:rPr>
                <w:sz w:val="16"/>
                <w:szCs w:val="16"/>
              </w:rPr>
              <w:t>u</w:t>
            </w:r>
            <w:r>
              <w:rPr>
                <w:sz w:val="16"/>
                <w:szCs w:val="16"/>
              </w:rPr>
              <w:t xml:space="preserve"> cen dovozu…</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Ceny dovozu v 1. čtvrtletí 2017 vzrostly o 5,1 %. S výjimkou živočišných a</w:t>
            </w:r>
            <w:r w:rsidR="00CB2B15" w:rsidRPr="00F02A72">
              <w:rPr>
                <w:spacing w:val="-4"/>
              </w:rPr>
              <w:t> </w:t>
            </w:r>
            <w:r w:rsidRPr="00F02A72">
              <w:rPr>
                <w:spacing w:val="-4"/>
              </w:rPr>
              <w:t>rostlinných olejů, které mají minimální váhu v celkovém indexu a které zlevnily o</w:t>
            </w:r>
            <w:r w:rsidR="00CB2B15" w:rsidRPr="00F02A72">
              <w:rPr>
                <w:spacing w:val="-4"/>
              </w:rPr>
              <w:t> </w:t>
            </w:r>
            <w:r w:rsidRPr="00F02A72">
              <w:rPr>
                <w:spacing w:val="-4"/>
              </w:rPr>
              <w:t xml:space="preserve">0,8 %, </w:t>
            </w:r>
            <w:r w:rsidR="004D58CE">
              <w:rPr>
                <w:spacing w:val="-4"/>
              </w:rPr>
              <w:t xml:space="preserve">vzrostly </w:t>
            </w:r>
            <w:r w:rsidRPr="00F02A72">
              <w:rPr>
                <w:spacing w:val="-4"/>
              </w:rPr>
              <w:t>ceny dovozu u všech průmyslových skupin. Podobně jako u</w:t>
            </w:r>
            <w:r w:rsidR="00CB2B15" w:rsidRPr="00F02A72">
              <w:rPr>
                <w:spacing w:val="-4"/>
              </w:rPr>
              <w:t> </w:t>
            </w:r>
            <w:r w:rsidR="004D58CE">
              <w:rPr>
                <w:spacing w:val="-4"/>
              </w:rPr>
              <w:t>vývozních</w:t>
            </w:r>
            <w:r w:rsidRPr="00F02A72">
              <w:rPr>
                <w:spacing w:val="-4"/>
              </w:rPr>
              <w:t xml:space="preserve"> cen výrazný meziroční nárůst zaznamenaly ceny minerálních paliv a</w:t>
            </w:r>
            <w:r w:rsidR="00CB2B15" w:rsidRPr="00F02A72">
              <w:rPr>
                <w:spacing w:val="-4"/>
              </w:rPr>
              <w:t> </w:t>
            </w:r>
            <w:r w:rsidRPr="00F02A72">
              <w:rPr>
                <w:spacing w:val="-4"/>
              </w:rPr>
              <w:t>maziv (35,1 %) a ostatních surovin (17,1 %). Vyšší váha minerálních paliv v dovozu do ČR než ve vývozu se</w:t>
            </w:r>
            <w:r w:rsidR="00B25E31">
              <w:rPr>
                <w:spacing w:val="-4"/>
              </w:rPr>
              <w:t> </w:t>
            </w:r>
            <w:r w:rsidRPr="00F02A72">
              <w:rPr>
                <w:spacing w:val="-4"/>
              </w:rPr>
              <w:t>projevila i na celkovém indexu. Výrazně rostly i</w:t>
            </w:r>
            <w:r w:rsidR="00CB2B15" w:rsidRPr="00F02A72">
              <w:rPr>
                <w:spacing w:val="-4"/>
              </w:rPr>
              <w:t> </w:t>
            </w:r>
            <w:r w:rsidRPr="00F02A72">
              <w:rPr>
                <w:spacing w:val="-4"/>
              </w:rPr>
              <w:t>ceny potravin a živých zvířat (6,7 %) nebo polotovarů (7,</w:t>
            </w:r>
            <w:r w:rsidR="004D58CE">
              <w:rPr>
                <w:spacing w:val="-4"/>
              </w:rPr>
              <w:t>1</w:t>
            </w:r>
            <w:r w:rsidRPr="00F02A72">
              <w:rPr>
                <w:spacing w:val="-4"/>
              </w:rPr>
              <w:t xml:space="preserve"> %). Za zmínku stojí i</w:t>
            </w:r>
            <w:r w:rsidR="00CB2B15" w:rsidRPr="00F02A72">
              <w:rPr>
                <w:spacing w:val="-4"/>
              </w:rPr>
              <w:t> </w:t>
            </w:r>
            <w:r w:rsidRPr="00F02A72">
              <w:rPr>
                <w:spacing w:val="-4"/>
              </w:rPr>
              <w:t>ceny chemikálií a příbuzných výrobků (3,1</w:t>
            </w:r>
            <w:r w:rsidR="004D58CE">
              <w:rPr>
                <w:spacing w:val="-4"/>
              </w:rPr>
              <w:t> </w:t>
            </w:r>
            <w:r w:rsidRPr="00F02A72">
              <w:rPr>
                <w:spacing w:val="-4"/>
              </w:rPr>
              <w:t>%). Ceny strojů a dopravních prostředků rovněž mírně vzrostly (0,5 %).</w:t>
            </w:r>
          </w:p>
          <w:p w:rsidR="00C610C5" w:rsidRPr="00F02A72" w:rsidRDefault="00C610C5" w:rsidP="00134DFD">
            <w:pPr>
              <w:pStyle w:val="Textpoznpodarou"/>
              <w:ind w:right="-35"/>
              <w:jc w:val="both"/>
              <w:rPr>
                <w:spacing w:val="-4"/>
                <w:sz w:val="16"/>
                <w:szCs w:val="16"/>
              </w:rPr>
            </w:pPr>
          </w:p>
        </w:tc>
      </w:tr>
      <w:tr w:rsidR="00C610C5" w:rsidRPr="00A74192" w:rsidTr="00646448">
        <w:tc>
          <w:tcPr>
            <w:tcW w:w="1015" w:type="pct"/>
          </w:tcPr>
          <w:p w:rsidR="00C610C5" w:rsidRPr="00A74192" w:rsidRDefault="00646448" w:rsidP="00A9497A">
            <w:pPr>
              <w:spacing w:line="240" w:lineRule="auto"/>
              <w:ind w:right="-19"/>
              <w:rPr>
                <w:sz w:val="16"/>
                <w:szCs w:val="16"/>
              </w:rPr>
            </w:pPr>
            <w:r>
              <w:rPr>
                <w:sz w:val="16"/>
                <w:szCs w:val="16"/>
              </w:rPr>
              <w:t xml:space="preserve">…kvůli nim </w:t>
            </w:r>
            <w:r w:rsidR="00F8410C">
              <w:rPr>
                <w:sz w:val="16"/>
                <w:szCs w:val="16"/>
              </w:rPr>
              <w:t>byly směnné relace zahraničního obchodu záporné.</w:t>
            </w:r>
          </w:p>
        </w:tc>
        <w:tc>
          <w:tcPr>
            <w:tcW w:w="144" w:type="pct"/>
          </w:tcPr>
          <w:p w:rsidR="00C610C5" w:rsidRPr="00A74192" w:rsidRDefault="00C610C5" w:rsidP="00D94859">
            <w:pPr>
              <w:pStyle w:val="Textpoznpodarou"/>
              <w:jc w:val="both"/>
            </w:pPr>
          </w:p>
        </w:tc>
        <w:tc>
          <w:tcPr>
            <w:tcW w:w="3841" w:type="pct"/>
            <w:gridSpan w:val="2"/>
          </w:tcPr>
          <w:p w:rsidR="00C610C5" w:rsidRPr="00F02A72" w:rsidRDefault="00C610C5" w:rsidP="00134DFD">
            <w:pPr>
              <w:pStyle w:val="Textpoznpodarou"/>
              <w:ind w:right="-35"/>
              <w:jc w:val="both"/>
              <w:rPr>
                <w:spacing w:val="-4"/>
                <w:sz w:val="16"/>
                <w:szCs w:val="16"/>
              </w:rPr>
            </w:pPr>
            <w:r w:rsidRPr="00F02A72">
              <w:rPr>
                <w:spacing w:val="-4"/>
              </w:rPr>
              <w:t>Směnné relace byly podobně jako v předchozím čtvrtletí záporné (97,2 %). Přispěla k tomu většina průmyslových skupin.</w:t>
            </w:r>
            <w:r w:rsidR="00045681">
              <w:rPr>
                <w:spacing w:val="-4"/>
              </w:rPr>
              <w:t xml:space="preserve"> </w:t>
            </w:r>
            <w:r w:rsidRPr="00F02A72">
              <w:rPr>
                <w:spacing w:val="-4"/>
              </w:rPr>
              <w:t>Výrazně záporné byly směnné relace u</w:t>
            </w:r>
            <w:r w:rsidR="001B5A75">
              <w:rPr>
                <w:spacing w:val="-4"/>
              </w:rPr>
              <w:t> </w:t>
            </w:r>
            <w:r w:rsidRPr="00F02A72">
              <w:rPr>
                <w:spacing w:val="-4"/>
              </w:rPr>
              <w:t>polotovarů (95,5 %) nebo nápojů a tabáku (94,</w:t>
            </w:r>
            <w:r w:rsidR="001B5A75">
              <w:rPr>
                <w:spacing w:val="-4"/>
              </w:rPr>
              <w:t>2</w:t>
            </w:r>
            <w:r w:rsidRPr="00F02A72">
              <w:rPr>
                <w:spacing w:val="-4"/>
              </w:rPr>
              <w:t xml:space="preserve"> %). Pod </w:t>
            </w:r>
            <w:r w:rsidR="001B5A75">
              <w:rPr>
                <w:spacing w:val="-4"/>
              </w:rPr>
              <w:t>stovku</w:t>
            </w:r>
            <w:r w:rsidRPr="00F02A72">
              <w:rPr>
                <w:spacing w:val="-4"/>
              </w:rPr>
              <w:t xml:space="preserve"> se dostaly i</w:t>
            </w:r>
            <w:r w:rsidR="00CB2B15" w:rsidRPr="00F02A72">
              <w:rPr>
                <w:spacing w:val="-4"/>
              </w:rPr>
              <w:t> </w:t>
            </w:r>
            <w:r w:rsidRPr="00F02A72">
              <w:rPr>
                <w:spacing w:val="-4"/>
              </w:rPr>
              <w:t>směnné relace u potravin a živých zvířat (96,</w:t>
            </w:r>
            <w:r w:rsidR="001B5A75">
              <w:rPr>
                <w:spacing w:val="-4"/>
              </w:rPr>
              <w:t>7</w:t>
            </w:r>
            <w:r w:rsidRPr="00F02A72">
              <w:rPr>
                <w:spacing w:val="-4"/>
              </w:rPr>
              <w:t xml:space="preserve"> %) a strojů a dopravních prostředků (99,3 %). </w:t>
            </w:r>
            <w:r w:rsidR="001B5A75">
              <w:rPr>
                <w:spacing w:val="-4"/>
              </w:rPr>
              <w:t xml:space="preserve">Pozitivních </w:t>
            </w:r>
            <w:r w:rsidRPr="00F02A72">
              <w:rPr>
                <w:spacing w:val="-4"/>
              </w:rPr>
              <w:t>směnných relací bylo dosaženo u průmyslového spotřebního zboží (101,1</w:t>
            </w:r>
            <w:r w:rsidR="001B5A75">
              <w:rPr>
                <w:spacing w:val="-4"/>
              </w:rPr>
              <w:t> </w:t>
            </w:r>
            <w:r w:rsidRPr="00F02A72">
              <w:rPr>
                <w:spacing w:val="-4"/>
              </w:rPr>
              <w:t>%) a minerálních paliv (100,6 %). Vzhledem k pokračujícímu režimu intervencí nedošlo k pohybu kurzu eura vůči koruně, nijak tedy nebyly ovlivnění ceny v zahraničním obchodě. Kurz dolaru působil mírně proinflačně.</w:t>
            </w:r>
          </w:p>
          <w:p w:rsidR="00C610C5" w:rsidRPr="00F02A72" w:rsidRDefault="00C610C5" w:rsidP="00134DFD">
            <w:pPr>
              <w:pStyle w:val="Textpoznpodarou"/>
              <w:ind w:right="-35"/>
              <w:jc w:val="both"/>
              <w:rPr>
                <w:spacing w:val="-4"/>
                <w:sz w:val="16"/>
                <w:szCs w:val="16"/>
              </w:rPr>
            </w:pPr>
          </w:p>
        </w:tc>
      </w:tr>
      <w:tr w:rsidR="00FC6DB5" w:rsidRPr="00C610C5" w:rsidTr="00646448">
        <w:tc>
          <w:tcPr>
            <w:tcW w:w="1015" w:type="pct"/>
          </w:tcPr>
          <w:p w:rsidR="00FC6DB5" w:rsidRPr="00C610C5" w:rsidRDefault="00FC6DB5" w:rsidP="00C610C5">
            <w:pPr>
              <w:spacing w:line="240" w:lineRule="auto"/>
              <w:ind w:right="-19"/>
              <w:jc w:val="center"/>
              <w:rPr>
                <w:spacing w:val="-4"/>
                <w:szCs w:val="20"/>
              </w:rPr>
            </w:pPr>
          </w:p>
        </w:tc>
        <w:tc>
          <w:tcPr>
            <w:tcW w:w="144" w:type="pct"/>
          </w:tcPr>
          <w:p w:rsidR="00FC6DB5" w:rsidRPr="00C610C5" w:rsidRDefault="00FC6DB5" w:rsidP="00D94859">
            <w:pPr>
              <w:pStyle w:val="Textpoznpodarou"/>
              <w:jc w:val="both"/>
            </w:pPr>
          </w:p>
        </w:tc>
        <w:tc>
          <w:tcPr>
            <w:tcW w:w="580" w:type="pct"/>
          </w:tcPr>
          <w:p w:rsidR="00FC6DB5" w:rsidRPr="00C610C5" w:rsidRDefault="00FC6DB5" w:rsidP="008A03DE">
            <w:pPr>
              <w:pStyle w:val="Textpoznpodarou"/>
              <w:ind w:right="-35"/>
              <w:jc w:val="both"/>
            </w:pPr>
            <w:r w:rsidRPr="00C610C5">
              <w:rPr>
                <w:spacing w:val="-4"/>
              </w:rPr>
              <w:t>Graf č. 14</w:t>
            </w:r>
          </w:p>
        </w:tc>
        <w:tc>
          <w:tcPr>
            <w:tcW w:w="3261" w:type="pct"/>
          </w:tcPr>
          <w:p w:rsidR="00FC6DB5" w:rsidRPr="00C610C5" w:rsidRDefault="00FC6DB5" w:rsidP="00ED2B0B">
            <w:pPr>
              <w:pStyle w:val="Textpoznpodarou"/>
              <w:ind w:right="-35"/>
            </w:pPr>
            <w:r w:rsidRPr="00C610C5">
              <w:rPr>
                <w:b/>
                <w:lang w:eastAsia="en-US"/>
              </w:rPr>
              <w:t>Deflátory</w:t>
            </w:r>
            <w:r w:rsidR="00F02A72">
              <w:rPr>
                <w:lang w:eastAsia="en-US"/>
              </w:rPr>
              <w:t xml:space="preserve"> (očištěno o </w:t>
            </w:r>
            <w:proofErr w:type="spellStart"/>
            <w:r w:rsidR="00F02A72">
              <w:rPr>
                <w:lang w:eastAsia="en-US"/>
              </w:rPr>
              <w:t>sez</w:t>
            </w:r>
            <w:proofErr w:type="spellEnd"/>
            <w:r w:rsidR="00F02A72">
              <w:rPr>
                <w:lang w:eastAsia="en-US"/>
              </w:rPr>
              <w:t>.</w:t>
            </w:r>
            <w:r w:rsidRPr="00C610C5">
              <w:rPr>
                <w:lang w:eastAsia="en-US"/>
              </w:rPr>
              <w:t xml:space="preserve"> a kalendářní vlivy, </w:t>
            </w:r>
            <w:r>
              <w:rPr>
                <w:lang w:eastAsia="en-US"/>
              </w:rPr>
              <w:t>meziroční změna,</w:t>
            </w:r>
            <w:r w:rsidRPr="00C610C5">
              <w:rPr>
                <w:lang w:eastAsia="en-US"/>
              </w:rPr>
              <w:t xml:space="preserve"> v</w:t>
            </w:r>
            <w:r w:rsidR="00CB2B15">
              <w:rPr>
                <w:lang w:eastAsia="en-US"/>
              </w:rPr>
              <w:t> </w:t>
            </w:r>
            <w:r w:rsidRPr="00C610C5">
              <w:rPr>
                <w:lang w:eastAsia="en-US"/>
              </w:rPr>
              <w:t>%)</w:t>
            </w:r>
          </w:p>
        </w:tc>
      </w:tr>
      <w:tr w:rsidR="00C610C5" w:rsidRPr="00A74192" w:rsidTr="00646448">
        <w:tc>
          <w:tcPr>
            <w:tcW w:w="1015" w:type="pct"/>
          </w:tcPr>
          <w:p w:rsidR="00C610C5" w:rsidRPr="00A74192" w:rsidRDefault="00C610C5" w:rsidP="00F12A83">
            <w:pPr>
              <w:spacing w:line="240" w:lineRule="auto"/>
              <w:ind w:right="-19"/>
              <w:rPr>
                <w:rFonts w:cs="Arial"/>
                <w:sz w:val="16"/>
                <w:szCs w:val="16"/>
              </w:rPr>
            </w:pPr>
          </w:p>
        </w:tc>
        <w:tc>
          <w:tcPr>
            <w:tcW w:w="144" w:type="pct"/>
          </w:tcPr>
          <w:p w:rsidR="00C610C5" w:rsidRPr="00A74192" w:rsidRDefault="00C610C5" w:rsidP="00D94859">
            <w:pPr>
              <w:pStyle w:val="Textpoznpodarou"/>
              <w:jc w:val="both"/>
            </w:pPr>
          </w:p>
        </w:tc>
        <w:tc>
          <w:tcPr>
            <w:tcW w:w="3841" w:type="pct"/>
            <w:gridSpan w:val="2"/>
          </w:tcPr>
          <w:p w:rsidR="00C610C5" w:rsidRDefault="00DE1460" w:rsidP="00C610C5">
            <w:pPr>
              <w:pStyle w:val="Textpoznpodarou"/>
              <w:ind w:left="-54" w:right="-35"/>
              <w:jc w:val="both"/>
              <w:rPr>
                <w:sz w:val="14"/>
                <w:szCs w:val="14"/>
              </w:rPr>
            </w:pPr>
            <w:r w:rsidRPr="00DE1460">
              <w:rPr>
                <w:noProof/>
                <w:sz w:val="14"/>
                <w:szCs w:val="14"/>
              </w:rPr>
              <w:drawing>
                <wp:inline distT="0" distB="0" distL="0" distR="0">
                  <wp:extent cx="4737600" cy="3553200"/>
                  <wp:effectExtent l="0" t="0" r="0" b="0"/>
                  <wp:docPr id="3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81851" w:rsidRPr="00DE1460" w:rsidRDefault="00C610C5" w:rsidP="00F02A72">
            <w:pPr>
              <w:pStyle w:val="Textpoznpodarou"/>
              <w:ind w:left="-54" w:right="-35"/>
              <w:jc w:val="right"/>
              <w:rPr>
                <w:sz w:val="14"/>
                <w:szCs w:val="14"/>
              </w:rPr>
            </w:pPr>
            <w:r w:rsidRPr="00DE1460">
              <w:rPr>
                <w:sz w:val="14"/>
                <w:szCs w:val="14"/>
              </w:rPr>
              <w:t>Zdroj: ČSÚ</w:t>
            </w:r>
          </w:p>
        </w:tc>
      </w:tr>
    </w:tbl>
    <w:p w:rsidR="00D84BD1" w:rsidRDefault="00D84BD1" w:rsidP="00D84BD1">
      <w:pPr>
        <w:rPr>
          <w:szCs w:val="20"/>
        </w:rPr>
      </w:pPr>
    </w:p>
    <w:p w:rsidR="00365E26" w:rsidRPr="00365E26" w:rsidRDefault="00365E26" w:rsidP="00D84BD1">
      <w:pPr>
        <w:rPr>
          <w:szCs w:val="20"/>
        </w:rPr>
      </w:pPr>
    </w:p>
    <w:p w:rsidR="00D84BD1" w:rsidRDefault="00D84BD1" w:rsidP="00D84BD1">
      <w:pPr>
        <w:pStyle w:val="Nadpis1"/>
        <w:numPr>
          <w:ilvl w:val="0"/>
          <w:numId w:val="12"/>
        </w:numPr>
      </w:pPr>
      <w:bookmarkStart w:id="14" w:name="_Toc454185153"/>
      <w:bookmarkStart w:id="15" w:name="_Toc485271459"/>
      <w:r w:rsidRPr="0051593C">
        <w:lastRenderedPageBreak/>
        <w:t>Trh práce</w:t>
      </w:r>
      <w:bookmarkEnd w:id="14"/>
      <w:bookmarkEnd w:id="15"/>
    </w:p>
    <w:tbl>
      <w:tblPr>
        <w:tblW w:w="4963" w:type="pct"/>
        <w:tblInd w:w="108" w:type="dxa"/>
        <w:tblLayout w:type="fixed"/>
        <w:tblLook w:val="00A0"/>
      </w:tblPr>
      <w:tblGrid>
        <w:gridCol w:w="1932"/>
        <w:gridCol w:w="282"/>
        <w:gridCol w:w="7567"/>
      </w:tblGrid>
      <w:tr w:rsidR="003D6B55" w:rsidRPr="00893F0C" w:rsidTr="00A0172C">
        <w:tc>
          <w:tcPr>
            <w:tcW w:w="988" w:type="pct"/>
          </w:tcPr>
          <w:p w:rsidR="003D6B55" w:rsidRPr="003A34E8" w:rsidRDefault="003D6B55" w:rsidP="00A0172C">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Na trhu práce nadále převládaly pozitivní tendence.</w:t>
            </w: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F02A72" w:rsidRDefault="003D6B55" w:rsidP="00A0172C">
            <w:pPr>
              <w:pStyle w:val="Textpoznpodarou"/>
              <w:jc w:val="both"/>
              <w:rPr>
                <w:rFonts w:cs="Arial"/>
                <w:color w:val="0D0D0D" w:themeColor="text1" w:themeTint="F2"/>
                <w:spacing w:val="-2"/>
              </w:rPr>
            </w:pPr>
            <w:r w:rsidRPr="00F02A72">
              <w:rPr>
                <w:rFonts w:cs="Arial"/>
                <w:color w:val="0D0D0D" w:themeColor="text1" w:themeTint="F2"/>
                <w:spacing w:val="-2"/>
              </w:rPr>
              <w:t>Přetrvávající růst ekonomiky se nadále výrazně pozitivně odrážel na trhu práce. Pokračoval svižný růst zaměstnanosti doprovázený další redukcí stavu nezaměstnaných. Počet volných pracovních míst evidovaných úřady práce (ÚP) dosáhl během jarního období historického rekordu. Větší redukci počtu evidovaných uchazečů o práci nadále bránil územní i kvalifikační nesoulad mezi nabízenými místy a nezaměstnanými žadateli. Česko si udrželo výsadní postavení mezi státy Unie, pokud jde o celkovou míru nezaměstnanosti, resp. míru zaměstnanosti mužů.</w:t>
            </w:r>
          </w:p>
          <w:p w:rsidR="003D6B55" w:rsidRPr="00F02A72" w:rsidRDefault="003D6B55" w:rsidP="00A0172C">
            <w:pPr>
              <w:pStyle w:val="Textpoznpodarou"/>
              <w:jc w:val="both"/>
              <w:rPr>
                <w:rFonts w:cs="Arial"/>
                <w:color w:val="0D0D0D" w:themeColor="text1" w:themeTint="F2"/>
                <w:spacing w:val="-2"/>
                <w:sz w:val="14"/>
                <w:szCs w:val="14"/>
              </w:rPr>
            </w:pPr>
          </w:p>
        </w:tc>
      </w:tr>
      <w:tr w:rsidR="003D6B55" w:rsidRPr="007D17B9" w:rsidTr="00A0172C">
        <w:tc>
          <w:tcPr>
            <w:tcW w:w="988" w:type="pct"/>
          </w:tcPr>
          <w:p w:rsidR="003D6B55" w:rsidRDefault="003D6B55" w:rsidP="00A0172C">
            <w:pPr>
              <w:spacing w:line="240" w:lineRule="auto"/>
              <w:rPr>
                <w:rFonts w:cs="Arial"/>
                <w:bCs/>
                <w:iCs/>
                <w:color w:val="0D0D0D" w:themeColor="text1" w:themeTint="F2"/>
                <w:spacing w:val="-2"/>
                <w:sz w:val="16"/>
                <w:szCs w:val="16"/>
              </w:rPr>
            </w:pPr>
            <w:r w:rsidRPr="00126FEA">
              <w:rPr>
                <w:rFonts w:cs="Arial"/>
                <w:bCs/>
                <w:iCs/>
                <w:color w:val="0D0D0D" w:themeColor="text1" w:themeTint="F2"/>
                <w:spacing w:val="-2"/>
                <w:sz w:val="16"/>
                <w:szCs w:val="16"/>
              </w:rPr>
              <w:t>Tempo růstu celkové zaměstnanosti oproti silném</w:t>
            </w:r>
            <w:r>
              <w:rPr>
                <w:rFonts w:cs="Arial"/>
                <w:bCs/>
                <w:iCs/>
                <w:color w:val="0D0D0D" w:themeColor="text1" w:themeTint="F2"/>
                <w:spacing w:val="-2"/>
                <w:sz w:val="16"/>
                <w:szCs w:val="16"/>
              </w:rPr>
              <w:t>u loňskému roku zatím výrazněji nepolevovalo.</w:t>
            </w:r>
          </w:p>
          <w:p w:rsidR="003D6B55" w:rsidRDefault="003D6B55" w:rsidP="00A0172C">
            <w:pPr>
              <w:spacing w:line="240" w:lineRule="auto"/>
              <w:rPr>
                <w:rFonts w:cs="Arial"/>
                <w:bCs/>
                <w:iCs/>
                <w:color w:val="0D0D0D" w:themeColor="text1" w:themeTint="F2"/>
                <w:spacing w:val="-2"/>
                <w:sz w:val="16"/>
                <w:szCs w:val="16"/>
              </w:rPr>
            </w:pPr>
          </w:p>
          <w:p w:rsidR="003D6B55" w:rsidRDefault="003D6B55" w:rsidP="00A0172C">
            <w:pPr>
              <w:spacing w:line="240" w:lineRule="auto"/>
              <w:rPr>
                <w:rFonts w:cs="Arial"/>
                <w:bCs/>
                <w:iCs/>
                <w:color w:val="0D0D0D" w:themeColor="text1" w:themeTint="F2"/>
                <w:spacing w:val="-2"/>
                <w:sz w:val="16"/>
                <w:szCs w:val="16"/>
              </w:rPr>
            </w:pPr>
          </w:p>
          <w:p w:rsidR="003D6B55" w:rsidRDefault="003D6B55" w:rsidP="00A0172C">
            <w:pPr>
              <w:spacing w:line="240" w:lineRule="auto"/>
              <w:rPr>
                <w:rFonts w:cs="Arial"/>
                <w:bCs/>
                <w:iCs/>
                <w:color w:val="0D0D0D" w:themeColor="text1" w:themeTint="F2"/>
                <w:spacing w:val="-2"/>
                <w:sz w:val="16"/>
                <w:szCs w:val="16"/>
              </w:rPr>
            </w:pPr>
          </w:p>
          <w:p w:rsidR="003D6B55" w:rsidRPr="00126FEA" w:rsidRDefault="003D6B55" w:rsidP="00A0172C">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Podíl podniků považujících nedostatek pracovní sí</w:t>
            </w:r>
            <w:r w:rsidR="00B853DC">
              <w:rPr>
                <w:rFonts w:cs="Arial"/>
                <w:bCs/>
                <w:iCs/>
                <w:color w:val="0D0D0D" w:themeColor="text1" w:themeTint="F2"/>
                <w:spacing w:val="-2"/>
                <w:sz w:val="16"/>
                <w:szCs w:val="16"/>
              </w:rPr>
              <w:t xml:space="preserve">ly za bariéru růstu byl blízký </w:t>
            </w:r>
            <w:r>
              <w:rPr>
                <w:rFonts w:cs="Arial"/>
                <w:bCs/>
                <w:iCs/>
                <w:color w:val="0D0D0D" w:themeColor="text1" w:themeTint="F2"/>
                <w:spacing w:val="-2"/>
                <w:sz w:val="16"/>
                <w:szCs w:val="16"/>
              </w:rPr>
              <w:t>rekordním hodnotám z konjunkturních let minulé dekády.</w:t>
            </w: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365E26" w:rsidRDefault="003D6B55" w:rsidP="00A0172C">
            <w:pPr>
              <w:pStyle w:val="Textpoznpodarou"/>
              <w:jc w:val="both"/>
            </w:pPr>
            <w:r w:rsidRPr="00365E26">
              <w:rPr>
                <w:rFonts w:cs="Arial"/>
                <w:color w:val="0D0D0D" w:themeColor="text1" w:themeTint="F2"/>
              </w:rPr>
              <w:t>Celková zaměstnanost</w:t>
            </w:r>
            <w:r w:rsidRPr="00365E26">
              <w:rPr>
                <w:rStyle w:val="Znakapoznpodarou"/>
                <w:color w:val="0D0D0D" w:themeColor="text1" w:themeTint="F2"/>
              </w:rPr>
              <w:footnoteReference w:id="24"/>
            </w:r>
            <w:r w:rsidRPr="00365E26">
              <w:rPr>
                <w:rFonts w:cs="Arial"/>
                <w:color w:val="0D0D0D" w:themeColor="text1" w:themeTint="F2"/>
              </w:rPr>
              <w:t xml:space="preserve"> se v 1. čtvrtletí nadále navyšovala, meziročně narostla o 1,5 %. O tom, že tempo růstu zaměstnanosti zatím výrazně neoslabuje, svědčí skutečnost, že oproti 4. čtvrtletí 2016 byla letos o 0,6 % vyšší. Práci mělo 5,33 mil. lidí, nejvíce v historii samostatné ČR. Rekordním hodnotám se však blížil i podíl podniků, které považují nedostatek zaměstnanců za bariéru svého růstu (v průmyslu šlo na počátku 2. čtvrtletí o 35 % podniků, o rok dříve </w:t>
            </w:r>
            <w:r w:rsidR="00B853DC">
              <w:rPr>
                <w:rFonts w:cs="Arial"/>
                <w:color w:val="0D0D0D" w:themeColor="text1" w:themeTint="F2"/>
              </w:rPr>
              <w:t xml:space="preserve">o </w:t>
            </w:r>
            <w:r w:rsidRPr="00365E26">
              <w:rPr>
                <w:rFonts w:cs="Arial"/>
                <w:color w:val="0D0D0D" w:themeColor="text1" w:themeTint="F2"/>
              </w:rPr>
              <w:t>17 %). Podniky se snažily využívat práceschopných skupin nezaměstnaných i ekonomicky neaktivních, ve větší míře spoléhaly i na pracovní sílu ze zahraničí</w:t>
            </w:r>
            <w:r w:rsidRPr="00365E26">
              <w:rPr>
                <w:rStyle w:val="Znakapoznpodarou"/>
                <w:color w:val="0D0D0D" w:themeColor="text1" w:themeTint="F2"/>
              </w:rPr>
              <w:footnoteReference w:id="25"/>
            </w:r>
            <w:r w:rsidRPr="00365E26">
              <w:rPr>
                <w:rFonts w:cs="Arial"/>
                <w:color w:val="0D0D0D" w:themeColor="text1" w:themeTint="F2"/>
              </w:rPr>
              <w:t>. Nasávání nových lidí na pracovní trh se odrazilo v pokračujícím růstu</w:t>
            </w:r>
            <w:r w:rsidR="00B853DC">
              <w:rPr>
                <w:rFonts w:cs="Arial"/>
                <w:color w:val="0D0D0D" w:themeColor="text1" w:themeTint="F2"/>
              </w:rPr>
              <w:t xml:space="preserve"> míry zaměstnanosti. Ve věku 15 až </w:t>
            </w:r>
            <w:r w:rsidRPr="00365E26">
              <w:rPr>
                <w:rFonts w:cs="Arial"/>
                <w:color w:val="0D0D0D" w:themeColor="text1" w:themeTint="F2"/>
              </w:rPr>
              <w:t xml:space="preserve">64 let mělo dle údajů VŠPS práci 72,8 % osob, meziročně o 1,8 </w:t>
            </w:r>
            <w:proofErr w:type="spellStart"/>
            <w:proofErr w:type="gramStart"/>
            <w:r w:rsidRPr="00365E26">
              <w:rPr>
                <w:rFonts w:cs="Arial"/>
                <w:color w:val="0D0D0D" w:themeColor="text1" w:themeTint="F2"/>
              </w:rPr>
              <w:t>p.b</w:t>
            </w:r>
            <w:proofErr w:type="spellEnd"/>
            <w:r w:rsidRPr="00365E26">
              <w:rPr>
                <w:rFonts w:cs="Arial"/>
                <w:color w:val="0D0D0D" w:themeColor="text1" w:themeTint="F2"/>
              </w:rPr>
              <w:t>. více</w:t>
            </w:r>
            <w:proofErr w:type="gramEnd"/>
            <w:r w:rsidRPr="00365E26">
              <w:rPr>
                <w:rFonts w:cs="Arial"/>
                <w:color w:val="0D0D0D" w:themeColor="text1" w:themeTint="F2"/>
              </w:rPr>
              <w:t xml:space="preserve">. Míra zaměstnanosti se v trendu zvyšuje již více než osm let, výrazněji sílí u žen. V pozadí toho stojí rychlejší zvyšování důchodového věku i růst zaměstnanosti ve službách. </w:t>
            </w:r>
          </w:p>
          <w:p w:rsidR="003D6B55" w:rsidRPr="00F02A72" w:rsidRDefault="003D6B55" w:rsidP="00A0172C">
            <w:pPr>
              <w:pStyle w:val="Textpoznpodarou"/>
              <w:jc w:val="both"/>
              <w:rPr>
                <w:spacing w:val="-2"/>
                <w:sz w:val="14"/>
                <w:szCs w:val="14"/>
              </w:rPr>
            </w:pPr>
          </w:p>
        </w:tc>
      </w:tr>
      <w:tr w:rsidR="003D6B55" w:rsidRPr="00893F0C" w:rsidTr="003D6B55">
        <w:tc>
          <w:tcPr>
            <w:tcW w:w="988" w:type="pct"/>
          </w:tcPr>
          <w:p w:rsidR="003D6B55" w:rsidRDefault="003D6B55" w:rsidP="00A0172C">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Těžiště tvorby nových pracovních míst se postupně přesunulo ze zpracovatelského průmyslu do sektoru služeb</w:t>
            </w:r>
            <w:r w:rsidR="00886DE2">
              <w:rPr>
                <w:rFonts w:cs="Arial"/>
                <w:bCs/>
                <w:iCs/>
                <w:color w:val="0D0D0D" w:themeColor="text1" w:themeTint="F2"/>
                <w:spacing w:val="-2"/>
                <w:sz w:val="16"/>
                <w:szCs w:val="16"/>
              </w:rPr>
              <w:t>,</w:t>
            </w:r>
            <w:r>
              <w:rPr>
                <w:rFonts w:cs="Arial"/>
                <w:bCs/>
                <w:iCs/>
                <w:color w:val="0D0D0D" w:themeColor="text1" w:themeTint="F2"/>
                <w:spacing w:val="-2"/>
                <w:sz w:val="16"/>
                <w:szCs w:val="16"/>
              </w:rPr>
              <w:t>…</w:t>
            </w:r>
          </w:p>
          <w:p w:rsidR="003D6B55" w:rsidRDefault="003D6B55" w:rsidP="00A0172C">
            <w:pPr>
              <w:spacing w:line="240" w:lineRule="auto"/>
              <w:rPr>
                <w:rFonts w:cs="Arial"/>
                <w:bCs/>
                <w:iCs/>
                <w:color w:val="0D0D0D" w:themeColor="text1" w:themeTint="F2"/>
                <w:spacing w:val="-2"/>
                <w:sz w:val="16"/>
                <w:szCs w:val="16"/>
              </w:rPr>
            </w:pPr>
          </w:p>
          <w:p w:rsidR="003D6B55" w:rsidRPr="00372465" w:rsidRDefault="003D6B55" w:rsidP="00A0172C">
            <w:pPr>
              <w:spacing w:line="240" w:lineRule="auto"/>
              <w:rPr>
                <w:rFonts w:cs="Arial"/>
                <w:bCs/>
                <w:iCs/>
                <w:color w:val="0D0D0D" w:themeColor="text1" w:themeTint="F2"/>
                <w:spacing w:val="-2"/>
                <w:sz w:val="16"/>
                <w:szCs w:val="16"/>
              </w:rPr>
            </w:pP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F02A72" w:rsidRDefault="003D6B55" w:rsidP="00A0172C">
            <w:pPr>
              <w:pStyle w:val="Textpoznpodarou"/>
              <w:jc w:val="both"/>
              <w:rPr>
                <w:rFonts w:cs="Arial"/>
                <w:color w:val="0D0D0D" w:themeColor="text1" w:themeTint="F2"/>
                <w:spacing w:val="-2"/>
              </w:rPr>
            </w:pPr>
            <w:r w:rsidRPr="00F02A72">
              <w:rPr>
                <w:rFonts w:cs="Arial"/>
                <w:color w:val="0D0D0D" w:themeColor="text1" w:themeTint="F2"/>
                <w:spacing w:val="-2"/>
              </w:rPr>
              <w:t>Na meziročně vyšší zaměstnanosti (+77 tis. os</w:t>
            </w:r>
            <w:r w:rsidR="00886DE2">
              <w:rPr>
                <w:rFonts w:cs="Arial"/>
                <w:color w:val="0D0D0D" w:themeColor="text1" w:themeTint="F2"/>
                <w:spacing w:val="-2"/>
              </w:rPr>
              <w:t>ob) měl dominantní vliv vývoj v</w:t>
            </w:r>
            <w:r w:rsidR="00886DE2" w:rsidRPr="00365E26">
              <w:rPr>
                <w:rFonts w:cs="Arial"/>
                <w:color w:val="0D0D0D" w:themeColor="text1" w:themeTint="F2"/>
              </w:rPr>
              <w:t> </w:t>
            </w:r>
            <w:r w:rsidRPr="00F02A72">
              <w:rPr>
                <w:rFonts w:cs="Arial"/>
                <w:color w:val="0D0D0D" w:themeColor="text1" w:themeTint="F2"/>
                <w:spacing w:val="-2"/>
              </w:rPr>
              <w:t xml:space="preserve">sektoru služeb. Již více než tři roky se však navyšovala zaměstnanost i ve zpracovatelském průmyslu, byť v posledních čtvrtletích růstová tempa oslabovala mj. i proto, že podniky zaplňovaly volná místa vhodnými uchazeči stále obtížněji. Těžiště tvorby nových pracovních míst </w:t>
            </w:r>
            <w:r w:rsidR="00886DE2">
              <w:rPr>
                <w:rFonts w:cs="Arial"/>
                <w:color w:val="0D0D0D" w:themeColor="text1" w:themeTint="F2"/>
                <w:spacing w:val="-2"/>
              </w:rPr>
              <w:t xml:space="preserve">v </w:t>
            </w:r>
            <w:r w:rsidRPr="00F02A72">
              <w:rPr>
                <w:rFonts w:cs="Arial"/>
                <w:color w:val="0D0D0D" w:themeColor="text1" w:themeTint="F2"/>
                <w:spacing w:val="-2"/>
              </w:rPr>
              <w:t>ekonomice se tak postupně přesunulo do služeb (na počátku roku 2016 byl přitom příspěvek služeb i zpracovatelského průmyslu k meziročnímu růstu celkové zaměstnanosti srovnatelný).</w:t>
            </w:r>
          </w:p>
          <w:p w:rsidR="003D6B55" w:rsidRPr="00F02A72" w:rsidRDefault="003D6B55" w:rsidP="00A0172C">
            <w:pPr>
              <w:pStyle w:val="Textpoznpodarou"/>
              <w:jc w:val="both"/>
              <w:rPr>
                <w:rFonts w:cs="Arial"/>
                <w:color w:val="0D0D0D" w:themeColor="text1" w:themeTint="F2"/>
                <w:spacing w:val="-2"/>
                <w:sz w:val="14"/>
                <w:szCs w:val="14"/>
              </w:rPr>
            </w:pPr>
          </w:p>
        </w:tc>
      </w:tr>
      <w:tr w:rsidR="003D6B55" w:rsidRPr="007D17B9" w:rsidTr="003D6B55">
        <w:tc>
          <w:tcPr>
            <w:tcW w:w="988" w:type="pct"/>
          </w:tcPr>
          <w:p w:rsidR="003D6B55" w:rsidRDefault="00886DE2" w:rsidP="003D6B55">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…kde se dařilo informačním a </w:t>
            </w:r>
            <w:r w:rsidR="003D6B55">
              <w:rPr>
                <w:rFonts w:cs="Arial"/>
                <w:bCs/>
                <w:iCs/>
                <w:color w:val="0D0D0D" w:themeColor="text1" w:themeTint="F2"/>
                <w:spacing w:val="-2"/>
                <w:sz w:val="16"/>
                <w:szCs w:val="16"/>
              </w:rPr>
              <w:t>komunikačním činnostem</w:t>
            </w:r>
            <w:r>
              <w:rPr>
                <w:rFonts w:cs="Arial"/>
                <w:bCs/>
                <w:iCs/>
                <w:color w:val="0D0D0D" w:themeColor="text1" w:themeTint="F2"/>
                <w:spacing w:val="-2"/>
                <w:sz w:val="16"/>
                <w:szCs w:val="16"/>
              </w:rPr>
              <w:t>,</w:t>
            </w:r>
            <w:r w:rsidR="003D6B55">
              <w:rPr>
                <w:rFonts w:cs="Arial"/>
                <w:bCs/>
                <w:iCs/>
                <w:color w:val="0D0D0D" w:themeColor="text1" w:themeTint="F2"/>
                <w:spacing w:val="-2"/>
                <w:sz w:val="16"/>
                <w:szCs w:val="16"/>
              </w:rPr>
              <w:t xml:space="preserve"> podobně jako profesním, vědeckým, technickým a administrativním činnostem.</w:t>
            </w:r>
          </w:p>
          <w:p w:rsidR="003D6B55" w:rsidRDefault="003D6B55" w:rsidP="003D6B55">
            <w:pPr>
              <w:spacing w:line="240" w:lineRule="auto"/>
              <w:rPr>
                <w:rFonts w:cs="Arial"/>
                <w:bCs/>
                <w:iCs/>
                <w:color w:val="0D0D0D" w:themeColor="text1" w:themeTint="F2"/>
                <w:spacing w:val="-2"/>
                <w:sz w:val="16"/>
                <w:szCs w:val="16"/>
              </w:rPr>
            </w:pPr>
          </w:p>
          <w:p w:rsidR="003D6B55" w:rsidRDefault="003D6B55" w:rsidP="003D6B55">
            <w:pPr>
              <w:spacing w:line="240" w:lineRule="auto"/>
              <w:rPr>
                <w:rFonts w:cs="Arial"/>
                <w:bCs/>
                <w:iCs/>
                <w:color w:val="0D0D0D" w:themeColor="text1" w:themeTint="F2"/>
                <w:spacing w:val="-2"/>
                <w:sz w:val="16"/>
                <w:szCs w:val="16"/>
              </w:rPr>
            </w:pPr>
          </w:p>
          <w:p w:rsidR="003D6B55" w:rsidRDefault="003D6B55" w:rsidP="003D6B55">
            <w:pPr>
              <w:spacing w:line="240" w:lineRule="auto"/>
              <w:rPr>
                <w:rFonts w:cs="Arial"/>
                <w:bCs/>
                <w:iCs/>
                <w:color w:val="0D0D0D" w:themeColor="text1" w:themeTint="F2"/>
                <w:spacing w:val="-2"/>
                <w:sz w:val="16"/>
                <w:szCs w:val="16"/>
              </w:rPr>
            </w:pPr>
          </w:p>
          <w:p w:rsidR="003D6B55" w:rsidRPr="00A245E8" w:rsidRDefault="003D6B55" w:rsidP="003D6B55">
            <w:pPr>
              <w:spacing w:line="240" w:lineRule="auto"/>
              <w:rPr>
                <w:rFonts w:cs="Arial"/>
                <w:bCs/>
                <w:iCs/>
                <w:color w:val="0D0D0D" w:themeColor="text1" w:themeTint="F2"/>
                <w:spacing w:val="-4"/>
                <w:sz w:val="16"/>
                <w:szCs w:val="16"/>
              </w:rPr>
            </w:pPr>
            <w:r>
              <w:rPr>
                <w:rFonts w:cs="Arial"/>
                <w:bCs/>
                <w:iCs/>
                <w:color w:val="0D0D0D" w:themeColor="text1" w:themeTint="F2"/>
                <w:spacing w:val="-2"/>
                <w:sz w:val="16"/>
                <w:szCs w:val="16"/>
              </w:rPr>
              <w:t>Dlouhodobá stabilizace zaměstnanosti v odvětví zemědělství, lesnictví a rybářství, nově i ve stavebnictví.</w:t>
            </w: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4464DC" w:rsidRDefault="003D6B55" w:rsidP="00A0172C">
            <w:pPr>
              <w:pStyle w:val="Textpoznpodarou"/>
              <w:jc w:val="both"/>
              <w:rPr>
                <w:rFonts w:cs="Arial"/>
                <w:color w:val="0D0D0D" w:themeColor="text1" w:themeTint="F2"/>
              </w:rPr>
            </w:pPr>
            <w:r w:rsidRPr="004464DC">
              <w:rPr>
                <w:rFonts w:cs="Arial"/>
                <w:color w:val="0D0D0D" w:themeColor="text1" w:themeTint="F2"/>
              </w:rPr>
              <w:t>V rámci služeb se počet pracovníků navýšil v drtivé většině odvětvových sekcí. Na silný loňský celoroční růst (+4,4 %) navázaly v 1. čtv</w:t>
            </w:r>
            <w:r w:rsidR="00886DE2" w:rsidRPr="004464DC">
              <w:rPr>
                <w:rFonts w:cs="Arial"/>
                <w:color w:val="0D0D0D" w:themeColor="text1" w:themeTint="F2"/>
              </w:rPr>
              <w:t>rtletí 2017 profesní, vědecké a </w:t>
            </w:r>
            <w:r w:rsidRPr="004464DC">
              <w:rPr>
                <w:rFonts w:cs="Arial"/>
                <w:color w:val="0D0D0D" w:themeColor="text1" w:themeTint="F2"/>
              </w:rPr>
              <w:t xml:space="preserve">technické činnosti (+5,7 %). Proti počátku konjunkturního roku 2008 </w:t>
            </w:r>
            <w:r w:rsidR="00886DE2" w:rsidRPr="004464DC">
              <w:rPr>
                <w:rFonts w:cs="Arial"/>
                <w:color w:val="0D0D0D" w:themeColor="text1" w:themeTint="F2"/>
              </w:rPr>
              <w:t xml:space="preserve">pracovalo </w:t>
            </w:r>
            <w:r w:rsidRPr="004464DC">
              <w:rPr>
                <w:rFonts w:cs="Arial"/>
                <w:color w:val="0D0D0D" w:themeColor="text1" w:themeTint="F2"/>
              </w:rPr>
              <w:t>v</w:t>
            </w:r>
            <w:r w:rsidR="00886DE2" w:rsidRPr="004464DC">
              <w:rPr>
                <w:rFonts w:cs="Arial"/>
                <w:color w:val="0D0D0D" w:themeColor="text1" w:themeTint="F2"/>
              </w:rPr>
              <w:t> </w:t>
            </w:r>
            <w:r w:rsidRPr="004464DC">
              <w:rPr>
                <w:rFonts w:cs="Arial"/>
                <w:color w:val="0D0D0D" w:themeColor="text1" w:themeTint="F2"/>
              </w:rPr>
              <w:t>tomto odvětví o sedminu lidí více (resp. 60 tis.). Střídmějších výsledků dosáhly v úhrnu obchod, doprava, ubytování a pohostinství (+2,2 % meziročně), vzhledem ke své váze však přispěly ze všech odvětvových uskupení k růstu zaměstnanosti v ekonomice nejvíce. Pokračoval rozvoj informačních a komunikačních činností (+4,3 %, od konce pos</w:t>
            </w:r>
            <w:r w:rsidR="00C16971" w:rsidRPr="004464DC">
              <w:rPr>
                <w:rFonts w:cs="Arial"/>
                <w:color w:val="0D0D0D" w:themeColor="text1" w:themeTint="F2"/>
              </w:rPr>
              <w:t>lední recese +14,2 %). Naopak podstatnějších pohybů nedoznala</w:t>
            </w:r>
            <w:r w:rsidRPr="004464DC">
              <w:rPr>
                <w:rFonts w:cs="Arial"/>
                <w:color w:val="0D0D0D" w:themeColor="text1" w:themeTint="F2"/>
              </w:rPr>
              <w:t xml:space="preserve"> zaměstnanost v peněžnictví a pojišťovnictví i v odvětvích s domina</w:t>
            </w:r>
            <w:r w:rsidR="002161D6" w:rsidRPr="004464DC">
              <w:rPr>
                <w:rFonts w:cs="Arial"/>
                <w:color w:val="0D0D0D" w:themeColor="text1" w:themeTint="F2"/>
              </w:rPr>
              <w:t>n</w:t>
            </w:r>
            <w:r w:rsidRPr="004464DC">
              <w:rPr>
                <w:rFonts w:cs="Arial"/>
                <w:color w:val="0D0D0D" w:themeColor="text1" w:themeTint="F2"/>
              </w:rPr>
              <w:t xml:space="preserve">cí státu (kde významnějšího růstu dosáhlo jen vzdělávání). Stabilizovaná zaměstnanost přetrvávala </w:t>
            </w:r>
            <w:r w:rsidR="00C16971" w:rsidRPr="004464DC">
              <w:rPr>
                <w:rFonts w:cs="Arial"/>
                <w:color w:val="0D0D0D" w:themeColor="text1" w:themeTint="F2"/>
              </w:rPr>
              <w:t>(</w:t>
            </w:r>
            <w:r w:rsidRPr="004464DC">
              <w:rPr>
                <w:rFonts w:cs="Arial"/>
                <w:color w:val="0D0D0D" w:themeColor="text1" w:themeTint="F2"/>
              </w:rPr>
              <w:t>po roce 2010</w:t>
            </w:r>
            <w:r w:rsidR="00C16971" w:rsidRPr="004464DC">
              <w:rPr>
                <w:rFonts w:cs="Arial"/>
                <w:color w:val="0D0D0D" w:themeColor="text1" w:themeTint="F2"/>
              </w:rPr>
              <w:t>)</w:t>
            </w:r>
            <w:r w:rsidRPr="004464DC">
              <w:rPr>
                <w:rFonts w:cs="Arial"/>
                <w:color w:val="0D0D0D" w:themeColor="text1" w:themeTint="F2"/>
              </w:rPr>
              <w:t xml:space="preserve"> </w:t>
            </w:r>
            <w:r w:rsidR="00C16971" w:rsidRPr="004464DC">
              <w:rPr>
                <w:rFonts w:cs="Arial"/>
                <w:color w:val="0D0D0D" w:themeColor="text1" w:themeTint="F2"/>
              </w:rPr>
              <w:t xml:space="preserve">i </w:t>
            </w:r>
            <w:r w:rsidRPr="004464DC">
              <w:rPr>
                <w:rFonts w:cs="Arial"/>
                <w:color w:val="0D0D0D" w:themeColor="text1" w:themeTint="F2"/>
              </w:rPr>
              <w:t>v o</w:t>
            </w:r>
            <w:r w:rsidR="004464DC">
              <w:rPr>
                <w:rFonts w:cs="Arial"/>
                <w:color w:val="0D0D0D" w:themeColor="text1" w:themeTint="F2"/>
              </w:rPr>
              <w:t>dvětví zemědělství, lesnictví a</w:t>
            </w:r>
            <w:r w:rsidR="004464DC" w:rsidRPr="004464DC">
              <w:rPr>
                <w:rFonts w:cs="Arial"/>
                <w:color w:val="0D0D0D" w:themeColor="text1" w:themeTint="F2"/>
              </w:rPr>
              <w:t> </w:t>
            </w:r>
            <w:r w:rsidRPr="004464DC">
              <w:rPr>
                <w:rFonts w:cs="Arial"/>
                <w:color w:val="0D0D0D" w:themeColor="text1" w:themeTint="F2"/>
              </w:rPr>
              <w:t>rybářství. Ve stavebnictví se o zastavení poklesu zaměstnanosti zasloužily vyšší počty podnikajících osob. Stavy zaměstnanců zde (stejně jako v primárním sektoru) ale nadále klesaly. Růst podnikatelské aktivity může souviset s oživením poptávky v pozemním stavitelství, zejm. menších zakázek (např. rekonstrukcí).</w:t>
            </w:r>
          </w:p>
          <w:p w:rsidR="003D6B55" w:rsidRPr="00F02A72" w:rsidRDefault="003D6B55" w:rsidP="00A0172C">
            <w:pPr>
              <w:pStyle w:val="Textpoznpodarou"/>
              <w:jc w:val="both"/>
              <w:rPr>
                <w:rFonts w:cs="Arial"/>
                <w:color w:val="0D0D0D" w:themeColor="text1" w:themeTint="F2"/>
                <w:spacing w:val="-2"/>
                <w:sz w:val="14"/>
                <w:szCs w:val="14"/>
              </w:rPr>
            </w:pPr>
          </w:p>
        </w:tc>
      </w:tr>
      <w:tr w:rsidR="003D6B55" w:rsidRPr="00893F0C" w:rsidTr="003D6B55">
        <w:tc>
          <w:tcPr>
            <w:tcW w:w="988" w:type="pct"/>
          </w:tcPr>
          <w:p w:rsidR="003D6B55" w:rsidRPr="00A245E8" w:rsidRDefault="003D6B55" w:rsidP="00A0172C">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Počet podnikatelů bez zaměstnanců meziročně rostl již čtvrtý kvartál v řadě, zvyšoval se napříč většiny odvětví.</w:t>
            </w: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F02A72" w:rsidRDefault="003D6B55" w:rsidP="00A0172C">
            <w:pPr>
              <w:pStyle w:val="Textpoznpodarou"/>
              <w:jc w:val="both"/>
              <w:rPr>
                <w:rFonts w:cs="Arial"/>
                <w:color w:val="0D0D0D" w:themeColor="text1" w:themeTint="F2"/>
                <w:spacing w:val="-2"/>
              </w:rPr>
            </w:pPr>
            <w:r w:rsidRPr="00F02A72">
              <w:rPr>
                <w:rFonts w:cs="Arial"/>
                <w:color w:val="0D0D0D" w:themeColor="text1" w:themeTint="F2"/>
                <w:spacing w:val="-2"/>
              </w:rPr>
              <w:t>Na růstu celkové zaměstnanosti se tradičně nejvíce podíleli zaměstnanci. Podobně jako po většinu loň</w:t>
            </w:r>
            <w:r w:rsidR="004464DC">
              <w:rPr>
                <w:rFonts w:cs="Arial"/>
                <w:color w:val="0D0D0D" w:themeColor="text1" w:themeTint="F2"/>
                <w:spacing w:val="-2"/>
              </w:rPr>
              <w:t xml:space="preserve">ského roku však v úhrnu přispěly i </w:t>
            </w:r>
            <w:proofErr w:type="spellStart"/>
            <w:r w:rsidR="004464DC">
              <w:rPr>
                <w:rFonts w:cs="Arial"/>
                <w:color w:val="0D0D0D" w:themeColor="text1" w:themeTint="F2"/>
                <w:spacing w:val="-2"/>
              </w:rPr>
              <w:t>sebezaměstnané</w:t>
            </w:r>
            <w:proofErr w:type="spellEnd"/>
            <w:r w:rsidR="004464DC">
              <w:rPr>
                <w:rFonts w:cs="Arial"/>
                <w:color w:val="0D0D0D" w:themeColor="text1" w:themeTint="F2"/>
                <w:spacing w:val="-2"/>
              </w:rPr>
              <w:t xml:space="preserve"> osoby. Z</w:t>
            </w:r>
            <w:r w:rsidR="004464DC" w:rsidRPr="004464DC">
              <w:rPr>
                <w:rFonts w:cs="Arial"/>
                <w:color w:val="0D0D0D" w:themeColor="text1" w:themeTint="F2"/>
              </w:rPr>
              <w:t> </w:t>
            </w:r>
            <w:r w:rsidRPr="00F02A72">
              <w:rPr>
                <w:rFonts w:cs="Arial"/>
                <w:color w:val="0D0D0D" w:themeColor="text1" w:themeTint="F2"/>
                <w:spacing w:val="-2"/>
              </w:rPr>
              <w:t>detailnějších údajů VŠPS plyne, že se navyšovaly stavy podnikatelů bez zaměstnanců (již čtvrtý kvartál v řadě, v 1. čtvrtletí meziročně o 5,6 %). Počet podnikatelů se zaměstnanci na počátku roku stagnoval a na příznivější loňský vývoj tak nenavázal.</w:t>
            </w:r>
          </w:p>
          <w:p w:rsidR="003D6B55" w:rsidRPr="00F02A72" w:rsidRDefault="003D6B55" w:rsidP="00A0172C">
            <w:pPr>
              <w:pStyle w:val="Textpoznpodarou"/>
              <w:jc w:val="both"/>
              <w:rPr>
                <w:rFonts w:cs="Arial"/>
                <w:color w:val="0D0D0D" w:themeColor="text1" w:themeTint="F2"/>
                <w:spacing w:val="-2"/>
                <w:sz w:val="14"/>
                <w:szCs w:val="14"/>
              </w:rPr>
            </w:pPr>
          </w:p>
        </w:tc>
      </w:tr>
      <w:tr w:rsidR="003D6B55" w:rsidRPr="009330A5" w:rsidTr="003D6B55">
        <w:tc>
          <w:tcPr>
            <w:tcW w:w="988" w:type="pct"/>
          </w:tcPr>
          <w:p w:rsidR="003D6B55" w:rsidRPr="00F71F0F" w:rsidRDefault="003D6B55" w:rsidP="00A0172C">
            <w:pPr>
              <w:spacing w:line="240" w:lineRule="auto"/>
              <w:rPr>
                <w:rFonts w:cs="Arial"/>
                <w:bCs/>
                <w:iCs/>
                <w:color w:val="0D0D0D" w:themeColor="text1" w:themeTint="F2"/>
                <w:sz w:val="16"/>
                <w:szCs w:val="16"/>
              </w:rPr>
            </w:pPr>
            <w:r w:rsidRPr="00F71F0F">
              <w:rPr>
                <w:rFonts w:cs="Arial"/>
                <w:bCs/>
                <w:iCs/>
                <w:color w:val="0D0D0D" w:themeColor="text1" w:themeTint="F2"/>
                <w:sz w:val="16"/>
                <w:szCs w:val="16"/>
              </w:rPr>
              <w:t>Růst produktivit</w:t>
            </w:r>
            <w:r w:rsidR="00886DE2">
              <w:rPr>
                <w:rFonts w:cs="Arial"/>
                <w:bCs/>
                <w:iCs/>
                <w:color w:val="0D0D0D" w:themeColor="text1" w:themeTint="F2"/>
                <w:sz w:val="16"/>
                <w:szCs w:val="16"/>
              </w:rPr>
              <w:t>y práce se po méně příznivém výv</w:t>
            </w:r>
            <w:r w:rsidRPr="00F71F0F">
              <w:rPr>
                <w:rFonts w:cs="Arial"/>
                <w:bCs/>
                <w:iCs/>
                <w:color w:val="0D0D0D" w:themeColor="text1" w:themeTint="F2"/>
                <w:sz w:val="16"/>
                <w:szCs w:val="16"/>
              </w:rPr>
              <w:t xml:space="preserve">oji v průběhu loňského roku letos </w:t>
            </w:r>
            <w:r w:rsidRPr="00F71F0F">
              <w:rPr>
                <w:rFonts w:cs="Arial"/>
                <w:bCs/>
                <w:iCs/>
                <w:color w:val="0D0D0D" w:themeColor="text1" w:themeTint="F2"/>
                <w:sz w:val="16"/>
                <w:szCs w:val="16"/>
              </w:rPr>
              <w:lastRenderedPageBreak/>
              <w:t>opět obnovil.</w:t>
            </w: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F02A72" w:rsidRDefault="003D6B55" w:rsidP="00A0172C">
            <w:pPr>
              <w:pStyle w:val="Textpoznpodarou"/>
              <w:jc w:val="both"/>
              <w:rPr>
                <w:rFonts w:cs="Arial"/>
                <w:color w:val="0D0D0D" w:themeColor="text1" w:themeTint="F2"/>
                <w:spacing w:val="-2"/>
              </w:rPr>
            </w:pPr>
            <w:r w:rsidRPr="00F02A72">
              <w:rPr>
                <w:rFonts w:cs="Arial"/>
                <w:color w:val="0D0D0D" w:themeColor="text1" w:themeTint="F2"/>
                <w:spacing w:val="-2"/>
              </w:rPr>
              <w:t xml:space="preserve">V 1.čtvrtletí se příznivě vyvíjela produktivita práce. Zatímco v druhé polovině roku 2016 se její pozitivní vývoj po 11 čtvrtletích zastavil, situace na počátku letošního roku by mohla naznačovat návrat na růstovou trajektorii. Hrubá přidaná hodnota </w:t>
            </w:r>
            <w:r w:rsidRPr="00F02A72">
              <w:rPr>
                <w:rFonts w:cs="Arial"/>
                <w:color w:val="0D0D0D" w:themeColor="text1" w:themeTint="F2"/>
                <w:spacing w:val="-2"/>
              </w:rPr>
              <w:lastRenderedPageBreak/>
              <w:t>(HPH) meziročně vzrostla skoro dvojnásobným tempem než celková zaměstnanost. HPH v relaci na odpracovanou h</w:t>
            </w:r>
            <w:r w:rsidR="00FF54B4">
              <w:rPr>
                <w:rFonts w:cs="Arial"/>
                <w:color w:val="0D0D0D" w:themeColor="text1" w:themeTint="F2"/>
                <w:spacing w:val="-2"/>
              </w:rPr>
              <w:t>odinu jen stagnovala, i tak</w:t>
            </w:r>
            <w:r w:rsidRPr="00F02A72">
              <w:rPr>
                <w:rFonts w:cs="Arial"/>
                <w:color w:val="0D0D0D" w:themeColor="text1" w:themeTint="F2"/>
                <w:spacing w:val="-2"/>
              </w:rPr>
              <w:t xml:space="preserve"> šlo o lepší výsledek než za celý rok 2016 (-0,5 %). Pokračoval svižný růst hodinové produktivity v odvětví zemědělství, le</w:t>
            </w:r>
            <w:r w:rsidR="00FF54B4">
              <w:rPr>
                <w:rFonts w:cs="Arial"/>
                <w:color w:val="0D0D0D" w:themeColor="text1" w:themeTint="F2"/>
                <w:spacing w:val="-2"/>
              </w:rPr>
              <w:t xml:space="preserve">snictví a rybářství, zčásti </w:t>
            </w:r>
            <w:r w:rsidRPr="00F02A72">
              <w:rPr>
                <w:rFonts w:cs="Arial"/>
                <w:color w:val="0D0D0D" w:themeColor="text1" w:themeTint="F2"/>
                <w:spacing w:val="-2"/>
              </w:rPr>
              <w:t>i ve zpracovatelském průmyslu (+2,8 %).</w:t>
            </w:r>
          </w:p>
        </w:tc>
      </w:tr>
    </w:tbl>
    <w:p w:rsidR="00D84BD1" w:rsidRDefault="00D84BD1" w:rsidP="00D84BD1">
      <w:pPr>
        <w:rPr>
          <w:sz w:val="16"/>
          <w:szCs w:val="16"/>
          <w:lang w:eastAsia="ar-SA"/>
        </w:rPr>
      </w:pPr>
    </w:p>
    <w:tbl>
      <w:tblPr>
        <w:tblW w:w="4963" w:type="pct"/>
        <w:tblInd w:w="108" w:type="dxa"/>
        <w:tblLayout w:type="fixed"/>
        <w:tblLook w:val="00A0"/>
      </w:tblPr>
      <w:tblGrid>
        <w:gridCol w:w="1997"/>
        <w:gridCol w:w="284"/>
        <w:gridCol w:w="1119"/>
        <w:gridCol w:w="6381"/>
      </w:tblGrid>
      <w:tr w:rsidR="00D84BD1" w:rsidRPr="00AA4A76" w:rsidTr="003D6B55">
        <w:trPr>
          <w:trHeight w:val="145"/>
        </w:trPr>
        <w:tc>
          <w:tcPr>
            <w:tcW w:w="1021" w:type="pct"/>
            <w:shd w:val="clear" w:color="auto" w:fill="auto"/>
          </w:tcPr>
          <w:p w:rsidR="00D84BD1" w:rsidRPr="00AA4A76" w:rsidRDefault="00D84BD1" w:rsidP="00D84BD1">
            <w:pPr>
              <w:spacing w:line="240" w:lineRule="auto"/>
              <w:jc w:val="center"/>
              <w:rPr>
                <w:color w:val="000000"/>
                <w:szCs w:val="20"/>
              </w:rPr>
            </w:pPr>
          </w:p>
        </w:tc>
        <w:tc>
          <w:tcPr>
            <w:tcW w:w="145" w:type="pct"/>
          </w:tcPr>
          <w:p w:rsidR="00D84BD1" w:rsidRPr="00AA4A76" w:rsidRDefault="00D84BD1" w:rsidP="00D84BD1">
            <w:pPr>
              <w:pStyle w:val="Textpoznpodarou"/>
              <w:jc w:val="both"/>
              <w:rPr>
                <w:highlight w:val="yellow"/>
              </w:rPr>
            </w:pPr>
          </w:p>
        </w:tc>
        <w:tc>
          <w:tcPr>
            <w:tcW w:w="572" w:type="pct"/>
          </w:tcPr>
          <w:p w:rsidR="00D84BD1" w:rsidRPr="00AA4A76" w:rsidRDefault="00D84BD1" w:rsidP="00D84BD1">
            <w:pPr>
              <w:pStyle w:val="Textpoznpodarou"/>
              <w:jc w:val="both"/>
              <w:rPr>
                <w:highlight w:val="yellow"/>
              </w:rPr>
            </w:pPr>
            <w:r>
              <w:rPr>
                <w:color w:val="000000"/>
              </w:rPr>
              <w:t>Graf č. 15</w:t>
            </w:r>
          </w:p>
        </w:tc>
        <w:tc>
          <w:tcPr>
            <w:tcW w:w="3262" w:type="pct"/>
          </w:tcPr>
          <w:p w:rsidR="00D84BD1" w:rsidRPr="000117D0" w:rsidRDefault="00D84BD1" w:rsidP="00ED2B0B">
            <w:pPr>
              <w:pStyle w:val="Textpoznpodarou"/>
              <w:rPr>
                <w:b/>
                <w:lang w:eastAsia="en-US"/>
              </w:rPr>
            </w:pPr>
            <w:r>
              <w:rPr>
                <w:b/>
                <w:lang w:eastAsia="en-US"/>
              </w:rPr>
              <w:t>Poče</w:t>
            </w:r>
            <w:r w:rsidR="00535F78">
              <w:rPr>
                <w:b/>
                <w:lang w:eastAsia="en-US"/>
              </w:rPr>
              <w:t>t pracovníků</w:t>
            </w:r>
            <w:r>
              <w:rPr>
                <w:b/>
                <w:lang w:eastAsia="en-US"/>
              </w:rPr>
              <w:t xml:space="preserve"> ve vybraných odvětvích </w:t>
            </w:r>
            <w:r w:rsidRPr="00886A8F">
              <w:rPr>
                <w:b/>
                <w:lang w:eastAsia="en-US"/>
              </w:rPr>
              <w:t xml:space="preserve">a </w:t>
            </w:r>
            <w:r>
              <w:rPr>
                <w:b/>
                <w:lang w:eastAsia="en-US"/>
              </w:rPr>
              <w:t xml:space="preserve">celkový počet </w:t>
            </w:r>
            <w:r w:rsidRPr="00886A8F">
              <w:rPr>
                <w:b/>
                <w:lang w:eastAsia="en-US"/>
              </w:rPr>
              <w:t xml:space="preserve">zaměstnanců </w:t>
            </w:r>
            <w:r>
              <w:rPr>
                <w:spacing w:val="-4"/>
                <w:lang w:eastAsia="en-US"/>
              </w:rPr>
              <w:t>(</w:t>
            </w:r>
            <w:r w:rsidRPr="00582DA0">
              <w:rPr>
                <w:spacing w:val="-4"/>
                <w:lang w:eastAsia="en-US"/>
              </w:rPr>
              <w:t>dle</w:t>
            </w:r>
            <w:r>
              <w:rPr>
                <w:spacing w:val="-4"/>
                <w:lang w:eastAsia="en-US"/>
              </w:rPr>
              <w:t xml:space="preserve"> národních účtů</w:t>
            </w:r>
            <w:r w:rsidRPr="00582DA0">
              <w:rPr>
                <w:spacing w:val="-4"/>
                <w:lang w:eastAsia="en-US"/>
              </w:rPr>
              <w:t xml:space="preserve">, </w:t>
            </w:r>
            <w:r w:rsidR="00535F78">
              <w:rPr>
                <w:spacing w:val="-4"/>
                <w:lang w:eastAsia="en-US"/>
              </w:rPr>
              <w:t xml:space="preserve">sezónně očištěno, </w:t>
            </w:r>
            <w:r w:rsidR="00535F78" w:rsidRPr="00E62A33">
              <w:rPr>
                <w:spacing w:val="-2"/>
              </w:rPr>
              <w:t>meziročně</w:t>
            </w:r>
            <w:r w:rsidR="00535F78" w:rsidRPr="00E62A33">
              <w:rPr>
                <w:bCs/>
                <w:spacing w:val="-2"/>
              </w:rPr>
              <w:t xml:space="preserve"> v %)</w:t>
            </w:r>
          </w:p>
        </w:tc>
      </w:tr>
      <w:tr w:rsidR="00D84BD1" w:rsidRPr="00AA4A76" w:rsidTr="003D6B55">
        <w:trPr>
          <w:trHeight w:val="145"/>
        </w:trPr>
        <w:tc>
          <w:tcPr>
            <w:tcW w:w="1021" w:type="pct"/>
            <w:shd w:val="clear" w:color="auto" w:fill="auto"/>
          </w:tcPr>
          <w:p w:rsidR="00D84BD1" w:rsidRPr="006D3F53" w:rsidRDefault="00D84BD1" w:rsidP="00D84BD1">
            <w:pPr>
              <w:spacing w:line="240" w:lineRule="auto"/>
              <w:rPr>
                <w:color w:val="000000"/>
                <w:sz w:val="16"/>
                <w:szCs w:val="16"/>
                <w:highlight w:val="yellow"/>
              </w:rPr>
            </w:pPr>
          </w:p>
        </w:tc>
        <w:tc>
          <w:tcPr>
            <w:tcW w:w="145" w:type="pct"/>
          </w:tcPr>
          <w:p w:rsidR="00D84BD1" w:rsidRPr="00A74192" w:rsidRDefault="00D84BD1" w:rsidP="00D84BD1">
            <w:pPr>
              <w:pStyle w:val="Textpoznpodarou"/>
              <w:jc w:val="both"/>
            </w:pPr>
          </w:p>
        </w:tc>
        <w:tc>
          <w:tcPr>
            <w:tcW w:w="3834" w:type="pct"/>
            <w:gridSpan w:val="2"/>
          </w:tcPr>
          <w:p w:rsidR="00D84BD1" w:rsidRPr="00ED2B0B" w:rsidRDefault="00ED2B0B" w:rsidP="00ED2B0B">
            <w:pPr>
              <w:pStyle w:val="Textpoznpodarou"/>
              <w:ind w:left="-124"/>
              <w:jc w:val="right"/>
              <w:rPr>
                <w:sz w:val="16"/>
                <w:szCs w:val="16"/>
              </w:rPr>
            </w:pPr>
            <w:r w:rsidRPr="00ED2B0B">
              <w:rPr>
                <w:noProof/>
                <w:sz w:val="14"/>
                <w:szCs w:val="14"/>
              </w:rPr>
              <w:drawing>
                <wp:inline distT="0" distB="0" distL="0" distR="0">
                  <wp:extent cx="4737600" cy="3553200"/>
                  <wp:effectExtent l="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84BD1" w:rsidRPr="00ED2B0B">
              <w:rPr>
                <w:sz w:val="14"/>
                <w:szCs w:val="14"/>
              </w:rPr>
              <w:t>Zdroj: ČSÚ</w:t>
            </w:r>
          </w:p>
        </w:tc>
      </w:tr>
    </w:tbl>
    <w:p w:rsidR="00D84BD1" w:rsidRDefault="00D84BD1" w:rsidP="00D84BD1">
      <w:pPr>
        <w:rPr>
          <w:sz w:val="18"/>
          <w:szCs w:val="18"/>
          <w:lang w:eastAsia="ar-SA"/>
        </w:rPr>
      </w:pPr>
    </w:p>
    <w:tbl>
      <w:tblPr>
        <w:tblW w:w="4963" w:type="pct"/>
        <w:tblInd w:w="108" w:type="dxa"/>
        <w:tblLayout w:type="fixed"/>
        <w:tblLook w:val="00A0"/>
      </w:tblPr>
      <w:tblGrid>
        <w:gridCol w:w="1932"/>
        <w:gridCol w:w="282"/>
        <w:gridCol w:w="7567"/>
      </w:tblGrid>
      <w:tr w:rsidR="003D6B55" w:rsidRPr="007D17B9" w:rsidTr="00A0172C">
        <w:tc>
          <w:tcPr>
            <w:tcW w:w="988" w:type="pct"/>
          </w:tcPr>
          <w:p w:rsidR="003D6B55" w:rsidRDefault="003D6B55" w:rsidP="00A0172C">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Obecná míra nezaměstnanosti se nadále redukovala na nové absolutní minimum, volných pracovních míst přibylo v rámci prvních čtvrtletí nejvíce v historii ČR.</w:t>
            </w:r>
          </w:p>
          <w:p w:rsidR="003D6B55" w:rsidRDefault="003D6B55" w:rsidP="00A0172C">
            <w:pPr>
              <w:spacing w:line="240" w:lineRule="auto"/>
              <w:rPr>
                <w:rFonts w:cs="Arial"/>
                <w:bCs/>
                <w:iCs/>
                <w:color w:val="0D0D0D" w:themeColor="text1" w:themeTint="F2"/>
                <w:spacing w:val="-4"/>
                <w:sz w:val="16"/>
                <w:szCs w:val="16"/>
              </w:rPr>
            </w:pPr>
          </w:p>
          <w:p w:rsidR="003D6B55" w:rsidRPr="00E23B96" w:rsidRDefault="003D6B55" w:rsidP="00F853A5">
            <w:pPr>
              <w:spacing w:line="240" w:lineRule="auto"/>
              <w:rPr>
                <w:rFonts w:cs="Arial"/>
                <w:bCs/>
                <w:iCs/>
                <w:color w:val="0D0D0D" w:themeColor="text1" w:themeTint="F2"/>
                <w:spacing w:val="-4"/>
                <w:sz w:val="16"/>
                <w:szCs w:val="16"/>
              </w:rPr>
            </w:pP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535F78" w:rsidRDefault="003D6B55" w:rsidP="00A0172C">
            <w:pPr>
              <w:pStyle w:val="Textpoznpodarou"/>
              <w:jc w:val="both"/>
              <w:rPr>
                <w:rFonts w:cs="Arial"/>
                <w:color w:val="0D0D0D" w:themeColor="text1" w:themeTint="F2"/>
              </w:rPr>
            </w:pPr>
            <w:r w:rsidRPr="00535F78">
              <w:rPr>
                <w:rFonts w:cs="Arial"/>
                <w:color w:val="0D0D0D" w:themeColor="text1" w:themeTint="F2"/>
              </w:rPr>
              <w:t>Obecná míra nezaměstnanosti nadále klesala a v březnu dosáhla dle sezónně očištěných údajů 3,4 % (u mužů 2,5 %). Nezaměstnanost byla rekordně nízká nejen v historii ČR, ale i v kontextu všech zemí EU (tento stav trval již více než rok, u mužů téměř tři roky). Redukci nezaměstnanosti doprovází neustále se rozšiřující nabídka neobsazených pracovních míst. Jejich počet v evidenci ÚP na počátku roku zrychlil. Zatímco ÚP nabízely na konci loňského roku 132,5 tis. volných pozic, na sklonku letošního března již 150,9 tis. (v květnu dokonce rekordních</w:t>
            </w:r>
            <w:r w:rsidR="00D875B6">
              <w:rPr>
                <w:rFonts w:cs="Arial"/>
                <w:color w:val="0D0D0D" w:themeColor="text1" w:themeTint="F2"/>
              </w:rPr>
              <w:t xml:space="preserve"> </w:t>
            </w:r>
            <w:r w:rsidRPr="00535F78">
              <w:rPr>
                <w:rFonts w:cs="Arial"/>
                <w:color w:val="0D0D0D" w:themeColor="text1" w:themeTint="F2"/>
              </w:rPr>
              <w:t xml:space="preserve">174,0 tis.). Letošní navýšení volných míst bylo v rámci 1. čtvrtletí rovněž nejvyšší od doby sledování. </w:t>
            </w:r>
          </w:p>
          <w:p w:rsidR="003D6B55" w:rsidRPr="00F02A72" w:rsidRDefault="003D6B55" w:rsidP="00A0172C">
            <w:pPr>
              <w:pStyle w:val="Textpoznpodarou"/>
              <w:jc w:val="both"/>
              <w:rPr>
                <w:rFonts w:cs="Arial"/>
                <w:color w:val="0D0D0D" w:themeColor="text1" w:themeTint="F2"/>
                <w:spacing w:val="-2"/>
                <w:sz w:val="14"/>
                <w:szCs w:val="14"/>
              </w:rPr>
            </w:pPr>
          </w:p>
        </w:tc>
      </w:tr>
      <w:tr w:rsidR="003D6B55" w:rsidRPr="00893F0C" w:rsidTr="00A0172C">
        <w:tc>
          <w:tcPr>
            <w:tcW w:w="988" w:type="pct"/>
          </w:tcPr>
          <w:p w:rsidR="00F853A5" w:rsidRDefault="00F853A5" w:rsidP="00F853A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V šestině okresů evidovaly ÚP převis nabídky volných pozic nad počtem uchazečů.</w:t>
            </w:r>
          </w:p>
          <w:p w:rsidR="00F853A5" w:rsidRDefault="00F853A5" w:rsidP="00F853A5">
            <w:pPr>
              <w:spacing w:line="240" w:lineRule="auto"/>
              <w:rPr>
                <w:rFonts w:cs="Arial"/>
                <w:bCs/>
                <w:iCs/>
                <w:color w:val="0D0D0D" w:themeColor="text1" w:themeTint="F2"/>
                <w:spacing w:val="-4"/>
                <w:sz w:val="16"/>
                <w:szCs w:val="16"/>
              </w:rPr>
            </w:pPr>
          </w:p>
          <w:p w:rsidR="00F853A5" w:rsidRDefault="00F853A5" w:rsidP="00F853A5">
            <w:pPr>
              <w:spacing w:line="240" w:lineRule="auto"/>
              <w:rPr>
                <w:rFonts w:cs="Arial"/>
                <w:bCs/>
                <w:iCs/>
                <w:color w:val="0D0D0D" w:themeColor="text1" w:themeTint="F2"/>
                <w:spacing w:val="-4"/>
                <w:sz w:val="16"/>
                <w:szCs w:val="16"/>
              </w:rPr>
            </w:pPr>
          </w:p>
          <w:p w:rsidR="00F853A5" w:rsidRDefault="00F853A5" w:rsidP="00F853A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Velmi dobré možnosti uplatnění prostř</w:t>
            </w:r>
            <w:r w:rsidR="00E0446B">
              <w:rPr>
                <w:rFonts w:cs="Arial"/>
                <w:bCs/>
                <w:iCs/>
                <w:color w:val="0D0D0D" w:themeColor="text1" w:themeTint="F2"/>
                <w:spacing w:val="-4"/>
                <w:sz w:val="16"/>
                <w:szCs w:val="16"/>
              </w:rPr>
              <w:t>ednictvím nabídky ÚP přetrvávaly</w:t>
            </w:r>
            <w:r>
              <w:rPr>
                <w:rFonts w:cs="Arial"/>
                <w:bCs/>
                <w:iCs/>
                <w:color w:val="0D0D0D" w:themeColor="text1" w:themeTint="F2"/>
                <w:spacing w:val="-4"/>
                <w:sz w:val="16"/>
                <w:szCs w:val="16"/>
              </w:rPr>
              <w:t xml:space="preserve"> u specialistů a kvalifikovaných manuálních pracovníků, výrazně se meziročně zlepšilo postavení lidí s nejnižší kvalifikací.</w:t>
            </w:r>
          </w:p>
          <w:p w:rsidR="003D6B55" w:rsidRPr="00B1163E" w:rsidRDefault="003D6B55" w:rsidP="00A0172C">
            <w:pPr>
              <w:spacing w:line="240" w:lineRule="auto"/>
              <w:rPr>
                <w:rFonts w:cs="Arial"/>
                <w:bCs/>
                <w:iCs/>
                <w:color w:val="0D0D0D" w:themeColor="text1" w:themeTint="F2"/>
                <w:spacing w:val="-4"/>
                <w:sz w:val="16"/>
                <w:szCs w:val="16"/>
              </w:rPr>
            </w:pPr>
          </w:p>
        </w:tc>
        <w:tc>
          <w:tcPr>
            <w:tcW w:w="144" w:type="pct"/>
          </w:tcPr>
          <w:p w:rsidR="003D6B55" w:rsidRPr="009720D9" w:rsidRDefault="003D6B55" w:rsidP="00A0172C">
            <w:pPr>
              <w:pStyle w:val="Textpoznpodarou"/>
              <w:jc w:val="both"/>
              <w:rPr>
                <w:color w:val="0D0D0D" w:themeColor="text1" w:themeTint="F2"/>
              </w:rPr>
            </w:pPr>
          </w:p>
        </w:tc>
        <w:tc>
          <w:tcPr>
            <w:tcW w:w="3868" w:type="pct"/>
          </w:tcPr>
          <w:p w:rsidR="003D6B55" w:rsidRPr="00F02A72" w:rsidRDefault="00F853A5" w:rsidP="003D6B55">
            <w:pPr>
              <w:pStyle w:val="Textpoznpodarou"/>
              <w:jc w:val="both"/>
              <w:rPr>
                <w:rFonts w:cs="Arial"/>
                <w:color w:val="0D0D0D" w:themeColor="text1" w:themeTint="F2"/>
                <w:spacing w:val="-2"/>
              </w:rPr>
            </w:pPr>
            <w:r w:rsidRPr="00F02A72">
              <w:rPr>
                <w:rFonts w:cs="Arial"/>
                <w:color w:val="0D0D0D" w:themeColor="text1" w:themeTint="F2"/>
                <w:spacing w:val="-2"/>
              </w:rPr>
              <w:t xml:space="preserve">Na konci března připadalo na jedno volné pracovní místo 2,4 uchazečů. Šestina okresů dokonce registrovala převis nabídky míst nad počtem uchazečů. Méně než 1,5 uchazeče na místo vykazovala téměř třetina okresů (v JZ </w:t>
            </w:r>
            <w:r w:rsidR="00D875B6">
              <w:rPr>
                <w:rFonts w:cs="Arial"/>
                <w:color w:val="0D0D0D" w:themeColor="text1" w:themeTint="F2"/>
                <w:spacing w:val="-2"/>
              </w:rPr>
              <w:t>Čechách, v Praze a</w:t>
            </w:r>
            <w:r w:rsidR="00D875B6" w:rsidRPr="00535F78">
              <w:rPr>
                <w:rFonts w:cs="Arial"/>
                <w:color w:val="0D0D0D" w:themeColor="text1" w:themeTint="F2"/>
              </w:rPr>
              <w:t> </w:t>
            </w:r>
            <w:r w:rsidRPr="00F02A72">
              <w:rPr>
                <w:rFonts w:cs="Arial"/>
                <w:color w:val="0D0D0D" w:themeColor="text1" w:themeTint="F2"/>
                <w:spacing w:val="-2"/>
              </w:rPr>
              <w:t>okolí a ve spádových oblastech silné koncentrace automobilového průmyslu). Z pohledu kvalifikace měli velmi dobré vyhlídky na uplatnění specialisté (1,4 volných míst na uchazeče v této skupině) a kvalifikovaní manuální pracovníci – řemeslníci a</w:t>
            </w:r>
            <w:r w:rsidR="00E0446B" w:rsidRPr="00535F78">
              <w:rPr>
                <w:rFonts w:cs="Arial"/>
                <w:color w:val="0D0D0D" w:themeColor="text1" w:themeTint="F2"/>
              </w:rPr>
              <w:t> </w:t>
            </w:r>
            <w:r w:rsidRPr="00F02A72">
              <w:rPr>
                <w:rFonts w:cs="Arial"/>
                <w:color w:val="0D0D0D" w:themeColor="text1" w:themeTint="F2"/>
                <w:spacing w:val="-2"/>
              </w:rPr>
              <w:t>opraváři (1,5) a zejména montéři a osoby obsluhující stroje a zařízení (1,0). Možnost uplatnění se proti loňskému březnu zlepšila ve všech kvalifikačních třídách, především v početně nejvýznamnější skupině pomocných a nekvalifikovaných pracovníků (z 5,7 na 3,3). Tato skutečnost se přirozeně odrazila i ve významném snížení počtu dlouhodobě nezaměstnaných uchazečů (dle VŠPS o 35 % proti 1.</w:t>
            </w:r>
            <w:r w:rsidR="00E0446B" w:rsidRPr="00535F78">
              <w:rPr>
                <w:rFonts w:cs="Arial"/>
                <w:color w:val="0D0D0D" w:themeColor="text1" w:themeTint="F2"/>
              </w:rPr>
              <w:t> </w:t>
            </w:r>
            <w:r w:rsidRPr="00F02A72">
              <w:rPr>
                <w:rFonts w:cs="Arial"/>
                <w:color w:val="0D0D0D" w:themeColor="text1" w:themeTint="F2"/>
                <w:spacing w:val="-2"/>
              </w:rPr>
              <w:t>čtvrtletí 2016), jakož míry nezaměstnanosti osob se základním vzděláním (z 22,2 % na 16,2 %).</w:t>
            </w:r>
          </w:p>
          <w:p w:rsidR="00F853A5" w:rsidRPr="00F02A72" w:rsidRDefault="00F853A5" w:rsidP="003D6B55">
            <w:pPr>
              <w:pStyle w:val="Textpoznpodarou"/>
              <w:jc w:val="both"/>
              <w:rPr>
                <w:rFonts w:cs="Arial"/>
                <w:color w:val="0D0D0D" w:themeColor="text1" w:themeTint="F2"/>
                <w:spacing w:val="-2"/>
                <w:sz w:val="14"/>
                <w:szCs w:val="14"/>
              </w:rPr>
            </w:pPr>
          </w:p>
        </w:tc>
      </w:tr>
      <w:tr w:rsidR="00F853A5" w:rsidRPr="007D17B9" w:rsidTr="00A0172C">
        <w:tc>
          <w:tcPr>
            <w:tcW w:w="988" w:type="pct"/>
          </w:tcPr>
          <w:p w:rsidR="00F853A5" w:rsidRDefault="00F853A5" w:rsidP="00A0172C">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Meziroční růst průměrných mezd zrychlil </w:t>
            </w:r>
            <w:r w:rsidRPr="00B1163E">
              <w:rPr>
                <w:rFonts w:cs="Arial"/>
                <w:bCs/>
                <w:iCs/>
                <w:color w:val="0D0D0D" w:themeColor="text1" w:themeTint="F2"/>
                <w:spacing w:val="-4"/>
                <w:sz w:val="16"/>
                <w:szCs w:val="16"/>
              </w:rPr>
              <w:t xml:space="preserve">na 5,3 %, </w:t>
            </w:r>
            <w:r>
              <w:rPr>
                <w:rFonts w:cs="Arial"/>
                <w:bCs/>
                <w:iCs/>
                <w:color w:val="0D0D0D" w:themeColor="text1" w:themeTint="F2"/>
                <w:spacing w:val="-4"/>
                <w:sz w:val="16"/>
                <w:szCs w:val="16"/>
              </w:rPr>
              <w:t>šlo o nejvyšší tempo od konce roku 2008.</w:t>
            </w:r>
          </w:p>
          <w:p w:rsidR="00F853A5" w:rsidRPr="00B1163E" w:rsidRDefault="00F853A5" w:rsidP="00A0172C">
            <w:pPr>
              <w:spacing w:line="240" w:lineRule="auto"/>
              <w:rPr>
                <w:rFonts w:cs="Arial"/>
                <w:bCs/>
                <w:iCs/>
                <w:color w:val="0D0D0D" w:themeColor="text1" w:themeTint="F2"/>
                <w:spacing w:val="-4"/>
                <w:sz w:val="16"/>
                <w:szCs w:val="16"/>
              </w:rPr>
            </w:pPr>
          </w:p>
        </w:tc>
        <w:tc>
          <w:tcPr>
            <w:tcW w:w="144" w:type="pct"/>
          </w:tcPr>
          <w:p w:rsidR="00F853A5" w:rsidRPr="009720D9" w:rsidRDefault="00F853A5" w:rsidP="00A0172C">
            <w:pPr>
              <w:pStyle w:val="Textpoznpodarou"/>
              <w:jc w:val="both"/>
              <w:rPr>
                <w:color w:val="0D0D0D" w:themeColor="text1" w:themeTint="F2"/>
              </w:rPr>
            </w:pPr>
          </w:p>
        </w:tc>
        <w:tc>
          <w:tcPr>
            <w:tcW w:w="3868" w:type="pct"/>
          </w:tcPr>
          <w:p w:rsidR="00F853A5" w:rsidRPr="00F02A72" w:rsidRDefault="00F853A5" w:rsidP="00A0172C">
            <w:pPr>
              <w:pStyle w:val="Textpoznpodarou"/>
              <w:jc w:val="both"/>
              <w:rPr>
                <w:rFonts w:cs="Arial"/>
                <w:color w:val="0D0D0D" w:themeColor="text1" w:themeTint="F2"/>
                <w:spacing w:val="-2"/>
              </w:rPr>
            </w:pPr>
            <w:r w:rsidRPr="00F02A72">
              <w:rPr>
                <w:rFonts w:cs="Arial"/>
                <w:color w:val="0D0D0D" w:themeColor="text1" w:themeTint="F2"/>
                <w:spacing w:val="-2"/>
              </w:rPr>
              <w:t>Na mzdový vývoj působily v 1.</w:t>
            </w:r>
            <w:r w:rsidR="005914F2">
              <w:rPr>
                <w:rFonts w:cs="Arial"/>
                <w:color w:val="0D0D0D" w:themeColor="text1" w:themeTint="F2"/>
                <w:spacing w:val="-2"/>
              </w:rPr>
              <w:t xml:space="preserve"> </w:t>
            </w:r>
            <w:r w:rsidRPr="00F02A72">
              <w:rPr>
                <w:rFonts w:cs="Arial"/>
                <w:color w:val="0D0D0D" w:themeColor="text1" w:themeTint="F2"/>
                <w:spacing w:val="-2"/>
              </w:rPr>
              <w:t xml:space="preserve">čtvrtletí podobné faktory jako v předešlém roce. Pokračující pokles nezaměstnanosti dále redukoval zdroje využitelné pracovní síly, meziročně se snížil i počet neaktivních osob, které uváděly, že by chtěly pracovat. Podniky tak svůj růst musely stále častěji řešit přetahováním stávajících zaměstnanců na pracovním trhu. Meziroční tempo růstu průměrných mezd (při </w:t>
            </w:r>
            <w:r w:rsidRPr="00F02A72">
              <w:rPr>
                <w:rFonts w:cs="Arial"/>
                <w:color w:val="0D0D0D" w:themeColor="text1" w:themeTint="F2"/>
                <w:spacing w:val="-2"/>
              </w:rPr>
              <w:lastRenderedPageBreak/>
              <w:t xml:space="preserve">zohlednění délky úvazku) se v 1. čtvrtletí zvýšilo na 5,3 %, během loňského roku kolísalo mírně pod 4 %. Zrychlení růstu bylo letos ovlivněno i vyšším počtem odpracovaných hodin. </w:t>
            </w:r>
          </w:p>
          <w:p w:rsidR="00F853A5" w:rsidRPr="00365E26" w:rsidRDefault="00F853A5" w:rsidP="00A0172C">
            <w:pPr>
              <w:pStyle w:val="Textpoznpodarou"/>
              <w:jc w:val="both"/>
              <w:rPr>
                <w:rFonts w:cs="Arial"/>
                <w:color w:val="0D0D0D" w:themeColor="text1" w:themeTint="F2"/>
                <w:spacing w:val="-2"/>
                <w:sz w:val="14"/>
                <w:szCs w:val="14"/>
              </w:rPr>
            </w:pPr>
          </w:p>
        </w:tc>
      </w:tr>
      <w:tr w:rsidR="00F853A5" w:rsidRPr="007D17B9" w:rsidTr="003D6B55">
        <w:tc>
          <w:tcPr>
            <w:tcW w:w="988" w:type="pct"/>
          </w:tcPr>
          <w:p w:rsidR="00F853A5" w:rsidRDefault="00F853A5" w:rsidP="00F853A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lastRenderedPageBreak/>
              <w:t xml:space="preserve">Za zrychlením </w:t>
            </w:r>
            <w:r w:rsidR="005914F2">
              <w:rPr>
                <w:rFonts w:cs="Arial"/>
                <w:bCs/>
                <w:iCs/>
                <w:color w:val="0D0D0D" w:themeColor="text1" w:themeTint="F2"/>
                <w:spacing w:val="-4"/>
                <w:sz w:val="16"/>
                <w:szCs w:val="16"/>
              </w:rPr>
              <w:t xml:space="preserve">růstu mezd </w:t>
            </w:r>
            <w:r>
              <w:rPr>
                <w:rFonts w:cs="Arial"/>
                <w:bCs/>
                <w:iCs/>
                <w:color w:val="0D0D0D" w:themeColor="text1" w:themeTint="F2"/>
                <w:spacing w:val="-4"/>
                <w:sz w:val="16"/>
                <w:szCs w:val="16"/>
              </w:rPr>
              <w:t>stály především sílící obtíže podniků při hledání nových zaměstnanců nejen v průmyslu, ale i napříč většinou odvětví služeb, dílčí vliv mělo také pokračující navyšování úrovně minimální mzdy.</w:t>
            </w:r>
          </w:p>
          <w:p w:rsidR="00F853A5" w:rsidRDefault="00F853A5" w:rsidP="00F853A5">
            <w:pPr>
              <w:spacing w:line="240" w:lineRule="auto"/>
              <w:rPr>
                <w:rFonts w:cs="Arial"/>
                <w:bCs/>
                <w:iCs/>
                <w:color w:val="0D0D0D" w:themeColor="text1" w:themeTint="F2"/>
                <w:spacing w:val="-4"/>
                <w:sz w:val="16"/>
                <w:szCs w:val="16"/>
              </w:rPr>
            </w:pPr>
          </w:p>
          <w:p w:rsidR="00F853A5" w:rsidRDefault="00F853A5" w:rsidP="00F853A5">
            <w:pPr>
              <w:spacing w:line="240" w:lineRule="auto"/>
              <w:rPr>
                <w:rFonts w:cs="Arial"/>
                <w:bCs/>
                <w:iCs/>
                <w:color w:val="0D0D0D" w:themeColor="text1" w:themeTint="F2"/>
                <w:spacing w:val="-4"/>
                <w:sz w:val="16"/>
                <w:szCs w:val="16"/>
              </w:rPr>
            </w:pPr>
          </w:p>
          <w:p w:rsidR="00F853A5" w:rsidRPr="00A74192" w:rsidRDefault="00F853A5" w:rsidP="00F853A5">
            <w:pPr>
              <w:spacing w:line="240" w:lineRule="auto"/>
              <w:ind w:right="-19"/>
              <w:rPr>
                <w:sz w:val="16"/>
                <w:szCs w:val="16"/>
              </w:rPr>
            </w:pPr>
            <w:r>
              <w:rPr>
                <w:rFonts w:cs="Arial"/>
                <w:bCs/>
                <w:iCs/>
                <w:color w:val="0D0D0D" w:themeColor="text1" w:themeTint="F2"/>
                <w:spacing w:val="-4"/>
                <w:sz w:val="16"/>
                <w:szCs w:val="16"/>
              </w:rPr>
              <w:t>Sílící inflace spotřebitelských cen zredukovala mzdový růst o téměř polovinu, reálně si zaměst</w:t>
            </w:r>
            <w:r w:rsidR="00F71F0F">
              <w:rPr>
                <w:rFonts w:cs="Arial"/>
                <w:bCs/>
                <w:iCs/>
                <w:color w:val="0D0D0D" w:themeColor="text1" w:themeTint="F2"/>
                <w:spacing w:val="-4"/>
                <w:sz w:val="16"/>
                <w:szCs w:val="16"/>
              </w:rPr>
              <w:t>nanci meziročně polepšili o 2,8 </w:t>
            </w:r>
            <w:r>
              <w:rPr>
                <w:rFonts w:cs="Arial"/>
                <w:bCs/>
                <w:iCs/>
                <w:color w:val="0D0D0D" w:themeColor="text1" w:themeTint="F2"/>
                <w:spacing w:val="-4"/>
                <w:sz w:val="16"/>
                <w:szCs w:val="16"/>
              </w:rPr>
              <w:t>%.</w:t>
            </w:r>
          </w:p>
        </w:tc>
        <w:tc>
          <w:tcPr>
            <w:tcW w:w="144" w:type="pct"/>
          </w:tcPr>
          <w:p w:rsidR="00F853A5" w:rsidRPr="00A74192" w:rsidRDefault="00F853A5" w:rsidP="00A0172C">
            <w:pPr>
              <w:pStyle w:val="Textpoznpodarou"/>
              <w:jc w:val="both"/>
            </w:pPr>
          </w:p>
        </w:tc>
        <w:tc>
          <w:tcPr>
            <w:tcW w:w="3868" w:type="pct"/>
          </w:tcPr>
          <w:p w:rsidR="00F853A5" w:rsidRPr="00F02A72" w:rsidRDefault="00F853A5" w:rsidP="00A0172C">
            <w:pPr>
              <w:pStyle w:val="Textpoznpodarou"/>
              <w:ind w:right="-35"/>
              <w:jc w:val="both"/>
              <w:rPr>
                <w:spacing w:val="-2"/>
                <w:sz w:val="16"/>
                <w:szCs w:val="16"/>
              </w:rPr>
            </w:pPr>
            <w:r w:rsidRPr="00F02A72">
              <w:rPr>
                <w:rFonts w:cs="Arial"/>
                <w:color w:val="0D0D0D" w:themeColor="text1" w:themeTint="F2"/>
                <w:spacing w:val="-2"/>
              </w:rPr>
              <w:t>Nejvyšší mzdovou dynamiku vykázalo stejně jako na počátku let 2015 i 2016 odvětví ubytování, stravování a pohostinství (+11,8 %). Dařilo se i administrativním a podpůrným činnostem (+7,2 %). Vysoká tempa v obou odvětvích reflektovala lednové navýšení minimální mzdy v ekonomice (z 9 900 na 11 000. korun), neboť jde o činnosti s dlouhodobě nejnižší úrovní průměrných mezd. Pozici odvětví s nejvyšší průměrnou mzdou (54,1 tis.) převzaly informační a komunikační činnosti (+4,7 %)</w:t>
            </w:r>
            <w:r w:rsidR="00AE6CDA">
              <w:rPr>
                <w:rFonts w:cs="Arial"/>
                <w:color w:val="0D0D0D" w:themeColor="text1" w:themeTint="F2"/>
                <w:spacing w:val="-2"/>
              </w:rPr>
              <w:t>,</w:t>
            </w:r>
            <w:r w:rsidRPr="00F02A72">
              <w:rPr>
                <w:rFonts w:cs="Arial"/>
                <w:color w:val="0D0D0D" w:themeColor="text1" w:themeTint="F2"/>
                <w:spacing w:val="-2"/>
              </w:rPr>
              <w:t xml:space="preserve"> a vystřídaly tak dříve dominantní peněžnictví a pojišťovnictví (+3,4 %). V odvětvích s dominancí státu se situace na rozdíl od počátku loňského roku příliš nelišila. Nejvíce se platy zvyšovaly ve zdravotnictví a sociální péči (+6,2 %). I přes výrazné zrychlení tempa (z loňských +1,8 % na </w:t>
            </w:r>
            <w:r w:rsidR="00AE6CDA">
              <w:rPr>
                <w:rFonts w:cs="Arial"/>
                <w:color w:val="0D0D0D" w:themeColor="text1" w:themeTint="F2"/>
                <w:spacing w:val="-2"/>
              </w:rPr>
              <w:t>4,9 %)</w:t>
            </w:r>
            <w:r w:rsidRPr="00F02A72">
              <w:rPr>
                <w:rFonts w:cs="Arial"/>
                <w:color w:val="0D0D0D" w:themeColor="text1" w:themeTint="F2"/>
                <w:spacing w:val="-2"/>
              </w:rPr>
              <w:t xml:space="preserve"> zůstával i letos růst platů ve vzdělávání pod úrovní celé ekonomiky. Nejnižší b</w:t>
            </w:r>
            <w:r w:rsidR="00F6260B">
              <w:rPr>
                <w:rFonts w:cs="Arial"/>
                <w:color w:val="0D0D0D" w:themeColor="text1" w:themeTint="F2"/>
                <w:spacing w:val="-2"/>
              </w:rPr>
              <w:t>yl mzdový růst mezi odvětvími v</w:t>
            </w:r>
            <w:r w:rsidR="00F6260B" w:rsidRPr="00F02A72">
              <w:rPr>
                <w:rFonts w:cs="Arial"/>
                <w:color w:val="0D0D0D" w:themeColor="text1" w:themeTint="F2"/>
                <w:spacing w:val="-2"/>
              </w:rPr>
              <w:t> </w:t>
            </w:r>
            <w:r w:rsidRPr="00F02A72">
              <w:rPr>
                <w:rFonts w:cs="Arial"/>
                <w:color w:val="0D0D0D" w:themeColor="text1" w:themeTint="F2"/>
                <w:spacing w:val="-2"/>
              </w:rPr>
              <w:t>těžbě a dobývání (+0,7 %), nepřízni</w:t>
            </w:r>
            <w:r w:rsidR="00F6260B">
              <w:rPr>
                <w:rFonts w:cs="Arial"/>
                <w:color w:val="0D0D0D" w:themeColor="text1" w:themeTint="F2"/>
                <w:spacing w:val="-2"/>
              </w:rPr>
              <w:t>vou situaci dokreslovala i dlouhodob</w:t>
            </w:r>
            <w:r w:rsidRPr="00F02A72">
              <w:rPr>
                <w:rFonts w:cs="Arial"/>
                <w:color w:val="0D0D0D" w:themeColor="text1" w:themeTint="F2"/>
                <w:spacing w:val="-2"/>
              </w:rPr>
              <w:t>á redukce počtu zaměstnanců (v 1. čtvrtletí o 6,9 % meziročně). Přestože celkový růst mezd byl letos nejvyšší od konce roku 2008, reálné se mzdy navýšily již jen o 2,8 %, tedy slabším tempem než na počátku loňského roku.</w:t>
            </w:r>
          </w:p>
        </w:tc>
      </w:tr>
    </w:tbl>
    <w:p w:rsidR="003D6B55" w:rsidRDefault="003D6B55" w:rsidP="00D84BD1">
      <w:pPr>
        <w:rPr>
          <w:sz w:val="18"/>
          <w:szCs w:val="18"/>
          <w:lang w:eastAsia="ar-SA"/>
        </w:rPr>
      </w:pPr>
    </w:p>
    <w:tbl>
      <w:tblPr>
        <w:tblW w:w="4963" w:type="pct"/>
        <w:tblInd w:w="108" w:type="dxa"/>
        <w:tblLayout w:type="fixed"/>
        <w:tblLook w:val="00A0"/>
      </w:tblPr>
      <w:tblGrid>
        <w:gridCol w:w="1997"/>
        <w:gridCol w:w="284"/>
        <w:gridCol w:w="1119"/>
        <w:gridCol w:w="6381"/>
      </w:tblGrid>
      <w:tr w:rsidR="003D6B55" w:rsidRPr="00AA4A76" w:rsidTr="003D6B55">
        <w:trPr>
          <w:trHeight w:val="145"/>
        </w:trPr>
        <w:tc>
          <w:tcPr>
            <w:tcW w:w="1021" w:type="pct"/>
            <w:shd w:val="clear" w:color="auto" w:fill="auto"/>
          </w:tcPr>
          <w:p w:rsidR="003D6B55" w:rsidRPr="00AA4A76" w:rsidRDefault="003D6B55" w:rsidP="00A0172C">
            <w:pPr>
              <w:spacing w:line="240" w:lineRule="auto"/>
              <w:jc w:val="center"/>
              <w:rPr>
                <w:color w:val="000000"/>
                <w:szCs w:val="20"/>
              </w:rPr>
            </w:pPr>
          </w:p>
        </w:tc>
        <w:tc>
          <w:tcPr>
            <w:tcW w:w="145" w:type="pct"/>
          </w:tcPr>
          <w:p w:rsidR="003D6B55" w:rsidRPr="00AA4A76" w:rsidRDefault="003D6B55" w:rsidP="00A0172C">
            <w:pPr>
              <w:pStyle w:val="Textpoznpodarou"/>
              <w:jc w:val="both"/>
              <w:rPr>
                <w:highlight w:val="yellow"/>
              </w:rPr>
            </w:pPr>
          </w:p>
        </w:tc>
        <w:tc>
          <w:tcPr>
            <w:tcW w:w="572" w:type="pct"/>
          </w:tcPr>
          <w:p w:rsidR="003D6B55" w:rsidRPr="00AA4A76" w:rsidRDefault="003D6B55" w:rsidP="00A0172C">
            <w:pPr>
              <w:pStyle w:val="Textpoznpodarou"/>
              <w:jc w:val="both"/>
              <w:rPr>
                <w:highlight w:val="yellow"/>
              </w:rPr>
            </w:pPr>
            <w:r>
              <w:rPr>
                <w:color w:val="000000"/>
              </w:rPr>
              <w:t>Graf č. 16</w:t>
            </w:r>
          </w:p>
        </w:tc>
        <w:tc>
          <w:tcPr>
            <w:tcW w:w="3262" w:type="pct"/>
          </w:tcPr>
          <w:p w:rsidR="003D6B55" w:rsidRDefault="003D6B55" w:rsidP="00A0172C">
            <w:pPr>
              <w:pStyle w:val="Textpoznpodarou"/>
              <w:rPr>
                <w:b/>
                <w:spacing w:val="-2"/>
                <w:lang w:eastAsia="en-US"/>
              </w:rPr>
            </w:pPr>
            <w:r>
              <w:rPr>
                <w:b/>
                <w:spacing w:val="-2"/>
                <w:lang w:eastAsia="en-US"/>
              </w:rPr>
              <w:t>Hrubá měsíční mzda nominálně,</w:t>
            </w:r>
            <w:r w:rsidRPr="00886A8F">
              <w:rPr>
                <w:b/>
                <w:spacing w:val="-2"/>
                <w:lang w:eastAsia="en-US"/>
              </w:rPr>
              <w:t xml:space="preserve"> reálně</w:t>
            </w:r>
            <w:r>
              <w:rPr>
                <w:b/>
                <w:spacing w:val="-2"/>
                <w:lang w:eastAsia="en-US"/>
              </w:rPr>
              <w:t xml:space="preserve"> mzdový medián</w:t>
            </w:r>
            <w:r w:rsidRPr="00886A8F">
              <w:rPr>
                <w:b/>
                <w:spacing w:val="-2"/>
                <w:lang w:eastAsia="en-US"/>
              </w:rPr>
              <w:t xml:space="preserve"> </w:t>
            </w:r>
          </w:p>
          <w:p w:rsidR="003D6B55" w:rsidRPr="00886A8F" w:rsidRDefault="003D6B55" w:rsidP="00A0172C">
            <w:pPr>
              <w:pStyle w:val="Textpoznpodarou"/>
              <w:rPr>
                <w:spacing w:val="-2"/>
                <w:lang w:eastAsia="en-US"/>
              </w:rPr>
            </w:pPr>
            <w:r w:rsidRPr="00582DA0">
              <w:rPr>
                <w:spacing w:val="-6"/>
                <w:lang w:eastAsia="en-US"/>
              </w:rPr>
              <w:t>(</w:t>
            </w:r>
            <w:r>
              <w:rPr>
                <w:spacing w:val="-6"/>
                <w:lang w:eastAsia="en-US"/>
              </w:rPr>
              <w:t xml:space="preserve">na </w:t>
            </w:r>
            <w:r w:rsidRPr="00582DA0">
              <w:rPr>
                <w:spacing w:val="-6"/>
                <w:lang w:eastAsia="en-US"/>
              </w:rPr>
              <w:t>přepo</w:t>
            </w:r>
            <w:r w:rsidR="00535F78">
              <w:rPr>
                <w:spacing w:val="-6"/>
                <w:lang w:eastAsia="en-US"/>
              </w:rPr>
              <w:t xml:space="preserve">čtené počty zaměstnanců, </w:t>
            </w:r>
            <w:r w:rsidR="00535F78" w:rsidRPr="00E62A33">
              <w:rPr>
                <w:spacing w:val="-2"/>
              </w:rPr>
              <w:t>meziročně</w:t>
            </w:r>
            <w:r w:rsidR="00535F78" w:rsidRPr="00E62A33">
              <w:rPr>
                <w:bCs/>
                <w:spacing w:val="-2"/>
              </w:rPr>
              <w:t xml:space="preserve"> v %)</w:t>
            </w:r>
          </w:p>
        </w:tc>
      </w:tr>
      <w:tr w:rsidR="003D6B55" w:rsidRPr="00AA4A76" w:rsidTr="003D6B55">
        <w:trPr>
          <w:trHeight w:val="145"/>
        </w:trPr>
        <w:tc>
          <w:tcPr>
            <w:tcW w:w="1021" w:type="pct"/>
            <w:shd w:val="clear" w:color="auto" w:fill="auto"/>
          </w:tcPr>
          <w:p w:rsidR="003D6B55" w:rsidRPr="006D3F53" w:rsidRDefault="003D6B55" w:rsidP="00A0172C">
            <w:pPr>
              <w:spacing w:line="240" w:lineRule="auto"/>
              <w:rPr>
                <w:color w:val="000000"/>
                <w:sz w:val="16"/>
                <w:szCs w:val="16"/>
                <w:highlight w:val="yellow"/>
              </w:rPr>
            </w:pPr>
          </w:p>
        </w:tc>
        <w:tc>
          <w:tcPr>
            <w:tcW w:w="145" w:type="pct"/>
          </w:tcPr>
          <w:p w:rsidR="003D6B55" w:rsidRPr="00A74192" w:rsidRDefault="003D6B55" w:rsidP="00A0172C">
            <w:pPr>
              <w:pStyle w:val="Textpoznpodarou"/>
              <w:jc w:val="both"/>
            </w:pPr>
          </w:p>
        </w:tc>
        <w:tc>
          <w:tcPr>
            <w:tcW w:w="3833" w:type="pct"/>
            <w:gridSpan w:val="2"/>
          </w:tcPr>
          <w:p w:rsidR="003D6B55" w:rsidRDefault="00535F78" w:rsidP="00A0172C">
            <w:pPr>
              <w:pStyle w:val="Textpoznpodarou"/>
              <w:ind w:left="-124"/>
              <w:jc w:val="both"/>
              <w:rPr>
                <w:sz w:val="16"/>
                <w:szCs w:val="16"/>
              </w:rPr>
            </w:pPr>
            <w:r w:rsidRPr="00535F78">
              <w:rPr>
                <w:noProof/>
                <w:sz w:val="16"/>
                <w:szCs w:val="16"/>
              </w:rPr>
              <w:drawing>
                <wp:inline distT="0" distB="0" distL="0" distR="0">
                  <wp:extent cx="4737600" cy="3553200"/>
                  <wp:effectExtent l="19050" t="0" r="585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6B55" w:rsidRPr="00535F78" w:rsidRDefault="003D6B55" w:rsidP="00A0172C">
            <w:pPr>
              <w:pStyle w:val="Textpoznpodarou"/>
              <w:ind w:left="-124"/>
              <w:jc w:val="right"/>
              <w:rPr>
                <w:sz w:val="14"/>
                <w:szCs w:val="14"/>
              </w:rPr>
            </w:pPr>
            <w:r w:rsidRPr="00535F78">
              <w:rPr>
                <w:sz w:val="14"/>
                <w:szCs w:val="14"/>
              </w:rPr>
              <w:t>Zdroj: ČSÚ</w:t>
            </w:r>
          </w:p>
        </w:tc>
      </w:tr>
    </w:tbl>
    <w:p w:rsidR="00535F78" w:rsidRPr="00365E26" w:rsidRDefault="00535F78" w:rsidP="00D94859">
      <w:pPr>
        <w:rPr>
          <w:sz w:val="16"/>
          <w:szCs w:val="16"/>
          <w:lang w:eastAsia="ar-SA"/>
        </w:rPr>
      </w:pPr>
    </w:p>
    <w:p w:rsidR="00576A3E" w:rsidRPr="00A74192" w:rsidRDefault="00AA4A76" w:rsidP="00D84BD1">
      <w:pPr>
        <w:pStyle w:val="Nadpis1"/>
        <w:numPr>
          <w:ilvl w:val="0"/>
          <w:numId w:val="12"/>
        </w:numPr>
        <w:ind w:left="709"/>
        <w:jc w:val="both"/>
      </w:pPr>
      <w:bookmarkStart w:id="16" w:name="_Toc469299935"/>
      <w:bookmarkStart w:id="17" w:name="_Toc485271460"/>
      <w:r>
        <w:t>M</w:t>
      </w:r>
      <w:r w:rsidR="00576A3E" w:rsidRPr="00A74192">
        <w:t>ěnové podmínky</w:t>
      </w:r>
      <w:bookmarkEnd w:id="16"/>
      <w:bookmarkEnd w:id="17"/>
    </w:p>
    <w:tbl>
      <w:tblPr>
        <w:tblW w:w="4995" w:type="pct"/>
        <w:tblInd w:w="108" w:type="dxa"/>
        <w:tblLayout w:type="fixed"/>
        <w:tblLook w:val="00A0"/>
      </w:tblPr>
      <w:tblGrid>
        <w:gridCol w:w="2000"/>
        <w:gridCol w:w="284"/>
        <w:gridCol w:w="1118"/>
        <w:gridCol w:w="6442"/>
      </w:tblGrid>
      <w:tr w:rsidR="00AA4A76" w:rsidRPr="00A74192" w:rsidTr="00AA4A76">
        <w:trPr>
          <w:trHeight w:val="145"/>
        </w:trPr>
        <w:tc>
          <w:tcPr>
            <w:tcW w:w="1016" w:type="pct"/>
          </w:tcPr>
          <w:p w:rsidR="00AA4A76" w:rsidRPr="006D5608" w:rsidRDefault="00AA4A76" w:rsidP="00134DFD">
            <w:pPr>
              <w:spacing w:line="240" w:lineRule="auto"/>
              <w:rPr>
                <w:color w:val="000000" w:themeColor="text1"/>
                <w:sz w:val="16"/>
                <w:szCs w:val="16"/>
                <w:highlight w:val="yellow"/>
              </w:rPr>
            </w:pPr>
            <w:proofErr w:type="spellStart"/>
            <w:r w:rsidRPr="00814C42">
              <w:rPr>
                <w:color w:val="000000" w:themeColor="text1"/>
                <w:sz w:val="16"/>
                <w:szCs w:val="16"/>
              </w:rPr>
              <w:t>Měnověpolitické</w:t>
            </w:r>
            <w:proofErr w:type="spellEnd"/>
            <w:r w:rsidRPr="00814C42">
              <w:rPr>
                <w:color w:val="000000" w:themeColor="text1"/>
                <w:sz w:val="16"/>
                <w:szCs w:val="16"/>
              </w:rPr>
              <w:t xml:space="preserve"> sazby zůstaly na technické nule. Režim měnových intervencí v 1. čtvrtletí 2017 dosáhl konce deklarovaného horizontu fungování.</w:t>
            </w:r>
          </w:p>
        </w:tc>
        <w:tc>
          <w:tcPr>
            <w:tcW w:w="144" w:type="pct"/>
          </w:tcPr>
          <w:p w:rsidR="00AA4A76" w:rsidRPr="003E6E0D" w:rsidRDefault="00AA4A76" w:rsidP="00134DFD">
            <w:pPr>
              <w:pStyle w:val="Textpoznpodarou"/>
              <w:jc w:val="both"/>
            </w:pPr>
          </w:p>
        </w:tc>
        <w:tc>
          <w:tcPr>
            <w:tcW w:w="3840" w:type="pct"/>
            <w:gridSpan w:val="2"/>
          </w:tcPr>
          <w:p w:rsidR="00AA4A76" w:rsidRDefault="00AA4A76" w:rsidP="00134DFD">
            <w:pPr>
              <w:pStyle w:val="Textpoznpodarou"/>
              <w:jc w:val="both"/>
              <w:rPr>
                <w:sz w:val="16"/>
                <w:szCs w:val="16"/>
              </w:rPr>
            </w:pPr>
            <w:r>
              <w:t xml:space="preserve">Již pátým rokem zůstávaly </w:t>
            </w:r>
            <w:proofErr w:type="spellStart"/>
            <w:r>
              <w:t>měnověpolitické</w:t>
            </w:r>
            <w:proofErr w:type="spellEnd"/>
            <w:r>
              <w:t xml:space="preserve"> úrokové sazby</w:t>
            </w:r>
            <w:r w:rsidR="00045681">
              <w:t xml:space="preserve"> konstantní</w:t>
            </w:r>
            <w:r>
              <w:t>. V 1. čtvrtletí roku 2017 pokračoval i režim asymetrického kurzového závazku používaný jako nástroj uvolňování měnových podmínek. Návrat inflace k 2% cíli v závěru roku 2016 a zrychlování cenového růstu v prvních třech měsících roku 2017 byly zhodnoceny jako splnění podmínek ukončení závazku, a tak bankovní rada neprodloužila tzv. „tvrdý“ závazek, který skončil k 31. 3. 2017 (úplné opuštění kurzového závazku bylo oznámeno 6. 4. 2017). Měsíční průměry kurzu koruny vůči euru byly po celé 1. čtvrtletí na hodnotě 27,02</w:t>
            </w:r>
            <w:r w:rsidR="004C0243">
              <w:rPr>
                <w:rStyle w:val="Znakapoznpodarou"/>
              </w:rPr>
              <w:footnoteReference w:id="26"/>
            </w:r>
            <w:r w:rsidR="004C0243">
              <w:t xml:space="preserve">. </w:t>
            </w:r>
            <w:r>
              <w:t>Dolarový kurz dosáhl průměru 25,38 korun za dolar a meziročně oslabil o 3,4 %.</w:t>
            </w:r>
          </w:p>
          <w:p w:rsidR="00AA4A76" w:rsidRPr="00365E26" w:rsidRDefault="00AA4A76" w:rsidP="00134DFD">
            <w:pPr>
              <w:pStyle w:val="Textpoznpodarou"/>
              <w:jc w:val="both"/>
              <w:rPr>
                <w:sz w:val="4"/>
                <w:szCs w:val="4"/>
              </w:rPr>
            </w:pPr>
          </w:p>
        </w:tc>
      </w:tr>
      <w:tr w:rsidR="00AA4A76" w:rsidRPr="00A74192" w:rsidTr="00AA4A76">
        <w:trPr>
          <w:trHeight w:val="145"/>
        </w:trPr>
        <w:tc>
          <w:tcPr>
            <w:tcW w:w="1016" w:type="pct"/>
            <w:shd w:val="clear" w:color="auto" w:fill="auto"/>
          </w:tcPr>
          <w:p w:rsidR="00AA4A76" w:rsidRPr="006D5608" w:rsidRDefault="00AA4A76" w:rsidP="00134DFD">
            <w:pPr>
              <w:spacing w:line="240" w:lineRule="auto"/>
              <w:rPr>
                <w:color w:val="000000" w:themeColor="text1"/>
                <w:sz w:val="16"/>
                <w:szCs w:val="16"/>
                <w:highlight w:val="yellow"/>
              </w:rPr>
            </w:pPr>
            <w:r w:rsidRPr="00814C42">
              <w:rPr>
                <w:color w:val="000000" w:themeColor="text1"/>
                <w:sz w:val="16"/>
                <w:szCs w:val="16"/>
              </w:rPr>
              <w:lastRenderedPageBreak/>
              <w:t xml:space="preserve">Udržení kurzu nad hranicí 27 korun za euro vyžadovalo rekordní </w:t>
            </w:r>
            <w:r>
              <w:rPr>
                <w:color w:val="000000" w:themeColor="text1"/>
                <w:sz w:val="16"/>
                <w:szCs w:val="16"/>
              </w:rPr>
              <w:t xml:space="preserve">objem </w:t>
            </w:r>
            <w:r w:rsidRPr="00814C42">
              <w:rPr>
                <w:color w:val="000000" w:themeColor="text1"/>
                <w:sz w:val="16"/>
                <w:szCs w:val="16"/>
              </w:rPr>
              <w:t>operac</w:t>
            </w:r>
            <w:r>
              <w:rPr>
                <w:color w:val="000000" w:themeColor="text1"/>
                <w:sz w:val="16"/>
                <w:szCs w:val="16"/>
              </w:rPr>
              <w:t>í</w:t>
            </w:r>
            <w:r w:rsidRPr="00814C42">
              <w:rPr>
                <w:color w:val="000000" w:themeColor="text1"/>
                <w:sz w:val="16"/>
                <w:szCs w:val="16"/>
              </w:rPr>
              <w:t xml:space="preserve"> na devizovém trhu. Došlo k výraznému nárůstu českých devizových rezerv. </w:t>
            </w:r>
          </w:p>
        </w:tc>
        <w:tc>
          <w:tcPr>
            <w:tcW w:w="144" w:type="pct"/>
          </w:tcPr>
          <w:p w:rsidR="00AA4A76" w:rsidRPr="003E6E0D" w:rsidRDefault="00AA4A76" w:rsidP="00134DFD">
            <w:pPr>
              <w:pStyle w:val="Textpoznpodarou"/>
              <w:jc w:val="both"/>
            </w:pPr>
          </w:p>
        </w:tc>
        <w:tc>
          <w:tcPr>
            <w:tcW w:w="3840" w:type="pct"/>
            <w:gridSpan w:val="2"/>
          </w:tcPr>
          <w:p w:rsidR="00AA4A76" w:rsidRDefault="00AA4A76" w:rsidP="00134DFD">
            <w:pPr>
              <w:pStyle w:val="Textpoznpodarou"/>
              <w:jc w:val="both"/>
              <w:rPr>
                <w:sz w:val="16"/>
                <w:szCs w:val="16"/>
              </w:rPr>
            </w:pPr>
            <w:r>
              <w:t>Závěr nekonvenčního režimu měnové politiky byl poznamenán výraznou potřebou intervenovat, aby byl udržen kurz na stanovené úrovni. Podle publikovaných dat o</w:t>
            </w:r>
            <w:r w:rsidR="00CB2B15">
              <w:t> </w:t>
            </w:r>
            <w:r>
              <w:t>devizových obchodech ČNB vyvstala nutnost zásahu již v druhé polovině roku 2015. Proklamovaná vůle zasáhnout proti posílení měny všemi dostupnými prostředky i očekávaný konec intervencí ve světle rostoucí inflace přilákaly velké množství spekulativního kapitálu. Objem operací na devizovém trhu prudce vzrostl ve 4. čtvrtletí 2016 a v 1. čtvrtletí 2017 dosáhl 41,9 mld. eur. To je téměř dvakrát více než celkový objem obchodů v předchozím roce a půl. S intervencí je spojen i</w:t>
            </w:r>
            <w:r w:rsidR="00CB2B15">
              <w:t> </w:t>
            </w:r>
            <w:r>
              <w:t>výrazný nárůst objemu devizových rezerv. Ten k 31. 3. 2017 činil 122,9 mld eur (3 323 mld. korun) a oproti stejnému období předchozího roku vzrostl o 91 %. Významná část tohoto nárůstu se odehrála v 1. čtvrtletí letošního roku, kdy se</w:t>
            </w:r>
            <w:r w:rsidR="006E4A1B">
              <w:t> </w:t>
            </w:r>
            <w:r>
              <w:t>objem dev</w:t>
            </w:r>
            <w:r w:rsidR="00045681">
              <w:t xml:space="preserve">izových </w:t>
            </w:r>
            <w:r>
              <w:t>rezerv zvýšil o 41,6 mld. eur.</w:t>
            </w:r>
          </w:p>
          <w:p w:rsidR="00AA4A76" w:rsidRPr="0094422D" w:rsidRDefault="00AA4A76" w:rsidP="00134DFD">
            <w:pPr>
              <w:pStyle w:val="Textpoznpodarou"/>
              <w:jc w:val="both"/>
              <w:rPr>
                <w:sz w:val="16"/>
                <w:szCs w:val="16"/>
              </w:rPr>
            </w:pPr>
          </w:p>
        </w:tc>
      </w:tr>
      <w:tr w:rsidR="00FC6DB5" w:rsidRPr="00AA4A76" w:rsidTr="00FC6DB5">
        <w:trPr>
          <w:trHeight w:val="145"/>
        </w:trPr>
        <w:tc>
          <w:tcPr>
            <w:tcW w:w="1016" w:type="pct"/>
            <w:shd w:val="clear" w:color="auto" w:fill="auto"/>
          </w:tcPr>
          <w:p w:rsidR="00FC6DB5" w:rsidRPr="00AA4A76" w:rsidRDefault="00FC6DB5" w:rsidP="00AA4A76">
            <w:pPr>
              <w:spacing w:line="240" w:lineRule="auto"/>
              <w:jc w:val="center"/>
              <w:rPr>
                <w:color w:val="000000"/>
                <w:szCs w:val="20"/>
              </w:rPr>
            </w:pPr>
          </w:p>
        </w:tc>
        <w:tc>
          <w:tcPr>
            <w:tcW w:w="144" w:type="pct"/>
          </w:tcPr>
          <w:p w:rsidR="00FC6DB5" w:rsidRPr="00AA4A76" w:rsidRDefault="00FC6DB5" w:rsidP="00D94859">
            <w:pPr>
              <w:pStyle w:val="Textpoznpodarou"/>
              <w:jc w:val="both"/>
              <w:rPr>
                <w:highlight w:val="yellow"/>
              </w:rPr>
            </w:pPr>
          </w:p>
        </w:tc>
        <w:tc>
          <w:tcPr>
            <w:tcW w:w="568" w:type="pct"/>
          </w:tcPr>
          <w:p w:rsidR="00FC6DB5" w:rsidRPr="00AA4A76" w:rsidRDefault="00FC6DB5" w:rsidP="008A03DE">
            <w:pPr>
              <w:pStyle w:val="Textpoznpodarou"/>
              <w:jc w:val="both"/>
              <w:rPr>
                <w:highlight w:val="yellow"/>
              </w:rPr>
            </w:pPr>
            <w:r w:rsidRPr="00AA4A76">
              <w:rPr>
                <w:color w:val="000000"/>
              </w:rPr>
              <w:t>Graf č. 17</w:t>
            </w:r>
          </w:p>
        </w:tc>
        <w:tc>
          <w:tcPr>
            <w:tcW w:w="3272" w:type="pct"/>
          </w:tcPr>
          <w:p w:rsidR="00FC6DB5" w:rsidRPr="00AA4A76" w:rsidRDefault="00FC6DB5" w:rsidP="00DE1460">
            <w:pPr>
              <w:pStyle w:val="Textpoznpodarou"/>
              <w:jc w:val="both"/>
              <w:rPr>
                <w:highlight w:val="yellow"/>
              </w:rPr>
            </w:pPr>
            <w:r w:rsidRPr="00AA4A76">
              <w:rPr>
                <w:b/>
                <w:color w:val="000000" w:themeColor="text1"/>
              </w:rPr>
              <w:t xml:space="preserve">Měnové kurzy </w:t>
            </w:r>
            <w:r w:rsidRPr="00AA4A76">
              <w:rPr>
                <w:color w:val="000000" w:themeColor="text1"/>
              </w:rPr>
              <w:t>(levá osa)</w:t>
            </w:r>
            <w:r w:rsidRPr="00AA4A76">
              <w:rPr>
                <w:b/>
                <w:color w:val="000000" w:themeColor="text1"/>
              </w:rPr>
              <w:t xml:space="preserve"> a měsíční objem devizových obchodů </w:t>
            </w:r>
            <w:r w:rsidRPr="00AA4A76">
              <w:rPr>
                <w:color w:val="000000" w:themeColor="text1"/>
              </w:rPr>
              <w:t>(pravá osa, v ml</w:t>
            </w:r>
            <w:r w:rsidR="00DE1460">
              <w:rPr>
                <w:color w:val="000000" w:themeColor="text1"/>
              </w:rPr>
              <w:t>d</w:t>
            </w:r>
            <w:r w:rsidRPr="00AA4A76">
              <w:rPr>
                <w:color w:val="000000" w:themeColor="text1"/>
              </w:rPr>
              <w:t>. eur)</w:t>
            </w:r>
          </w:p>
        </w:tc>
      </w:tr>
      <w:tr w:rsidR="00FC6DB5" w:rsidRPr="00A74192" w:rsidTr="00AA4A76">
        <w:trPr>
          <w:trHeight w:val="145"/>
        </w:trPr>
        <w:tc>
          <w:tcPr>
            <w:tcW w:w="1016" w:type="pct"/>
            <w:shd w:val="clear" w:color="auto" w:fill="auto"/>
          </w:tcPr>
          <w:p w:rsidR="00FC6DB5" w:rsidRPr="006D3F53" w:rsidRDefault="00FC6DB5" w:rsidP="008A03DE">
            <w:pPr>
              <w:spacing w:line="240" w:lineRule="auto"/>
              <w:rPr>
                <w:color w:val="000000"/>
                <w:sz w:val="16"/>
                <w:szCs w:val="16"/>
                <w:highlight w:val="yellow"/>
              </w:rPr>
            </w:pPr>
          </w:p>
        </w:tc>
        <w:tc>
          <w:tcPr>
            <w:tcW w:w="144" w:type="pct"/>
          </w:tcPr>
          <w:p w:rsidR="00FC6DB5" w:rsidRPr="00A74192" w:rsidRDefault="00FC6DB5" w:rsidP="00D94859">
            <w:pPr>
              <w:pStyle w:val="Textpoznpodarou"/>
              <w:jc w:val="both"/>
            </w:pPr>
          </w:p>
        </w:tc>
        <w:tc>
          <w:tcPr>
            <w:tcW w:w="3840" w:type="pct"/>
            <w:gridSpan w:val="2"/>
          </w:tcPr>
          <w:p w:rsidR="00FC6DB5" w:rsidRDefault="00DE1460" w:rsidP="00AA4A76">
            <w:pPr>
              <w:pStyle w:val="Textpoznpodarou"/>
              <w:ind w:left="-124"/>
              <w:jc w:val="both"/>
              <w:rPr>
                <w:sz w:val="16"/>
                <w:szCs w:val="16"/>
              </w:rPr>
            </w:pPr>
            <w:r w:rsidRPr="00DE1460">
              <w:rPr>
                <w:noProof/>
                <w:sz w:val="16"/>
                <w:szCs w:val="16"/>
              </w:rPr>
              <w:drawing>
                <wp:inline distT="0" distB="0" distL="0" distR="0">
                  <wp:extent cx="4737600" cy="3553200"/>
                  <wp:effectExtent l="19050" t="0" r="5850" b="0"/>
                  <wp:docPr id="4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C6DB5" w:rsidRPr="00DE1460" w:rsidRDefault="00FC6DB5" w:rsidP="00AA4A76">
            <w:pPr>
              <w:pStyle w:val="Textpoznpodarou"/>
              <w:ind w:left="-124"/>
              <w:jc w:val="right"/>
              <w:rPr>
                <w:sz w:val="14"/>
                <w:szCs w:val="14"/>
              </w:rPr>
            </w:pPr>
            <w:r w:rsidRPr="00DE1460">
              <w:rPr>
                <w:sz w:val="14"/>
                <w:szCs w:val="14"/>
              </w:rPr>
              <w:t>Zdroj: ČNB</w:t>
            </w:r>
          </w:p>
          <w:p w:rsidR="00FC6DB5" w:rsidRPr="00AA4A76" w:rsidRDefault="00FC6DB5" w:rsidP="00AA4A76">
            <w:pPr>
              <w:pStyle w:val="Textpoznpodarou"/>
              <w:ind w:left="-124"/>
              <w:jc w:val="right"/>
              <w:rPr>
                <w:sz w:val="18"/>
                <w:szCs w:val="18"/>
              </w:rPr>
            </w:pPr>
          </w:p>
        </w:tc>
      </w:tr>
      <w:tr w:rsidR="00FC6DB5" w:rsidRPr="00A74192" w:rsidTr="00AA4A76">
        <w:trPr>
          <w:trHeight w:val="145"/>
        </w:trPr>
        <w:tc>
          <w:tcPr>
            <w:tcW w:w="1016" w:type="pct"/>
            <w:shd w:val="clear" w:color="auto" w:fill="auto"/>
          </w:tcPr>
          <w:p w:rsidR="00FC6DB5" w:rsidRPr="006D5608" w:rsidRDefault="00FC6DB5" w:rsidP="00134DFD">
            <w:pPr>
              <w:spacing w:line="240" w:lineRule="auto"/>
              <w:rPr>
                <w:color w:val="000000" w:themeColor="text1"/>
                <w:sz w:val="16"/>
                <w:szCs w:val="16"/>
                <w:highlight w:val="yellow"/>
              </w:rPr>
            </w:pPr>
            <w:r w:rsidRPr="007964B4">
              <w:rPr>
                <w:color w:val="000000" w:themeColor="text1"/>
                <w:sz w:val="16"/>
                <w:szCs w:val="16"/>
              </w:rPr>
              <w:t xml:space="preserve">Zrychlil růst objemu peněz v ekonomice. Výraznější pohyb se odehrál u položky </w:t>
            </w:r>
            <w:proofErr w:type="spellStart"/>
            <w:r w:rsidRPr="007964B4">
              <w:rPr>
                <w:color w:val="000000" w:themeColor="text1"/>
                <w:sz w:val="16"/>
                <w:szCs w:val="16"/>
              </w:rPr>
              <w:t>repo</w:t>
            </w:r>
            <w:proofErr w:type="spellEnd"/>
            <w:r w:rsidRPr="007964B4">
              <w:rPr>
                <w:color w:val="000000" w:themeColor="text1"/>
                <w:sz w:val="16"/>
                <w:szCs w:val="16"/>
              </w:rPr>
              <w:t xml:space="preserve"> operací.</w:t>
            </w:r>
          </w:p>
        </w:tc>
        <w:tc>
          <w:tcPr>
            <w:tcW w:w="144" w:type="pct"/>
          </w:tcPr>
          <w:p w:rsidR="00FC6DB5" w:rsidRPr="003E6E0D" w:rsidRDefault="00FC6DB5" w:rsidP="00134DFD">
            <w:pPr>
              <w:pStyle w:val="Textpoznpodarou"/>
              <w:jc w:val="both"/>
              <w:rPr>
                <w:highlight w:val="yellow"/>
              </w:rPr>
            </w:pPr>
          </w:p>
        </w:tc>
        <w:tc>
          <w:tcPr>
            <w:tcW w:w="3840" w:type="pct"/>
            <w:gridSpan w:val="2"/>
          </w:tcPr>
          <w:p w:rsidR="00FC6DB5" w:rsidRDefault="00FC6DB5" w:rsidP="00134DFD">
            <w:pPr>
              <w:pStyle w:val="Textpoznpodarou"/>
              <w:jc w:val="both"/>
              <w:rPr>
                <w:sz w:val="16"/>
                <w:szCs w:val="16"/>
              </w:rPr>
            </w:pPr>
            <w:r w:rsidRPr="001D68C4">
              <w:t xml:space="preserve">Měnová báze měřená agregátem M3 v 1. čtvrtletí 2017 zrychlila svůj </w:t>
            </w:r>
            <w:r>
              <w:t xml:space="preserve">meziroční </w:t>
            </w:r>
            <w:r w:rsidRPr="001D68C4">
              <w:t>růst</w:t>
            </w:r>
            <w:r>
              <w:t xml:space="preserve"> na 10,0 %</w:t>
            </w:r>
            <w:r w:rsidRPr="001D68C4">
              <w:t>.</w:t>
            </w:r>
            <w:r>
              <w:t xml:space="preserve"> To znamenalo oživení dynamiky mírně zpomalené v závěru roku 2016 (7,6 %). Zvýšení peněžní zásoby se odehrálo výhradně prostřednictvím růstu objemu jednodenních vkladů, což může souviset s ukládáním spekulativně nakoupených korun. Podíl jednodenních vkladů, který v posledních letech výrazně rostl, se v 1. čtvrtletí držel na hladině 75,9 %. Zajímavý byl pohyb u </w:t>
            </w:r>
            <w:proofErr w:type="spellStart"/>
            <w:r>
              <w:t>repo</w:t>
            </w:r>
            <w:proofErr w:type="spellEnd"/>
            <w:r>
              <w:t xml:space="preserve"> operací, které jsou objemově nevýznamné, ale jejich podíl narostl z 0,5 % ve 4. čtvrtletí 2016 na 1,2 % v 1. kvartálu letošního roku.</w:t>
            </w:r>
          </w:p>
          <w:p w:rsidR="00FC6DB5" w:rsidRPr="0094422D" w:rsidRDefault="00FC6DB5" w:rsidP="00134DFD">
            <w:pPr>
              <w:pStyle w:val="Textpoznpodarou"/>
              <w:jc w:val="both"/>
              <w:rPr>
                <w:sz w:val="16"/>
                <w:szCs w:val="16"/>
              </w:rPr>
            </w:pPr>
          </w:p>
        </w:tc>
      </w:tr>
      <w:tr w:rsidR="00FC6DB5" w:rsidRPr="00A74192" w:rsidTr="00AA4A76">
        <w:trPr>
          <w:trHeight w:val="145"/>
        </w:trPr>
        <w:tc>
          <w:tcPr>
            <w:tcW w:w="1016" w:type="pct"/>
            <w:shd w:val="clear" w:color="auto" w:fill="auto"/>
          </w:tcPr>
          <w:p w:rsidR="00FC6DB5" w:rsidRPr="006D5608" w:rsidRDefault="00FC6DB5" w:rsidP="00134DFD">
            <w:pPr>
              <w:spacing w:line="240" w:lineRule="auto"/>
              <w:rPr>
                <w:color w:val="000000" w:themeColor="text1"/>
                <w:sz w:val="16"/>
                <w:szCs w:val="16"/>
                <w:highlight w:val="yellow"/>
              </w:rPr>
            </w:pPr>
            <w:r w:rsidRPr="007964B4">
              <w:rPr>
                <w:color w:val="000000" w:themeColor="text1"/>
                <w:sz w:val="16"/>
                <w:szCs w:val="16"/>
              </w:rPr>
              <w:t>Mezibankovní sazby se ne</w:t>
            </w:r>
            <w:r>
              <w:rPr>
                <w:color w:val="000000" w:themeColor="text1"/>
                <w:sz w:val="16"/>
                <w:szCs w:val="16"/>
              </w:rPr>
              <w:t>měni</w:t>
            </w:r>
            <w:r w:rsidR="00045681">
              <w:rPr>
                <w:color w:val="000000" w:themeColor="text1"/>
                <w:sz w:val="16"/>
                <w:szCs w:val="16"/>
              </w:rPr>
              <w:t>l</w:t>
            </w:r>
            <w:r>
              <w:rPr>
                <w:color w:val="000000" w:themeColor="text1"/>
                <w:sz w:val="16"/>
                <w:szCs w:val="16"/>
              </w:rPr>
              <w:t>y</w:t>
            </w:r>
            <w:r w:rsidRPr="007964B4">
              <w:rPr>
                <w:color w:val="000000" w:themeColor="text1"/>
                <w:sz w:val="16"/>
                <w:szCs w:val="16"/>
              </w:rPr>
              <w:t>, posun nastal na trhu s vládními dluhopisy.</w:t>
            </w:r>
          </w:p>
        </w:tc>
        <w:tc>
          <w:tcPr>
            <w:tcW w:w="144" w:type="pct"/>
          </w:tcPr>
          <w:p w:rsidR="00FC6DB5" w:rsidRPr="003E6E0D" w:rsidRDefault="00FC6DB5" w:rsidP="00134DFD">
            <w:pPr>
              <w:pStyle w:val="Textpoznpodarou"/>
              <w:jc w:val="both"/>
            </w:pPr>
          </w:p>
        </w:tc>
        <w:tc>
          <w:tcPr>
            <w:tcW w:w="3840" w:type="pct"/>
            <w:gridSpan w:val="2"/>
          </w:tcPr>
          <w:p w:rsidR="00FC6DB5" w:rsidRDefault="00FC6DB5" w:rsidP="00134DFD">
            <w:pPr>
              <w:pStyle w:val="Textpoznpodarou"/>
              <w:jc w:val="both"/>
              <w:rPr>
                <w:sz w:val="16"/>
                <w:szCs w:val="16"/>
              </w:rPr>
            </w:pPr>
            <w:proofErr w:type="spellStart"/>
            <w:r w:rsidRPr="00335A97">
              <w:t>Měnověpolitické</w:t>
            </w:r>
            <w:proofErr w:type="spellEnd"/>
            <w:r w:rsidRPr="00335A97">
              <w:t xml:space="preserve"> sazby zůstávají na technické nule a od nich se odvíjející mezibankovní sazby se nepohnuly ani v 1. čtvrtletí 2017.</w:t>
            </w:r>
            <w:r>
              <w:t xml:space="preserve"> Dynamičtější byl vývoj sazeb na vládních dluhopisech. Výnosy na dluhopisech se splatností do dvou let dosáhly rekordního minima v lednu 2017 (-0,81 %). Jejich pokles v předchozím roce byl způsoben spekulativními nákupy spojenými s očekávaným ukončením intervencí. Vývoj devizových rezerv na počátku roku však naznačoval, že tato očekávání mohou být nenaplněna. Sazba se postupně zv</w:t>
            </w:r>
            <w:r w:rsidR="00CB2B15">
              <w:t xml:space="preserve">ýšila až na březnových </w:t>
            </w:r>
            <w:r w:rsidR="00CB2B15">
              <w:noBreakHyphen/>
            </w:r>
            <w:r>
              <w:t>0,44 %. Rostly i sazby na dluhopisech se střednědobou a dlouhodobou splatností.</w:t>
            </w:r>
          </w:p>
          <w:p w:rsidR="00FC6DB5" w:rsidRPr="00F06A1D" w:rsidRDefault="00FC6DB5" w:rsidP="00134DFD">
            <w:pPr>
              <w:pStyle w:val="Textpoznpodarou"/>
              <w:jc w:val="both"/>
              <w:rPr>
                <w:sz w:val="16"/>
                <w:szCs w:val="16"/>
              </w:rPr>
            </w:pPr>
          </w:p>
        </w:tc>
      </w:tr>
      <w:tr w:rsidR="00FC6DB5" w:rsidRPr="00A74192" w:rsidTr="00AA4A76">
        <w:trPr>
          <w:trHeight w:val="145"/>
        </w:trPr>
        <w:tc>
          <w:tcPr>
            <w:tcW w:w="1016" w:type="pct"/>
            <w:shd w:val="clear" w:color="auto" w:fill="auto"/>
          </w:tcPr>
          <w:p w:rsidR="00FC6DB5" w:rsidRPr="006D5608" w:rsidRDefault="00FC6DB5" w:rsidP="00134DFD">
            <w:pPr>
              <w:spacing w:line="240" w:lineRule="auto"/>
              <w:rPr>
                <w:color w:val="000000" w:themeColor="text1"/>
                <w:sz w:val="16"/>
                <w:szCs w:val="16"/>
                <w:highlight w:val="yellow"/>
              </w:rPr>
            </w:pPr>
            <w:r w:rsidRPr="007964B4">
              <w:rPr>
                <w:color w:val="000000" w:themeColor="text1"/>
                <w:sz w:val="16"/>
                <w:szCs w:val="16"/>
              </w:rPr>
              <w:t>Úročení běžných vkladů je prakticky nulové pro domácnosti i firmy. Vklady s</w:t>
            </w:r>
            <w:r>
              <w:rPr>
                <w:color w:val="000000" w:themeColor="text1"/>
                <w:sz w:val="16"/>
                <w:szCs w:val="16"/>
              </w:rPr>
              <w:t xml:space="preserve"> delší </w:t>
            </w:r>
            <w:r w:rsidRPr="007964B4">
              <w:rPr>
                <w:color w:val="000000" w:themeColor="text1"/>
                <w:sz w:val="16"/>
                <w:szCs w:val="16"/>
              </w:rPr>
              <w:t xml:space="preserve">splatností </w:t>
            </w:r>
            <w:r w:rsidRPr="007964B4">
              <w:rPr>
                <w:color w:val="000000" w:themeColor="text1"/>
                <w:sz w:val="16"/>
                <w:szCs w:val="16"/>
              </w:rPr>
              <w:lastRenderedPageBreak/>
              <w:t>nezískají na úrocích ani hodnotu inflace.</w:t>
            </w:r>
          </w:p>
        </w:tc>
        <w:tc>
          <w:tcPr>
            <w:tcW w:w="144" w:type="pct"/>
          </w:tcPr>
          <w:p w:rsidR="00FC6DB5" w:rsidRPr="003E6E0D" w:rsidRDefault="00FC6DB5" w:rsidP="00134DFD">
            <w:pPr>
              <w:pStyle w:val="Textpoznpodarou"/>
              <w:jc w:val="both"/>
              <w:rPr>
                <w:highlight w:val="yellow"/>
              </w:rPr>
            </w:pPr>
          </w:p>
        </w:tc>
        <w:tc>
          <w:tcPr>
            <w:tcW w:w="3840" w:type="pct"/>
            <w:gridSpan w:val="2"/>
          </w:tcPr>
          <w:p w:rsidR="00FC6DB5" w:rsidRDefault="00FC6DB5" w:rsidP="00134DFD">
            <w:pPr>
              <w:pStyle w:val="Textpoznpodarou"/>
              <w:jc w:val="both"/>
              <w:rPr>
                <w:sz w:val="16"/>
                <w:szCs w:val="16"/>
              </w:rPr>
            </w:pPr>
            <w:r>
              <w:t>Sazby na vkladech většinou odráží situaci na mezibankovním trhu. Průměrná sazba na jednodenních vkladech pro domácnosti klesla z hodnoty 0,12 % ve</w:t>
            </w:r>
            <w:r w:rsidR="00CB2B15">
              <w:t> </w:t>
            </w:r>
            <w:r>
              <w:t>4.</w:t>
            </w:r>
            <w:r w:rsidR="00CB2B15">
              <w:t> </w:t>
            </w:r>
            <w:r>
              <w:t xml:space="preserve">čtvrtletí 2016 na 0,10 % v 1. čtvrtletí letošního roku. Sazby na běžných </w:t>
            </w:r>
            <w:r>
              <w:lastRenderedPageBreak/>
              <w:t>účtech domácností již nemají velký prostor k poklesu – jejich průměrná hodnota v 1.</w:t>
            </w:r>
            <w:r w:rsidR="00CB2B15">
              <w:t> </w:t>
            </w:r>
            <w:r>
              <w:t>čtvrtletí dosáhla 0,05 %. Rostly sazby na vkladech s dohodnutou splatností nad 1 rok (splatnost mezi 1 a 2 lety včetně</w:t>
            </w:r>
            <w:r w:rsidR="00045681">
              <w:t>,</w:t>
            </w:r>
            <w:r>
              <w:t xml:space="preserve"> i splatnost nad 2 roky), které se</w:t>
            </w:r>
            <w:r w:rsidR="006E4A1B">
              <w:t> </w:t>
            </w:r>
            <w:r>
              <w:t>propadly v předchozím čtvrtletí a nyní se vrací na své původní hodnoty. Výnosy na</w:t>
            </w:r>
            <w:r w:rsidR="00CB2B15">
              <w:t> </w:t>
            </w:r>
            <w:r>
              <w:t>vkladech nefinančních podniků dosáhly svého dna již v minulém roce a nyní zůstávají na téměř nulových hodnotách bez ohledu na druh. Vklady na běžných účtech byly tak průměrně úročeny 0,03 %, vklady s dohodnutou splatností 0,07 %.</w:t>
            </w:r>
          </w:p>
          <w:p w:rsidR="00FC6DB5" w:rsidRPr="0094422D" w:rsidRDefault="00FC6DB5" w:rsidP="00134DFD">
            <w:pPr>
              <w:pStyle w:val="Textpoznpodarou"/>
              <w:jc w:val="both"/>
              <w:rPr>
                <w:sz w:val="16"/>
                <w:szCs w:val="16"/>
              </w:rPr>
            </w:pPr>
          </w:p>
        </w:tc>
      </w:tr>
      <w:tr w:rsidR="00FC6DB5" w:rsidRPr="00A74192" w:rsidTr="00AA4A76">
        <w:trPr>
          <w:trHeight w:val="145"/>
        </w:trPr>
        <w:tc>
          <w:tcPr>
            <w:tcW w:w="1016" w:type="pct"/>
            <w:shd w:val="clear" w:color="auto" w:fill="auto"/>
          </w:tcPr>
          <w:p w:rsidR="00FC6DB5" w:rsidRPr="006D5608" w:rsidRDefault="00FC6DB5" w:rsidP="00134DFD">
            <w:pPr>
              <w:spacing w:line="240" w:lineRule="auto"/>
              <w:rPr>
                <w:color w:val="000000" w:themeColor="text1"/>
                <w:sz w:val="16"/>
                <w:szCs w:val="16"/>
                <w:highlight w:val="yellow"/>
              </w:rPr>
            </w:pPr>
            <w:r w:rsidRPr="007964B4">
              <w:rPr>
                <w:color w:val="000000" w:themeColor="text1"/>
                <w:sz w:val="16"/>
                <w:szCs w:val="16"/>
              </w:rPr>
              <w:lastRenderedPageBreak/>
              <w:t xml:space="preserve">Objem běžných vkladů stále roste a finanční prostředky jsou stahovány z termínovaných účtů. </w:t>
            </w:r>
          </w:p>
        </w:tc>
        <w:tc>
          <w:tcPr>
            <w:tcW w:w="144" w:type="pct"/>
          </w:tcPr>
          <w:p w:rsidR="00FC6DB5" w:rsidRPr="003E6E0D" w:rsidRDefault="00FC6DB5" w:rsidP="00134DFD">
            <w:pPr>
              <w:pStyle w:val="Textpoznpodarou"/>
              <w:jc w:val="both"/>
              <w:rPr>
                <w:highlight w:val="yellow"/>
              </w:rPr>
            </w:pPr>
          </w:p>
        </w:tc>
        <w:tc>
          <w:tcPr>
            <w:tcW w:w="3840" w:type="pct"/>
            <w:gridSpan w:val="2"/>
          </w:tcPr>
          <w:p w:rsidR="00FC6DB5" w:rsidRDefault="00FC6DB5" w:rsidP="00134DFD">
            <w:pPr>
              <w:pStyle w:val="Textpoznpodarou"/>
              <w:jc w:val="both"/>
              <w:rPr>
                <w:sz w:val="16"/>
                <w:szCs w:val="16"/>
              </w:rPr>
            </w:pPr>
            <w:r w:rsidRPr="008C6F93">
              <w:t>Objem vkladů na běžných účtech pro domácnosti i nefinanční podniky rostl, stejně jako jejich podíl na celkových vkladech v bankách.</w:t>
            </w:r>
            <w:r>
              <w:t xml:space="preserve"> Objem jednodenních vkladů nefinančních podniků během 1. čtvrtletí roku 2017 vzrostl o 42,1 mld. korun. V</w:t>
            </w:r>
            <w:r w:rsidR="00CB2B15">
              <w:t> </w:t>
            </w:r>
            <w:r>
              <w:t>případě domácností vzrostl objem stejného typu vkladů o 68,1 mld. korun. Úroky nepokrývající inflaci odrazují střadatele od umístění finančních prostředků na</w:t>
            </w:r>
            <w:r w:rsidR="00CB2B15">
              <w:t> </w:t>
            </w:r>
            <w:r>
              <w:t>jakýkoli druh termínovaných účtů. Není tedy překvapením, že vklady se stanovenou splatností i výpovědní lhůtou nadále ztrácel</w:t>
            </w:r>
            <w:r w:rsidR="00045681">
              <w:t>y</w:t>
            </w:r>
            <w:r>
              <w:t xml:space="preserve"> na významu pro obě skupiny střadatelů a jejich podíl na celkovém portfoliu klesal. V 1. čtvrtletí 2017 se</w:t>
            </w:r>
            <w:r w:rsidR="006E4A1B">
              <w:t> </w:t>
            </w:r>
            <w:r>
              <w:t xml:space="preserve">zvýšil objem </w:t>
            </w:r>
            <w:proofErr w:type="spellStart"/>
            <w:r>
              <w:t>repo</w:t>
            </w:r>
            <w:proofErr w:type="spellEnd"/>
            <w:r>
              <w:t xml:space="preserve"> operací u nefinančních podniků o 2,2 mld. korun.</w:t>
            </w:r>
          </w:p>
          <w:p w:rsidR="00FC6DB5" w:rsidRPr="00AD0FC0" w:rsidRDefault="00FC6DB5" w:rsidP="00134DFD">
            <w:pPr>
              <w:pStyle w:val="Textpoznpodarou"/>
              <w:jc w:val="both"/>
              <w:rPr>
                <w:sz w:val="16"/>
                <w:szCs w:val="16"/>
              </w:rPr>
            </w:pPr>
          </w:p>
        </w:tc>
      </w:tr>
      <w:tr w:rsidR="00FC6DB5" w:rsidRPr="00A74192" w:rsidTr="00AA4A76">
        <w:trPr>
          <w:trHeight w:val="145"/>
        </w:trPr>
        <w:tc>
          <w:tcPr>
            <w:tcW w:w="1016" w:type="pct"/>
            <w:shd w:val="clear" w:color="auto" w:fill="auto"/>
          </w:tcPr>
          <w:p w:rsidR="00FC6DB5" w:rsidRPr="006D5608" w:rsidRDefault="00FC6DB5" w:rsidP="006E4A1B">
            <w:pPr>
              <w:spacing w:line="240" w:lineRule="auto"/>
              <w:rPr>
                <w:color w:val="000000" w:themeColor="text1"/>
                <w:sz w:val="16"/>
                <w:szCs w:val="16"/>
                <w:highlight w:val="yellow"/>
              </w:rPr>
            </w:pPr>
            <w:r w:rsidRPr="007964B4">
              <w:rPr>
                <w:color w:val="000000" w:themeColor="text1"/>
                <w:sz w:val="16"/>
                <w:szCs w:val="16"/>
              </w:rPr>
              <w:t>Hypoteční úvěry zaž</w:t>
            </w:r>
            <w:r>
              <w:rPr>
                <w:color w:val="000000" w:themeColor="text1"/>
                <w:sz w:val="16"/>
                <w:szCs w:val="16"/>
              </w:rPr>
              <w:t>ily</w:t>
            </w:r>
            <w:r w:rsidRPr="007964B4">
              <w:rPr>
                <w:color w:val="000000" w:themeColor="text1"/>
                <w:sz w:val="16"/>
                <w:szCs w:val="16"/>
              </w:rPr>
              <w:t xml:space="preserve"> obrat – jejich sazby v 1.</w:t>
            </w:r>
            <w:r w:rsidR="006E4A1B">
              <w:rPr>
                <w:color w:val="000000" w:themeColor="text1"/>
                <w:sz w:val="16"/>
                <w:szCs w:val="16"/>
              </w:rPr>
              <w:t> </w:t>
            </w:r>
            <w:r w:rsidRPr="007964B4">
              <w:rPr>
                <w:color w:val="000000" w:themeColor="text1"/>
                <w:sz w:val="16"/>
                <w:szCs w:val="16"/>
              </w:rPr>
              <w:t>čtvrtletí začaly opět růst. Klesaly úroky na spotřebních úvěrech.</w:t>
            </w:r>
            <w:r>
              <w:rPr>
                <w:color w:val="000000" w:themeColor="text1"/>
                <w:sz w:val="16"/>
                <w:szCs w:val="16"/>
              </w:rPr>
              <w:t xml:space="preserve"> Rostla i cena úvěrů pro nefinanční podniky.</w:t>
            </w:r>
          </w:p>
        </w:tc>
        <w:tc>
          <w:tcPr>
            <w:tcW w:w="144" w:type="pct"/>
          </w:tcPr>
          <w:p w:rsidR="00FC6DB5" w:rsidRPr="003E6E0D" w:rsidRDefault="00FC6DB5" w:rsidP="00134DFD">
            <w:pPr>
              <w:pStyle w:val="Textpoznpodarou"/>
              <w:jc w:val="both"/>
              <w:rPr>
                <w:highlight w:val="yellow"/>
              </w:rPr>
            </w:pPr>
          </w:p>
        </w:tc>
        <w:tc>
          <w:tcPr>
            <w:tcW w:w="3840" w:type="pct"/>
            <w:gridSpan w:val="2"/>
          </w:tcPr>
          <w:p w:rsidR="00FC6DB5" w:rsidRDefault="00FC6DB5" w:rsidP="00134DFD">
            <w:pPr>
              <w:pStyle w:val="Textpoznpodarou"/>
              <w:jc w:val="both"/>
              <w:rPr>
                <w:sz w:val="16"/>
                <w:szCs w:val="16"/>
              </w:rPr>
            </w:pPr>
            <w:r w:rsidRPr="003C6642">
              <w:t>Pokles sazeb na hypotečních úvěrech, který se odehrál během roku 2016, se</w:t>
            </w:r>
            <w:r w:rsidR="006E4A1B">
              <w:t> </w:t>
            </w:r>
            <w:r w:rsidRPr="003C6642">
              <w:t>zřejmě zastavil a průměrná sazba u úvěrů na pořízení nemovitostí se zvýšila z 2,17 % ve 4. čtvrtletí 2016 na 2,2</w:t>
            </w:r>
            <w:r>
              <w:t>5</w:t>
            </w:r>
            <w:r w:rsidRPr="003C6642">
              <w:t xml:space="preserve"> % v 1. čtvrtletí letošního roku. Zvyšovaly se</w:t>
            </w:r>
            <w:r w:rsidR="006E4A1B">
              <w:t> </w:t>
            </w:r>
            <w:r w:rsidRPr="003C6642">
              <w:t xml:space="preserve">úrokové sazby u všech </w:t>
            </w:r>
            <w:r>
              <w:t xml:space="preserve">typů </w:t>
            </w:r>
            <w:r w:rsidRPr="003C6642">
              <w:t>fixací.</w:t>
            </w:r>
            <w:r>
              <w:t xml:space="preserve"> Momentálně nejoblíbenější typ úvěru – s fixací mezi 5 a 10 lety – zdražil z 1,91 % na 2,03 %. Naopak spotřební úvěry dále zlevňují a v 1. čtvrtletí roku 2017 se jejich průměrné úročení dostalo pod 10 %. Dostupnost úvěrového financování pro nefinanční podniky zůstala dobrá, i zde však dochází k obratu a úrokové sazby mezičtvrtletně mírně vzrostly. Týká se to hlavně úvěrů s objemem do 7,5 mil. korun, u kterých sazba vzrostla z 3,02 % v závěru roku 2016 na 3,13 %. Stabilní zůstala situace u úvěrů mezi 7,5</w:t>
            </w:r>
            <w:r w:rsidR="006E4A1B">
              <w:t> </w:t>
            </w:r>
            <w:r>
              <w:t>a</w:t>
            </w:r>
            <w:r w:rsidR="006E4A1B">
              <w:t> </w:t>
            </w:r>
            <w:r>
              <w:t>30</w:t>
            </w:r>
            <w:r w:rsidR="006E4A1B">
              <w:t> </w:t>
            </w:r>
            <w:r>
              <w:t>mil.</w:t>
            </w:r>
            <w:r w:rsidR="006E4A1B">
              <w:t> </w:t>
            </w:r>
            <w:r>
              <w:t xml:space="preserve">korun, u kterých průměrná sazba v 1. čtvrtletí činila 1,94 %. Úročení úvěrů nad 30 mil. korun se zvýšilo o 0,06 </w:t>
            </w:r>
            <w:proofErr w:type="spellStart"/>
            <w:r>
              <w:t>p.b</w:t>
            </w:r>
            <w:proofErr w:type="spellEnd"/>
            <w:r>
              <w:t>., sazba je však ze všech typů úvěrů nejnižší – dosáhla 1,74 %.</w:t>
            </w:r>
          </w:p>
          <w:p w:rsidR="00FC6DB5" w:rsidRPr="000D2DB1" w:rsidRDefault="00FC6DB5" w:rsidP="00134DFD">
            <w:pPr>
              <w:pStyle w:val="Textpoznpodarou"/>
              <w:jc w:val="both"/>
              <w:rPr>
                <w:sz w:val="16"/>
                <w:szCs w:val="16"/>
                <w:highlight w:val="yellow"/>
              </w:rPr>
            </w:pPr>
          </w:p>
        </w:tc>
      </w:tr>
      <w:tr w:rsidR="00FC6DB5" w:rsidRPr="00A74192" w:rsidTr="00AA4A76">
        <w:trPr>
          <w:trHeight w:val="145"/>
        </w:trPr>
        <w:tc>
          <w:tcPr>
            <w:tcW w:w="1016" w:type="pct"/>
          </w:tcPr>
          <w:p w:rsidR="00FC6DB5" w:rsidRPr="006D5608" w:rsidRDefault="00FC6DB5" w:rsidP="00134DFD">
            <w:pPr>
              <w:spacing w:line="240" w:lineRule="auto"/>
              <w:rPr>
                <w:color w:val="000000" w:themeColor="text1"/>
                <w:sz w:val="16"/>
                <w:szCs w:val="16"/>
                <w:highlight w:val="yellow"/>
              </w:rPr>
            </w:pPr>
            <w:r w:rsidRPr="00C720AB">
              <w:rPr>
                <w:color w:val="000000" w:themeColor="text1"/>
                <w:sz w:val="16"/>
                <w:szCs w:val="16"/>
              </w:rPr>
              <w:t xml:space="preserve">V 1. čtvrtletí </w:t>
            </w:r>
            <w:r>
              <w:rPr>
                <w:color w:val="000000" w:themeColor="text1"/>
                <w:sz w:val="16"/>
                <w:szCs w:val="16"/>
              </w:rPr>
              <w:t xml:space="preserve">roku 2017 </w:t>
            </w:r>
            <w:r w:rsidRPr="00C720AB">
              <w:rPr>
                <w:color w:val="000000" w:themeColor="text1"/>
                <w:sz w:val="16"/>
                <w:szCs w:val="16"/>
              </w:rPr>
              <w:t>došlo k výjimečně vysokému nárůstu poskytnutých hypoték</w:t>
            </w:r>
            <w:r>
              <w:rPr>
                <w:color w:val="000000" w:themeColor="text1"/>
                <w:sz w:val="16"/>
                <w:szCs w:val="16"/>
              </w:rPr>
              <w:t>.</w:t>
            </w:r>
            <w:r w:rsidRPr="00C720AB">
              <w:rPr>
                <w:color w:val="000000" w:themeColor="text1"/>
                <w:sz w:val="16"/>
                <w:szCs w:val="16"/>
              </w:rPr>
              <w:t xml:space="preserve"> </w:t>
            </w:r>
          </w:p>
        </w:tc>
        <w:tc>
          <w:tcPr>
            <w:tcW w:w="144" w:type="pct"/>
          </w:tcPr>
          <w:p w:rsidR="00FC6DB5" w:rsidRPr="003E6E0D" w:rsidRDefault="00FC6DB5" w:rsidP="00134DFD">
            <w:pPr>
              <w:pStyle w:val="Textpoznpodarou"/>
              <w:jc w:val="both"/>
              <w:rPr>
                <w:highlight w:val="yellow"/>
              </w:rPr>
            </w:pPr>
          </w:p>
        </w:tc>
        <w:tc>
          <w:tcPr>
            <w:tcW w:w="3840" w:type="pct"/>
            <w:gridSpan w:val="2"/>
          </w:tcPr>
          <w:p w:rsidR="00FC6DB5" w:rsidRDefault="00FC6DB5" w:rsidP="00134DFD">
            <w:pPr>
              <w:pStyle w:val="Textpoznpodarou"/>
              <w:jc w:val="both"/>
              <w:rPr>
                <w:sz w:val="16"/>
                <w:szCs w:val="16"/>
              </w:rPr>
            </w:pPr>
            <w:r>
              <w:t>Objem poskytnutých úvěrů na bydlení se během 1. čtvrtletí zvýšil o</w:t>
            </w:r>
            <w:r w:rsidR="00045681">
              <w:t> </w:t>
            </w:r>
            <w:r>
              <w:t>20,8</w:t>
            </w:r>
            <w:r w:rsidR="00045681">
              <w:t> </w:t>
            </w:r>
            <w:r>
              <w:t>mld</w:t>
            </w:r>
            <w:r w:rsidR="00045681">
              <w:t>. </w:t>
            </w:r>
            <w:r>
              <w:t>korun, což je při srovnání stejného období předchozích let rekordní nárůst. Stojí za</w:t>
            </w:r>
            <w:r w:rsidR="006E4A1B">
              <w:t> </w:t>
            </w:r>
            <w:r>
              <w:t>tím stále výhodné úvěrové podmínky a oznámené restrikce na</w:t>
            </w:r>
            <w:r w:rsidR="00045681">
              <w:t> </w:t>
            </w:r>
            <w:r>
              <w:t>poskytování hypotečních úvěrů. Objem poskytnutých spotřebních úvěrů vzrostl během 1.</w:t>
            </w:r>
            <w:r w:rsidR="00CB2B15">
              <w:t> </w:t>
            </w:r>
            <w:r>
              <w:t>čtvrtletí roku o 1,9 mld. korun, což je o 0,5 mld. méně než ve stejném období minulého roku. Rok 2016 byl však z pohledu objemu úvěru na spotřebu mimořádný. Množství poskytnutých spotřebních úvěrů v první čtvrtině minulého roku výrazně rostlo, čímž se 1. čtvrtletí 2016 vymykalo stejnému období předchozích let, kdy objem těchto úvěrů klesal.</w:t>
            </w:r>
          </w:p>
          <w:p w:rsidR="00FC6DB5" w:rsidRPr="00813AD8" w:rsidRDefault="00FC6DB5" w:rsidP="00134DFD">
            <w:pPr>
              <w:pStyle w:val="Textpoznpodarou"/>
              <w:jc w:val="both"/>
              <w:rPr>
                <w:sz w:val="16"/>
                <w:szCs w:val="16"/>
              </w:rPr>
            </w:pPr>
          </w:p>
        </w:tc>
      </w:tr>
      <w:tr w:rsidR="00FC6DB5" w:rsidRPr="00A74192" w:rsidTr="00AA4A76">
        <w:tc>
          <w:tcPr>
            <w:tcW w:w="1016" w:type="pct"/>
          </w:tcPr>
          <w:p w:rsidR="00FC6DB5" w:rsidRPr="006D5608" w:rsidRDefault="00FC6DB5" w:rsidP="00134DFD">
            <w:pPr>
              <w:spacing w:line="240" w:lineRule="auto"/>
              <w:rPr>
                <w:color w:val="000000" w:themeColor="text1"/>
                <w:sz w:val="16"/>
                <w:szCs w:val="16"/>
                <w:highlight w:val="yellow"/>
              </w:rPr>
            </w:pPr>
            <w:r w:rsidRPr="00C720AB">
              <w:rPr>
                <w:color w:val="000000" w:themeColor="text1"/>
                <w:sz w:val="16"/>
                <w:szCs w:val="16"/>
              </w:rPr>
              <w:t>Prudce narostl objem krátkodobých úvěrů poskytnutých nefinančním podnikům v cizí měně.</w:t>
            </w:r>
          </w:p>
        </w:tc>
        <w:tc>
          <w:tcPr>
            <w:tcW w:w="144" w:type="pct"/>
          </w:tcPr>
          <w:p w:rsidR="00FC6DB5" w:rsidRPr="003E6E0D" w:rsidRDefault="00FC6DB5" w:rsidP="00134DFD">
            <w:pPr>
              <w:pStyle w:val="Textpoznpodarou"/>
              <w:jc w:val="both"/>
              <w:rPr>
                <w:highlight w:val="yellow"/>
              </w:rPr>
            </w:pPr>
          </w:p>
        </w:tc>
        <w:tc>
          <w:tcPr>
            <w:tcW w:w="3840" w:type="pct"/>
            <w:gridSpan w:val="2"/>
          </w:tcPr>
          <w:p w:rsidR="00FC6DB5" w:rsidRDefault="00FC6DB5" w:rsidP="00134DFD">
            <w:pPr>
              <w:pStyle w:val="Textpoznpodarou"/>
              <w:jc w:val="both"/>
              <w:rPr>
                <w:sz w:val="16"/>
                <w:szCs w:val="16"/>
              </w:rPr>
            </w:pPr>
            <w:r>
              <w:t>Celkový o</w:t>
            </w:r>
            <w:r w:rsidRPr="006530EE">
              <w:t xml:space="preserve">bjem úvěrů </w:t>
            </w:r>
            <w:r>
              <w:t xml:space="preserve">a pohledávek za </w:t>
            </w:r>
            <w:r w:rsidRPr="006530EE">
              <w:t>nefinanční podnik</w:t>
            </w:r>
            <w:r>
              <w:t>y vzrostl v 1. čtvrtletí roku</w:t>
            </w:r>
            <w:r w:rsidR="00045681">
              <w:t> 2017 o</w:t>
            </w:r>
            <w:r>
              <w:t xml:space="preserve"> 28,5 mld. korun. Největší podíl na celkových pohledávkách mají dlouhodobé úvěry a pohledávky, přesto jejich nárůst o 9,5 mld. překonaly krátkodobé úvěry a pohledávky, jejichž objem se zvýšil o 11,8 mld. korun. Pokračoval prudký nárůst úvěrů poskytnutých v cizí měně a zároveň došlo ke</w:t>
            </w:r>
            <w:r w:rsidR="00CB2B15">
              <w:t> </w:t>
            </w:r>
            <w:r>
              <w:t>změně v jejich obvyklé struktuře. V lednu až březnu se objem krátkodobých úvěrů v cizí měně zvýšil o 17,3 mld. korun, což je více než za celý předchozí rok. Z hlediska odvětvové struktury</w:t>
            </w:r>
            <w:r w:rsidR="004C0243">
              <w:rPr>
                <w:rStyle w:val="Znakapoznpodarou"/>
              </w:rPr>
              <w:footnoteReference w:id="27"/>
            </w:r>
            <w:r>
              <w:t xml:space="preserve"> došlo po dlouhém období růstu k výraznému meziročnímu poklesu úvěrů poskytnutých firmám zabývajícím se informačními a</w:t>
            </w:r>
            <w:r w:rsidR="00CB2B15">
              <w:t> </w:t>
            </w:r>
            <w:r>
              <w:t xml:space="preserve">komunikačními činnostmi. Zrychlil se růst objemu úvěrů poskytnutých v odvětví peněžnictví a pojišťovnictví. </w:t>
            </w:r>
          </w:p>
          <w:p w:rsidR="00FC6DB5" w:rsidRPr="007874D0" w:rsidRDefault="00FC6DB5" w:rsidP="00134DFD">
            <w:pPr>
              <w:pStyle w:val="Textpoznpodarou"/>
              <w:jc w:val="both"/>
              <w:rPr>
                <w:sz w:val="16"/>
                <w:szCs w:val="16"/>
                <w:highlight w:val="yellow"/>
              </w:rPr>
            </w:pPr>
          </w:p>
        </w:tc>
      </w:tr>
      <w:tr w:rsidR="00FC6DB5" w:rsidRPr="00A74192" w:rsidTr="00AA4A76">
        <w:tc>
          <w:tcPr>
            <w:tcW w:w="1016" w:type="pct"/>
          </w:tcPr>
          <w:p w:rsidR="00FC6DB5" w:rsidRPr="006D5608" w:rsidRDefault="00FC6DB5" w:rsidP="00134DFD">
            <w:pPr>
              <w:spacing w:line="240" w:lineRule="auto"/>
              <w:rPr>
                <w:color w:val="000000" w:themeColor="text1"/>
                <w:sz w:val="16"/>
                <w:szCs w:val="16"/>
                <w:highlight w:val="yellow"/>
              </w:rPr>
            </w:pPr>
            <w:r w:rsidRPr="00C720AB">
              <w:rPr>
                <w:color w:val="000000" w:themeColor="text1"/>
                <w:sz w:val="16"/>
                <w:szCs w:val="16"/>
              </w:rPr>
              <w:t>Rostlo celkové zadlužení domácností, především dluh související s bydlením.</w:t>
            </w:r>
          </w:p>
        </w:tc>
        <w:tc>
          <w:tcPr>
            <w:tcW w:w="144" w:type="pct"/>
          </w:tcPr>
          <w:p w:rsidR="00FC6DB5" w:rsidRPr="003E6E0D" w:rsidRDefault="00FC6DB5" w:rsidP="00134DFD">
            <w:pPr>
              <w:pStyle w:val="Textpoznpodarou"/>
              <w:jc w:val="both"/>
              <w:rPr>
                <w:color w:val="FF0000"/>
                <w:highlight w:val="yellow"/>
              </w:rPr>
            </w:pPr>
          </w:p>
        </w:tc>
        <w:tc>
          <w:tcPr>
            <w:tcW w:w="3840" w:type="pct"/>
            <w:gridSpan w:val="2"/>
          </w:tcPr>
          <w:p w:rsidR="00FC6DB5" w:rsidRDefault="00FC6DB5" w:rsidP="00134DFD">
            <w:pPr>
              <w:pStyle w:val="Textpoznpodarou"/>
              <w:jc w:val="both"/>
            </w:pPr>
            <w:r w:rsidRPr="000D1ADA">
              <w:t xml:space="preserve">Celkové zadlužení domácností k 31. 3. 2017 dosáhlo 1 446 mld. korun a jeho růst se oproti předchozímu čtvrtletí mírně zrychlil. </w:t>
            </w:r>
            <w:r>
              <w:t>Z</w:t>
            </w:r>
            <w:r w:rsidRPr="000D1ADA">
              <w:t>výšil</w:t>
            </w:r>
            <w:r>
              <w:t xml:space="preserve"> se</w:t>
            </w:r>
            <w:r w:rsidRPr="000D1ADA">
              <w:t xml:space="preserve"> podíl zadlužení souvisejícího s bydlením na celkovém dluhu a meziroční tempo růstu tohoto typu dluhu se v 1. čtvrtletí 2017 zrychlilo na 9,0 %. Pokračuje tak zrychlování, které začalo již ve 4. čtvrtletí roku 2014.</w:t>
            </w:r>
          </w:p>
          <w:p w:rsidR="00FA2A4A" w:rsidRDefault="00FA2A4A" w:rsidP="00134DFD">
            <w:pPr>
              <w:pStyle w:val="Textpoznpodarou"/>
              <w:jc w:val="both"/>
            </w:pPr>
          </w:p>
          <w:p w:rsidR="00FC6DB5" w:rsidRPr="007874D0" w:rsidRDefault="00FC6DB5" w:rsidP="00134DFD">
            <w:pPr>
              <w:pStyle w:val="Textpoznpodarou"/>
              <w:jc w:val="both"/>
              <w:rPr>
                <w:sz w:val="16"/>
                <w:szCs w:val="16"/>
                <w:highlight w:val="yellow"/>
              </w:rPr>
            </w:pPr>
          </w:p>
        </w:tc>
      </w:tr>
      <w:tr w:rsidR="00FC6DB5" w:rsidRPr="00AA4A76" w:rsidTr="00FC6DB5">
        <w:tc>
          <w:tcPr>
            <w:tcW w:w="1016" w:type="pct"/>
          </w:tcPr>
          <w:p w:rsidR="00FC6DB5" w:rsidRPr="00AA4A76" w:rsidRDefault="00FC6DB5" w:rsidP="00AA4A76">
            <w:pPr>
              <w:spacing w:line="240" w:lineRule="auto"/>
              <w:jc w:val="center"/>
              <w:rPr>
                <w:color w:val="000000" w:themeColor="text1"/>
                <w:szCs w:val="20"/>
              </w:rPr>
            </w:pPr>
          </w:p>
        </w:tc>
        <w:tc>
          <w:tcPr>
            <w:tcW w:w="144" w:type="pct"/>
          </w:tcPr>
          <w:p w:rsidR="00FC6DB5" w:rsidRPr="00AA4A76" w:rsidRDefault="00FC6DB5" w:rsidP="00134DFD">
            <w:pPr>
              <w:pStyle w:val="Textpoznpodarou"/>
              <w:jc w:val="both"/>
              <w:rPr>
                <w:color w:val="FF0000"/>
                <w:highlight w:val="yellow"/>
              </w:rPr>
            </w:pPr>
          </w:p>
        </w:tc>
        <w:tc>
          <w:tcPr>
            <w:tcW w:w="568" w:type="pct"/>
          </w:tcPr>
          <w:p w:rsidR="00FC6DB5" w:rsidRPr="00AA4A76" w:rsidRDefault="00FC6DB5" w:rsidP="00134DFD">
            <w:pPr>
              <w:pStyle w:val="Textpoznpodarou"/>
              <w:jc w:val="both"/>
            </w:pPr>
            <w:r w:rsidRPr="00AA4A76">
              <w:rPr>
                <w:color w:val="000000" w:themeColor="text1"/>
              </w:rPr>
              <w:t>Graf č. 18</w:t>
            </w:r>
          </w:p>
        </w:tc>
        <w:tc>
          <w:tcPr>
            <w:tcW w:w="3272" w:type="pct"/>
          </w:tcPr>
          <w:p w:rsidR="00FC6DB5" w:rsidRPr="00AA4A76" w:rsidRDefault="00FC6DB5" w:rsidP="00134DFD">
            <w:pPr>
              <w:pStyle w:val="Textpoznpodarou"/>
              <w:jc w:val="both"/>
            </w:pPr>
            <w:r w:rsidRPr="00AA4A76">
              <w:rPr>
                <w:b/>
              </w:rPr>
              <w:t xml:space="preserve">Tržní úrokové sazby </w:t>
            </w:r>
            <w:r w:rsidRPr="00AA4A76">
              <w:t>(v %)</w:t>
            </w:r>
          </w:p>
        </w:tc>
      </w:tr>
      <w:tr w:rsidR="00FC6DB5" w:rsidRPr="00A74192" w:rsidTr="00AA4A76">
        <w:trPr>
          <w:trHeight w:val="1390"/>
        </w:trPr>
        <w:tc>
          <w:tcPr>
            <w:tcW w:w="1016" w:type="pct"/>
          </w:tcPr>
          <w:p w:rsidR="00FC6DB5" w:rsidRPr="006D3F53" w:rsidRDefault="00FC6DB5" w:rsidP="008A03DE">
            <w:pPr>
              <w:spacing w:line="240" w:lineRule="auto"/>
              <w:rPr>
                <w:color w:val="000000"/>
                <w:sz w:val="16"/>
                <w:szCs w:val="16"/>
                <w:highlight w:val="yellow"/>
              </w:rPr>
            </w:pPr>
          </w:p>
        </w:tc>
        <w:tc>
          <w:tcPr>
            <w:tcW w:w="144" w:type="pct"/>
          </w:tcPr>
          <w:p w:rsidR="00FC6DB5" w:rsidRPr="00A74192" w:rsidRDefault="00FC6DB5" w:rsidP="00D94859">
            <w:pPr>
              <w:pStyle w:val="Textpoznpodarou"/>
              <w:jc w:val="both"/>
              <w:rPr>
                <w:color w:val="FF0000"/>
                <w:highlight w:val="yellow"/>
              </w:rPr>
            </w:pPr>
          </w:p>
        </w:tc>
        <w:tc>
          <w:tcPr>
            <w:tcW w:w="3840" w:type="pct"/>
            <w:gridSpan w:val="2"/>
          </w:tcPr>
          <w:p w:rsidR="00DE1460" w:rsidRDefault="00DE1460" w:rsidP="00AA4A76">
            <w:pPr>
              <w:pStyle w:val="Textpoznpodarou"/>
              <w:ind w:left="-124"/>
              <w:jc w:val="both"/>
              <w:rPr>
                <w:noProof/>
              </w:rPr>
            </w:pPr>
            <w:r w:rsidRPr="00DE1460">
              <w:rPr>
                <w:noProof/>
              </w:rPr>
              <w:drawing>
                <wp:inline distT="0" distB="0" distL="0" distR="0">
                  <wp:extent cx="4737600" cy="3553200"/>
                  <wp:effectExtent l="0" t="0" r="0" b="0"/>
                  <wp:docPr id="4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C6DB5" w:rsidRPr="00DE1460" w:rsidRDefault="00FC6DB5" w:rsidP="00AA4A76">
            <w:pPr>
              <w:pStyle w:val="Textpoznpodarou"/>
              <w:ind w:left="-124"/>
              <w:jc w:val="right"/>
              <w:rPr>
                <w:sz w:val="14"/>
                <w:szCs w:val="14"/>
              </w:rPr>
            </w:pPr>
            <w:r w:rsidRPr="00DE1460">
              <w:rPr>
                <w:sz w:val="14"/>
                <w:szCs w:val="14"/>
              </w:rPr>
              <w:t>Zdroj: ČNB</w:t>
            </w:r>
          </w:p>
          <w:p w:rsidR="00FC6DB5" w:rsidRPr="00AA4A76" w:rsidRDefault="00FC6DB5" w:rsidP="00AA4A76">
            <w:pPr>
              <w:pStyle w:val="Textpoznpodarou"/>
              <w:ind w:left="-124"/>
              <w:jc w:val="right"/>
              <w:rPr>
                <w:sz w:val="18"/>
                <w:szCs w:val="18"/>
                <w:highlight w:val="yellow"/>
              </w:rPr>
            </w:pPr>
          </w:p>
        </w:tc>
      </w:tr>
    </w:tbl>
    <w:p w:rsidR="00535F78" w:rsidRPr="00535F78" w:rsidRDefault="00535F78" w:rsidP="00535F78">
      <w:bookmarkStart w:id="18" w:name="_Toc485271461"/>
    </w:p>
    <w:p w:rsidR="00535F78" w:rsidRPr="00535F78" w:rsidRDefault="00F853A5" w:rsidP="00535F78">
      <w:pPr>
        <w:pStyle w:val="Nadpis1"/>
        <w:numPr>
          <w:ilvl w:val="0"/>
          <w:numId w:val="12"/>
        </w:numPr>
        <w:ind w:left="709"/>
        <w:jc w:val="both"/>
      </w:pPr>
      <w:r w:rsidRPr="00A74192">
        <w:t>Státní rozpočet</w:t>
      </w:r>
      <w:bookmarkEnd w:id="18"/>
    </w:p>
    <w:tbl>
      <w:tblPr>
        <w:tblW w:w="4995" w:type="pct"/>
        <w:tblInd w:w="108" w:type="dxa"/>
        <w:tblLayout w:type="fixed"/>
        <w:tblLook w:val="00A0"/>
      </w:tblPr>
      <w:tblGrid>
        <w:gridCol w:w="2000"/>
        <w:gridCol w:w="284"/>
        <w:gridCol w:w="7560"/>
      </w:tblGrid>
      <w:tr w:rsidR="00424D9B" w:rsidRPr="00F06A1D" w:rsidTr="00A0172C">
        <w:trPr>
          <w:trHeight w:val="145"/>
        </w:trPr>
        <w:tc>
          <w:tcPr>
            <w:tcW w:w="1016" w:type="pct"/>
            <w:shd w:val="clear" w:color="auto" w:fill="auto"/>
          </w:tcPr>
          <w:p w:rsidR="00424D9B" w:rsidRPr="00D607C1" w:rsidRDefault="00424D9B" w:rsidP="00A0172C">
            <w:pPr>
              <w:spacing w:line="240" w:lineRule="auto"/>
              <w:rPr>
                <w:rFonts w:cs="Arial"/>
                <w:color w:val="0D0D0D" w:themeColor="text1" w:themeTint="F2"/>
                <w:spacing w:val="-4"/>
                <w:sz w:val="16"/>
                <w:szCs w:val="16"/>
              </w:rPr>
            </w:pPr>
            <w:r>
              <w:rPr>
                <w:rFonts w:cs="Arial"/>
                <w:color w:val="0D0D0D" w:themeColor="text1" w:themeTint="F2"/>
                <w:spacing w:val="-4"/>
                <w:sz w:val="16"/>
                <w:szCs w:val="16"/>
              </w:rPr>
              <w:t>Státní rozpočet dosáhl mírného přebytku. Ten byl podobně jako v loňském roce</w:t>
            </w:r>
          </w:p>
          <w:p w:rsidR="00424D9B" w:rsidRDefault="00424D9B" w:rsidP="00A0172C">
            <w:pPr>
              <w:spacing w:line="240" w:lineRule="auto"/>
              <w:rPr>
                <w:rFonts w:cs="Arial"/>
                <w:color w:val="0D0D0D" w:themeColor="text1" w:themeTint="F2"/>
                <w:spacing w:val="-4"/>
                <w:sz w:val="16"/>
                <w:szCs w:val="16"/>
              </w:rPr>
            </w:pPr>
            <w:r>
              <w:rPr>
                <w:rFonts w:cs="Arial"/>
                <w:color w:val="0D0D0D" w:themeColor="text1" w:themeTint="F2"/>
                <w:spacing w:val="-4"/>
                <w:sz w:val="16"/>
                <w:szCs w:val="16"/>
              </w:rPr>
              <w:t xml:space="preserve">ovlivněn především nepravidelnostmi v čerpání </w:t>
            </w:r>
          </w:p>
          <w:p w:rsidR="00424D9B" w:rsidRDefault="00424D9B" w:rsidP="00A0172C">
            <w:pPr>
              <w:spacing w:line="240" w:lineRule="auto"/>
              <w:rPr>
                <w:rFonts w:cs="Arial"/>
                <w:color w:val="0D0D0D" w:themeColor="text1" w:themeTint="F2"/>
                <w:spacing w:val="-4"/>
                <w:sz w:val="16"/>
                <w:szCs w:val="16"/>
              </w:rPr>
            </w:pPr>
            <w:r w:rsidRPr="00D607C1">
              <w:rPr>
                <w:rFonts w:cs="Arial"/>
                <w:color w:val="0D0D0D" w:themeColor="text1" w:themeTint="F2"/>
                <w:spacing w:val="-4"/>
                <w:sz w:val="16"/>
                <w:szCs w:val="16"/>
              </w:rPr>
              <w:t>prostředků z evropských fondů</w:t>
            </w:r>
            <w:r>
              <w:rPr>
                <w:rFonts w:cs="Arial"/>
                <w:color w:val="0D0D0D" w:themeColor="text1" w:themeTint="F2"/>
                <w:spacing w:val="-4"/>
                <w:sz w:val="16"/>
                <w:szCs w:val="16"/>
              </w:rPr>
              <w:t xml:space="preserve"> a také efekty svižného ekonomického růstu.</w:t>
            </w:r>
          </w:p>
          <w:p w:rsidR="00424D9B" w:rsidRPr="00D607C1" w:rsidRDefault="00424D9B" w:rsidP="00A0172C">
            <w:pPr>
              <w:spacing w:line="240" w:lineRule="auto"/>
              <w:rPr>
                <w:rFonts w:cs="Arial"/>
                <w:color w:val="0D0D0D" w:themeColor="text1" w:themeTint="F2"/>
                <w:spacing w:val="-4"/>
                <w:sz w:val="16"/>
                <w:szCs w:val="16"/>
              </w:rPr>
            </w:pPr>
          </w:p>
        </w:tc>
        <w:tc>
          <w:tcPr>
            <w:tcW w:w="144" w:type="pct"/>
          </w:tcPr>
          <w:p w:rsidR="00424D9B" w:rsidRPr="00A90EFD" w:rsidRDefault="00424D9B" w:rsidP="00A0172C">
            <w:pPr>
              <w:pStyle w:val="Textpoznpodarou"/>
              <w:jc w:val="both"/>
              <w:rPr>
                <w:rFonts w:cs="Arial"/>
                <w:color w:val="0D0D0D" w:themeColor="text1" w:themeTint="F2"/>
              </w:rPr>
            </w:pPr>
          </w:p>
        </w:tc>
        <w:tc>
          <w:tcPr>
            <w:tcW w:w="3840" w:type="pct"/>
          </w:tcPr>
          <w:p w:rsidR="00424D9B" w:rsidRPr="00FD4CB1" w:rsidRDefault="00424D9B" w:rsidP="00A0172C">
            <w:pPr>
              <w:pStyle w:val="Textpoznpodarou"/>
              <w:jc w:val="both"/>
              <w:rPr>
                <w:rFonts w:cs="Arial"/>
                <w:color w:val="000000" w:themeColor="text1"/>
                <w:spacing w:val="-4"/>
              </w:rPr>
            </w:pPr>
            <w:r w:rsidRPr="00FD4CB1">
              <w:rPr>
                <w:rFonts w:cs="Arial"/>
                <w:color w:val="0D0D0D" w:themeColor="text1" w:themeTint="F2"/>
                <w:spacing w:val="-4"/>
              </w:rPr>
              <w:t>Přestože státní rozpočet (SR) docílil</w:t>
            </w:r>
            <w:r>
              <w:rPr>
                <w:rFonts w:cs="Arial"/>
                <w:color w:val="0D0D0D" w:themeColor="text1" w:themeTint="F2"/>
                <w:spacing w:val="-4"/>
              </w:rPr>
              <w:t xml:space="preserve"> v 1. čtvrtletí 2017</w:t>
            </w:r>
            <w:r w:rsidRPr="00FD4CB1">
              <w:rPr>
                <w:rFonts w:cs="Arial"/>
                <w:color w:val="0D0D0D" w:themeColor="text1" w:themeTint="F2"/>
                <w:spacing w:val="-4"/>
              </w:rPr>
              <w:t xml:space="preserve"> (dle </w:t>
            </w:r>
            <w:r w:rsidR="00D42E15">
              <w:rPr>
                <w:rFonts w:cs="Arial"/>
                <w:color w:val="0D0D0D" w:themeColor="text1" w:themeTint="F2"/>
                <w:spacing w:val="-4"/>
              </w:rPr>
              <w:t>údajů Ministerstva financí o </w:t>
            </w:r>
            <w:r>
              <w:rPr>
                <w:rFonts w:cs="Arial"/>
                <w:color w:val="0D0D0D" w:themeColor="text1" w:themeTint="F2"/>
                <w:spacing w:val="-4"/>
              </w:rPr>
              <w:t>pokladním</w:t>
            </w:r>
            <w:r w:rsidRPr="00FD4CB1">
              <w:rPr>
                <w:rFonts w:cs="Arial"/>
                <w:color w:val="0D0D0D" w:themeColor="text1" w:themeTint="F2"/>
                <w:spacing w:val="-4"/>
              </w:rPr>
              <w:t xml:space="preserve"> plnění) kladného salda ve výši 4,7 mld. korun, šlo v rámci tohoto období roku </w:t>
            </w:r>
            <w:r>
              <w:rPr>
                <w:rFonts w:cs="Arial"/>
                <w:color w:val="0D0D0D" w:themeColor="text1" w:themeTint="F2"/>
                <w:spacing w:val="-4"/>
              </w:rPr>
              <w:t>o</w:t>
            </w:r>
            <w:r w:rsidRPr="00FD4CB1">
              <w:rPr>
                <w:rFonts w:cs="Arial"/>
                <w:color w:val="0D0D0D" w:themeColor="text1" w:themeTint="F2"/>
                <w:spacing w:val="-4"/>
              </w:rPr>
              <w:t> nejslabší výsledek za posledních pět let. Za nižším přebytkem stál meziroční pokles pří</w:t>
            </w:r>
            <w:r>
              <w:rPr>
                <w:rFonts w:cs="Arial"/>
                <w:color w:val="0D0D0D" w:themeColor="text1" w:themeTint="F2"/>
                <w:spacing w:val="-4"/>
              </w:rPr>
              <w:t>jmů SR (o desetinu) vlivem značně</w:t>
            </w:r>
            <w:r w:rsidRPr="00FD4CB1">
              <w:rPr>
                <w:rFonts w:cs="Arial"/>
                <w:color w:val="0D0D0D" w:themeColor="text1" w:themeTint="F2"/>
                <w:spacing w:val="-4"/>
              </w:rPr>
              <w:t xml:space="preserve"> nepravidelného toku prostředků z rozpočtu EU</w:t>
            </w:r>
            <w:r w:rsidRPr="00FD4CB1">
              <w:rPr>
                <w:rStyle w:val="Znakapoznpodarou"/>
                <w:color w:val="0D0D0D" w:themeColor="text1" w:themeTint="F2"/>
                <w:spacing w:val="-4"/>
              </w:rPr>
              <w:footnoteReference w:id="28"/>
            </w:r>
            <w:r w:rsidRPr="00FD4CB1">
              <w:rPr>
                <w:rFonts w:cs="Arial"/>
                <w:color w:val="0D0D0D" w:themeColor="text1" w:themeTint="F2"/>
                <w:spacing w:val="-4"/>
              </w:rPr>
              <w:t>. Zatímco v 1. loňském čtvrtletí z něj do SR doputovalo 79,2 mld. korun (většinou vztažených j</w:t>
            </w:r>
            <w:r w:rsidR="00E77FEA">
              <w:rPr>
                <w:rFonts w:cs="Arial"/>
                <w:color w:val="0D0D0D" w:themeColor="text1" w:themeTint="F2"/>
                <w:spacing w:val="-4"/>
              </w:rPr>
              <w:t>eště k programovému období 2007</w:t>
            </w:r>
            <w:r w:rsidR="00E77FEA">
              <w:t>–</w:t>
            </w:r>
            <w:r w:rsidRPr="00FD4CB1">
              <w:rPr>
                <w:rFonts w:cs="Arial"/>
                <w:color w:val="0D0D0D" w:themeColor="text1" w:themeTint="F2"/>
                <w:spacing w:val="-4"/>
              </w:rPr>
              <w:t>13), o rok později jen 26,5 mld.</w:t>
            </w:r>
            <w:r>
              <w:rPr>
                <w:rFonts w:cs="Arial"/>
                <w:color w:val="0D0D0D" w:themeColor="text1" w:themeTint="F2"/>
                <w:spacing w:val="-4"/>
              </w:rPr>
              <w:t xml:space="preserve"> Dosud slabé čerpání v</w:t>
            </w:r>
            <w:r w:rsidRPr="00FD4CB1">
              <w:rPr>
                <w:rFonts w:cs="Arial"/>
                <w:color w:val="0D0D0D" w:themeColor="text1" w:themeTint="F2"/>
                <w:spacing w:val="-4"/>
              </w:rPr>
              <w:t> současn</w:t>
            </w:r>
            <w:r>
              <w:rPr>
                <w:rFonts w:cs="Arial"/>
                <w:color w:val="0D0D0D" w:themeColor="text1" w:themeTint="F2"/>
                <w:spacing w:val="-4"/>
              </w:rPr>
              <w:t xml:space="preserve">ém programovém období </w:t>
            </w:r>
            <w:r w:rsidRPr="00FD4CB1">
              <w:rPr>
                <w:rFonts w:cs="Arial"/>
                <w:color w:val="0D0D0D" w:themeColor="text1" w:themeTint="F2"/>
                <w:spacing w:val="-4"/>
              </w:rPr>
              <w:t xml:space="preserve">letos </w:t>
            </w:r>
            <w:r>
              <w:rPr>
                <w:rFonts w:cs="Arial"/>
                <w:color w:val="0D0D0D" w:themeColor="text1" w:themeTint="F2"/>
                <w:spacing w:val="-4"/>
              </w:rPr>
              <w:t xml:space="preserve">dokládá </w:t>
            </w:r>
            <w:r w:rsidRPr="00FD4CB1">
              <w:rPr>
                <w:rFonts w:cs="Arial"/>
                <w:color w:val="0D0D0D" w:themeColor="text1" w:themeTint="F2"/>
                <w:spacing w:val="-4"/>
              </w:rPr>
              <w:t>i rekordně nízký objem kapitálových výdajů. SR tak udržel v přebytku především přetrvávající růst ekonomiky, jenž podpořil výběr přímých daní, ale i DPH. Saldo SR, které tvoří rozhodující složku deficitu či přebytku sektoru vládních institucí, činilo letos ve vztahu k</w:t>
            </w:r>
            <w:r w:rsidRPr="00FD4CB1">
              <w:rPr>
                <w:color w:val="0D0D0D" w:themeColor="text1" w:themeTint="F2"/>
                <w:spacing w:val="-4"/>
              </w:rPr>
              <w:t> </w:t>
            </w:r>
            <w:r w:rsidRPr="00FD4CB1">
              <w:rPr>
                <w:rFonts w:cs="Arial"/>
                <w:color w:val="000000" w:themeColor="text1"/>
                <w:spacing w:val="-4"/>
              </w:rPr>
              <w:t xml:space="preserve">nominálnímu HDP </w:t>
            </w:r>
            <w:r w:rsidRPr="00C51669">
              <w:rPr>
                <w:rFonts w:cs="Arial"/>
                <w:color w:val="000000" w:themeColor="text1"/>
                <w:spacing w:val="-4"/>
              </w:rPr>
              <w:t>+0,4 %.</w:t>
            </w:r>
            <w:r w:rsidRPr="00FD4CB1">
              <w:rPr>
                <w:rFonts w:cs="Arial"/>
                <w:color w:val="000000" w:themeColor="text1"/>
                <w:spacing w:val="-4"/>
              </w:rPr>
              <w:t xml:space="preserve"> (o rok dříve +4,0 %).</w:t>
            </w:r>
          </w:p>
          <w:p w:rsidR="00424D9B" w:rsidRPr="00FD4CB1" w:rsidRDefault="00424D9B" w:rsidP="00A0172C">
            <w:pPr>
              <w:pStyle w:val="Textpoznpodarou"/>
              <w:jc w:val="both"/>
              <w:rPr>
                <w:rFonts w:cs="Arial"/>
                <w:color w:val="0D0D0D" w:themeColor="text1" w:themeTint="F2"/>
                <w:spacing w:val="-4"/>
                <w:sz w:val="14"/>
                <w:szCs w:val="14"/>
              </w:rPr>
            </w:pPr>
          </w:p>
        </w:tc>
      </w:tr>
      <w:tr w:rsidR="00424D9B" w:rsidRPr="0094422D" w:rsidTr="00A0172C">
        <w:trPr>
          <w:trHeight w:val="145"/>
        </w:trPr>
        <w:tc>
          <w:tcPr>
            <w:tcW w:w="1016" w:type="pct"/>
            <w:shd w:val="clear" w:color="auto" w:fill="auto"/>
          </w:tcPr>
          <w:p w:rsidR="00424D9B" w:rsidRDefault="00424D9B" w:rsidP="00A0172C">
            <w:pPr>
              <w:spacing w:line="240" w:lineRule="auto"/>
              <w:rPr>
                <w:rFonts w:cs="Arial"/>
                <w:bCs/>
                <w:iCs/>
                <w:color w:val="0D0D0D" w:themeColor="text1" w:themeTint="F2"/>
                <w:spacing w:val="-2"/>
                <w:sz w:val="16"/>
                <w:szCs w:val="16"/>
              </w:rPr>
            </w:pPr>
            <w:r w:rsidRPr="001C4DD3">
              <w:rPr>
                <w:rFonts w:cs="Arial"/>
                <w:bCs/>
                <w:iCs/>
                <w:color w:val="0D0D0D" w:themeColor="text1" w:themeTint="F2"/>
                <w:spacing w:val="-2"/>
                <w:sz w:val="16"/>
                <w:szCs w:val="16"/>
              </w:rPr>
              <w:t xml:space="preserve">Výběr DPH na úrovni veřejných rozpočtů meziročně posílil o 8,6 %, </w:t>
            </w:r>
          </w:p>
          <w:p w:rsidR="00424D9B" w:rsidRPr="001C4DD3" w:rsidRDefault="00424D9B" w:rsidP="00A0172C">
            <w:pPr>
              <w:spacing w:line="240" w:lineRule="auto"/>
              <w:rPr>
                <w:rFonts w:cs="Arial"/>
                <w:color w:val="0D0D0D" w:themeColor="text1" w:themeTint="F2"/>
                <w:spacing w:val="-2"/>
                <w:sz w:val="16"/>
                <w:szCs w:val="16"/>
              </w:rPr>
            </w:pPr>
            <w:r>
              <w:rPr>
                <w:rFonts w:cs="Arial"/>
                <w:bCs/>
                <w:iCs/>
                <w:color w:val="0D0D0D" w:themeColor="text1" w:themeTint="F2"/>
                <w:spacing w:val="-2"/>
                <w:sz w:val="16"/>
                <w:szCs w:val="16"/>
              </w:rPr>
              <w:t xml:space="preserve">jeho tempo </w:t>
            </w:r>
            <w:r w:rsidRPr="001C4DD3">
              <w:rPr>
                <w:rFonts w:cs="Arial"/>
                <w:bCs/>
                <w:iCs/>
                <w:color w:val="0D0D0D" w:themeColor="text1" w:themeTint="F2"/>
                <w:spacing w:val="-2"/>
                <w:sz w:val="16"/>
                <w:szCs w:val="16"/>
              </w:rPr>
              <w:t xml:space="preserve">na rozdíl od loňského </w:t>
            </w:r>
            <w:r>
              <w:rPr>
                <w:rFonts w:cs="Arial"/>
                <w:bCs/>
                <w:iCs/>
                <w:color w:val="0D0D0D" w:themeColor="text1" w:themeTint="F2"/>
                <w:spacing w:val="-2"/>
                <w:sz w:val="16"/>
                <w:szCs w:val="16"/>
              </w:rPr>
              <w:t xml:space="preserve">roku zatím </w:t>
            </w:r>
            <w:r w:rsidRPr="001C4DD3">
              <w:rPr>
                <w:rFonts w:cs="Arial"/>
                <w:bCs/>
                <w:iCs/>
                <w:color w:val="0D0D0D" w:themeColor="text1" w:themeTint="F2"/>
                <w:spacing w:val="-2"/>
                <w:sz w:val="16"/>
                <w:szCs w:val="16"/>
              </w:rPr>
              <w:t>plnil</w:t>
            </w:r>
            <w:r>
              <w:rPr>
                <w:rFonts w:cs="Arial"/>
                <w:bCs/>
                <w:iCs/>
                <w:color w:val="0D0D0D" w:themeColor="text1" w:themeTint="F2"/>
                <w:spacing w:val="-2"/>
                <w:sz w:val="16"/>
                <w:szCs w:val="16"/>
              </w:rPr>
              <w:t>o rozpočtové</w:t>
            </w:r>
            <w:r w:rsidRPr="001C4DD3">
              <w:rPr>
                <w:rFonts w:cs="Arial"/>
                <w:bCs/>
                <w:iCs/>
                <w:color w:val="0D0D0D" w:themeColor="text1" w:themeTint="F2"/>
                <w:spacing w:val="-2"/>
                <w:sz w:val="16"/>
                <w:szCs w:val="16"/>
              </w:rPr>
              <w:t xml:space="preserve"> očekávání</w:t>
            </w:r>
            <w:r>
              <w:rPr>
                <w:rFonts w:cs="Arial"/>
                <w:bCs/>
                <w:iCs/>
                <w:color w:val="0D0D0D" w:themeColor="text1" w:themeTint="F2"/>
                <w:spacing w:val="-2"/>
                <w:sz w:val="16"/>
                <w:szCs w:val="16"/>
              </w:rPr>
              <w:t>.</w:t>
            </w:r>
          </w:p>
        </w:tc>
        <w:tc>
          <w:tcPr>
            <w:tcW w:w="144" w:type="pct"/>
          </w:tcPr>
          <w:p w:rsidR="00424D9B" w:rsidRPr="00A90EFD" w:rsidRDefault="00424D9B" w:rsidP="00A0172C">
            <w:pPr>
              <w:pStyle w:val="Textpoznpodarou"/>
              <w:jc w:val="both"/>
              <w:rPr>
                <w:rFonts w:cs="Arial"/>
                <w:color w:val="0D0D0D" w:themeColor="text1" w:themeTint="F2"/>
              </w:rPr>
            </w:pPr>
          </w:p>
        </w:tc>
        <w:tc>
          <w:tcPr>
            <w:tcW w:w="3840" w:type="pct"/>
          </w:tcPr>
          <w:p w:rsidR="00424D9B" w:rsidRPr="00FD4CB1" w:rsidRDefault="00424D9B" w:rsidP="00A0172C">
            <w:pPr>
              <w:pStyle w:val="Textpoznpodarou"/>
              <w:jc w:val="both"/>
              <w:rPr>
                <w:rFonts w:cs="Arial"/>
                <w:color w:val="000000" w:themeColor="text1"/>
                <w:spacing w:val="-4"/>
              </w:rPr>
            </w:pPr>
            <w:r w:rsidRPr="00FD4CB1">
              <w:rPr>
                <w:rFonts w:cs="Arial"/>
                <w:color w:val="000000" w:themeColor="text1"/>
                <w:spacing w:val="-4"/>
              </w:rPr>
              <w:t>Celostátní výběr váhově nejvýznamnější daně – DPH – meziročně posílil o 8,6 % (na úrovni SR o 7,4 %)</w:t>
            </w:r>
            <w:r w:rsidRPr="00FD4CB1">
              <w:rPr>
                <w:rStyle w:val="Znakapoznpodarou"/>
                <w:color w:val="000000" w:themeColor="text1"/>
                <w:spacing w:val="-4"/>
              </w:rPr>
              <w:footnoteReference w:id="29"/>
            </w:r>
            <w:r w:rsidRPr="00FD4CB1">
              <w:rPr>
                <w:rFonts w:cs="Arial"/>
                <w:color w:val="000000" w:themeColor="text1"/>
                <w:spacing w:val="-4"/>
              </w:rPr>
              <w:t>. Vysoká tempa</w:t>
            </w:r>
            <w:r>
              <w:rPr>
                <w:rFonts w:cs="Arial"/>
                <w:color w:val="000000" w:themeColor="text1"/>
                <w:spacing w:val="-4"/>
              </w:rPr>
              <w:t xml:space="preserve"> souvisela</w:t>
            </w:r>
            <w:r w:rsidRPr="00FD4CB1">
              <w:rPr>
                <w:rFonts w:cs="Arial"/>
                <w:color w:val="000000" w:themeColor="text1"/>
                <w:spacing w:val="-4"/>
              </w:rPr>
              <w:t xml:space="preserve"> s příznivým vý</w:t>
            </w:r>
            <w:r>
              <w:rPr>
                <w:rFonts w:cs="Arial"/>
                <w:color w:val="000000" w:themeColor="text1"/>
                <w:spacing w:val="-4"/>
              </w:rPr>
              <w:t>vojem ekonomiky, který stimuloval</w:t>
            </w:r>
            <w:r w:rsidRPr="00FD4CB1">
              <w:rPr>
                <w:rFonts w:cs="Arial"/>
                <w:color w:val="000000" w:themeColor="text1"/>
                <w:spacing w:val="-4"/>
              </w:rPr>
              <w:t xml:space="preserve"> pod</w:t>
            </w:r>
            <w:r>
              <w:rPr>
                <w:rFonts w:cs="Arial"/>
                <w:color w:val="000000" w:themeColor="text1"/>
                <w:spacing w:val="-4"/>
              </w:rPr>
              <w:t>nikatelskou aktivitu a projevoval</w:t>
            </w:r>
            <w:r w:rsidRPr="00FD4CB1">
              <w:rPr>
                <w:rFonts w:cs="Arial"/>
                <w:color w:val="000000" w:themeColor="text1"/>
                <w:spacing w:val="-4"/>
              </w:rPr>
              <w:t xml:space="preserve"> se m</w:t>
            </w:r>
            <w:r w:rsidR="00BA56C9">
              <w:rPr>
                <w:rFonts w:cs="Arial"/>
                <w:color w:val="000000" w:themeColor="text1"/>
                <w:spacing w:val="-4"/>
              </w:rPr>
              <w:t>j.</w:t>
            </w:r>
            <w:r w:rsidRPr="00FD4CB1">
              <w:rPr>
                <w:rFonts w:cs="Arial"/>
                <w:color w:val="000000" w:themeColor="text1"/>
                <w:spacing w:val="-4"/>
              </w:rPr>
              <w:t xml:space="preserve"> svižným růstem výdajů na konečnou spotřebu (u domácností nominálně o </w:t>
            </w:r>
            <w:r>
              <w:rPr>
                <w:rFonts w:cs="Arial"/>
                <w:color w:val="000000" w:themeColor="text1"/>
                <w:spacing w:val="-4"/>
              </w:rPr>
              <w:t>6,2</w:t>
            </w:r>
            <w:r w:rsidRPr="00C51669">
              <w:rPr>
                <w:rFonts w:cs="Arial"/>
                <w:color w:val="000000" w:themeColor="text1"/>
                <w:spacing w:val="-4"/>
              </w:rPr>
              <w:t xml:space="preserve"> %, u</w:t>
            </w:r>
            <w:r w:rsidRPr="00FD4CB1">
              <w:rPr>
                <w:rFonts w:cs="Arial"/>
                <w:color w:val="000000" w:themeColor="text1"/>
                <w:spacing w:val="-4"/>
              </w:rPr>
              <w:t xml:space="preserve"> vládních institucí o </w:t>
            </w:r>
            <w:r>
              <w:rPr>
                <w:rFonts w:cs="Arial"/>
                <w:color w:val="000000" w:themeColor="text1"/>
                <w:spacing w:val="-4"/>
              </w:rPr>
              <w:t>5,4</w:t>
            </w:r>
            <w:r w:rsidRPr="00C51669">
              <w:rPr>
                <w:rFonts w:cs="Arial"/>
                <w:color w:val="000000" w:themeColor="text1"/>
                <w:spacing w:val="-4"/>
              </w:rPr>
              <w:t xml:space="preserve"> %).</w:t>
            </w:r>
            <w:r w:rsidRPr="00FD4CB1">
              <w:rPr>
                <w:rFonts w:cs="Arial"/>
                <w:color w:val="000000" w:themeColor="text1"/>
                <w:spacing w:val="-4"/>
              </w:rPr>
              <w:t xml:space="preserve"> D</w:t>
            </w:r>
            <w:r>
              <w:rPr>
                <w:rFonts w:cs="Arial"/>
                <w:color w:val="000000" w:themeColor="text1"/>
                <w:spacing w:val="-4"/>
              </w:rPr>
              <w:t>ílčí negativní dopad na výběr</w:t>
            </w:r>
            <w:r w:rsidRPr="00FD4CB1">
              <w:rPr>
                <w:rFonts w:cs="Arial"/>
                <w:color w:val="000000" w:themeColor="text1"/>
                <w:spacing w:val="-4"/>
              </w:rPr>
              <w:t xml:space="preserve"> daně mělo snížení sazby DPH na stravovací služby</w:t>
            </w:r>
            <w:r>
              <w:rPr>
                <w:rFonts w:cs="Arial"/>
                <w:color w:val="000000" w:themeColor="text1"/>
                <w:spacing w:val="-4"/>
              </w:rPr>
              <w:t xml:space="preserve">, podobně jako meziroční redukce zadržované částky prověřovaných </w:t>
            </w:r>
            <w:r w:rsidRPr="00FD4CB1">
              <w:rPr>
                <w:rFonts w:cs="Arial"/>
                <w:color w:val="000000" w:themeColor="text1"/>
                <w:spacing w:val="-4"/>
              </w:rPr>
              <w:t>nadměrných odpočtů DPH. Letošní růst i</w:t>
            </w:r>
            <w:r>
              <w:rPr>
                <w:rFonts w:cs="Arial"/>
                <w:color w:val="000000" w:themeColor="text1"/>
                <w:spacing w:val="-4"/>
              </w:rPr>
              <w:t>nkasa DPH ovlivňuje i fakt</w:t>
            </w:r>
            <w:r w:rsidRPr="00FD4CB1">
              <w:rPr>
                <w:rFonts w:cs="Arial"/>
                <w:color w:val="000000" w:themeColor="text1"/>
                <w:spacing w:val="-4"/>
              </w:rPr>
              <w:t>, že jeho loňský</w:t>
            </w:r>
            <w:r>
              <w:rPr>
                <w:rFonts w:cs="Arial"/>
                <w:color w:val="000000" w:themeColor="text1"/>
                <w:spacing w:val="-4"/>
              </w:rPr>
              <w:t xml:space="preserve"> výběr (</w:t>
            </w:r>
            <w:r w:rsidRPr="00FD4CB1">
              <w:rPr>
                <w:rFonts w:cs="Arial"/>
                <w:color w:val="000000" w:themeColor="text1"/>
                <w:spacing w:val="-4"/>
              </w:rPr>
              <w:t>na rozdíl od ostatních o</w:t>
            </w:r>
            <w:r>
              <w:rPr>
                <w:rFonts w:cs="Arial"/>
                <w:color w:val="000000" w:themeColor="text1"/>
                <w:spacing w:val="-4"/>
              </w:rPr>
              <w:t>bjemově významných daní) těsně nenaplnil</w:t>
            </w:r>
            <w:r w:rsidRPr="00FD4CB1">
              <w:rPr>
                <w:rFonts w:cs="Arial"/>
                <w:color w:val="000000" w:themeColor="text1"/>
                <w:spacing w:val="-4"/>
              </w:rPr>
              <w:t xml:space="preserve"> </w:t>
            </w:r>
            <w:r>
              <w:rPr>
                <w:rFonts w:cs="Arial"/>
                <w:color w:val="000000" w:themeColor="text1"/>
                <w:spacing w:val="-4"/>
              </w:rPr>
              <w:t>rozpočtová</w:t>
            </w:r>
            <w:r w:rsidRPr="00FD4CB1">
              <w:rPr>
                <w:rFonts w:cs="Arial"/>
                <w:color w:val="000000" w:themeColor="text1"/>
                <w:spacing w:val="-4"/>
              </w:rPr>
              <w:t xml:space="preserve"> </w:t>
            </w:r>
            <w:r>
              <w:rPr>
                <w:rFonts w:cs="Arial"/>
                <w:color w:val="000000" w:themeColor="text1"/>
                <w:spacing w:val="-4"/>
              </w:rPr>
              <w:t>očekávání</w:t>
            </w:r>
            <w:r w:rsidRPr="00FD4CB1">
              <w:rPr>
                <w:rFonts w:cs="Arial"/>
                <w:color w:val="000000" w:themeColor="text1"/>
                <w:spacing w:val="-4"/>
              </w:rPr>
              <w:t xml:space="preserve">. </w:t>
            </w:r>
          </w:p>
          <w:p w:rsidR="00424D9B" w:rsidRPr="0065738D" w:rsidRDefault="00424D9B" w:rsidP="00A0172C">
            <w:pPr>
              <w:pStyle w:val="Textpoznpodarou"/>
              <w:jc w:val="both"/>
              <w:rPr>
                <w:rFonts w:cs="Arial"/>
                <w:color w:val="000000" w:themeColor="text1"/>
                <w:spacing w:val="-4"/>
                <w:sz w:val="14"/>
                <w:szCs w:val="14"/>
              </w:rPr>
            </w:pPr>
          </w:p>
        </w:tc>
      </w:tr>
      <w:tr w:rsidR="00424D9B" w:rsidRPr="00AD0FC0" w:rsidTr="00A0172C">
        <w:trPr>
          <w:trHeight w:val="145"/>
        </w:trPr>
        <w:tc>
          <w:tcPr>
            <w:tcW w:w="1016" w:type="pct"/>
            <w:shd w:val="clear" w:color="auto" w:fill="auto"/>
          </w:tcPr>
          <w:p w:rsidR="00424D9B" w:rsidRPr="00585580" w:rsidRDefault="00424D9B" w:rsidP="00A0172C">
            <w:pPr>
              <w:spacing w:line="240" w:lineRule="auto"/>
              <w:rPr>
                <w:rFonts w:cs="Arial"/>
                <w:bCs/>
                <w:iCs/>
                <w:color w:val="0D0D0D" w:themeColor="text1" w:themeTint="F2"/>
                <w:spacing w:val="-2"/>
                <w:sz w:val="16"/>
                <w:szCs w:val="16"/>
              </w:rPr>
            </w:pPr>
            <w:r w:rsidRPr="00585580">
              <w:rPr>
                <w:rFonts w:cs="Arial"/>
                <w:bCs/>
                <w:iCs/>
                <w:color w:val="0D0D0D" w:themeColor="text1" w:themeTint="F2"/>
                <w:sz w:val="16"/>
                <w:szCs w:val="16"/>
              </w:rPr>
              <w:t xml:space="preserve">Výběr spotřebních daní mírně rostl, neboť snížení inkasa u tabákových výrobků (vyvolané </w:t>
            </w:r>
            <w:r w:rsidRPr="00585580">
              <w:rPr>
                <w:rFonts w:cs="Arial"/>
                <w:bCs/>
                <w:iCs/>
                <w:color w:val="0D0D0D" w:themeColor="text1" w:themeTint="F2"/>
                <w:sz w:val="16"/>
                <w:szCs w:val="16"/>
              </w:rPr>
              <w:lastRenderedPageBreak/>
              <w:t>administrativními vlivy) bylo plně kompenzováno svižnějším růstem u váhově dominantní daně z minerálních olejů</w:t>
            </w:r>
            <w:r>
              <w:rPr>
                <w:rFonts w:cs="Arial"/>
                <w:bCs/>
                <w:iCs/>
                <w:color w:val="0D0D0D" w:themeColor="text1" w:themeTint="F2"/>
                <w:sz w:val="16"/>
                <w:szCs w:val="16"/>
              </w:rPr>
              <w:t>.</w:t>
            </w:r>
          </w:p>
        </w:tc>
        <w:tc>
          <w:tcPr>
            <w:tcW w:w="144" w:type="pct"/>
          </w:tcPr>
          <w:p w:rsidR="00424D9B" w:rsidRPr="00A90EFD" w:rsidRDefault="00424D9B" w:rsidP="00A0172C">
            <w:pPr>
              <w:pStyle w:val="Textpoznpodarou"/>
              <w:jc w:val="both"/>
              <w:rPr>
                <w:rFonts w:cs="Arial"/>
                <w:color w:val="0D0D0D" w:themeColor="text1" w:themeTint="F2"/>
              </w:rPr>
            </w:pPr>
          </w:p>
        </w:tc>
        <w:tc>
          <w:tcPr>
            <w:tcW w:w="3840" w:type="pct"/>
          </w:tcPr>
          <w:p w:rsidR="00424D9B" w:rsidRPr="00D5012A" w:rsidRDefault="00424D9B" w:rsidP="00A0172C">
            <w:pPr>
              <w:pStyle w:val="Textpoznpodarou"/>
              <w:jc w:val="both"/>
              <w:rPr>
                <w:rFonts w:cs="Arial"/>
                <w:color w:val="0D0D0D" w:themeColor="text1" w:themeTint="F2"/>
                <w:spacing w:val="-4"/>
              </w:rPr>
            </w:pPr>
            <w:r w:rsidRPr="00D5012A">
              <w:rPr>
                <w:rFonts w:cs="Arial"/>
                <w:color w:val="0D0D0D" w:themeColor="text1" w:themeTint="F2"/>
                <w:spacing w:val="-4"/>
              </w:rPr>
              <w:t>Ze spotřebních daní získal stát meziročně o 2,1 % více (za celý loňský rok o 5,2 %). Slabší letošní výsledek byl ovlivněn snížení</w:t>
            </w:r>
            <w:r>
              <w:rPr>
                <w:rFonts w:cs="Arial"/>
                <w:color w:val="0D0D0D" w:themeColor="text1" w:themeTint="F2"/>
                <w:spacing w:val="-4"/>
              </w:rPr>
              <w:t>m</w:t>
            </w:r>
            <w:r w:rsidRPr="00D5012A">
              <w:rPr>
                <w:rFonts w:cs="Arial"/>
                <w:color w:val="0D0D0D" w:themeColor="text1" w:themeTint="F2"/>
                <w:spacing w:val="-4"/>
              </w:rPr>
              <w:t xml:space="preserve"> inkasa daně z tabákových výrobků </w:t>
            </w:r>
            <w:r>
              <w:rPr>
                <w:rFonts w:cs="Arial"/>
                <w:color w:val="0D0D0D" w:themeColor="text1" w:themeTint="F2"/>
                <w:spacing w:val="-4"/>
              </w:rPr>
              <w:t>působením administrativních vlivů</w:t>
            </w:r>
            <w:r w:rsidRPr="00D5012A">
              <w:rPr>
                <w:rStyle w:val="Znakapoznpodarou"/>
                <w:color w:val="0D0D0D" w:themeColor="text1" w:themeTint="F2"/>
                <w:spacing w:val="-4"/>
              </w:rPr>
              <w:footnoteReference w:id="30"/>
            </w:r>
            <w:r w:rsidRPr="00D5012A">
              <w:rPr>
                <w:rFonts w:cs="Arial"/>
                <w:color w:val="0D0D0D" w:themeColor="text1" w:themeTint="F2"/>
                <w:spacing w:val="-4"/>
              </w:rPr>
              <w:t xml:space="preserve">. Šlo zároveň o jedinou objemově významnější daň, u níž letošní dynamika inkasa zaostávala za rozpočtovým očekáváním. Dařilo se </w:t>
            </w:r>
            <w:r w:rsidRPr="00D5012A">
              <w:rPr>
                <w:rFonts w:cs="Arial"/>
                <w:color w:val="0D0D0D" w:themeColor="text1" w:themeTint="F2"/>
                <w:spacing w:val="-4"/>
              </w:rPr>
              <w:lastRenderedPageBreak/>
              <w:t>naopak</w:t>
            </w:r>
            <w:r>
              <w:rPr>
                <w:rFonts w:cs="Arial"/>
                <w:color w:val="0D0D0D" w:themeColor="text1" w:themeTint="F2"/>
                <w:spacing w:val="-4"/>
              </w:rPr>
              <w:t xml:space="preserve"> výběru klíčové spotřební daně </w:t>
            </w:r>
            <w:r w:rsidRPr="00D5012A">
              <w:rPr>
                <w:rFonts w:cs="Arial"/>
                <w:color w:val="0D0D0D" w:themeColor="text1" w:themeTint="F2"/>
                <w:spacing w:val="-4"/>
              </w:rPr>
              <w:t xml:space="preserve"> z minerálních o</w:t>
            </w:r>
            <w:r>
              <w:rPr>
                <w:rFonts w:cs="Arial"/>
                <w:color w:val="0D0D0D" w:themeColor="text1" w:themeTint="F2"/>
                <w:spacing w:val="-4"/>
              </w:rPr>
              <w:t>lejů</w:t>
            </w:r>
            <w:r w:rsidRPr="00D5012A">
              <w:rPr>
                <w:rFonts w:cs="Arial"/>
                <w:color w:val="0D0D0D" w:themeColor="text1" w:themeTint="F2"/>
                <w:spacing w:val="-4"/>
              </w:rPr>
              <w:t xml:space="preserve">, jenž posílil o 6,9 %. Projevil se zde vliv rostoucích výkonů osobní i nákladní dopravy s následným dopadem do spotřeby </w:t>
            </w:r>
            <w:r>
              <w:rPr>
                <w:rFonts w:cs="Arial"/>
                <w:color w:val="0D0D0D" w:themeColor="text1" w:themeTint="F2"/>
                <w:spacing w:val="-4"/>
              </w:rPr>
              <w:t>motorové nafty i</w:t>
            </w:r>
            <w:r w:rsidRPr="00D5012A">
              <w:rPr>
                <w:rFonts w:cs="Arial"/>
                <w:color w:val="0D0D0D" w:themeColor="text1" w:themeTint="F2"/>
                <w:spacing w:val="-4"/>
              </w:rPr>
              <w:t> benzínu. Z váhově méně významných daní se navýšilo inkaso energetických daní (vlivem chladnější zimy), rostl i výběr spotřební daně z</w:t>
            </w:r>
            <w:r>
              <w:rPr>
                <w:rFonts w:cs="Arial"/>
                <w:color w:val="0D0D0D" w:themeColor="text1" w:themeTint="F2"/>
                <w:spacing w:val="-4"/>
              </w:rPr>
              <w:t> piva (u lihu pouze stagnoval).</w:t>
            </w:r>
          </w:p>
          <w:p w:rsidR="00424D9B" w:rsidRPr="0065738D" w:rsidRDefault="00424D9B" w:rsidP="00A0172C">
            <w:pPr>
              <w:pStyle w:val="Textpoznpodarou"/>
              <w:jc w:val="both"/>
              <w:rPr>
                <w:rFonts w:cs="Arial"/>
                <w:color w:val="0D0D0D" w:themeColor="text1" w:themeTint="F2"/>
                <w:spacing w:val="-2"/>
                <w:sz w:val="14"/>
                <w:szCs w:val="14"/>
              </w:rPr>
            </w:pPr>
          </w:p>
        </w:tc>
      </w:tr>
      <w:tr w:rsidR="00424D9B" w:rsidRPr="00F06A1D" w:rsidTr="00F853A5">
        <w:trPr>
          <w:trHeight w:val="145"/>
        </w:trPr>
        <w:tc>
          <w:tcPr>
            <w:tcW w:w="1016" w:type="pct"/>
            <w:shd w:val="clear" w:color="auto" w:fill="auto"/>
          </w:tcPr>
          <w:p w:rsidR="00424D9B" w:rsidRPr="00D02B7C" w:rsidRDefault="00424D9B" w:rsidP="00A0172C">
            <w:pPr>
              <w:spacing w:line="240" w:lineRule="auto"/>
              <w:rPr>
                <w:rFonts w:cs="Arial"/>
                <w:bCs/>
                <w:iCs/>
                <w:color w:val="0D0D0D" w:themeColor="text1" w:themeTint="F2"/>
                <w:sz w:val="16"/>
                <w:szCs w:val="16"/>
              </w:rPr>
            </w:pPr>
            <w:r>
              <w:rPr>
                <w:rFonts w:cs="Arial"/>
                <w:bCs/>
                <w:iCs/>
                <w:color w:val="0D0D0D" w:themeColor="text1" w:themeTint="F2"/>
                <w:sz w:val="16"/>
                <w:szCs w:val="16"/>
              </w:rPr>
              <w:lastRenderedPageBreak/>
              <w:t>Dobrá finanční situace podniků udržovala výběr korporátní daně výrazně nad rozpočtovým očekáváním.</w:t>
            </w:r>
          </w:p>
        </w:tc>
        <w:tc>
          <w:tcPr>
            <w:tcW w:w="144" w:type="pct"/>
          </w:tcPr>
          <w:p w:rsidR="00424D9B" w:rsidRPr="00A90EFD" w:rsidRDefault="00424D9B" w:rsidP="00A0172C">
            <w:pPr>
              <w:pStyle w:val="Textpoznpodarou"/>
              <w:jc w:val="both"/>
              <w:rPr>
                <w:rFonts w:cs="Arial"/>
                <w:color w:val="0D0D0D" w:themeColor="text1" w:themeTint="F2"/>
              </w:rPr>
            </w:pPr>
          </w:p>
        </w:tc>
        <w:tc>
          <w:tcPr>
            <w:tcW w:w="3840" w:type="pct"/>
          </w:tcPr>
          <w:p w:rsidR="00424D9B" w:rsidRPr="00014EE2" w:rsidRDefault="00424D9B" w:rsidP="00A0172C">
            <w:pPr>
              <w:pStyle w:val="Textpoznpodarou"/>
              <w:jc w:val="both"/>
              <w:rPr>
                <w:rFonts w:cs="Arial"/>
                <w:color w:val="0D0D0D" w:themeColor="text1" w:themeTint="F2"/>
                <w:spacing w:val="-2"/>
              </w:rPr>
            </w:pPr>
            <w:r w:rsidRPr="00014EE2">
              <w:rPr>
                <w:rFonts w:cs="Arial"/>
                <w:color w:val="0D0D0D" w:themeColor="text1" w:themeTint="F2"/>
                <w:spacing w:val="-2"/>
              </w:rPr>
              <w:t>Celostátní výběr korporátních daní pokračoval v silném růstu z předchozích dvou let. Ve</w:t>
            </w:r>
            <w:r w:rsidR="00F4351C">
              <w:rPr>
                <w:rFonts w:cs="Arial"/>
                <w:color w:val="0D0D0D" w:themeColor="text1" w:themeTint="F2"/>
                <w:spacing w:val="-2"/>
              </w:rPr>
              <w:t xml:space="preserve"> srovnání s 1. loňským čtvrtlet</w:t>
            </w:r>
            <w:r w:rsidRPr="00014EE2">
              <w:rPr>
                <w:rFonts w:cs="Arial"/>
                <w:color w:val="0D0D0D" w:themeColor="text1" w:themeTint="F2"/>
                <w:spacing w:val="-2"/>
              </w:rPr>
              <w:t>ím posílil o 10,2 %. Jeho letošní výběr zároveň poprvé převýšil dosavadní předkrizové maximum (1. čtvrtletí 2008), když překonal vliv silného propadu z roku 2009 i následného snížení sazeb daně (z 21 % na současných 19 %). Loňská i dosavadní letošní</w:t>
            </w:r>
            <w:r w:rsidRPr="00014EE2">
              <w:rPr>
                <w:rStyle w:val="Znakapoznpodarou"/>
                <w:color w:val="0D0D0D" w:themeColor="text1" w:themeTint="F2"/>
                <w:spacing w:val="-2"/>
              </w:rPr>
              <w:footnoteReference w:id="31"/>
            </w:r>
            <w:r w:rsidRPr="00014EE2">
              <w:rPr>
                <w:rFonts w:cs="Arial"/>
                <w:color w:val="0D0D0D" w:themeColor="text1" w:themeTint="F2"/>
                <w:spacing w:val="-2"/>
              </w:rPr>
              <w:t xml:space="preserve"> tempa výběru výrazně překračovala rozpočtová očekávání a dokládala přetrvávající vysokou míru ziskovosti podniků.</w:t>
            </w:r>
          </w:p>
          <w:p w:rsidR="00424D9B" w:rsidRPr="00014EE2" w:rsidRDefault="00424D9B" w:rsidP="00A0172C">
            <w:pPr>
              <w:pStyle w:val="Textpoznpodarou"/>
              <w:jc w:val="both"/>
              <w:rPr>
                <w:rFonts w:cs="Arial"/>
                <w:color w:val="0D0D0D" w:themeColor="text1" w:themeTint="F2"/>
                <w:spacing w:val="-2"/>
                <w:sz w:val="14"/>
                <w:szCs w:val="14"/>
              </w:rPr>
            </w:pPr>
          </w:p>
        </w:tc>
      </w:tr>
      <w:tr w:rsidR="00424D9B" w:rsidRPr="0094422D" w:rsidTr="00F853A5">
        <w:trPr>
          <w:trHeight w:val="145"/>
        </w:trPr>
        <w:tc>
          <w:tcPr>
            <w:tcW w:w="1016" w:type="pct"/>
            <w:shd w:val="clear" w:color="auto" w:fill="auto"/>
          </w:tcPr>
          <w:p w:rsidR="00424D9B" w:rsidRPr="00F4351C" w:rsidRDefault="00424D9B" w:rsidP="00A0172C">
            <w:pPr>
              <w:spacing w:line="240" w:lineRule="auto"/>
              <w:rPr>
                <w:rFonts w:cs="Arial"/>
                <w:bCs/>
                <w:iCs/>
                <w:color w:val="0D0D0D" w:themeColor="text1" w:themeTint="F2"/>
                <w:spacing w:val="-2"/>
                <w:sz w:val="16"/>
                <w:szCs w:val="16"/>
              </w:rPr>
            </w:pPr>
            <w:r w:rsidRPr="00F4351C">
              <w:rPr>
                <w:rFonts w:cs="Arial"/>
                <w:bCs/>
                <w:iCs/>
                <w:color w:val="0D0D0D" w:themeColor="text1" w:themeTint="F2"/>
                <w:spacing w:val="-2"/>
                <w:sz w:val="16"/>
                <w:szCs w:val="16"/>
              </w:rPr>
              <w:t xml:space="preserve">Inkaso daně z příjmů fyzických osob ze závislé činnosti těžilo z příznivé </w:t>
            </w:r>
            <w:r w:rsidR="00F4351C" w:rsidRPr="00F4351C">
              <w:rPr>
                <w:rFonts w:cs="Arial"/>
                <w:bCs/>
                <w:iCs/>
                <w:color w:val="0D0D0D" w:themeColor="text1" w:themeTint="F2"/>
                <w:spacing w:val="-2"/>
                <w:sz w:val="16"/>
                <w:szCs w:val="16"/>
              </w:rPr>
              <w:t>situace na pracovním trhu, v 1. </w:t>
            </w:r>
            <w:r w:rsidRPr="00F4351C">
              <w:rPr>
                <w:rFonts w:cs="Arial"/>
                <w:bCs/>
                <w:iCs/>
                <w:color w:val="0D0D0D" w:themeColor="text1" w:themeTint="F2"/>
                <w:spacing w:val="-2"/>
                <w:sz w:val="16"/>
                <w:szCs w:val="16"/>
              </w:rPr>
              <w:t>čtvrtletí rostlo druhým nejvyšším tempem od konce roku 2009.</w:t>
            </w:r>
          </w:p>
        </w:tc>
        <w:tc>
          <w:tcPr>
            <w:tcW w:w="144" w:type="pct"/>
          </w:tcPr>
          <w:p w:rsidR="00424D9B" w:rsidRPr="00807B25" w:rsidRDefault="00424D9B" w:rsidP="00A0172C">
            <w:pPr>
              <w:pStyle w:val="Textpoznpodarou"/>
              <w:jc w:val="both"/>
              <w:rPr>
                <w:rFonts w:cs="Arial"/>
                <w:color w:val="0D0D0D" w:themeColor="text1" w:themeTint="F2"/>
                <w:spacing w:val="-4"/>
              </w:rPr>
            </w:pPr>
          </w:p>
        </w:tc>
        <w:tc>
          <w:tcPr>
            <w:tcW w:w="3840" w:type="pct"/>
          </w:tcPr>
          <w:p w:rsidR="00424D9B" w:rsidRPr="00014EE2" w:rsidRDefault="00424D9B" w:rsidP="00A0172C">
            <w:pPr>
              <w:pStyle w:val="Textpoznpodarou"/>
              <w:jc w:val="both"/>
              <w:rPr>
                <w:rFonts w:cs="Arial"/>
                <w:spacing w:val="-2"/>
              </w:rPr>
            </w:pPr>
            <w:r w:rsidRPr="00014EE2">
              <w:rPr>
                <w:rFonts w:cs="Arial"/>
                <w:spacing w:val="-2"/>
              </w:rPr>
              <w:t>Na dani z příjmu fyzických osob (DPFO) ze závislé činnosti inkasoval stát meziročně o desetinu více. Ve výběru se plně projevovala příznivá situace na trhu práce (vysoký růst zaměstnanosti, navyšování průměrných mezd ve firemní sféře i v odvětvích s dominancí státu). Meziročně příznivější byl letos i celostátní výběr DPFO ze samostatné výdělečné činnosti, který do značné míry odráží finanční situaci drobných podnikatelů</w:t>
            </w:r>
            <w:r w:rsidRPr="00014EE2">
              <w:rPr>
                <w:rStyle w:val="Znakapoznpodarou"/>
                <w:spacing w:val="-2"/>
              </w:rPr>
              <w:footnoteReference w:id="32"/>
            </w:r>
            <w:r w:rsidRPr="00014EE2">
              <w:rPr>
                <w:rFonts w:cs="Arial"/>
                <w:spacing w:val="-2"/>
              </w:rPr>
              <w:t xml:space="preserve">. </w:t>
            </w:r>
          </w:p>
          <w:p w:rsidR="00424D9B" w:rsidRPr="00014EE2" w:rsidRDefault="00424D9B" w:rsidP="00A0172C">
            <w:pPr>
              <w:pStyle w:val="Textpoznpodarou"/>
              <w:jc w:val="both"/>
              <w:rPr>
                <w:rFonts w:cs="Arial"/>
                <w:spacing w:val="-2"/>
                <w:sz w:val="14"/>
                <w:szCs w:val="14"/>
              </w:rPr>
            </w:pPr>
          </w:p>
        </w:tc>
      </w:tr>
      <w:tr w:rsidR="00BF7F08" w:rsidRPr="0094422D" w:rsidTr="00A0172C">
        <w:trPr>
          <w:trHeight w:val="145"/>
        </w:trPr>
        <w:tc>
          <w:tcPr>
            <w:tcW w:w="1016" w:type="pct"/>
            <w:shd w:val="clear" w:color="auto" w:fill="auto"/>
          </w:tcPr>
          <w:p w:rsidR="00BF7F08" w:rsidRPr="006B23FE" w:rsidRDefault="00F4351C" w:rsidP="00A0172C">
            <w:pPr>
              <w:spacing w:line="240" w:lineRule="auto"/>
              <w:rPr>
                <w:rFonts w:cs="Arial"/>
                <w:bCs/>
                <w:iCs/>
                <w:color w:val="0D0D0D" w:themeColor="text1" w:themeTint="F2"/>
                <w:sz w:val="16"/>
                <w:szCs w:val="16"/>
              </w:rPr>
            </w:pPr>
            <w:r>
              <w:rPr>
                <w:rFonts w:cs="Arial"/>
                <w:bCs/>
                <w:iCs/>
                <w:color w:val="0D0D0D" w:themeColor="text1" w:themeTint="F2"/>
                <w:sz w:val="16"/>
                <w:szCs w:val="16"/>
              </w:rPr>
              <w:t>V</w:t>
            </w:r>
            <w:r w:rsidR="00BF7F08" w:rsidRPr="006B23FE">
              <w:rPr>
                <w:rFonts w:cs="Arial"/>
                <w:bCs/>
                <w:iCs/>
                <w:color w:val="0D0D0D" w:themeColor="text1" w:themeTint="F2"/>
                <w:sz w:val="16"/>
                <w:szCs w:val="16"/>
              </w:rPr>
              <w:t>ysoká růstová tempa celkov</w:t>
            </w:r>
            <w:r w:rsidR="00BF7F08">
              <w:rPr>
                <w:rFonts w:cs="Arial"/>
                <w:bCs/>
                <w:iCs/>
                <w:color w:val="0D0D0D" w:themeColor="text1" w:themeTint="F2"/>
                <w:sz w:val="16"/>
                <w:szCs w:val="16"/>
              </w:rPr>
              <w:t>ých daň</w:t>
            </w:r>
            <w:r>
              <w:rPr>
                <w:rFonts w:cs="Arial"/>
                <w:bCs/>
                <w:iCs/>
                <w:color w:val="0D0D0D" w:themeColor="text1" w:themeTint="F2"/>
                <w:sz w:val="16"/>
                <w:szCs w:val="16"/>
              </w:rPr>
              <w:t>ových příjmů</w:t>
            </w:r>
            <w:r w:rsidR="00BF7F08" w:rsidRPr="006B23FE">
              <w:rPr>
                <w:rFonts w:cs="Arial"/>
                <w:bCs/>
                <w:iCs/>
                <w:color w:val="0D0D0D" w:themeColor="text1" w:themeTint="F2"/>
                <w:sz w:val="16"/>
                <w:szCs w:val="16"/>
              </w:rPr>
              <w:t xml:space="preserve"> kontrastovala </w:t>
            </w:r>
            <w:r w:rsidR="00BF7F08">
              <w:rPr>
                <w:rFonts w:cs="Arial"/>
                <w:bCs/>
                <w:iCs/>
                <w:color w:val="0D0D0D" w:themeColor="text1" w:themeTint="F2"/>
                <w:sz w:val="16"/>
                <w:szCs w:val="16"/>
              </w:rPr>
              <w:t>s nízkými toky z rozpočtu EU.</w:t>
            </w:r>
          </w:p>
        </w:tc>
        <w:tc>
          <w:tcPr>
            <w:tcW w:w="144" w:type="pct"/>
          </w:tcPr>
          <w:p w:rsidR="00BF7F08" w:rsidRPr="00807B25" w:rsidRDefault="00BF7F08" w:rsidP="00A0172C">
            <w:pPr>
              <w:pStyle w:val="Textpoznpodarou"/>
              <w:jc w:val="both"/>
              <w:rPr>
                <w:rFonts w:cs="Arial"/>
                <w:color w:val="0D0D0D" w:themeColor="text1" w:themeTint="F2"/>
                <w:spacing w:val="-4"/>
              </w:rPr>
            </w:pPr>
          </w:p>
        </w:tc>
        <w:tc>
          <w:tcPr>
            <w:tcW w:w="3840" w:type="pct"/>
          </w:tcPr>
          <w:p w:rsidR="00BF7F08" w:rsidRPr="00014EE2" w:rsidRDefault="00BF7F08" w:rsidP="00A0172C">
            <w:pPr>
              <w:pStyle w:val="Textpoznpodarou"/>
              <w:jc w:val="both"/>
              <w:rPr>
                <w:rFonts w:cs="Arial"/>
                <w:color w:val="0D0D0D" w:themeColor="text1" w:themeTint="F2"/>
                <w:spacing w:val="-4"/>
              </w:rPr>
            </w:pPr>
            <w:r w:rsidRPr="00014EE2">
              <w:rPr>
                <w:rFonts w:cs="Arial"/>
                <w:color w:val="0D0D0D" w:themeColor="text1" w:themeTint="F2"/>
                <w:spacing w:val="-4"/>
              </w:rPr>
              <w:t>Celkové daňov</w:t>
            </w:r>
            <w:r w:rsidR="00F4351C">
              <w:rPr>
                <w:rFonts w:cs="Arial"/>
                <w:color w:val="0D0D0D" w:themeColor="text1" w:themeTint="F2"/>
                <w:spacing w:val="-4"/>
              </w:rPr>
              <w:t>é příjmy (vč. pojistného na sociálním</w:t>
            </w:r>
            <w:r w:rsidRPr="00014EE2">
              <w:rPr>
                <w:rFonts w:cs="Arial"/>
                <w:color w:val="0D0D0D" w:themeColor="text1" w:themeTint="F2"/>
                <w:spacing w:val="-4"/>
              </w:rPr>
              <w:t xml:space="preserve"> zabezpečení) v 1. čtvrtletí meziročně posílily o 7,5 %, téměř dvojnásobným tempem než celoroční rozpočtové očekávání. To neb</w:t>
            </w:r>
            <w:r w:rsidR="00F4351C">
              <w:rPr>
                <w:rFonts w:cs="Arial"/>
                <w:color w:val="0D0D0D" w:themeColor="text1" w:themeTint="F2"/>
                <w:spacing w:val="-4"/>
              </w:rPr>
              <w:t>ylo naplněno u nedaňových a ostatních</w:t>
            </w:r>
            <w:r w:rsidRPr="00014EE2">
              <w:rPr>
                <w:rFonts w:cs="Arial"/>
                <w:color w:val="0D0D0D" w:themeColor="text1" w:themeTint="F2"/>
                <w:spacing w:val="-4"/>
              </w:rPr>
              <w:t xml:space="preserve"> příjmů, za jejichž prudkým meziročním poklesem (o 53 mld. korun) stál výpadek příjmů z rozpočtu EU. Z něj bylo letos nejvíce získáno na společnou zemědělskou politiku (17,3 mld.). Na krytí vý</w:t>
            </w:r>
            <w:r w:rsidR="00F4351C">
              <w:rPr>
                <w:rFonts w:cs="Arial"/>
                <w:color w:val="0D0D0D" w:themeColor="text1" w:themeTint="F2"/>
                <w:spacing w:val="-4"/>
              </w:rPr>
              <w:t>dajů, jimiž SR předfinancoval operační programy</w:t>
            </w:r>
            <w:r w:rsidRPr="00014EE2">
              <w:rPr>
                <w:rFonts w:cs="Arial"/>
                <w:color w:val="0D0D0D" w:themeColor="text1" w:themeTint="F2"/>
                <w:spacing w:val="-4"/>
              </w:rPr>
              <w:t xml:space="preserve"> ze současného programového období, pak přišlo 6,3 mld. </w:t>
            </w:r>
          </w:p>
          <w:p w:rsidR="00BF7F08" w:rsidRPr="00117D27" w:rsidRDefault="00BF7F08" w:rsidP="00A0172C">
            <w:pPr>
              <w:pStyle w:val="Textpoznpodarou"/>
              <w:jc w:val="both"/>
              <w:rPr>
                <w:rFonts w:cs="Arial"/>
                <w:color w:val="0D0D0D" w:themeColor="text1" w:themeTint="F2"/>
                <w:spacing w:val="-2"/>
                <w:sz w:val="6"/>
                <w:szCs w:val="6"/>
              </w:rPr>
            </w:pPr>
          </w:p>
        </w:tc>
      </w:tr>
    </w:tbl>
    <w:p w:rsidR="00BF7F08" w:rsidRDefault="00BF7F08" w:rsidP="008A03DE">
      <w:pPr>
        <w:pStyle w:val="Textpoznpodarou"/>
        <w:jc w:val="both"/>
        <w:rPr>
          <w:rFonts w:cs="Arial"/>
          <w:color w:val="000000"/>
          <w:spacing w:val="-2"/>
          <w:sz w:val="18"/>
          <w:szCs w:val="18"/>
        </w:rPr>
      </w:pPr>
    </w:p>
    <w:tbl>
      <w:tblPr>
        <w:tblW w:w="4963" w:type="pct"/>
        <w:tblInd w:w="108" w:type="dxa"/>
        <w:tblLayout w:type="fixed"/>
        <w:tblLook w:val="00A0"/>
      </w:tblPr>
      <w:tblGrid>
        <w:gridCol w:w="1997"/>
        <w:gridCol w:w="284"/>
        <w:gridCol w:w="1119"/>
        <w:gridCol w:w="6381"/>
      </w:tblGrid>
      <w:tr w:rsidR="0007324C" w:rsidRPr="00AA4A76" w:rsidTr="00A0172C">
        <w:trPr>
          <w:trHeight w:val="145"/>
        </w:trPr>
        <w:tc>
          <w:tcPr>
            <w:tcW w:w="1021" w:type="pct"/>
            <w:shd w:val="clear" w:color="auto" w:fill="auto"/>
          </w:tcPr>
          <w:p w:rsidR="0007324C" w:rsidRPr="00AA4A76" w:rsidRDefault="0007324C" w:rsidP="00A0172C">
            <w:pPr>
              <w:spacing w:line="240" w:lineRule="auto"/>
              <w:jc w:val="center"/>
              <w:rPr>
                <w:color w:val="000000"/>
                <w:szCs w:val="20"/>
              </w:rPr>
            </w:pPr>
          </w:p>
        </w:tc>
        <w:tc>
          <w:tcPr>
            <w:tcW w:w="145" w:type="pct"/>
          </w:tcPr>
          <w:p w:rsidR="0007324C" w:rsidRPr="00AA4A76" w:rsidRDefault="0007324C" w:rsidP="00A0172C">
            <w:pPr>
              <w:pStyle w:val="Textpoznpodarou"/>
              <w:jc w:val="both"/>
              <w:rPr>
                <w:highlight w:val="yellow"/>
              </w:rPr>
            </w:pPr>
          </w:p>
        </w:tc>
        <w:tc>
          <w:tcPr>
            <w:tcW w:w="572" w:type="pct"/>
          </w:tcPr>
          <w:p w:rsidR="0007324C" w:rsidRPr="00AA4A76" w:rsidRDefault="0007324C" w:rsidP="00A0172C">
            <w:pPr>
              <w:pStyle w:val="Textpoznpodarou"/>
              <w:jc w:val="both"/>
              <w:rPr>
                <w:highlight w:val="yellow"/>
              </w:rPr>
            </w:pPr>
            <w:r>
              <w:rPr>
                <w:color w:val="000000"/>
              </w:rPr>
              <w:t>Graf č. 19</w:t>
            </w:r>
          </w:p>
        </w:tc>
        <w:tc>
          <w:tcPr>
            <w:tcW w:w="3262" w:type="pct"/>
          </w:tcPr>
          <w:p w:rsidR="00535F78" w:rsidRDefault="0007324C" w:rsidP="0007324C">
            <w:pPr>
              <w:spacing w:line="240" w:lineRule="auto"/>
              <w:rPr>
                <w:rFonts w:cs="Arial"/>
                <w:bCs/>
              </w:rPr>
            </w:pPr>
            <w:r>
              <w:rPr>
                <w:rFonts w:cs="Arial"/>
                <w:b/>
                <w:bCs/>
              </w:rPr>
              <w:t xml:space="preserve">Celostátní inkasa </w:t>
            </w:r>
            <w:r w:rsidR="00535F78">
              <w:rPr>
                <w:rFonts w:cs="Arial"/>
                <w:b/>
                <w:bCs/>
              </w:rPr>
              <w:t xml:space="preserve">vybraných </w:t>
            </w:r>
            <w:r>
              <w:rPr>
                <w:rFonts w:cs="Arial"/>
                <w:b/>
                <w:bCs/>
              </w:rPr>
              <w:t xml:space="preserve">daňových příjmů </w:t>
            </w:r>
            <w:r w:rsidR="00535F78">
              <w:rPr>
                <w:rFonts w:cs="Arial"/>
                <w:bCs/>
              </w:rPr>
              <w:t>(</w:t>
            </w:r>
            <w:r w:rsidR="00535F78" w:rsidRPr="00E62A33">
              <w:rPr>
                <w:spacing w:val="-2"/>
              </w:rPr>
              <w:t>meziročně</w:t>
            </w:r>
            <w:r w:rsidR="00535F78" w:rsidRPr="00E62A33">
              <w:rPr>
                <w:bCs/>
                <w:spacing w:val="-2"/>
              </w:rPr>
              <w:t xml:space="preserve"> v %)</w:t>
            </w:r>
            <w:r>
              <w:rPr>
                <w:rFonts w:cs="Arial"/>
                <w:bCs/>
              </w:rPr>
              <w:t xml:space="preserve"> </w:t>
            </w:r>
          </w:p>
          <w:p w:rsidR="0007324C" w:rsidRPr="0007324C" w:rsidRDefault="0007324C" w:rsidP="0007324C">
            <w:pPr>
              <w:spacing w:line="240" w:lineRule="auto"/>
              <w:rPr>
                <w:rFonts w:cs="Arial"/>
                <w:b/>
                <w:bCs/>
              </w:rPr>
            </w:pPr>
            <w:r>
              <w:rPr>
                <w:rFonts w:cs="Arial"/>
                <w:b/>
                <w:bCs/>
              </w:rPr>
              <w:t>a saldo státního rozpočtu</w:t>
            </w:r>
            <w:r>
              <w:t xml:space="preserve"> </w:t>
            </w:r>
            <w:r>
              <w:rPr>
                <w:rFonts w:cs="Arial"/>
                <w:bCs/>
              </w:rPr>
              <w:t xml:space="preserve">(v mld. korun) </w:t>
            </w:r>
            <w:r w:rsidRPr="006808C5">
              <w:rPr>
                <w:rFonts w:cs="Arial"/>
                <w:b/>
                <w:bCs/>
              </w:rPr>
              <w:t>v 1. čtvrtletích roku</w:t>
            </w:r>
            <w:r>
              <w:rPr>
                <w:rFonts w:cs="Arial"/>
                <w:b/>
                <w:bCs/>
              </w:rPr>
              <w:t xml:space="preserve"> </w:t>
            </w:r>
          </w:p>
        </w:tc>
      </w:tr>
      <w:tr w:rsidR="0007324C" w:rsidRPr="00AA4A76" w:rsidTr="00A0172C">
        <w:trPr>
          <w:trHeight w:val="145"/>
        </w:trPr>
        <w:tc>
          <w:tcPr>
            <w:tcW w:w="1021" w:type="pct"/>
            <w:shd w:val="clear" w:color="auto" w:fill="auto"/>
          </w:tcPr>
          <w:p w:rsidR="0007324C" w:rsidRPr="006D3F53" w:rsidRDefault="0007324C" w:rsidP="00A0172C">
            <w:pPr>
              <w:spacing w:line="240" w:lineRule="auto"/>
              <w:rPr>
                <w:color w:val="000000"/>
                <w:sz w:val="16"/>
                <w:szCs w:val="16"/>
                <w:highlight w:val="yellow"/>
              </w:rPr>
            </w:pPr>
          </w:p>
        </w:tc>
        <w:tc>
          <w:tcPr>
            <w:tcW w:w="145" w:type="pct"/>
          </w:tcPr>
          <w:p w:rsidR="0007324C" w:rsidRPr="00A74192" w:rsidRDefault="0007324C" w:rsidP="00A0172C">
            <w:pPr>
              <w:pStyle w:val="Textpoznpodarou"/>
              <w:jc w:val="both"/>
            </w:pPr>
          </w:p>
        </w:tc>
        <w:tc>
          <w:tcPr>
            <w:tcW w:w="3833" w:type="pct"/>
            <w:gridSpan w:val="2"/>
          </w:tcPr>
          <w:p w:rsidR="0007324C" w:rsidRDefault="00535F78" w:rsidP="00A0172C">
            <w:pPr>
              <w:pStyle w:val="Textpoznpodarou"/>
              <w:ind w:left="-124"/>
              <w:jc w:val="both"/>
              <w:rPr>
                <w:sz w:val="16"/>
                <w:szCs w:val="16"/>
              </w:rPr>
            </w:pPr>
            <w:r w:rsidRPr="00535F78">
              <w:rPr>
                <w:noProof/>
                <w:sz w:val="16"/>
                <w:szCs w:val="16"/>
              </w:rPr>
              <w:drawing>
                <wp:inline distT="0" distB="0" distL="0" distR="0">
                  <wp:extent cx="4737600" cy="3553200"/>
                  <wp:effectExtent l="19050" t="0" r="585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7324C" w:rsidRPr="00535F78" w:rsidRDefault="0007324C" w:rsidP="00A0172C">
            <w:pPr>
              <w:pStyle w:val="Textpoznpodarou"/>
              <w:ind w:left="-124"/>
              <w:jc w:val="right"/>
              <w:rPr>
                <w:sz w:val="14"/>
                <w:szCs w:val="14"/>
              </w:rPr>
            </w:pPr>
            <w:r w:rsidRPr="00535F78">
              <w:rPr>
                <w:rFonts w:cs="Arial"/>
                <w:sz w:val="14"/>
                <w:szCs w:val="14"/>
              </w:rPr>
              <w:t>Zdroj: MF ČR</w:t>
            </w:r>
          </w:p>
        </w:tc>
      </w:tr>
    </w:tbl>
    <w:p w:rsidR="0007324C" w:rsidRPr="0007324C" w:rsidRDefault="0007324C" w:rsidP="008A03DE">
      <w:pPr>
        <w:pStyle w:val="Textpoznpodarou"/>
        <w:jc w:val="both"/>
        <w:rPr>
          <w:rFonts w:cs="Arial"/>
          <w:color w:val="000000"/>
          <w:spacing w:val="-2"/>
          <w:sz w:val="18"/>
          <w:szCs w:val="18"/>
        </w:rPr>
      </w:pPr>
    </w:p>
    <w:tbl>
      <w:tblPr>
        <w:tblW w:w="4995" w:type="pct"/>
        <w:tblInd w:w="108" w:type="dxa"/>
        <w:tblLayout w:type="fixed"/>
        <w:tblLook w:val="00A0"/>
      </w:tblPr>
      <w:tblGrid>
        <w:gridCol w:w="2000"/>
        <w:gridCol w:w="284"/>
        <w:gridCol w:w="7560"/>
      </w:tblGrid>
      <w:tr w:rsidR="00BF7F08" w:rsidRPr="00AD0FC0" w:rsidTr="00A0172C">
        <w:trPr>
          <w:trHeight w:val="145"/>
        </w:trPr>
        <w:tc>
          <w:tcPr>
            <w:tcW w:w="1016" w:type="pct"/>
            <w:shd w:val="clear" w:color="auto" w:fill="auto"/>
          </w:tcPr>
          <w:p w:rsidR="00BF7F08" w:rsidRPr="00F745A4" w:rsidRDefault="00BF7F08" w:rsidP="00A0172C">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Čerpání investic v novém programovém období EU bylo loni stejně jako na </w:t>
            </w:r>
            <w:r>
              <w:rPr>
                <w:rFonts w:cs="Arial"/>
                <w:bCs/>
                <w:iCs/>
                <w:color w:val="0D0D0D" w:themeColor="text1" w:themeTint="F2"/>
                <w:spacing w:val="-4"/>
                <w:sz w:val="16"/>
                <w:szCs w:val="16"/>
              </w:rPr>
              <w:lastRenderedPageBreak/>
              <w:t>počátku roku 2017 omezené vlivem celkově nižší připravenosti hlavně větších dopravních projektů.</w:t>
            </w:r>
          </w:p>
        </w:tc>
        <w:tc>
          <w:tcPr>
            <w:tcW w:w="144" w:type="pct"/>
          </w:tcPr>
          <w:p w:rsidR="00BF7F08" w:rsidRPr="00782BA5" w:rsidRDefault="00BF7F08" w:rsidP="00A0172C">
            <w:pPr>
              <w:pStyle w:val="Textpoznpodarou"/>
              <w:jc w:val="both"/>
              <w:rPr>
                <w:rFonts w:cs="Arial"/>
                <w:color w:val="000000" w:themeColor="text1"/>
                <w:spacing w:val="-4"/>
              </w:rPr>
            </w:pPr>
          </w:p>
        </w:tc>
        <w:tc>
          <w:tcPr>
            <w:tcW w:w="3840" w:type="pct"/>
          </w:tcPr>
          <w:p w:rsidR="00BF7F08" w:rsidRPr="005B0BEF" w:rsidRDefault="00BF7F08" w:rsidP="00A0172C">
            <w:pPr>
              <w:pStyle w:val="Textpoznpodarou"/>
              <w:jc w:val="both"/>
              <w:rPr>
                <w:rFonts w:cs="Arial"/>
                <w:color w:val="000000" w:themeColor="text1"/>
                <w:spacing w:val="-4"/>
              </w:rPr>
            </w:pPr>
            <w:r w:rsidRPr="005B0BEF">
              <w:rPr>
                <w:rFonts w:cs="Arial"/>
                <w:color w:val="000000" w:themeColor="text1"/>
                <w:spacing w:val="-4"/>
              </w:rPr>
              <w:t xml:space="preserve">Celkové výdaje SR vzrostly od ledna do března meziročně o střídmých 1,6 %. Přesto šlo v rámci 1. čtvrtletí o druhé nejvyšší tempo za posledních sedm let. Růst běžných </w:t>
            </w:r>
            <w:r w:rsidRPr="005B0BEF">
              <w:rPr>
                <w:rFonts w:cs="Arial"/>
                <w:color w:val="000000" w:themeColor="text1"/>
                <w:spacing w:val="-4"/>
              </w:rPr>
              <w:lastRenderedPageBreak/>
              <w:t>výdajů (o 6,6 %) byl na rozdíl od propadu investic (o 69 %) rozpočtem očekávaný. Kapitálové výdaje SR činily za první tři letošní měsíce jen 6,2 mld. korun (společně s dubnem 9,6 mld.). Polovina investic směřovala na společné projekty ČR a EU</w:t>
            </w:r>
            <w:r w:rsidRPr="005B0BEF">
              <w:rPr>
                <w:rStyle w:val="Znakapoznpodarou"/>
                <w:color w:val="000000" w:themeColor="text1"/>
                <w:spacing w:val="-4"/>
              </w:rPr>
              <w:footnoteReference w:id="33"/>
            </w:r>
            <w:r>
              <w:rPr>
                <w:rFonts w:cs="Arial"/>
                <w:color w:val="000000" w:themeColor="text1"/>
                <w:spacing w:val="-4"/>
              </w:rPr>
              <w:t xml:space="preserve"> (zejm.</w:t>
            </w:r>
            <w:r w:rsidRPr="005B0BEF">
              <w:rPr>
                <w:rFonts w:cs="Arial"/>
                <w:color w:val="000000" w:themeColor="text1"/>
                <w:spacing w:val="-4"/>
              </w:rPr>
              <w:t xml:space="preserve"> do OP Doprava).</w:t>
            </w:r>
            <w:r w:rsidRPr="005B0BEF">
              <w:rPr>
                <w:rFonts w:cs="Arial"/>
                <w:color w:val="000000" w:themeColor="text1"/>
                <w:spacing w:val="-5"/>
              </w:rPr>
              <w:t xml:space="preserve"> Podíl investic na všech výdajích SR činil v 1. čtvrtletí jen 2,1 %. </w:t>
            </w:r>
          </w:p>
          <w:p w:rsidR="00BF7F08" w:rsidRPr="005B0BEF" w:rsidRDefault="00BF7F08" w:rsidP="00A0172C">
            <w:pPr>
              <w:pStyle w:val="Textpoznpodarou"/>
              <w:jc w:val="both"/>
              <w:rPr>
                <w:rFonts w:cs="Arial"/>
                <w:color w:val="000000" w:themeColor="text1"/>
                <w:spacing w:val="-4"/>
                <w:sz w:val="14"/>
                <w:szCs w:val="14"/>
              </w:rPr>
            </w:pPr>
          </w:p>
        </w:tc>
      </w:tr>
      <w:tr w:rsidR="00BF7F08" w:rsidRPr="00AD0FC0" w:rsidTr="00A0172C">
        <w:trPr>
          <w:trHeight w:val="145"/>
        </w:trPr>
        <w:tc>
          <w:tcPr>
            <w:tcW w:w="1016" w:type="pct"/>
            <w:shd w:val="clear" w:color="auto" w:fill="auto"/>
          </w:tcPr>
          <w:p w:rsidR="00BF7F08" w:rsidRPr="006E7FAA" w:rsidRDefault="00BF7F08" w:rsidP="00A0172C">
            <w:pPr>
              <w:spacing w:line="240" w:lineRule="auto"/>
              <w:rPr>
                <w:rFonts w:cs="Arial"/>
                <w:color w:val="0D0D0D" w:themeColor="text1" w:themeTint="F2"/>
                <w:spacing w:val="-2"/>
                <w:sz w:val="16"/>
                <w:szCs w:val="16"/>
              </w:rPr>
            </w:pPr>
            <w:r>
              <w:rPr>
                <w:rFonts w:cs="Arial"/>
                <w:color w:val="0D0D0D" w:themeColor="text1" w:themeTint="F2"/>
                <w:spacing w:val="-2"/>
                <w:sz w:val="16"/>
                <w:szCs w:val="16"/>
              </w:rPr>
              <w:lastRenderedPageBreak/>
              <w:t>K růstu běžných výdajů přispěly zejména vyšší sociální dávky a výdaje na mzdy zaměstnancům v odvětvích s dominancí státu.</w:t>
            </w:r>
          </w:p>
        </w:tc>
        <w:tc>
          <w:tcPr>
            <w:tcW w:w="144" w:type="pct"/>
          </w:tcPr>
          <w:p w:rsidR="00BF7F08" w:rsidRPr="00A90EFD" w:rsidRDefault="00BF7F08" w:rsidP="00A0172C">
            <w:pPr>
              <w:pStyle w:val="Textpoznpodarou"/>
              <w:jc w:val="both"/>
              <w:rPr>
                <w:rFonts w:cs="Arial"/>
                <w:color w:val="0D0D0D" w:themeColor="text1" w:themeTint="F2"/>
              </w:rPr>
            </w:pPr>
          </w:p>
        </w:tc>
        <w:tc>
          <w:tcPr>
            <w:tcW w:w="3840" w:type="pct"/>
          </w:tcPr>
          <w:p w:rsidR="00BF7F08" w:rsidRPr="00D667A0" w:rsidRDefault="00BF7F08" w:rsidP="00A0172C">
            <w:pPr>
              <w:pStyle w:val="Textpoznpodarou"/>
              <w:jc w:val="both"/>
              <w:rPr>
                <w:rFonts w:cs="Arial"/>
                <w:color w:val="0D0D0D" w:themeColor="text1" w:themeTint="F2"/>
                <w:spacing w:val="-4"/>
              </w:rPr>
            </w:pPr>
            <w:r w:rsidRPr="005B0BEF">
              <w:rPr>
                <w:rFonts w:cs="Arial"/>
                <w:color w:val="0D0D0D" w:themeColor="text1" w:themeTint="F2"/>
                <w:spacing w:val="-4"/>
              </w:rPr>
              <w:t>Ke zvýšení běžných výdajů (</w:t>
            </w:r>
            <w:r>
              <w:rPr>
                <w:rFonts w:cs="Arial"/>
                <w:color w:val="0D0D0D" w:themeColor="text1" w:themeTint="F2"/>
                <w:spacing w:val="-4"/>
              </w:rPr>
              <w:t>o</w:t>
            </w:r>
            <w:r w:rsidR="00F4351C">
              <w:rPr>
                <w:rFonts w:cs="Arial"/>
                <w:color w:val="0D0D0D" w:themeColor="text1" w:themeTint="F2"/>
                <w:spacing w:val="-4"/>
              </w:rPr>
              <w:t xml:space="preserve"> </w:t>
            </w:r>
            <w:r w:rsidRPr="005B0BEF">
              <w:rPr>
                <w:rFonts w:cs="Arial"/>
                <w:color w:val="0D0D0D" w:themeColor="text1" w:themeTint="F2"/>
                <w:spacing w:val="-4"/>
              </w:rPr>
              <w:t xml:space="preserve">18,4 mld. korun meziročně) nejvíce přispěly sociální dávky (s růstem o 5,2 %) a </w:t>
            </w:r>
            <w:r w:rsidRPr="005B0BEF">
              <w:rPr>
                <w:bCs/>
                <w:spacing w:val="-4"/>
                <w:szCs w:val="24"/>
              </w:rPr>
              <w:t xml:space="preserve">neinvestiční transfery veřejným </w:t>
            </w:r>
            <w:r>
              <w:rPr>
                <w:bCs/>
                <w:spacing w:val="-4"/>
                <w:szCs w:val="24"/>
              </w:rPr>
              <w:t xml:space="preserve">rozpočtům územní úrovně (+10,2 </w:t>
            </w:r>
            <w:r w:rsidRPr="005B0BEF">
              <w:rPr>
                <w:bCs/>
                <w:spacing w:val="-4"/>
                <w:szCs w:val="24"/>
              </w:rPr>
              <w:t>%), je</w:t>
            </w:r>
            <w:r>
              <w:rPr>
                <w:bCs/>
                <w:spacing w:val="-4"/>
                <w:szCs w:val="24"/>
              </w:rPr>
              <w:t>jichž svižné tempo souviselo zejména s navýšením</w:t>
            </w:r>
            <w:r w:rsidRPr="005B0BEF">
              <w:rPr>
                <w:spacing w:val="-4"/>
              </w:rPr>
              <w:t xml:space="preserve"> platů </w:t>
            </w:r>
            <w:r>
              <w:rPr>
                <w:spacing w:val="-4"/>
              </w:rPr>
              <w:t xml:space="preserve">v regionálním školství </w:t>
            </w:r>
            <w:r w:rsidRPr="005B0BEF">
              <w:rPr>
                <w:spacing w:val="-4"/>
              </w:rPr>
              <w:t>od 1. září 2016</w:t>
            </w:r>
            <w:r>
              <w:rPr>
                <w:spacing w:val="-4"/>
              </w:rPr>
              <w:t xml:space="preserve"> (</w:t>
            </w:r>
            <w:r w:rsidRPr="005B0BEF">
              <w:rPr>
                <w:spacing w:val="-4"/>
              </w:rPr>
              <w:t>pracovníkům pedagogickým o 8 % a nepedagogickým o</w:t>
            </w:r>
            <w:r w:rsidRPr="005B0BEF">
              <w:rPr>
                <w:rFonts w:cs="Arial"/>
                <w:color w:val="000000" w:themeColor="text1"/>
                <w:spacing w:val="-4"/>
              </w:rPr>
              <w:t> </w:t>
            </w:r>
            <w:r w:rsidRPr="005B0BEF">
              <w:rPr>
                <w:spacing w:val="-4"/>
              </w:rPr>
              <w:t>5</w:t>
            </w:r>
            <w:r w:rsidRPr="005B0BEF">
              <w:rPr>
                <w:rFonts w:cs="Arial"/>
                <w:color w:val="000000" w:themeColor="text1"/>
                <w:spacing w:val="-4"/>
              </w:rPr>
              <w:t> </w:t>
            </w:r>
            <w:r w:rsidRPr="005B0BEF">
              <w:rPr>
                <w:spacing w:val="-4"/>
              </w:rPr>
              <w:t>%</w:t>
            </w:r>
            <w:r>
              <w:rPr>
                <w:spacing w:val="-4"/>
              </w:rPr>
              <w:t>)</w:t>
            </w:r>
            <w:r w:rsidRPr="005B0BEF">
              <w:rPr>
                <w:spacing w:val="-4"/>
              </w:rPr>
              <w:t>. Výdaje na platy zaměstnanců státu se navýšily o 6 % (stejně jako o rok dříve). O třetinu meziročně posílily také neinvestiční transfery podnikatelským subjektům. Naopak ve směru redukce běžných výdajů v 1. čtvrtletí působily nižší odvody státu do rozpočtu EU</w:t>
            </w:r>
            <w:r>
              <w:rPr>
                <w:spacing w:val="-4"/>
              </w:rPr>
              <w:t xml:space="preserve"> a</w:t>
            </w:r>
            <w:r w:rsidRPr="005B0BEF">
              <w:rPr>
                <w:spacing w:val="-4"/>
              </w:rPr>
              <w:t xml:space="preserve"> zejména </w:t>
            </w:r>
            <w:r>
              <w:rPr>
                <w:spacing w:val="-4"/>
              </w:rPr>
              <w:t xml:space="preserve">pak </w:t>
            </w:r>
            <w:r w:rsidRPr="005B0BEF">
              <w:rPr>
                <w:spacing w:val="-4"/>
              </w:rPr>
              <w:t>výdaje na státní dluh (o 3 mld.)</w:t>
            </w:r>
            <w:r w:rsidRPr="005B0BEF">
              <w:rPr>
                <w:rStyle w:val="Znakapoznpodarou"/>
                <w:spacing w:val="-4"/>
              </w:rPr>
              <w:footnoteReference w:id="34"/>
            </w:r>
            <w:r w:rsidRPr="005B0BEF">
              <w:rPr>
                <w:spacing w:val="-4"/>
              </w:rPr>
              <w:t xml:space="preserve">. </w:t>
            </w:r>
          </w:p>
        </w:tc>
      </w:tr>
    </w:tbl>
    <w:p w:rsidR="00BF7F08" w:rsidRDefault="00BF7F08" w:rsidP="008A03DE">
      <w:pPr>
        <w:pStyle w:val="Textpoznpodarou"/>
        <w:jc w:val="both"/>
        <w:rPr>
          <w:rFonts w:cs="Arial"/>
          <w:color w:val="000000"/>
          <w:spacing w:val="-2"/>
          <w:sz w:val="16"/>
          <w:szCs w:val="16"/>
        </w:rPr>
      </w:pPr>
    </w:p>
    <w:tbl>
      <w:tblPr>
        <w:tblW w:w="4963" w:type="pct"/>
        <w:tblInd w:w="108" w:type="dxa"/>
        <w:tblLayout w:type="fixed"/>
        <w:tblLook w:val="00A0"/>
      </w:tblPr>
      <w:tblGrid>
        <w:gridCol w:w="1997"/>
        <w:gridCol w:w="284"/>
        <w:gridCol w:w="1119"/>
        <w:gridCol w:w="6381"/>
      </w:tblGrid>
      <w:tr w:rsidR="0007324C" w:rsidRPr="00AA4A76" w:rsidTr="00A0172C">
        <w:trPr>
          <w:trHeight w:val="145"/>
        </w:trPr>
        <w:tc>
          <w:tcPr>
            <w:tcW w:w="1021" w:type="pct"/>
            <w:shd w:val="clear" w:color="auto" w:fill="auto"/>
          </w:tcPr>
          <w:p w:rsidR="0007324C" w:rsidRPr="00AA4A76" w:rsidRDefault="0007324C" w:rsidP="00A0172C">
            <w:pPr>
              <w:spacing w:line="240" w:lineRule="auto"/>
              <w:jc w:val="center"/>
              <w:rPr>
                <w:color w:val="000000"/>
                <w:szCs w:val="20"/>
              </w:rPr>
            </w:pPr>
          </w:p>
        </w:tc>
        <w:tc>
          <w:tcPr>
            <w:tcW w:w="145" w:type="pct"/>
          </w:tcPr>
          <w:p w:rsidR="0007324C" w:rsidRPr="00AA4A76" w:rsidRDefault="0007324C" w:rsidP="00A0172C">
            <w:pPr>
              <w:pStyle w:val="Textpoznpodarou"/>
              <w:jc w:val="both"/>
              <w:rPr>
                <w:highlight w:val="yellow"/>
              </w:rPr>
            </w:pPr>
          </w:p>
        </w:tc>
        <w:tc>
          <w:tcPr>
            <w:tcW w:w="572" w:type="pct"/>
          </w:tcPr>
          <w:p w:rsidR="0007324C" w:rsidRPr="00AA4A76" w:rsidRDefault="0007324C" w:rsidP="00A0172C">
            <w:pPr>
              <w:pStyle w:val="Textpoznpodarou"/>
              <w:jc w:val="both"/>
              <w:rPr>
                <w:highlight w:val="yellow"/>
              </w:rPr>
            </w:pPr>
            <w:r>
              <w:rPr>
                <w:color w:val="000000"/>
              </w:rPr>
              <w:t>Graf č. 20</w:t>
            </w:r>
          </w:p>
        </w:tc>
        <w:tc>
          <w:tcPr>
            <w:tcW w:w="3262" w:type="pct"/>
          </w:tcPr>
          <w:p w:rsidR="00CD5493" w:rsidRDefault="0007324C" w:rsidP="0007324C">
            <w:pPr>
              <w:spacing w:line="240" w:lineRule="auto"/>
              <w:rPr>
                <w:rFonts w:cs="Arial"/>
                <w:b/>
                <w:bCs/>
              </w:rPr>
            </w:pPr>
            <w:r>
              <w:rPr>
                <w:rFonts w:cs="Arial"/>
                <w:b/>
                <w:bCs/>
              </w:rPr>
              <w:t xml:space="preserve">Vybrané výdaje státního rozpočtu </w:t>
            </w:r>
            <w:r w:rsidRPr="006808C5">
              <w:rPr>
                <w:rFonts w:cs="Arial"/>
                <w:b/>
                <w:bCs/>
              </w:rPr>
              <w:t>v 1. čtvrtletích roku</w:t>
            </w:r>
            <w:r>
              <w:rPr>
                <w:rFonts w:cs="Arial"/>
                <w:b/>
                <w:bCs/>
              </w:rPr>
              <w:t xml:space="preserve"> </w:t>
            </w:r>
          </w:p>
          <w:p w:rsidR="0007324C" w:rsidRPr="0007324C" w:rsidRDefault="0007324C" w:rsidP="0007324C">
            <w:pPr>
              <w:spacing w:line="240" w:lineRule="auto"/>
              <w:rPr>
                <w:rFonts w:cs="Arial"/>
                <w:b/>
                <w:bCs/>
              </w:rPr>
            </w:pPr>
            <w:r>
              <w:rPr>
                <w:rFonts w:cs="Arial"/>
                <w:bCs/>
              </w:rPr>
              <w:t>(</w:t>
            </w:r>
            <w:r w:rsidRPr="00DB06E9">
              <w:rPr>
                <w:rFonts w:cs="Arial"/>
                <w:bCs/>
              </w:rPr>
              <w:t>v mld. korun</w:t>
            </w:r>
            <w:r>
              <w:rPr>
                <w:rFonts w:cs="Arial"/>
                <w:bCs/>
              </w:rPr>
              <w:t>)</w:t>
            </w:r>
          </w:p>
        </w:tc>
      </w:tr>
      <w:tr w:rsidR="0007324C" w:rsidRPr="00AA4A76" w:rsidTr="00A0172C">
        <w:trPr>
          <w:trHeight w:val="145"/>
        </w:trPr>
        <w:tc>
          <w:tcPr>
            <w:tcW w:w="1021" w:type="pct"/>
            <w:shd w:val="clear" w:color="auto" w:fill="auto"/>
          </w:tcPr>
          <w:p w:rsidR="0007324C" w:rsidRPr="006D3F53" w:rsidRDefault="0007324C" w:rsidP="00A0172C">
            <w:pPr>
              <w:spacing w:line="240" w:lineRule="auto"/>
              <w:rPr>
                <w:color w:val="000000"/>
                <w:sz w:val="16"/>
                <w:szCs w:val="16"/>
                <w:highlight w:val="yellow"/>
              </w:rPr>
            </w:pPr>
          </w:p>
        </w:tc>
        <w:tc>
          <w:tcPr>
            <w:tcW w:w="145" w:type="pct"/>
          </w:tcPr>
          <w:p w:rsidR="0007324C" w:rsidRPr="00A74192" w:rsidRDefault="0007324C" w:rsidP="00A0172C">
            <w:pPr>
              <w:pStyle w:val="Textpoznpodarou"/>
              <w:jc w:val="both"/>
            </w:pPr>
          </w:p>
        </w:tc>
        <w:tc>
          <w:tcPr>
            <w:tcW w:w="3833" w:type="pct"/>
            <w:gridSpan w:val="2"/>
          </w:tcPr>
          <w:p w:rsidR="0007324C" w:rsidRDefault="007E5880" w:rsidP="00A0172C">
            <w:pPr>
              <w:pStyle w:val="Textpoznpodarou"/>
              <w:ind w:left="-124"/>
              <w:jc w:val="both"/>
              <w:rPr>
                <w:sz w:val="16"/>
                <w:szCs w:val="16"/>
              </w:rPr>
            </w:pPr>
            <w:r w:rsidRPr="007E5880">
              <w:rPr>
                <w:noProof/>
                <w:sz w:val="16"/>
                <w:szCs w:val="16"/>
              </w:rPr>
              <w:drawing>
                <wp:inline distT="0" distB="0" distL="0" distR="0">
                  <wp:extent cx="4737600" cy="3410325"/>
                  <wp:effectExtent l="0" t="0" r="5850"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D5493" w:rsidRPr="007E5880" w:rsidRDefault="00F4351C" w:rsidP="007E5880">
            <w:pPr>
              <w:pStyle w:val="Textpoznpodarou"/>
              <w:rPr>
                <w:sz w:val="14"/>
                <w:szCs w:val="14"/>
              </w:rPr>
            </w:pPr>
            <w:r>
              <w:rPr>
                <w:sz w:val="14"/>
                <w:szCs w:val="14"/>
              </w:rPr>
              <w:t>*Vč. dávek pěstounské péče.</w:t>
            </w:r>
          </w:p>
          <w:p w:rsidR="00CD5493" w:rsidRPr="007E5880" w:rsidRDefault="00F4351C" w:rsidP="007E5880">
            <w:pPr>
              <w:pStyle w:val="Textpoznpodarou"/>
              <w:rPr>
                <w:sz w:val="14"/>
                <w:szCs w:val="14"/>
              </w:rPr>
            </w:pPr>
            <w:r>
              <w:rPr>
                <w:sz w:val="14"/>
                <w:szCs w:val="14"/>
              </w:rPr>
              <w:t>**Jde</w:t>
            </w:r>
            <w:r w:rsidR="00CD5493" w:rsidRPr="007E5880">
              <w:rPr>
                <w:sz w:val="14"/>
                <w:szCs w:val="14"/>
              </w:rPr>
              <w:t xml:space="preserve"> o čisté výdaje, ve výdajích jsou započteny i příjmy kapitoly Státní dluh</w:t>
            </w:r>
            <w:r>
              <w:rPr>
                <w:sz w:val="14"/>
                <w:szCs w:val="14"/>
              </w:rPr>
              <w:t>.</w:t>
            </w:r>
          </w:p>
          <w:p w:rsidR="007E5880" w:rsidRDefault="00F4351C" w:rsidP="007E5880">
            <w:pPr>
              <w:pStyle w:val="Textpoznpodarou"/>
              <w:rPr>
                <w:sz w:val="14"/>
                <w:szCs w:val="14"/>
              </w:rPr>
            </w:pPr>
            <w:r>
              <w:rPr>
                <w:sz w:val="14"/>
                <w:szCs w:val="14"/>
              </w:rPr>
              <w:t>***D</w:t>
            </w:r>
            <w:r w:rsidR="00CD5493" w:rsidRPr="007E5880">
              <w:rPr>
                <w:sz w:val="14"/>
                <w:szCs w:val="14"/>
              </w:rPr>
              <w:t>ávky pomoci</w:t>
            </w:r>
            <w:r w:rsidR="007E5880">
              <w:rPr>
                <w:sz w:val="14"/>
                <w:szCs w:val="14"/>
              </w:rPr>
              <w:t xml:space="preserve"> v hmot.</w:t>
            </w:r>
            <w:r w:rsidR="00CD5493" w:rsidRPr="007E5880">
              <w:rPr>
                <w:sz w:val="14"/>
                <w:szCs w:val="14"/>
              </w:rPr>
              <w:t xml:space="preserve"> nouzi,</w:t>
            </w:r>
            <w:r w:rsidR="007E5880">
              <w:rPr>
                <w:sz w:val="14"/>
                <w:szCs w:val="14"/>
              </w:rPr>
              <w:t xml:space="preserve"> dávky osobám </w:t>
            </w:r>
            <w:proofErr w:type="gramStart"/>
            <w:r w:rsidR="007E5880">
              <w:rPr>
                <w:sz w:val="14"/>
                <w:szCs w:val="14"/>
              </w:rPr>
              <w:t>se zdravot.</w:t>
            </w:r>
            <w:r w:rsidR="00CD5493" w:rsidRPr="007E5880">
              <w:rPr>
                <w:sz w:val="14"/>
                <w:szCs w:val="14"/>
              </w:rPr>
              <w:t xml:space="preserve"> postižením</w:t>
            </w:r>
            <w:proofErr w:type="gramEnd"/>
            <w:r w:rsidR="00CD5493" w:rsidRPr="007E5880">
              <w:rPr>
                <w:sz w:val="14"/>
                <w:szCs w:val="14"/>
              </w:rPr>
              <w:t>, příspěvek na péči dle zákona o soc.</w:t>
            </w:r>
            <w:r w:rsidR="007E5880">
              <w:rPr>
                <w:sz w:val="14"/>
                <w:szCs w:val="14"/>
              </w:rPr>
              <w:t xml:space="preserve"> službách.</w:t>
            </w:r>
          </w:p>
          <w:p w:rsidR="0007324C" w:rsidRPr="007E5880" w:rsidRDefault="00CD5493" w:rsidP="007E5880">
            <w:pPr>
              <w:pStyle w:val="Textpoznpodarou"/>
              <w:jc w:val="right"/>
              <w:rPr>
                <w:sz w:val="14"/>
                <w:szCs w:val="14"/>
              </w:rPr>
            </w:pPr>
            <w:r w:rsidRPr="007E5880">
              <w:rPr>
                <w:rFonts w:cs="Arial"/>
                <w:sz w:val="14"/>
                <w:szCs w:val="14"/>
              </w:rPr>
              <w:t>Zdroj: MF ČR, MPSV</w:t>
            </w:r>
          </w:p>
        </w:tc>
      </w:tr>
    </w:tbl>
    <w:p w:rsidR="00CD5493" w:rsidRPr="0007324C" w:rsidRDefault="00CD5493" w:rsidP="008A03DE">
      <w:pPr>
        <w:pStyle w:val="Textpoznpodarou"/>
        <w:jc w:val="both"/>
        <w:rPr>
          <w:rFonts w:cs="Arial"/>
          <w:color w:val="000000"/>
          <w:spacing w:val="-2"/>
          <w:sz w:val="18"/>
          <w:szCs w:val="18"/>
        </w:rPr>
      </w:pPr>
    </w:p>
    <w:tbl>
      <w:tblPr>
        <w:tblW w:w="4995" w:type="pct"/>
        <w:tblInd w:w="108" w:type="dxa"/>
        <w:tblLayout w:type="fixed"/>
        <w:tblLook w:val="00A0"/>
      </w:tblPr>
      <w:tblGrid>
        <w:gridCol w:w="2000"/>
        <w:gridCol w:w="284"/>
        <w:gridCol w:w="7560"/>
      </w:tblGrid>
      <w:tr w:rsidR="00BF7F08" w:rsidRPr="00AD0FC0" w:rsidTr="00A0172C">
        <w:trPr>
          <w:trHeight w:val="145"/>
        </w:trPr>
        <w:tc>
          <w:tcPr>
            <w:tcW w:w="1016" w:type="pct"/>
            <w:shd w:val="clear" w:color="auto" w:fill="auto"/>
          </w:tcPr>
          <w:p w:rsidR="00BF7F08" w:rsidRPr="00674567" w:rsidRDefault="00BF7F08" w:rsidP="00A0172C">
            <w:pPr>
              <w:spacing w:line="240" w:lineRule="auto"/>
              <w:rPr>
                <w:rFonts w:cs="Arial"/>
                <w:bCs/>
                <w:iCs/>
                <w:color w:val="0D0D0D" w:themeColor="text1" w:themeTint="F2"/>
                <w:sz w:val="16"/>
                <w:szCs w:val="16"/>
              </w:rPr>
            </w:pPr>
            <w:r w:rsidRPr="00674567">
              <w:rPr>
                <w:rFonts w:cs="Arial"/>
                <w:bCs/>
                <w:iCs/>
                <w:color w:val="0D0D0D" w:themeColor="text1" w:themeTint="F2"/>
                <w:sz w:val="16"/>
                <w:szCs w:val="16"/>
              </w:rPr>
              <w:t>Meziroční růst výběru</w:t>
            </w:r>
            <w:r>
              <w:rPr>
                <w:rFonts w:cs="Arial"/>
                <w:bCs/>
                <w:iCs/>
                <w:color w:val="0D0D0D" w:themeColor="text1" w:themeTint="F2"/>
                <w:sz w:val="16"/>
                <w:szCs w:val="16"/>
              </w:rPr>
              <w:t xml:space="preserve"> pojistného na sociální</w:t>
            </w:r>
            <w:r w:rsidRPr="00674567">
              <w:rPr>
                <w:rFonts w:cs="Arial"/>
                <w:bCs/>
                <w:iCs/>
                <w:color w:val="0D0D0D" w:themeColor="text1" w:themeTint="F2"/>
                <w:sz w:val="16"/>
                <w:szCs w:val="16"/>
              </w:rPr>
              <w:t xml:space="preserve"> zabezpečení byl letos nejvyšší za posledních devět let, deficit důchodového účtu se přesto nesnížil</w:t>
            </w:r>
            <w:r>
              <w:rPr>
                <w:rFonts w:cs="Arial"/>
                <w:bCs/>
                <w:iCs/>
                <w:color w:val="0D0D0D" w:themeColor="text1" w:themeTint="F2"/>
                <w:sz w:val="16"/>
                <w:szCs w:val="16"/>
              </w:rPr>
              <w:t>.</w:t>
            </w:r>
          </w:p>
        </w:tc>
        <w:tc>
          <w:tcPr>
            <w:tcW w:w="144" w:type="pct"/>
          </w:tcPr>
          <w:p w:rsidR="00BF7F08" w:rsidRPr="00A90EFD" w:rsidRDefault="00BF7F08" w:rsidP="00A0172C">
            <w:pPr>
              <w:pStyle w:val="Textpoznpodarou"/>
              <w:jc w:val="both"/>
              <w:rPr>
                <w:rFonts w:cs="Arial"/>
                <w:color w:val="0D0D0D" w:themeColor="text1" w:themeTint="F2"/>
              </w:rPr>
            </w:pPr>
          </w:p>
        </w:tc>
        <w:tc>
          <w:tcPr>
            <w:tcW w:w="3840" w:type="pct"/>
          </w:tcPr>
          <w:p w:rsidR="00BF7F08" w:rsidRDefault="00BF7F08" w:rsidP="00A0172C">
            <w:pPr>
              <w:autoSpaceDE w:val="0"/>
              <w:autoSpaceDN w:val="0"/>
              <w:adjustRightInd w:val="0"/>
              <w:spacing w:line="240" w:lineRule="auto"/>
              <w:jc w:val="both"/>
              <w:rPr>
                <w:rFonts w:cs="Arial"/>
                <w:color w:val="000000" w:themeColor="text1"/>
                <w:spacing w:val="-4"/>
              </w:rPr>
            </w:pPr>
            <w:r w:rsidRPr="005B0BEF">
              <w:rPr>
                <w:rFonts w:cs="Arial"/>
                <w:color w:val="0D0D0D" w:themeColor="text1" w:themeTint="F2"/>
                <w:spacing w:val="-4"/>
                <w:szCs w:val="20"/>
              </w:rPr>
              <w:t xml:space="preserve">Sociální dávky vzrostly o 5,2 % (v 1. loňském čtvrtletí činil meziroční růst 5,7 %) a na celkových výdajích SR se podílely 43,7 % (nejvíce za posledních šest let). Táhly je především objemově dominantní výdaje na důchody (+5,4 %), </w:t>
            </w:r>
            <w:r w:rsidR="00E06E17">
              <w:rPr>
                <w:rFonts w:cs="Arial"/>
                <w:color w:val="0D0D0D" w:themeColor="text1" w:themeTint="F2"/>
                <w:spacing w:val="-4"/>
                <w:szCs w:val="20"/>
              </w:rPr>
              <w:t>neboť bylo využito</w:t>
            </w:r>
            <w:r>
              <w:rPr>
                <w:rFonts w:cs="Arial"/>
                <w:color w:val="0D0D0D" w:themeColor="text1" w:themeTint="F2"/>
                <w:spacing w:val="-4"/>
                <w:szCs w:val="20"/>
              </w:rPr>
              <w:t xml:space="preserve"> </w:t>
            </w:r>
            <w:r w:rsidRPr="005B0BEF">
              <w:rPr>
                <w:rFonts w:cs="Arial"/>
                <w:color w:val="0D0D0D" w:themeColor="text1" w:themeTint="F2"/>
                <w:spacing w:val="-4"/>
                <w:szCs w:val="20"/>
              </w:rPr>
              <w:t xml:space="preserve">nové legislativní úpravy </w:t>
            </w:r>
            <w:r>
              <w:rPr>
                <w:rFonts w:cs="Arial"/>
                <w:color w:val="0D0D0D" w:themeColor="text1" w:themeTint="F2"/>
                <w:spacing w:val="-4"/>
                <w:szCs w:val="20"/>
              </w:rPr>
              <w:t xml:space="preserve">umožňující </w:t>
            </w:r>
            <w:r w:rsidRPr="005B0BEF">
              <w:rPr>
                <w:rFonts w:cs="Arial"/>
                <w:color w:val="0D0D0D" w:themeColor="text1" w:themeTint="F2"/>
                <w:spacing w:val="-4"/>
                <w:szCs w:val="20"/>
              </w:rPr>
              <w:t>zvýšit důchody nad rámec standardní valorizace</w:t>
            </w:r>
            <w:r w:rsidRPr="005B0BEF">
              <w:rPr>
                <w:rStyle w:val="Znakapoznpodarou"/>
                <w:rFonts w:cs="Arial"/>
                <w:color w:val="0D0D0D" w:themeColor="text1" w:themeTint="F2"/>
                <w:spacing w:val="-4"/>
                <w:szCs w:val="20"/>
              </w:rPr>
              <w:footnoteReference w:id="35"/>
            </w:r>
            <w:r w:rsidRPr="005B0BEF">
              <w:rPr>
                <w:rFonts w:cs="Arial"/>
                <w:color w:val="0D0D0D" w:themeColor="text1" w:themeTint="F2"/>
                <w:spacing w:val="-4"/>
                <w:szCs w:val="20"/>
              </w:rPr>
              <w:t>. Vedle toho na výši důchodů působil</w:t>
            </w:r>
            <w:r>
              <w:rPr>
                <w:rFonts w:cs="Arial"/>
                <w:spacing w:val="-4"/>
                <w:szCs w:val="20"/>
              </w:rPr>
              <w:t xml:space="preserve"> i růst mezd</w:t>
            </w:r>
            <w:r w:rsidRPr="005B0BEF">
              <w:rPr>
                <w:rFonts w:cs="Arial"/>
                <w:spacing w:val="-4"/>
                <w:szCs w:val="20"/>
              </w:rPr>
              <w:t xml:space="preserve"> (z nichž jsou důchody vyměřovány) a</w:t>
            </w:r>
            <w:r w:rsidRPr="005B0BEF">
              <w:rPr>
                <w:rFonts w:cs="Arial"/>
                <w:color w:val="000000" w:themeColor="text1"/>
                <w:spacing w:val="-5"/>
              </w:rPr>
              <w:t> </w:t>
            </w:r>
            <w:r w:rsidRPr="005B0BEF">
              <w:rPr>
                <w:rFonts w:cs="Arial"/>
                <w:spacing w:val="-4"/>
                <w:szCs w:val="20"/>
              </w:rPr>
              <w:t xml:space="preserve">také měnící se mezigenerační struktura důchodců. Počet všech příjemců důchodů meziročně stagnoval (v kategorii starobních důchodců ale došlo ke zvýšení o 0,6 %). </w:t>
            </w:r>
            <w:r w:rsidRPr="005B0BEF">
              <w:rPr>
                <w:rFonts w:cs="Arial"/>
                <w:color w:val="000000" w:themeColor="text1"/>
                <w:spacing w:val="-4"/>
              </w:rPr>
              <w:t>Deficit salda důchodového účtu (rozdíl mezi příjmy a výdaji na důchody ze SR)</w:t>
            </w:r>
            <w:r>
              <w:rPr>
                <w:rFonts w:cs="Arial"/>
                <w:color w:val="000000" w:themeColor="text1"/>
                <w:spacing w:val="-4"/>
              </w:rPr>
              <w:t xml:space="preserve"> čítal 4,6 mld. korun (v rámci 1. čtvrtletí v posledních čtyřech letech stagnoval). Pozitivně působil sílící růst výběru pojistného (+6,6 %, nejvyšší tempo od 1. čtvrtletí 2008), jenž reflektoval velmi dobrou kondici pracovního trhu.</w:t>
            </w:r>
          </w:p>
          <w:p w:rsidR="00BF7F08" w:rsidRPr="00D667A0" w:rsidRDefault="00BF7F08" w:rsidP="00A0172C">
            <w:pPr>
              <w:pStyle w:val="Textpoznpodarou"/>
              <w:jc w:val="both"/>
              <w:rPr>
                <w:rFonts w:cs="Arial"/>
                <w:color w:val="0D0D0D" w:themeColor="text1" w:themeTint="F2"/>
                <w:spacing w:val="-4"/>
                <w:sz w:val="14"/>
                <w:szCs w:val="14"/>
              </w:rPr>
            </w:pPr>
          </w:p>
        </w:tc>
      </w:tr>
      <w:tr w:rsidR="00BF7F08" w:rsidRPr="00AD0FC0" w:rsidTr="00A0172C">
        <w:trPr>
          <w:trHeight w:val="145"/>
        </w:trPr>
        <w:tc>
          <w:tcPr>
            <w:tcW w:w="1016" w:type="pct"/>
            <w:shd w:val="clear" w:color="auto" w:fill="auto"/>
          </w:tcPr>
          <w:p w:rsidR="00BF7F08" w:rsidRDefault="00BF7F08" w:rsidP="00A0172C">
            <w:pPr>
              <w:spacing w:line="240" w:lineRule="auto"/>
              <w:rPr>
                <w:rFonts w:cs="Arial"/>
                <w:bCs/>
                <w:iCs/>
                <w:color w:val="000000" w:themeColor="text1"/>
                <w:sz w:val="16"/>
                <w:szCs w:val="16"/>
              </w:rPr>
            </w:pPr>
            <w:r w:rsidRPr="009A6353">
              <w:rPr>
                <w:rFonts w:cs="Arial"/>
                <w:bCs/>
                <w:iCs/>
                <w:color w:val="000000" w:themeColor="text1"/>
                <w:sz w:val="16"/>
                <w:szCs w:val="16"/>
              </w:rPr>
              <w:lastRenderedPageBreak/>
              <w:t xml:space="preserve">Pokračoval růst dávek nemocenského pojištění, legislativní úpravou narostly </w:t>
            </w:r>
            <w:r>
              <w:rPr>
                <w:rFonts w:cs="Arial"/>
                <w:bCs/>
                <w:iCs/>
                <w:color w:val="000000" w:themeColor="text1"/>
                <w:sz w:val="16"/>
                <w:szCs w:val="16"/>
              </w:rPr>
              <w:t xml:space="preserve">také </w:t>
            </w:r>
            <w:r w:rsidRPr="009A6353">
              <w:rPr>
                <w:rFonts w:cs="Arial"/>
                <w:bCs/>
                <w:iCs/>
                <w:color w:val="000000" w:themeColor="text1"/>
                <w:sz w:val="16"/>
                <w:szCs w:val="16"/>
              </w:rPr>
              <w:t>příspěvky na péči</w:t>
            </w:r>
            <w:r>
              <w:rPr>
                <w:rFonts w:cs="Arial"/>
                <w:bCs/>
                <w:iCs/>
                <w:color w:val="000000" w:themeColor="text1"/>
                <w:sz w:val="16"/>
                <w:szCs w:val="16"/>
              </w:rPr>
              <w:t>…</w:t>
            </w:r>
          </w:p>
          <w:p w:rsidR="00BF7F08" w:rsidRDefault="00BF7F08" w:rsidP="00A0172C">
            <w:pPr>
              <w:spacing w:line="240" w:lineRule="auto"/>
              <w:rPr>
                <w:rFonts w:cs="Arial"/>
                <w:bCs/>
                <w:iCs/>
                <w:color w:val="000000" w:themeColor="text1"/>
                <w:sz w:val="16"/>
                <w:szCs w:val="16"/>
              </w:rPr>
            </w:pPr>
          </w:p>
          <w:p w:rsidR="00BF7F08" w:rsidRPr="009A6353" w:rsidRDefault="00BF7F08" w:rsidP="00A0172C">
            <w:pPr>
              <w:spacing w:line="240" w:lineRule="auto"/>
              <w:rPr>
                <w:rFonts w:cs="Arial"/>
                <w:bCs/>
                <w:iCs/>
                <w:color w:val="000000" w:themeColor="text1"/>
                <w:sz w:val="16"/>
                <w:szCs w:val="16"/>
              </w:rPr>
            </w:pPr>
            <w:r>
              <w:rPr>
                <w:rFonts w:cs="Arial"/>
                <w:bCs/>
                <w:iCs/>
                <w:color w:val="000000" w:themeColor="text1"/>
                <w:sz w:val="16"/>
                <w:szCs w:val="16"/>
              </w:rPr>
              <w:t>…příznivější finanční situace domácností se odrazila v redukci objemu dávek hmotné nouze, státní sociální podpory i podpory nezaměstnaným.</w:t>
            </w:r>
          </w:p>
        </w:tc>
        <w:tc>
          <w:tcPr>
            <w:tcW w:w="144" w:type="pct"/>
          </w:tcPr>
          <w:p w:rsidR="00BF7F08" w:rsidRPr="00A90EFD" w:rsidRDefault="00BF7F08" w:rsidP="00A0172C">
            <w:pPr>
              <w:pStyle w:val="Textpoznpodarou"/>
              <w:jc w:val="both"/>
              <w:rPr>
                <w:rFonts w:cs="Arial"/>
                <w:color w:val="0D0D0D" w:themeColor="text1" w:themeTint="F2"/>
              </w:rPr>
            </w:pPr>
          </w:p>
        </w:tc>
        <w:tc>
          <w:tcPr>
            <w:tcW w:w="3840" w:type="pct"/>
          </w:tcPr>
          <w:p w:rsidR="00BF7F08" w:rsidRPr="00424D9B" w:rsidRDefault="00BF7F08" w:rsidP="00A0172C">
            <w:pPr>
              <w:pStyle w:val="Default"/>
              <w:jc w:val="both"/>
              <w:rPr>
                <w:sz w:val="20"/>
                <w:szCs w:val="20"/>
              </w:rPr>
            </w:pPr>
            <w:r w:rsidRPr="00424D9B">
              <w:rPr>
                <w:color w:val="0D0D0D" w:themeColor="text1" w:themeTint="F2"/>
                <w:sz w:val="20"/>
                <w:szCs w:val="20"/>
              </w:rPr>
              <w:t xml:space="preserve">Výdaje na ostatní sociální dávky činily 30 mld. korun (meziroční zvýšení o 4,3 %). Za zrychlením růstu stály především vyšší </w:t>
            </w:r>
            <w:r w:rsidRPr="00424D9B">
              <w:rPr>
                <w:color w:val="000000" w:themeColor="text1"/>
                <w:sz w:val="20"/>
                <w:szCs w:val="20"/>
              </w:rPr>
              <w:t xml:space="preserve">výdaje na dávky nemocenského pojištění (za poslední tři roky o více než třetinu). Souviselo to s růstem pracovní neschopnosti, mezd (ovlivňujících </w:t>
            </w:r>
            <w:r w:rsidRPr="00424D9B">
              <w:rPr>
                <w:sz w:val="20"/>
                <w:szCs w:val="20"/>
              </w:rPr>
              <w:t>výši p</w:t>
            </w:r>
            <w:r w:rsidR="00E06E17">
              <w:rPr>
                <w:sz w:val="20"/>
                <w:szCs w:val="20"/>
              </w:rPr>
              <w:t>růměrné denní dávky nemocenské</w:t>
            </w:r>
            <w:r w:rsidRPr="00424D9B">
              <w:rPr>
                <w:sz w:val="20"/>
                <w:szCs w:val="20"/>
              </w:rPr>
              <w:t>) i</w:t>
            </w:r>
            <w:r w:rsidRPr="00424D9B">
              <w:rPr>
                <w:color w:val="000000" w:themeColor="text1"/>
                <w:sz w:val="20"/>
                <w:szCs w:val="20"/>
              </w:rPr>
              <w:t> </w:t>
            </w:r>
            <w:r w:rsidRPr="00424D9B">
              <w:rPr>
                <w:sz w:val="20"/>
                <w:szCs w:val="20"/>
              </w:rPr>
              <w:t xml:space="preserve">vyšším čerpáním peněžité pomoci v mateřství. O 6 % posílily i dávky sociální péče (působením vyšších dávek pro </w:t>
            </w:r>
            <w:r w:rsidR="00E06E17">
              <w:rPr>
                <w:sz w:val="20"/>
                <w:szCs w:val="20"/>
              </w:rPr>
              <w:t>zdravotně postižené a valorizace</w:t>
            </w:r>
            <w:r w:rsidRPr="00424D9B">
              <w:rPr>
                <w:sz w:val="20"/>
                <w:szCs w:val="20"/>
              </w:rPr>
              <w:t xml:space="preserve"> příspěvků na péči, které převýšily efekt poklesu dávek pomoci v hmotné nouzi o 15 %). Váhově významné dávky státní sociální podpory, obdobně jako podpora v nezaměstnanosti, se mírně snížily (o</w:t>
            </w:r>
            <w:r w:rsidRPr="00424D9B">
              <w:rPr>
                <w:color w:val="000000" w:themeColor="text1"/>
                <w:sz w:val="20"/>
                <w:szCs w:val="20"/>
              </w:rPr>
              <w:t> </w:t>
            </w:r>
            <w:r w:rsidRPr="00424D9B">
              <w:rPr>
                <w:sz w:val="20"/>
                <w:szCs w:val="20"/>
              </w:rPr>
              <w:t>1</w:t>
            </w:r>
            <w:r w:rsidRPr="00424D9B">
              <w:rPr>
                <w:color w:val="000000" w:themeColor="text1"/>
                <w:sz w:val="20"/>
                <w:szCs w:val="20"/>
              </w:rPr>
              <w:t> </w:t>
            </w:r>
            <w:r w:rsidRPr="00424D9B">
              <w:rPr>
                <w:sz w:val="20"/>
                <w:szCs w:val="20"/>
              </w:rPr>
              <w:t>%). Obě tak odrážely příznivější finanční situaci domácností.</w:t>
            </w:r>
          </w:p>
          <w:p w:rsidR="00BF7F08" w:rsidRPr="00D479D5" w:rsidRDefault="00BF7F08" w:rsidP="00A0172C">
            <w:pPr>
              <w:pStyle w:val="Textpoznpodarou"/>
              <w:jc w:val="both"/>
              <w:rPr>
                <w:rFonts w:cs="Arial"/>
                <w:color w:val="0D0D0D" w:themeColor="text1" w:themeTint="F2"/>
                <w:spacing w:val="-4"/>
                <w:sz w:val="14"/>
                <w:szCs w:val="14"/>
              </w:rPr>
            </w:pPr>
          </w:p>
        </w:tc>
      </w:tr>
    </w:tbl>
    <w:p w:rsidR="00BF7F08" w:rsidRDefault="00BF7F08" w:rsidP="008A03DE">
      <w:pPr>
        <w:pStyle w:val="Textpoznpodarou"/>
        <w:jc w:val="both"/>
        <w:rPr>
          <w:rFonts w:cs="Arial"/>
          <w:color w:val="000000"/>
          <w:spacing w:val="-2"/>
          <w:sz w:val="16"/>
          <w:szCs w:val="16"/>
        </w:rPr>
      </w:pPr>
    </w:p>
    <w:tbl>
      <w:tblPr>
        <w:tblW w:w="4963" w:type="pct"/>
        <w:tblInd w:w="108" w:type="dxa"/>
        <w:tblLayout w:type="fixed"/>
        <w:tblLook w:val="00A0"/>
      </w:tblPr>
      <w:tblGrid>
        <w:gridCol w:w="1997"/>
        <w:gridCol w:w="284"/>
        <w:gridCol w:w="1119"/>
        <w:gridCol w:w="6381"/>
      </w:tblGrid>
      <w:tr w:rsidR="0007324C" w:rsidRPr="00AA4A76" w:rsidTr="00A0172C">
        <w:trPr>
          <w:trHeight w:val="145"/>
        </w:trPr>
        <w:tc>
          <w:tcPr>
            <w:tcW w:w="1021" w:type="pct"/>
            <w:shd w:val="clear" w:color="auto" w:fill="auto"/>
          </w:tcPr>
          <w:p w:rsidR="0007324C" w:rsidRPr="00AA4A76" w:rsidRDefault="0007324C" w:rsidP="00A0172C">
            <w:pPr>
              <w:spacing w:line="240" w:lineRule="auto"/>
              <w:jc w:val="center"/>
              <w:rPr>
                <w:color w:val="000000"/>
                <w:szCs w:val="20"/>
              </w:rPr>
            </w:pPr>
          </w:p>
        </w:tc>
        <w:tc>
          <w:tcPr>
            <w:tcW w:w="145" w:type="pct"/>
          </w:tcPr>
          <w:p w:rsidR="0007324C" w:rsidRPr="00AA4A76" w:rsidRDefault="0007324C" w:rsidP="00A0172C">
            <w:pPr>
              <w:pStyle w:val="Textpoznpodarou"/>
              <w:jc w:val="both"/>
              <w:rPr>
                <w:highlight w:val="yellow"/>
              </w:rPr>
            </w:pPr>
          </w:p>
        </w:tc>
        <w:tc>
          <w:tcPr>
            <w:tcW w:w="572" w:type="pct"/>
          </w:tcPr>
          <w:p w:rsidR="0007324C" w:rsidRPr="00AA4A76" w:rsidRDefault="0007324C" w:rsidP="00A0172C">
            <w:pPr>
              <w:pStyle w:val="Textpoznpodarou"/>
              <w:jc w:val="both"/>
              <w:rPr>
                <w:highlight w:val="yellow"/>
              </w:rPr>
            </w:pPr>
            <w:r>
              <w:rPr>
                <w:color w:val="000000"/>
              </w:rPr>
              <w:t xml:space="preserve">Graf č. </w:t>
            </w:r>
            <w:r w:rsidR="00CD5493">
              <w:rPr>
                <w:color w:val="000000"/>
              </w:rPr>
              <w:t>21</w:t>
            </w:r>
          </w:p>
        </w:tc>
        <w:tc>
          <w:tcPr>
            <w:tcW w:w="3262" w:type="pct"/>
          </w:tcPr>
          <w:p w:rsidR="0007324C" w:rsidRPr="007E5880" w:rsidRDefault="001C0E66" w:rsidP="00A0172C">
            <w:pPr>
              <w:pStyle w:val="Textpoznpodarou"/>
              <w:rPr>
                <w:spacing w:val="-2"/>
                <w:lang w:eastAsia="en-US"/>
              </w:rPr>
            </w:pPr>
            <w:r w:rsidRPr="007E5880">
              <w:rPr>
                <w:rFonts w:cs="Arial"/>
                <w:b/>
                <w:bCs/>
                <w:spacing w:val="-2"/>
              </w:rPr>
              <w:t>Příjemci důchodů</w:t>
            </w:r>
            <w:r w:rsidRPr="007E5880">
              <w:rPr>
                <w:rFonts w:cs="Arial"/>
                <w:bCs/>
                <w:spacing w:val="-2"/>
              </w:rPr>
              <w:t>,</w:t>
            </w:r>
            <w:r w:rsidRPr="007E5880">
              <w:rPr>
                <w:rFonts w:cs="Arial"/>
                <w:b/>
                <w:bCs/>
                <w:spacing w:val="-2"/>
              </w:rPr>
              <w:t xml:space="preserve"> příjmy </w:t>
            </w:r>
            <w:r w:rsidR="007E5880" w:rsidRPr="007E5880">
              <w:rPr>
                <w:rFonts w:cs="Arial"/>
                <w:b/>
                <w:bCs/>
                <w:spacing w:val="-2"/>
              </w:rPr>
              <w:t>i</w:t>
            </w:r>
            <w:r w:rsidRPr="007E5880">
              <w:rPr>
                <w:rFonts w:cs="Arial"/>
                <w:b/>
                <w:bCs/>
                <w:spacing w:val="-2"/>
              </w:rPr>
              <w:t xml:space="preserve"> výdaje na důchody ze SR </w:t>
            </w:r>
            <w:r w:rsidR="007E5880" w:rsidRPr="007E5880">
              <w:rPr>
                <w:rFonts w:cs="Arial"/>
                <w:bCs/>
                <w:spacing w:val="-2"/>
              </w:rPr>
              <w:t>(</w:t>
            </w:r>
            <w:proofErr w:type="spellStart"/>
            <w:r w:rsidR="007E5880" w:rsidRPr="007E5880">
              <w:rPr>
                <w:spacing w:val="-2"/>
              </w:rPr>
              <w:t>meziroč</w:t>
            </w:r>
            <w:proofErr w:type="spellEnd"/>
            <w:r w:rsidR="007E5880" w:rsidRPr="007E5880">
              <w:rPr>
                <w:spacing w:val="-2"/>
              </w:rPr>
              <w:t>.</w:t>
            </w:r>
            <w:r w:rsidR="007E5880" w:rsidRPr="007E5880">
              <w:rPr>
                <w:bCs/>
                <w:spacing w:val="-2"/>
              </w:rPr>
              <w:t xml:space="preserve"> v %)</w:t>
            </w:r>
            <w:r w:rsidR="007E5880" w:rsidRPr="007E5880">
              <w:rPr>
                <w:rFonts w:cs="Arial"/>
                <w:bCs/>
                <w:spacing w:val="-2"/>
              </w:rPr>
              <w:t xml:space="preserve"> </w:t>
            </w:r>
            <w:r w:rsidRPr="007E5880">
              <w:rPr>
                <w:rFonts w:cs="Arial"/>
                <w:b/>
                <w:bCs/>
                <w:spacing w:val="-2"/>
              </w:rPr>
              <w:t xml:space="preserve">a bilance důchodového účtu </w:t>
            </w:r>
            <w:r w:rsidRPr="007E5880">
              <w:rPr>
                <w:rFonts w:cs="Arial"/>
                <w:bCs/>
                <w:spacing w:val="-2"/>
              </w:rPr>
              <w:t xml:space="preserve">(v mld. korun) </w:t>
            </w:r>
            <w:r w:rsidRPr="007E5880">
              <w:rPr>
                <w:rFonts w:cs="Arial"/>
                <w:b/>
                <w:bCs/>
                <w:spacing w:val="-2"/>
              </w:rPr>
              <w:t>v 1. čtvrtletích roku</w:t>
            </w:r>
          </w:p>
        </w:tc>
      </w:tr>
      <w:tr w:rsidR="0007324C" w:rsidRPr="00AA4A76" w:rsidTr="00A0172C">
        <w:trPr>
          <w:trHeight w:val="145"/>
        </w:trPr>
        <w:tc>
          <w:tcPr>
            <w:tcW w:w="1021" w:type="pct"/>
            <w:shd w:val="clear" w:color="auto" w:fill="auto"/>
          </w:tcPr>
          <w:p w:rsidR="0007324C" w:rsidRPr="006D3F53" w:rsidRDefault="0007324C" w:rsidP="00A0172C">
            <w:pPr>
              <w:spacing w:line="240" w:lineRule="auto"/>
              <w:rPr>
                <w:color w:val="000000"/>
                <w:sz w:val="16"/>
                <w:szCs w:val="16"/>
                <w:highlight w:val="yellow"/>
              </w:rPr>
            </w:pPr>
          </w:p>
        </w:tc>
        <w:tc>
          <w:tcPr>
            <w:tcW w:w="145" w:type="pct"/>
          </w:tcPr>
          <w:p w:rsidR="0007324C" w:rsidRPr="00A74192" w:rsidRDefault="0007324C" w:rsidP="00A0172C">
            <w:pPr>
              <w:pStyle w:val="Textpoznpodarou"/>
              <w:jc w:val="both"/>
            </w:pPr>
          </w:p>
        </w:tc>
        <w:tc>
          <w:tcPr>
            <w:tcW w:w="3833" w:type="pct"/>
            <w:gridSpan w:val="2"/>
          </w:tcPr>
          <w:p w:rsidR="0007324C" w:rsidRDefault="007E5880" w:rsidP="00A0172C">
            <w:pPr>
              <w:pStyle w:val="Textpoznpodarou"/>
              <w:ind w:left="-124"/>
              <w:jc w:val="both"/>
              <w:rPr>
                <w:sz w:val="16"/>
                <w:szCs w:val="16"/>
              </w:rPr>
            </w:pPr>
            <w:r w:rsidRPr="007E5880">
              <w:rPr>
                <w:noProof/>
                <w:sz w:val="16"/>
                <w:szCs w:val="16"/>
              </w:rPr>
              <w:drawing>
                <wp:inline distT="0" distB="0" distL="0" distR="0">
                  <wp:extent cx="4735115" cy="355320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7324C" w:rsidRPr="007E5880" w:rsidRDefault="001C0E66" w:rsidP="00A0172C">
            <w:pPr>
              <w:pStyle w:val="Textpoznpodarou"/>
              <w:ind w:left="-124"/>
              <w:jc w:val="right"/>
              <w:rPr>
                <w:sz w:val="14"/>
                <w:szCs w:val="14"/>
              </w:rPr>
            </w:pPr>
            <w:r w:rsidRPr="007E5880">
              <w:rPr>
                <w:sz w:val="14"/>
                <w:szCs w:val="14"/>
              </w:rPr>
              <w:t>Zdroj: MF, ČSSZ</w:t>
            </w:r>
          </w:p>
        </w:tc>
      </w:tr>
    </w:tbl>
    <w:p w:rsidR="00CE7158" w:rsidRPr="0007324C" w:rsidRDefault="00CE7158" w:rsidP="008A03DE">
      <w:pPr>
        <w:pStyle w:val="Textpoznpodarou"/>
        <w:jc w:val="both"/>
        <w:rPr>
          <w:rFonts w:cs="Arial"/>
          <w:color w:val="000000"/>
          <w:spacing w:val="-2"/>
          <w:sz w:val="18"/>
          <w:szCs w:val="18"/>
        </w:rPr>
      </w:pPr>
    </w:p>
    <w:tbl>
      <w:tblPr>
        <w:tblW w:w="4995" w:type="pct"/>
        <w:tblInd w:w="108" w:type="dxa"/>
        <w:tblLayout w:type="fixed"/>
        <w:tblLook w:val="00A0"/>
      </w:tblPr>
      <w:tblGrid>
        <w:gridCol w:w="2000"/>
        <w:gridCol w:w="284"/>
        <w:gridCol w:w="7560"/>
      </w:tblGrid>
      <w:tr w:rsidR="00BF7F08" w:rsidRPr="00F06A1D" w:rsidTr="00A0172C">
        <w:trPr>
          <w:trHeight w:val="145"/>
        </w:trPr>
        <w:tc>
          <w:tcPr>
            <w:tcW w:w="1016" w:type="pct"/>
            <w:shd w:val="clear" w:color="auto" w:fill="auto"/>
          </w:tcPr>
          <w:p w:rsidR="00BF7F08" w:rsidRDefault="00BF7F08" w:rsidP="00A0172C">
            <w:pPr>
              <w:spacing w:line="240" w:lineRule="auto"/>
              <w:rPr>
                <w:rFonts w:cs="Arial"/>
                <w:bCs/>
                <w:iCs/>
                <w:color w:val="0D0D0D" w:themeColor="text1" w:themeTint="F2"/>
                <w:sz w:val="16"/>
                <w:szCs w:val="16"/>
              </w:rPr>
            </w:pPr>
            <w:r>
              <w:rPr>
                <w:rFonts w:cs="Arial"/>
                <w:bCs/>
                <w:iCs/>
                <w:color w:val="0D0D0D" w:themeColor="text1" w:themeTint="F2"/>
                <w:sz w:val="16"/>
                <w:szCs w:val="16"/>
              </w:rPr>
              <w:t>Výše státního dluhu během 1. čtvrtletí prudce narostla a dosáhla nejvyšší hodnoty v historii ČR</w:t>
            </w:r>
            <w:r w:rsidR="00E06E17">
              <w:rPr>
                <w:rFonts w:cs="Arial"/>
                <w:bCs/>
                <w:iCs/>
                <w:color w:val="0D0D0D" w:themeColor="text1" w:themeTint="F2"/>
                <w:sz w:val="16"/>
                <w:szCs w:val="16"/>
              </w:rPr>
              <w:t>,</w:t>
            </w:r>
            <w:r>
              <w:rPr>
                <w:rFonts w:cs="Arial"/>
                <w:bCs/>
                <w:iCs/>
                <w:color w:val="0D0D0D" w:themeColor="text1" w:themeTint="F2"/>
                <w:sz w:val="16"/>
                <w:szCs w:val="16"/>
              </w:rPr>
              <w:t>…</w:t>
            </w:r>
          </w:p>
          <w:p w:rsidR="00BF7F08" w:rsidRDefault="00BF7F08" w:rsidP="00A0172C">
            <w:pPr>
              <w:spacing w:line="240" w:lineRule="auto"/>
              <w:rPr>
                <w:rFonts w:cs="Arial"/>
                <w:bCs/>
                <w:iCs/>
                <w:color w:val="0D0D0D" w:themeColor="text1" w:themeTint="F2"/>
                <w:sz w:val="16"/>
                <w:szCs w:val="16"/>
              </w:rPr>
            </w:pPr>
          </w:p>
          <w:p w:rsidR="00BF7F08" w:rsidRDefault="00BF7F08" w:rsidP="00A0172C">
            <w:pPr>
              <w:spacing w:line="240" w:lineRule="auto"/>
              <w:rPr>
                <w:rFonts w:cs="Arial"/>
                <w:bCs/>
                <w:iCs/>
                <w:color w:val="0D0D0D" w:themeColor="text1" w:themeTint="F2"/>
                <w:sz w:val="16"/>
                <w:szCs w:val="16"/>
              </w:rPr>
            </w:pPr>
          </w:p>
          <w:p w:rsidR="00BF7F08" w:rsidRDefault="00BF7F08" w:rsidP="00A0172C">
            <w:pPr>
              <w:spacing w:line="240" w:lineRule="auto"/>
              <w:rPr>
                <w:rFonts w:cs="Arial"/>
                <w:bCs/>
                <w:iCs/>
                <w:color w:val="0D0D0D" w:themeColor="text1" w:themeTint="F2"/>
                <w:sz w:val="16"/>
                <w:szCs w:val="16"/>
              </w:rPr>
            </w:pPr>
            <w:r>
              <w:rPr>
                <w:rFonts w:cs="Arial"/>
                <w:bCs/>
                <w:iCs/>
                <w:color w:val="0D0D0D" w:themeColor="text1" w:themeTint="F2"/>
                <w:sz w:val="16"/>
                <w:szCs w:val="16"/>
              </w:rPr>
              <w:t>…byla však ovlivněna specifickou situací na dluhopisovém trhu odrážející očekávání blížícího se ukončení režimu devizových intervencí.</w:t>
            </w:r>
          </w:p>
          <w:p w:rsidR="00BF7F08" w:rsidRPr="00DB3D34" w:rsidRDefault="00BF7F08" w:rsidP="00A0172C">
            <w:pPr>
              <w:spacing w:line="240" w:lineRule="auto"/>
              <w:rPr>
                <w:rFonts w:cs="Arial"/>
                <w:bCs/>
                <w:iCs/>
                <w:color w:val="0D0D0D" w:themeColor="text1" w:themeTint="F2"/>
                <w:sz w:val="16"/>
                <w:szCs w:val="16"/>
              </w:rPr>
            </w:pPr>
            <w:r>
              <w:rPr>
                <w:rFonts w:cs="Arial"/>
                <w:bCs/>
                <w:iCs/>
                <w:color w:val="0D0D0D" w:themeColor="text1" w:themeTint="F2"/>
                <w:sz w:val="16"/>
                <w:szCs w:val="16"/>
              </w:rPr>
              <w:t>.</w:t>
            </w:r>
          </w:p>
        </w:tc>
        <w:tc>
          <w:tcPr>
            <w:tcW w:w="144" w:type="pct"/>
          </w:tcPr>
          <w:p w:rsidR="00BF7F08" w:rsidRPr="00A90EFD" w:rsidRDefault="00BF7F08" w:rsidP="00A0172C">
            <w:pPr>
              <w:pStyle w:val="Textpoznpodarou"/>
              <w:jc w:val="both"/>
              <w:rPr>
                <w:rFonts w:cs="Arial"/>
                <w:color w:val="0D0D0D" w:themeColor="text1" w:themeTint="F2"/>
              </w:rPr>
            </w:pPr>
          </w:p>
        </w:tc>
        <w:tc>
          <w:tcPr>
            <w:tcW w:w="3840" w:type="pct"/>
          </w:tcPr>
          <w:p w:rsidR="00BF7F08" w:rsidRPr="00E06E17" w:rsidRDefault="00BF7F08" w:rsidP="00A0172C">
            <w:pPr>
              <w:pStyle w:val="Textpoznpodarou"/>
              <w:jc w:val="both"/>
              <w:rPr>
                <w:color w:val="000000" w:themeColor="text1"/>
                <w:spacing w:val="-2"/>
              </w:rPr>
            </w:pPr>
            <w:r w:rsidRPr="00E06E17">
              <w:rPr>
                <w:spacing w:val="-2"/>
              </w:rPr>
              <w:t>Státní dluh dosáhl na konci března 1789 mld. korun a během 1. čtvrtletí se navýšil o</w:t>
            </w:r>
            <w:r w:rsidRPr="00E06E17">
              <w:rPr>
                <w:rFonts w:cs="Arial"/>
                <w:color w:val="000000" w:themeColor="text1"/>
                <w:spacing w:val="-2"/>
              </w:rPr>
              <w:t> </w:t>
            </w:r>
            <w:r w:rsidRPr="00E06E17">
              <w:rPr>
                <w:spacing w:val="-2"/>
              </w:rPr>
              <w:t xml:space="preserve">téměř </w:t>
            </w:r>
            <w:r w:rsidRPr="00E06E17">
              <w:rPr>
                <w:rFonts w:cs="Arial"/>
                <w:spacing w:val="-2"/>
              </w:rPr>
              <w:t>11 % (po většinu loňského roku se přitom dluh redukoval). Dosud nejvyšší úroveň zadlužení (z konce března 2013) tak převýšil o 73 mld. Prudký nárůst dluhu souvisel s větším objemem vydaných střednědobých a dlouhodobých státních dluhopisů (SDD) určených na krytí splátek SDD, které se očekává ve zbývající části letošního roku. V 1. čtvrtletí došlo také k emisi státních pokladničních poukázek (za 70 mld. korun) realizované jen z důvodu využití záporných výnosů</w:t>
            </w:r>
            <w:r w:rsidRPr="00E06E17">
              <w:rPr>
                <w:rStyle w:val="Znakapoznpodarou"/>
                <w:rFonts w:cs="Arial"/>
                <w:spacing w:val="-2"/>
              </w:rPr>
              <w:footnoteReference w:id="36"/>
            </w:r>
            <w:r w:rsidRPr="00E06E17">
              <w:rPr>
                <w:rFonts w:cs="Arial"/>
                <w:spacing w:val="-2"/>
              </w:rPr>
              <w:t>. Tyto operace měly vliv pouze na vnitřní zadluženost, neboť korunová hodnota vnějšího dluhu při minimálním pohybu na straně výpůjček i splátek fakticky stagnovala (</w:t>
            </w:r>
            <w:r w:rsidRPr="00E06E17">
              <w:rPr>
                <w:color w:val="000000" w:themeColor="text1"/>
                <w:spacing w:val="-2"/>
              </w:rPr>
              <w:t>vnější dluh se na celkové zadluženosti státu podílel 15,1</w:t>
            </w:r>
            <w:r w:rsidRPr="00E06E17">
              <w:rPr>
                <w:rFonts w:cs="Arial"/>
                <w:color w:val="000000" w:themeColor="text1"/>
                <w:spacing w:val="-2"/>
              </w:rPr>
              <w:t> </w:t>
            </w:r>
            <w:r w:rsidRPr="00E06E17">
              <w:rPr>
                <w:color w:val="000000" w:themeColor="text1"/>
                <w:spacing w:val="-2"/>
              </w:rPr>
              <w:t xml:space="preserve">% </w:t>
            </w:r>
            <w:r w:rsidRPr="00E06E17">
              <w:rPr>
                <w:rFonts w:cs="Arial"/>
                <w:color w:val="000000" w:themeColor="text1"/>
                <w:spacing w:val="-2"/>
              </w:rPr>
              <w:t xml:space="preserve">– </w:t>
            </w:r>
            <w:r w:rsidRPr="00E06E17">
              <w:rPr>
                <w:color w:val="000000" w:themeColor="text1"/>
                <w:spacing w:val="-2"/>
              </w:rPr>
              <w:t>nejméně od konce roku 2004). V první třetině roku vrcholil příliv spekulativního kapitálu do ČR v souvislosti s očekávaným ukončením režimu devizových</w:t>
            </w:r>
            <w:r w:rsidR="00E06E17" w:rsidRPr="00E06E17">
              <w:rPr>
                <w:color w:val="000000" w:themeColor="text1"/>
                <w:spacing w:val="-2"/>
              </w:rPr>
              <w:t xml:space="preserve"> intervencí. Vypovídá o tom i siln</w:t>
            </w:r>
            <w:r w:rsidRPr="00E06E17">
              <w:rPr>
                <w:color w:val="000000" w:themeColor="text1"/>
                <w:spacing w:val="-2"/>
              </w:rPr>
              <w:t>ý růst objemu českých dluhopisů v držbě zahraničních investorů. Zatímco ti na konci roku 2016 vlastnili korunové dluhopisy v hodnotě</w:t>
            </w:r>
            <w:r w:rsidR="00E06E17" w:rsidRPr="00E06E17">
              <w:rPr>
                <w:color w:val="000000" w:themeColor="text1"/>
                <w:spacing w:val="-2"/>
              </w:rPr>
              <w:t xml:space="preserve"> 424 </w:t>
            </w:r>
            <w:r w:rsidRPr="00E06E17">
              <w:rPr>
                <w:color w:val="000000" w:themeColor="text1"/>
                <w:spacing w:val="-2"/>
              </w:rPr>
              <w:t>mld. korun, na konci letošního dubna již za 718 mld. korun (což odpovídalo bezmála polovině hodnoty všech korunových dluhopisů).</w:t>
            </w:r>
          </w:p>
          <w:p w:rsidR="00BF7F08" w:rsidRPr="00BF7F08" w:rsidRDefault="00BF7F08" w:rsidP="00A0172C">
            <w:pPr>
              <w:pStyle w:val="Textpoznpodarou"/>
              <w:jc w:val="both"/>
              <w:rPr>
                <w:rFonts w:cs="Arial"/>
                <w:color w:val="000000" w:themeColor="text1"/>
                <w:sz w:val="14"/>
                <w:szCs w:val="14"/>
              </w:rPr>
            </w:pPr>
          </w:p>
        </w:tc>
      </w:tr>
      <w:tr w:rsidR="00BF7F08" w:rsidRPr="0094422D" w:rsidTr="00A0172C">
        <w:trPr>
          <w:trHeight w:val="145"/>
        </w:trPr>
        <w:tc>
          <w:tcPr>
            <w:tcW w:w="1016" w:type="pct"/>
            <w:shd w:val="clear" w:color="auto" w:fill="auto"/>
          </w:tcPr>
          <w:p w:rsidR="00BF7F08" w:rsidRPr="00513B29" w:rsidRDefault="00BF7F08" w:rsidP="00A0172C">
            <w:pPr>
              <w:spacing w:line="240" w:lineRule="auto"/>
              <w:rPr>
                <w:rFonts w:cs="Arial"/>
                <w:bCs/>
                <w:iCs/>
                <w:color w:val="0D0D0D" w:themeColor="text1" w:themeTint="F2"/>
                <w:sz w:val="16"/>
                <w:szCs w:val="16"/>
              </w:rPr>
            </w:pPr>
            <w:r w:rsidRPr="00513B29">
              <w:rPr>
                <w:rFonts w:cs="Arial"/>
                <w:bCs/>
                <w:iCs/>
                <w:color w:val="0D0D0D" w:themeColor="text1" w:themeTint="F2"/>
                <w:sz w:val="16"/>
                <w:szCs w:val="16"/>
              </w:rPr>
              <w:lastRenderedPageBreak/>
              <w:t xml:space="preserve">Relativní výše dluhu sektoru vládních institucí klesla </w:t>
            </w:r>
            <w:r w:rsidR="00E06E17">
              <w:rPr>
                <w:rFonts w:cs="Arial"/>
                <w:bCs/>
                <w:iCs/>
                <w:color w:val="0D0D0D" w:themeColor="text1" w:themeTint="F2"/>
                <w:sz w:val="16"/>
                <w:szCs w:val="16"/>
              </w:rPr>
              <w:t>v Česku loni o 3,1 </w:t>
            </w:r>
            <w:proofErr w:type="spellStart"/>
            <w:proofErr w:type="gramStart"/>
            <w:r>
              <w:rPr>
                <w:rFonts w:cs="Arial"/>
                <w:bCs/>
                <w:iCs/>
                <w:color w:val="0D0D0D" w:themeColor="text1" w:themeTint="F2"/>
                <w:sz w:val="16"/>
                <w:szCs w:val="16"/>
              </w:rPr>
              <w:t>p.b</w:t>
            </w:r>
            <w:proofErr w:type="spellEnd"/>
            <w:r>
              <w:rPr>
                <w:rFonts w:cs="Arial"/>
                <w:bCs/>
                <w:iCs/>
                <w:color w:val="0D0D0D" w:themeColor="text1" w:themeTint="F2"/>
                <w:sz w:val="16"/>
                <w:szCs w:val="16"/>
              </w:rPr>
              <w:t>., především</w:t>
            </w:r>
            <w:proofErr w:type="gramEnd"/>
            <w:r>
              <w:rPr>
                <w:rFonts w:cs="Arial"/>
                <w:bCs/>
                <w:iCs/>
                <w:color w:val="0D0D0D" w:themeColor="text1" w:themeTint="F2"/>
                <w:sz w:val="16"/>
                <w:szCs w:val="16"/>
              </w:rPr>
              <w:t xml:space="preserve"> vlivem redukce nominální hodnoty dluhu.</w:t>
            </w:r>
          </w:p>
          <w:p w:rsidR="00BF7F08" w:rsidRDefault="00BF7F08" w:rsidP="00A0172C">
            <w:pPr>
              <w:spacing w:line="240" w:lineRule="auto"/>
              <w:rPr>
                <w:rFonts w:cs="Arial"/>
                <w:bCs/>
                <w:iCs/>
                <w:color w:val="0D0D0D" w:themeColor="text1" w:themeTint="F2"/>
                <w:sz w:val="16"/>
                <w:szCs w:val="16"/>
              </w:rPr>
            </w:pPr>
          </w:p>
          <w:p w:rsidR="006F3A90" w:rsidRPr="00513B29" w:rsidRDefault="006F3A90" w:rsidP="00A0172C">
            <w:pPr>
              <w:spacing w:line="240" w:lineRule="auto"/>
              <w:rPr>
                <w:rFonts w:cs="Arial"/>
                <w:bCs/>
                <w:iCs/>
                <w:color w:val="0D0D0D" w:themeColor="text1" w:themeTint="F2"/>
                <w:sz w:val="16"/>
                <w:szCs w:val="16"/>
              </w:rPr>
            </w:pPr>
          </w:p>
          <w:p w:rsidR="00BF7F08" w:rsidRPr="00513B29" w:rsidRDefault="00BF7F08" w:rsidP="00A0172C">
            <w:pPr>
              <w:spacing w:line="240" w:lineRule="auto"/>
              <w:rPr>
                <w:rFonts w:cs="Arial"/>
                <w:bCs/>
                <w:iCs/>
                <w:color w:val="0D0D0D" w:themeColor="text1" w:themeTint="F2"/>
                <w:sz w:val="16"/>
                <w:szCs w:val="16"/>
              </w:rPr>
            </w:pPr>
          </w:p>
          <w:p w:rsidR="00BF7F08" w:rsidRDefault="00BF7F08" w:rsidP="00A0172C">
            <w:pPr>
              <w:spacing w:line="240" w:lineRule="auto"/>
              <w:rPr>
                <w:rFonts w:cs="Arial"/>
                <w:bCs/>
                <w:iCs/>
                <w:color w:val="0D0D0D" w:themeColor="text1" w:themeTint="F2"/>
                <w:sz w:val="16"/>
                <w:szCs w:val="16"/>
              </w:rPr>
            </w:pPr>
            <w:r>
              <w:rPr>
                <w:rFonts w:cs="Arial"/>
                <w:bCs/>
                <w:iCs/>
                <w:color w:val="0D0D0D" w:themeColor="text1" w:themeTint="F2"/>
                <w:sz w:val="16"/>
                <w:szCs w:val="16"/>
              </w:rPr>
              <w:t>Česko bylo čtvrtou relativně nejméně zadluženou zemí Unie.</w:t>
            </w:r>
          </w:p>
          <w:p w:rsidR="00BF7F08" w:rsidRPr="00DB3D34" w:rsidRDefault="00BF7F08" w:rsidP="00A0172C">
            <w:pPr>
              <w:spacing w:line="240" w:lineRule="auto"/>
              <w:rPr>
                <w:rFonts w:cs="Arial"/>
                <w:bCs/>
                <w:iCs/>
                <w:color w:val="0D0D0D" w:themeColor="text1" w:themeTint="F2"/>
                <w:sz w:val="16"/>
                <w:szCs w:val="16"/>
              </w:rPr>
            </w:pPr>
          </w:p>
        </w:tc>
        <w:tc>
          <w:tcPr>
            <w:tcW w:w="144" w:type="pct"/>
          </w:tcPr>
          <w:p w:rsidR="00BF7F08" w:rsidRPr="00A90EFD" w:rsidRDefault="00BF7F08" w:rsidP="00A0172C">
            <w:pPr>
              <w:pStyle w:val="Textpoznpodarou"/>
              <w:jc w:val="both"/>
              <w:rPr>
                <w:rFonts w:cs="Arial"/>
                <w:color w:val="0D0D0D" w:themeColor="text1" w:themeTint="F2"/>
              </w:rPr>
            </w:pPr>
          </w:p>
        </w:tc>
        <w:tc>
          <w:tcPr>
            <w:tcW w:w="3840" w:type="pct"/>
          </w:tcPr>
          <w:p w:rsidR="00BF7F08" w:rsidRDefault="00BF7F08" w:rsidP="006F3A90">
            <w:pPr>
              <w:pStyle w:val="Textpoznpodarou"/>
              <w:jc w:val="both"/>
              <w:rPr>
                <w:color w:val="0D0D0D" w:themeColor="text1" w:themeTint="F2"/>
                <w:spacing w:val="-4"/>
              </w:rPr>
            </w:pPr>
            <w:r>
              <w:rPr>
                <w:color w:val="000000" w:themeColor="text1"/>
                <w:spacing w:val="-4"/>
              </w:rPr>
              <w:t xml:space="preserve">Dluh </w:t>
            </w:r>
            <w:r w:rsidRPr="00020A28">
              <w:rPr>
                <w:color w:val="000000" w:themeColor="text1"/>
                <w:spacing w:val="-4"/>
              </w:rPr>
              <w:t>sektoru vládních institucí</w:t>
            </w:r>
            <w:r>
              <w:rPr>
                <w:color w:val="000000" w:themeColor="text1"/>
                <w:spacing w:val="-4"/>
              </w:rPr>
              <w:t xml:space="preserve"> (zohledňující</w:t>
            </w:r>
            <w:r w:rsidRPr="00741F3C">
              <w:rPr>
                <w:color w:val="000000" w:themeColor="text1"/>
                <w:spacing w:val="-4"/>
              </w:rPr>
              <w:t xml:space="preserve"> i hospodaření územně správních celků</w:t>
            </w:r>
            <w:r>
              <w:rPr>
                <w:color w:val="000000" w:themeColor="text1"/>
                <w:spacing w:val="-4"/>
              </w:rPr>
              <w:t xml:space="preserve"> či zdravotních pojišťoven</w:t>
            </w:r>
            <w:r w:rsidRPr="00741F3C">
              <w:rPr>
                <w:color w:val="000000" w:themeColor="text1"/>
                <w:spacing w:val="-4"/>
              </w:rPr>
              <w:t>) dosáhl dle aktuálních dat ČSÚ na konci 4. čtvrtletí 201</w:t>
            </w:r>
            <w:r>
              <w:rPr>
                <w:color w:val="000000" w:themeColor="text1"/>
                <w:spacing w:val="-4"/>
              </w:rPr>
              <w:t>6</w:t>
            </w:r>
            <w:r w:rsidRPr="00741F3C">
              <w:rPr>
                <w:rStyle w:val="Znakapoznpodarou"/>
                <w:color w:val="000000" w:themeColor="text1"/>
                <w:spacing w:val="-4"/>
              </w:rPr>
              <w:footnoteReference w:id="37"/>
            </w:r>
            <w:r>
              <w:rPr>
                <w:color w:val="000000" w:themeColor="text1"/>
                <w:spacing w:val="-4"/>
              </w:rPr>
              <w:t xml:space="preserve"> výše 1 755</w:t>
            </w:r>
            <w:r w:rsidRPr="00741F3C">
              <w:rPr>
                <w:color w:val="000000" w:themeColor="text1"/>
                <w:spacing w:val="-4"/>
              </w:rPr>
              <w:t xml:space="preserve"> mld. </w:t>
            </w:r>
            <w:r>
              <w:rPr>
                <w:color w:val="000000" w:themeColor="text1"/>
                <w:spacing w:val="-4"/>
              </w:rPr>
              <w:t>korun a ve vztahu k HDP činil 37,2</w:t>
            </w:r>
            <w:r w:rsidRPr="00741F3C">
              <w:rPr>
                <w:color w:val="000000" w:themeColor="text1"/>
                <w:spacing w:val="-4"/>
              </w:rPr>
              <w:t xml:space="preserve"> %</w:t>
            </w:r>
            <w:r>
              <w:rPr>
                <w:color w:val="000000" w:themeColor="text1"/>
                <w:spacing w:val="-4"/>
              </w:rPr>
              <w:t xml:space="preserve">. Na meziročním snížení relativní zadluženosti (o 3,1 </w:t>
            </w:r>
            <w:proofErr w:type="spellStart"/>
            <w:proofErr w:type="gramStart"/>
            <w:r>
              <w:rPr>
                <w:color w:val="000000" w:themeColor="text1"/>
                <w:spacing w:val="-4"/>
              </w:rPr>
              <w:t>p.b</w:t>
            </w:r>
            <w:proofErr w:type="spellEnd"/>
            <w:r>
              <w:rPr>
                <w:color w:val="000000" w:themeColor="text1"/>
                <w:spacing w:val="-4"/>
              </w:rPr>
              <w:t>.) se</w:t>
            </w:r>
            <w:proofErr w:type="gramEnd"/>
            <w:r>
              <w:rPr>
                <w:color w:val="000000" w:themeColor="text1"/>
                <w:spacing w:val="-4"/>
              </w:rPr>
              <w:t xml:space="preserve"> z větší části podílela redukce nominální hodnoty dluhu (o</w:t>
            </w:r>
            <w:r>
              <w:rPr>
                <w:spacing w:val="-4"/>
              </w:rPr>
              <w:t> </w:t>
            </w:r>
            <w:r>
              <w:rPr>
                <w:color w:val="000000" w:themeColor="text1"/>
                <w:spacing w:val="-4"/>
              </w:rPr>
              <w:t xml:space="preserve">81 mld.), projevil se ale i vliv vyššího HDP. </w:t>
            </w:r>
            <w:r>
              <w:rPr>
                <w:color w:val="0D0D0D" w:themeColor="text1" w:themeTint="F2"/>
                <w:spacing w:val="-4"/>
              </w:rPr>
              <w:t>Česko bylo na sklonku roku 2016 čtvrtou relativně nejméně zadluženou zemí EU (za Estonskem, Lucemburskem a</w:t>
            </w:r>
            <w:r>
              <w:rPr>
                <w:color w:val="000000" w:themeColor="text1"/>
                <w:spacing w:val="-4"/>
              </w:rPr>
              <w:t> </w:t>
            </w:r>
            <w:r>
              <w:rPr>
                <w:color w:val="0D0D0D" w:themeColor="text1" w:themeTint="F2"/>
                <w:spacing w:val="-4"/>
              </w:rPr>
              <w:t xml:space="preserve">Bulharskem), šlo o nejlepší postavení od roku 1995. Svou relativní zadluženost loni (stejně jako během roku 2015) zredukovaly dvě třetiny zemí EU. Z desítky nejvíce zasažených států však podobné </w:t>
            </w:r>
            <w:r w:rsidR="00E06E17">
              <w:rPr>
                <w:color w:val="0D0D0D" w:themeColor="text1" w:themeTint="F2"/>
                <w:spacing w:val="-4"/>
              </w:rPr>
              <w:t xml:space="preserve">dokázalo </w:t>
            </w:r>
            <w:r>
              <w:rPr>
                <w:color w:val="0D0D0D" w:themeColor="text1" w:themeTint="F2"/>
                <w:spacing w:val="-4"/>
              </w:rPr>
              <w:t xml:space="preserve">ve větší míře jen Chorvatsko (o 2,5 </w:t>
            </w:r>
            <w:proofErr w:type="spellStart"/>
            <w:proofErr w:type="gramStart"/>
            <w:r>
              <w:rPr>
                <w:color w:val="0D0D0D" w:themeColor="text1" w:themeTint="F2"/>
                <w:spacing w:val="-4"/>
              </w:rPr>
              <w:t>p.b</w:t>
            </w:r>
            <w:proofErr w:type="spellEnd"/>
            <w:r>
              <w:rPr>
                <w:color w:val="0D0D0D" w:themeColor="text1" w:themeTint="F2"/>
                <w:spacing w:val="-4"/>
              </w:rPr>
              <w:t>.).</w:t>
            </w:r>
            <w:proofErr w:type="gramEnd"/>
            <w:r>
              <w:rPr>
                <w:color w:val="0D0D0D" w:themeColor="text1" w:themeTint="F2"/>
                <w:spacing w:val="-4"/>
              </w:rPr>
              <w:t xml:space="preserve"> Z velkých ekonomik se v tomto směru nejvíce dařilo Německu, jehož zadluženost za posledních pět let klesla ze 79,9 % na 68,3 % HDP. </w:t>
            </w:r>
          </w:p>
          <w:p w:rsidR="006F3A90" w:rsidRPr="006F3A90" w:rsidRDefault="006F3A90" w:rsidP="006F3A90">
            <w:pPr>
              <w:pStyle w:val="Textpoznpodarou"/>
              <w:jc w:val="both"/>
              <w:rPr>
                <w:spacing w:val="-4"/>
                <w:sz w:val="14"/>
                <w:szCs w:val="14"/>
              </w:rPr>
            </w:pPr>
          </w:p>
        </w:tc>
      </w:tr>
      <w:tr w:rsidR="00BF7F08" w:rsidRPr="00AD0FC0" w:rsidTr="00A0172C">
        <w:trPr>
          <w:trHeight w:val="145"/>
        </w:trPr>
        <w:tc>
          <w:tcPr>
            <w:tcW w:w="1016" w:type="pct"/>
            <w:shd w:val="clear" w:color="auto" w:fill="auto"/>
          </w:tcPr>
          <w:p w:rsidR="00BF7F08" w:rsidRPr="006D5608" w:rsidRDefault="006F3A90" w:rsidP="00A0172C">
            <w:pPr>
              <w:spacing w:line="240" w:lineRule="auto"/>
              <w:rPr>
                <w:color w:val="000000" w:themeColor="text1"/>
                <w:sz w:val="16"/>
                <w:szCs w:val="16"/>
                <w:highlight w:val="yellow"/>
              </w:rPr>
            </w:pPr>
            <w:r>
              <w:rPr>
                <w:rFonts w:cs="Arial"/>
                <w:bCs/>
                <w:iCs/>
                <w:color w:val="0D0D0D" w:themeColor="text1" w:themeTint="F2"/>
                <w:sz w:val="16"/>
                <w:szCs w:val="16"/>
              </w:rPr>
              <w:t xml:space="preserve">Sektor vládních institucí dosáhl v roce 2016 poprvé v historii ČR kladného salda hospodaření, </w:t>
            </w:r>
            <w:proofErr w:type="spellStart"/>
            <w:r>
              <w:rPr>
                <w:rFonts w:cs="Arial"/>
                <w:bCs/>
                <w:iCs/>
                <w:color w:val="0D0D0D" w:themeColor="text1" w:themeTint="F2"/>
                <w:sz w:val="16"/>
                <w:szCs w:val="16"/>
              </w:rPr>
              <w:t>subsektor</w:t>
            </w:r>
            <w:proofErr w:type="spellEnd"/>
            <w:r>
              <w:rPr>
                <w:rFonts w:cs="Arial"/>
                <w:bCs/>
                <w:iCs/>
                <w:color w:val="0D0D0D" w:themeColor="text1" w:themeTint="F2"/>
                <w:sz w:val="16"/>
                <w:szCs w:val="16"/>
              </w:rPr>
              <w:t xml:space="preserve"> místních vládních institucí vykázal přebytek již čtvrtý rok v řadě.</w:t>
            </w:r>
          </w:p>
        </w:tc>
        <w:tc>
          <w:tcPr>
            <w:tcW w:w="144" w:type="pct"/>
          </w:tcPr>
          <w:p w:rsidR="00BF7F08" w:rsidRPr="003E6E0D" w:rsidRDefault="00BF7F08" w:rsidP="00A0172C">
            <w:pPr>
              <w:pStyle w:val="Textpoznpodarou"/>
              <w:jc w:val="both"/>
              <w:rPr>
                <w:highlight w:val="yellow"/>
              </w:rPr>
            </w:pPr>
          </w:p>
        </w:tc>
        <w:tc>
          <w:tcPr>
            <w:tcW w:w="3840" w:type="pct"/>
          </w:tcPr>
          <w:p w:rsidR="00BF7F08" w:rsidRPr="00AD0FC0" w:rsidRDefault="006F3A90" w:rsidP="00A0172C">
            <w:pPr>
              <w:pStyle w:val="Textpoznpodarou"/>
              <w:jc w:val="both"/>
              <w:rPr>
                <w:sz w:val="16"/>
                <w:szCs w:val="16"/>
              </w:rPr>
            </w:pPr>
            <w:r>
              <w:rPr>
                <w:color w:val="0D0D0D" w:themeColor="text1" w:themeTint="F2"/>
                <w:spacing w:val="-4"/>
              </w:rPr>
              <w:t xml:space="preserve">Sektor </w:t>
            </w:r>
            <w:r w:rsidRPr="001162E9">
              <w:rPr>
                <w:color w:val="0D0D0D" w:themeColor="text1" w:themeTint="F2"/>
                <w:spacing w:val="-4"/>
              </w:rPr>
              <w:t xml:space="preserve">vládních institucí </w:t>
            </w:r>
            <w:r>
              <w:rPr>
                <w:color w:val="0D0D0D" w:themeColor="text1" w:themeTint="F2"/>
                <w:spacing w:val="-4"/>
              </w:rPr>
              <w:t>v ČR loni vykázal (v </w:t>
            </w:r>
            <w:proofErr w:type="spellStart"/>
            <w:r>
              <w:rPr>
                <w:color w:val="0D0D0D" w:themeColor="text1" w:themeTint="F2"/>
                <w:spacing w:val="-4"/>
              </w:rPr>
              <w:t>akr</w:t>
            </w:r>
            <w:r w:rsidRPr="001162E9">
              <w:rPr>
                <w:color w:val="0D0D0D" w:themeColor="text1" w:themeTint="F2"/>
                <w:spacing w:val="-4"/>
              </w:rPr>
              <w:t>ualizovaném</w:t>
            </w:r>
            <w:proofErr w:type="spellEnd"/>
            <w:r w:rsidRPr="001162E9">
              <w:rPr>
                <w:color w:val="0D0D0D" w:themeColor="text1" w:themeTint="F2"/>
                <w:spacing w:val="-4"/>
              </w:rPr>
              <w:t xml:space="preserve"> vyjádření)</w:t>
            </w:r>
            <w:r>
              <w:rPr>
                <w:rStyle w:val="Znakapoznpodarou"/>
                <w:color w:val="0D0D0D" w:themeColor="text1" w:themeTint="F2"/>
                <w:spacing w:val="-4"/>
              </w:rPr>
              <w:footnoteReference w:id="38"/>
            </w:r>
            <w:r>
              <w:rPr>
                <w:color w:val="0D0D0D" w:themeColor="text1" w:themeTint="F2"/>
                <w:spacing w:val="-4"/>
              </w:rPr>
              <w:t xml:space="preserve"> poprvé v historii přebytek, jenž činil 27,6 mld. korun (resp. 0,58 % HDP). K meziročně příznivějšímu výsledku (o 56,5 mld.) pomohly místní vládní instituce, jejichž saldo hospodaření (+44,8 mld.) však do značné míry souviselo s omezením investiční aktivity. Deficit ústředních vládních institucí se meziročně snížil o tři pětiny (na 22,1 mld.). Sektor vládních institucí loni docílil přebytku hospodaření v desítce zemí EU (vedle Česka např. i v Německu či Švédsku).</w:t>
            </w:r>
          </w:p>
        </w:tc>
      </w:tr>
    </w:tbl>
    <w:p w:rsidR="00BF7F08" w:rsidRDefault="00BF7F08" w:rsidP="008A03DE">
      <w:pPr>
        <w:pStyle w:val="Textpoznpodarou"/>
        <w:jc w:val="both"/>
        <w:rPr>
          <w:rFonts w:cs="Arial"/>
          <w:color w:val="000000"/>
          <w:spacing w:val="-2"/>
          <w:sz w:val="16"/>
          <w:szCs w:val="16"/>
        </w:rPr>
      </w:pPr>
    </w:p>
    <w:tbl>
      <w:tblPr>
        <w:tblW w:w="4963" w:type="pct"/>
        <w:tblInd w:w="108" w:type="dxa"/>
        <w:tblLayout w:type="fixed"/>
        <w:tblLook w:val="00A0"/>
      </w:tblPr>
      <w:tblGrid>
        <w:gridCol w:w="1997"/>
        <w:gridCol w:w="284"/>
        <w:gridCol w:w="1119"/>
        <w:gridCol w:w="6381"/>
      </w:tblGrid>
      <w:tr w:rsidR="0007324C" w:rsidRPr="00AA4A76" w:rsidTr="00A0172C">
        <w:trPr>
          <w:trHeight w:val="145"/>
        </w:trPr>
        <w:tc>
          <w:tcPr>
            <w:tcW w:w="1021" w:type="pct"/>
            <w:shd w:val="clear" w:color="auto" w:fill="auto"/>
          </w:tcPr>
          <w:p w:rsidR="0007324C" w:rsidRPr="00AA4A76" w:rsidRDefault="0007324C" w:rsidP="00A0172C">
            <w:pPr>
              <w:spacing w:line="240" w:lineRule="auto"/>
              <w:jc w:val="center"/>
              <w:rPr>
                <w:color w:val="000000"/>
                <w:szCs w:val="20"/>
              </w:rPr>
            </w:pPr>
          </w:p>
        </w:tc>
        <w:tc>
          <w:tcPr>
            <w:tcW w:w="145" w:type="pct"/>
          </w:tcPr>
          <w:p w:rsidR="0007324C" w:rsidRPr="00AA4A76" w:rsidRDefault="0007324C" w:rsidP="00A0172C">
            <w:pPr>
              <w:pStyle w:val="Textpoznpodarou"/>
              <w:jc w:val="both"/>
              <w:rPr>
                <w:highlight w:val="yellow"/>
              </w:rPr>
            </w:pPr>
          </w:p>
        </w:tc>
        <w:tc>
          <w:tcPr>
            <w:tcW w:w="572" w:type="pct"/>
          </w:tcPr>
          <w:p w:rsidR="0007324C" w:rsidRPr="00AA4A76" w:rsidRDefault="0007324C" w:rsidP="00A0172C">
            <w:pPr>
              <w:pStyle w:val="Textpoznpodarou"/>
              <w:jc w:val="both"/>
              <w:rPr>
                <w:highlight w:val="yellow"/>
              </w:rPr>
            </w:pPr>
            <w:r>
              <w:rPr>
                <w:color w:val="000000"/>
              </w:rPr>
              <w:t xml:space="preserve">Graf č. </w:t>
            </w:r>
            <w:r w:rsidR="001C0E66">
              <w:rPr>
                <w:color w:val="000000"/>
              </w:rPr>
              <w:t>22</w:t>
            </w:r>
          </w:p>
        </w:tc>
        <w:tc>
          <w:tcPr>
            <w:tcW w:w="3262" w:type="pct"/>
          </w:tcPr>
          <w:p w:rsidR="0007324C" w:rsidRPr="00E4793B" w:rsidRDefault="001C0E66" w:rsidP="00A0172C">
            <w:pPr>
              <w:pStyle w:val="Textpoznpodarou"/>
              <w:rPr>
                <w:rFonts w:cs="Arial"/>
                <w:bCs/>
              </w:rPr>
            </w:pPr>
            <w:r w:rsidRPr="006808C5">
              <w:rPr>
                <w:rFonts w:cs="Arial"/>
                <w:b/>
                <w:bCs/>
              </w:rPr>
              <w:t xml:space="preserve">Struktura státního dluh ČR </w:t>
            </w:r>
            <w:r w:rsidRPr="006808C5">
              <w:rPr>
                <w:rFonts w:cs="Arial"/>
                <w:bCs/>
              </w:rPr>
              <w:t xml:space="preserve">(stav na konci čtvrtletí, v mld. korun) </w:t>
            </w:r>
            <w:r w:rsidRPr="006808C5">
              <w:rPr>
                <w:rFonts w:cs="Arial"/>
                <w:b/>
                <w:bCs/>
              </w:rPr>
              <w:t xml:space="preserve">a podíl korunových dluhopisů v držbě nerezidentů </w:t>
            </w:r>
            <w:r w:rsidRPr="006808C5">
              <w:rPr>
                <w:rFonts w:cs="Arial"/>
                <w:bCs/>
              </w:rPr>
              <w:t>(v %</w:t>
            </w:r>
            <w:r w:rsidR="00E4793B">
              <w:rPr>
                <w:rFonts w:cs="Arial"/>
                <w:bCs/>
              </w:rPr>
              <w:t>, pravá osa</w:t>
            </w:r>
            <w:r w:rsidRPr="006808C5">
              <w:rPr>
                <w:rFonts w:cs="Arial"/>
                <w:bCs/>
              </w:rPr>
              <w:t>)</w:t>
            </w:r>
          </w:p>
        </w:tc>
      </w:tr>
      <w:tr w:rsidR="0007324C" w:rsidRPr="00AA4A76" w:rsidTr="006F3A90">
        <w:trPr>
          <w:trHeight w:val="145"/>
        </w:trPr>
        <w:tc>
          <w:tcPr>
            <w:tcW w:w="1021" w:type="pct"/>
            <w:shd w:val="clear" w:color="auto" w:fill="auto"/>
          </w:tcPr>
          <w:p w:rsidR="0007324C" w:rsidRPr="006D3F53" w:rsidRDefault="0007324C" w:rsidP="00A0172C">
            <w:pPr>
              <w:spacing w:line="240" w:lineRule="auto"/>
              <w:rPr>
                <w:color w:val="000000"/>
                <w:sz w:val="16"/>
                <w:szCs w:val="16"/>
                <w:highlight w:val="yellow"/>
              </w:rPr>
            </w:pPr>
          </w:p>
        </w:tc>
        <w:tc>
          <w:tcPr>
            <w:tcW w:w="145" w:type="pct"/>
          </w:tcPr>
          <w:p w:rsidR="0007324C" w:rsidRPr="00A74192" w:rsidRDefault="0007324C" w:rsidP="00A0172C">
            <w:pPr>
              <w:pStyle w:val="Textpoznpodarou"/>
              <w:jc w:val="both"/>
            </w:pPr>
          </w:p>
        </w:tc>
        <w:tc>
          <w:tcPr>
            <w:tcW w:w="3834" w:type="pct"/>
            <w:gridSpan w:val="2"/>
          </w:tcPr>
          <w:p w:rsidR="0007324C" w:rsidRDefault="006F3A90" w:rsidP="00A0172C">
            <w:pPr>
              <w:pStyle w:val="Textpoznpodarou"/>
              <w:ind w:left="-124"/>
              <w:jc w:val="both"/>
              <w:rPr>
                <w:sz w:val="16"/>
                <w:szCs w:val="16"/>
              </w:rPr>
            </w:pPr>
            <w:r w:rsidRPr="006F3A90">
              <w:rPr>
                <w:noProof/>
                <w:sz w:val="16"/>
                <w:szCs w:val="16"/>
              </w:rPr>
              <w:drawing>
                <wp:inline distT="0" distB="0" distL="0" distR="0">
                  <wp:extent cx="4737600" cy="3553200"/>
                  <wp:effectExtent l="19050" t="0" r="5850" b="0"/>
                  <wp:docPr id="2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7324C" w:rsidRPr="006F3A90" w:rsidRDefault="001C0E66" w:rsidP="00A0172C">
            <w:pPr>
              <w:pStyle w:val="Textpoznpodarou"/>
              <w:ind w:left="-124"/>
              <w:jc w:val="right"/>
              <w:rPr>
                <w:sz w:val="14"/>
                <w:szCs w:val="14"/>
              </w:rPr>
            </w:pPr>
            <w:r w:rsidRPr="006F3A90">
              <w:rPr>
                <w:sz w:val="14"/>
                <w:szCs w:val="14"/>
              </w:rPr>
              <w:t>Zdroj: MF</w:t>
            </w:r>
          </w:p>
        </w:tc>
      </w:tr>
    </w:tbl>
    <w:p w:rsidR="008A03DE" w:rsidRPr="00CE7158" w:rsidRDefault="008A03DE" w:rsidP="008A03DE">
      <w:pPr>
        <w:pStyle w:val="Textpoznpodarou"/>
        <w:jc w:val="both"/>
        <w:rPr>
          <w:rFonts w:cs="Arial"/>
          <w:color w:val="000000"/>
          <w:sz w:val="10"/>
          <w:szCs w:val="10"/>
        </w:rPr>
      </w:pPr>
    </w:p>
    <w:sectPr w:rsidR="008A03DE" w:rsidRPr="00CE7158" w:rsidSect="00E83DAB">
      <w:headerReference w:type="even" r:id="rId35"/>
      <w:headerReference w:type="default" r:id="rId36"/>
      <w:footerReference w:type="even" r:id="rId37"/>
      <w:footerReference w:type="default" r:id="rId38"/>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BB" w:rsidRDefault="00402CBB" w:rsidP="00E71A58">
      <w:r>
        <w:separator/>
      </w:r>
    </w:p>
  </w:endnote>
  <w:endnote w:type="continuationSeparator" w:id="0">
    <w:p w:rsidR="00402CBB" w:rsidRDefault="00402CBB"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Default="00D667A0"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704"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142"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2"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a:ln w="9525">
                    <a:noFill/>
                    <a:miter lim="800000"/>
                    <a:headEnd/>
                    <a:tailEnd/>
                  </a:ln>
                </pic:spPr>
              </pic:pic>
            </a:graphicData>
          </a:graphic>
        </wp:anchor>
      </w:drawing>
    </w:r>
    <w:r>
      <w:tab/>
    </w:r>
    <w:r>
      <w:tab/>
    </w:r>
    <w:r w:rsidRPr="00DC5B3B">
      <w:t xml:space="preserve">                              </w:t>
    </w:r>
  </w:p>
  <w:p w:rsidR="00D667A0" w:rsidRPr="00223E00" w:rsidRDefault="00D667A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2E72FC"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2E72FC" w:rsidRPr="00223E00">
      <w:rPr>
        <w:rFonts w:ascii="Arial" w:hAnsi="Arial" w:cs="Arial"/>
        <w:sz w:val="16"/>
        <w:szCs w:val="16"/>
      </w:rPr>
      <w:fldChar w:fldCharType="separate"/>
    </w:r>
    <w:r w:rsidR="00621916">
      <w:rPr>
        <w:rFonts w:ascii="Arial" w:hAnsi="Arial" w:cs="Arial"/>
        <w:noProof/>
        <w:sz w:val="16"/>
        <w:szCs w:val="16"/>
      </w:rPr>
      <w:t>3</w:t>
    </w:r>
    <w:r w:rsidR="002E72FC"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Default="00D667A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2E72FC" w:rsidRPr="005A21E0">
      <w:rPr>
        <w:rFonts w:ascii="Arial" w:hAnsi="Arial" w:cs="Arial"/>
        <w:sz w:val="16"/>
        <w:szCs w:val="16"/>
      </w:rPr>
      <w:fldChar w:fldCharType="begin"/>
    </w:r>
    <w:r w:rsidRPr="005A21E0">
      <w:rPr>
        <w:rFonts w:ascii="Arial" w:hAnsi="Arial" w:cs="Arial"/>
        <w:sz w:val="16"/>
        <w:szCs w:val="16"/>
      </w:rPr>
      <w:instrText>PAGE   \* MERGEFORMAT</w:instrText>
    </w:r>
    <w:r w:rsidR="002E72FC" w:rsidRPr="005A21E0">
      <w:rPr>
        <w:rFonts w:ascii="Arial" w:hAnsi="Arial" w:cs="Arial"/>
        <w:sz w:val="16"/>
        <w:szCs w:val="16"/>
      </w:rPr>
      <w:fldChar w:fldCharType="separate"/>
    </w:r>
    <w:r w:rsidR="00621916">
      <w:rPr>
        <w:rFonts w:ascii="Arial" w:hAnsi="Arial" w:cs="Arial"/>
        <w:noProof/>
        <w:sz w:val="16"/>
        <w:szCs w:val="16"/>
      </w:rPr>
      <w:t>4</w:t>
    </w:r>
    <w:r w:rsidR="002E72FC" w:rsidRPr="005A21E0">
      <w:rPr>
        <w:rFonts w:ascii="Arial" w:hAnsi="Arial" w:cs="Arial"/>
        <w:sz w:val="16"/>
        <w:szCs w:val="16"/>
      </w:rPr>
      <w:fldChar w:fldCharType="end"/>
    </w:r>
    <w:r>
      <w:rPr>
        <w:rFonts w:ascii="Arial" w:hAnsi="Arial" w:cs="Arial"/>
        <w:sz w:val="16"/>
        <w:szCs w:val="16"/>
      </w:rPr>
      <w:tab/>
      <w:t>2017</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Default="00D667A0"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a:ln w="9525">
                    <a:noFill/>
                    <a:miter lim="800000"/>
                    <a:headEnd/>
                    <a:tailEnd/>
                  </a:ln>
                </pic:spPr>
              </pic:pic>
            </a:graphicData>
          </a:graphic>
        </wp:anchor>
      </w:drawing>
    </w:r>
    <w:r>
      <w:tab/>
    </w:r>
    <w:r>
      <w:tab/>
    </w:r>
    <w:r w:rsidRPr="00DC5B3B">
      <w:t xml:space="preserve">                              </w:t>
    </w:r>
  </w:p>
  <w:p w:rsidR="00D667A0" w:rsidRPr="00223E00" w:rsidRDefault="00D667A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2E72FC"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2E72FC" w:rsidRPr="00223E00">
      <w:rPr>
        <w:rFonts w:ascii="Arial" w:hAnsi="Arial" w:cs="Arial"/>
        <w:sz w:val="16"/>
        <w:szCs w:val="16"/>
      </w:rPr>
      <w:fldChar w:fldCharType="separate"/>
    </w:r>
    <w:r w:rsidR="00621916">
      <w:rPr>
        <w:rFonts w:ascii="Arial" w:hAnsi="Arial" w:cs="Arial"/>
        <w:noProof/>
        <w:sz w:val="16"/>
        <w:szCs w:val="16"/>
      </w:rPr>
      <w:t>29</w:t>
    </w:r>
    <w:r w:rsidR="002E72FC"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BB" w:rsidRDefault="00402CBB" w:rsidP="00E71A58">
      <w:r>
        <w:separator/>
      </w:r>
    </w:p>
  </w:footnote>
  <w:footnote w:type="continuationSeparator" w:id="0">
    <w:p w:rsidR="00402CBB" w:rsidRDefault="00402CBB" w:rsidP="00E71A58">
      <w:r>
        <w:continuationSeparator/>
      </w:r>
    </w:p>
  </w:footnote>
  <w:footnote w:id="1">
    <w:p w:rsidR="00D667A0" w:rsidRPr="0005619C" w:rsidRDefault="00D667A0">
      <w:pPr>
        <w:pStyle w:val="Textpoznpodarou"/>
        <w:rPr>
          <w:sz w:val="16"/>
          <w:szCs w:val="16"/>
        </w:rPr>
      </w:pPr>
      <w:r>
        <w:rPr>
          <w:rStyle w:val="Znakapoznpodarou"/>
        </w:rPr>
        <w:footnoteRef/>
      </w:r>
      <w:r>
        <w:t xml:space="preserve"> </w:t>
      </w:r>
      <w:r w:rsidRPr="00EF1EE3">
        <w:rPr>
          <w:sz w:val="16"/>
          <w:szCs w:val="16"/>
        </w:rPr>
        <w:t>Data o HDP, hrubé přidané hodnotě a jejich složkách jsou vyjádřena ve stálých cenách a v očištění o sezónní a kalendářn</w:t>
      </w:r>
      <w:r>
        <w:rPr>
          <w:sz w:val="16"/>
          <w:szCs w:val="16"/>
        </w:rPr>
        <w:t>í vlivy.</w:t>
      </w:r>
    </w:p>
  </w:footnote>
  <w:footnote w:id="2">
    <w:p w:rsidR="00D667A0" w:rsidRPr="00051ADE" w:rsidRDefault="00D667A0" w:rsidP="00BB462A">
      <w:pPr>
        <w:pStyle w:val="Textpoznpodarou"/>
        <w:rPr>
          <w:sz w:val="16"/>
          <w:szCs w:val="16"/>
        </w:rPr>
      </w:pPr>
      <w:r w:rsidRPr="00051ADE">
        <w:rPr>
          <w:rStyle w:val="Znakapoznpodarou"/>
          <w:sz w:val="16"/>
          <w:szCs w:val="16"/>
        </w:rPr>
        <w:footnoteRef/>
      </w:r>
      <w:r w:rsidRPr="00051ADE">
        <w:rPr>
          <w:sz w:val="16"/>
          <w:szCs w:val="16"/>
        </w:rPr>
        <w:t xml:space="preserve"> </w:t>
      </w:r>
      <w:r w:rsidRPr="00717726">
        <w:rPr>
          <w:sz w:val="16"/>
          <w:szCs w:val="16"/>
        </w:rPr>
        <w:t>Sezónně očištěné údaje v pojetí národních účtů</w:t>
      </w:r>
      <w:r>
        <w:rPr>
          <w:sz w:val="16"/>
          <w:szCs w:val="16"/>
        </w:rPr>
        <w:t>.</w:t>
      </w:r>
    </w:p>
  </w:footnote>
  <w:footnote w:id="3">
    <w:p w:rsidR="00D667A0" w:rsidRPr="00EF1EE3" w:rsidRDefault="00D667A0" w:rsidP="00AF6B7C">
      <w:pPr>
        <w:pStyle w:val="Textpoznpodarou"/>
        <w:rPr>
          <w:sz w:val="16"/>
          <w:szCs w:val="16"/>
        </w:rPr>
      </w:pPr>
      <w:r w:rsidRPr="00EF1EE3">
        <w:rPr>
          <w:rStyle w:val="Znakapoznpodarou"/>
          <w:sz w:val="16"/>
          <w:szCs w:val="16"/>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 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změny cen)</w:t>
      </w:r>
      <w:r w:rsidRPr="00EF1EE3">
        <w:rPr>
          <w:sz w:val="16"/>
          <w:szCs w:val="16"/>
        </w:rPr>
        <w:t xml:space="preserve"> a v očištění o sezónní a kalendářn</w:t>
      </w:r>
      <w:r>
        <w:rPr>
          <w:sz w:val="16"/>
          <w:szCs w:val="16"/>
        </w:rPr>
        <w:t>í vlivy. Údaje byly zveřejněny 2</w:t>
      </w:r>
      <w:r w:rsidRPr="00EF1EE3">
        <w:rPr>
          <w:sz w:val="16"/>
          <w:szCs w:val="16"/>
        </w:rPr>
        <w:t>.</w:t>
      </w:r>
      <w:r>
        <w:rPr>
          <w:sz w:val="16"/>
          <w:szCs w:val="16"/>
        </w:rPr>
        <w:t xml:space="preserve"> 6</w:t>
      </w:r>
      <w:r w:rsidRPr="00EF1EE3">
        <w:rPr>
          <w:sz w:val="16"/>
          <w:szCs w:val="16"/>
        </w:rPr>
        <w:t>. 201</w:t>
      </w:r>
      <w:r>
        <w:rPr>
          <w:sz w:val="16"/>
          <w:szCs w:val="16"/>
        </w:rPr>
        <w:t>7</w:t>
      </w:r>
      <w:r w:rsidRPr="00EF1EE3">
        <w:rPr>
          <w:sz w:val="16"/>
          <w:szCs w:val="16"/>
        </w:rPr>
        <w:t xml:space="preserve"> a z</w:t>
      </w:r>
      <w:r>
        <w:rPr>
          <w:sz w:val="16"/>
          <w:szCs w:val="16"/>
        </w:rPr>
        <w:t xml:space="preserve">revidované údaje </w:t>
      </w:r>
      <w:r w:rsidRPr="00EF1EE3">
        <w:rPr>
          <w:sz w:val="16"/>
          <w:szCs w:val="16"/>
        </w:rPr>
        <w:t>bud</w:t>
      </w:r>
      <w:r>
        <w:rPr>
          <w:sz w:val="16"/>
          <w:szCs w:val="16"/>
        </w:rPr>
        <w:t>ou</w:t>
      </w:r>
      <w:r w:rsidRPr="00EF1EE3">
        <w:rPr>
          <w:sz w:val="16"/>
          <w:szCs w:val="16"/>
        </w:rPr>
        <w:t xml:space="preserve"> publikován</w:t>
      </w:r>
      <w:r>
        <w:rPr>
          <w:sz w:val="16"/>
          <w:szCs w:val="16"/>
        </w:rPr>
        <w:t>y</w:t>
      </w:r>
      <w:r w:rsidRPr="00EF1EE3">
        <w:rPr>
          <w:sz w:val="16"/>
          <w:szCs w:val="16"/>
        </w:rPr>
        <w:t xml:space="preserve"> </w:t>
      </w:r>
      <w:r>
        <w:rPr>
          <w:sz w:val="16"/>
          <w:szCs w:val="16"/>
        </w:rPr>
        <w:t>30</w:t>
      </w:r>
      <w:r w:rsidRPr="00EF1EE3">
        <w:rPr>
          <w:sz w:val="16"/>
          <w:szCs w:val="16"/>
        </w:rPr>
        <w:t xml:space="preserve">. </w:t>
      </w:r>
      <w:r>
        <w:rPr>
          <w:sz w:val="16"/>
          <w:szCs w:val="16"/>
        </w:rPr>
        <w:t>6</w:t>
      </w:r>
      <w:r w:rsidRPr="00EF1EE3">
        <w:rPr>
          <w:sz w:val="16"/>
          <w:szCs w:val="16"/>
        </w:rPr>
        <w:t>. 2017.</w:t>
      </w:r>
    </w:p>
  </w:footnote>
  <w:footnote w:id="4">
    <w:p w:rsidR="00D667A0" w:rsidRPr="00BB319F" w:rsidRDefault="00D667A0">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 Irsko a Lucembursko. Data za Slovensko nejsou očištěna o kalendářní vlivy.</w:t>
      </w:r>
    </w:p>
  </w:footnote>
  <w:footnote w:id="5">
    <w:p w:rsidR="00D667A0" w:rsidRDefault="00D667A0">
      <w:pPr>
        <w:pStyle w:val="Textpoznpodarou"/>
      </w:pPr>
      <w:r>
        <w:rPr>
          <w:rStyle w:val="Znakapoznpodarou"/>
        </w:rPr>
        <w:footnoteRef/>
      </w:r>
      <w:r>
        <w:t xml:space="preserve"> </w:t>
      </w:r>
      <w:r w:rsidRPr="00EF1EE3">
        <w:rPr>
          <w:sz w:val="16"/>
          <w:szCs w:val="16"/>
        </w:rPr>
        <w:t>Příspěvky ke změně HDP po vyloučení dovozu pro konečné užití.</w:t>
      </w:r>
    </w:p>
  </w:footnote>
  <w:footnote w:id="6">
    <w:p w:rsidR="00D667A0" w:rsidRDefault="00D667A0" w:rsidP="005A61D1">
      <w:pPr>
        <w:pStyle w:val="Textpoznpodarou"/>
      </w:pPr>
      <w:r w:rsidRPr="00004BA8">
        <w:rPr>
          <w:rStyle w:val="Znakapoznpodarou"/>
          <w:sz w:val="16"/>
        </w:rPr>
        <w:footnoteRef/>
      </w:r>
      <w:r w:rsidRPr="00004BA8">
        <w:rPr>
          <w:sz w:val="16"/>
        </w:rPr>
        <w:t xml:space="preserve"> V pojetí národních účtů, sezónně očištěno.</w:t>
      </w:r>
    </w:p>
  </w:footnote>
  <w:footnote w:id="7">
    <w:p w:rsidR="00D667A0" w:rsidRDefault="00D667A0">
      <w:pPr>
        <w:pStyle w:val="Textpoznpodarou"/>
      </w:pPr>
      <w:r>
        <w:rPr>
          <w:rStyle w:val="Znakapoznpodarou"/>
        </w:rPr>
        <w:footnoteRef/>
      </w:r>
      <w:r>
        <w:t xml:space="preserve"> </w:t>
      </w:r>
      <w:r>
        <w:rPr>
          <w:sz w:val="16"/>
          <w:szCs w:val="16"/>
        </w:rPr>
        <w:t>Do reálného vyjádření převedeno s využitím deflátoru</w:t>
      </w:r>
      <w:r w:rsidRPr="00DF1793">
        <w:rPr>
          <w:sz w:val="16"/>
          <w:szCs w:val="16"/>
        </w:rPr>
        <w:t xml:space="preserve"> výdajů na konečnou spotřebu domácností.</w:t>
      </w:r>
    </w:p>
  </w:footnote>
  <w:footnote w:id="8">
    <w:p w:rsidR="00D667A0" w:rsidRPr="009B4251" w:rsidRDefault="00D667A0" w:rsidP="006963FB">
      <w:pPr>
        <w:pStyle w:val="Textpoznpodarou"/>
        <w:rPr>
          <w:sz w:val="16"/>
        </w:rPr>
      </w:pPr>
      <w:r w:rsidRPr="009B4251">
        <w:rPr>
          <w:rStyle w:val="Znakapoznpodarou"/>
          <w:sz w:val="18"/>
        </w:rPr>
        <w:footnoteRef/>
      </w:r>
      <w:r w:rsidRPr="009B4251">
        <w:rPr>
          <w:sz w:val="16"/>
        </w:rPr>
        <w:t xml:space="preserve"> Podle metodiky </w:t>
      </w:r>
      <w:r>
        <w:rPr>
          <w:sz w:val="16"/>
        </w:rPr>
        <w:t xml:space="preserve">čtvrtletních </w:t>
      </w:r>
      <w:r w:rsidRPr="009B4251">
        <w:rPr>
          <w:sz w:val="16"/>
        </w:rPr>
        <w:t>národních účtů</w:t>
      </w:r>
      <w:r>
        <w:rPr>
          <w:sz w:val="16"/>
        </w:rPr>
        <w:t xml:space="preserve"> (vývoz a dovoz v ocenění FOB/FOB)</w:t>
      </w:r>
    </w:p>
  </w:footnote>
  <w:footnote w:id="9">
    <w:p w:rsidR="00D667A0" w:rsidRPr="00EC671E" w:rsidRDefault="00D667A0" w:rsidP="00A0172C">
      <w:pPr>
        <w:pStyle w:val="Textpoznpodarou"/>
        <w:jc w:val="both"/>
        <w:rPr>
          <w:color w:val="0D0D0D" w:themeColor="text1" w:themeTint="F2"/>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Údaje o HPH jsou vyjádřeny ve stálých cenách a v očištění o sezónní a kalendářní vlivy.</w:t>
      </w:r>
    </w:p>
  </w:footnote>
  <w:footnote w:id="10">
    <w:p w:rsidR="00D667A0" w:rsidRPr="00EC671E" w:rsidRDefault="00D667A0" w:rsidP="00A0172C">
      <w:pPr>
        <w:pStyle w:val="Textpoznpodarou"/>
        <w:jc w:val="both"/>
        <w:rPr>
          <w:color w:val="0D0D0D" w:themeColor="text1" w:themeTint="F2"/>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Z</w:t>
      </w:r>
      <w:r>
        <w:rPr>
          <w:color w:val="0D0D0D" w:themeColor="text1" w:themeTint="F2"/>
          <w:sz w:val="16"/>
          <w:szCs w:val="16"/>
        </w:rPr>
        <w:t>ahrnutá odvětví: Těžba a dobývání, Zpracovatelský průmysl, Energetika</w:t>
      </w:r>
      <w:r w:rsidRPr="00EC671E">
        <w:rPr>
          <w:color w:val="0D0D0D" w:themeColor="text1" w:themeTint="F2"/>
          <w:sz w:val="16"/>
          <w:szCs w:val="16"/>
        </w:rPr>
        <w:t>.</w:t>
      </w:r>
      <w:r>
        <w:rPr>
          <w:color w:val="0D0D0D" w:themeColor="text1" w:themeTint="F2"/>
          <w:sz w:val="16"/>
          <w:szCs w:val="16"/>
        </w:rPr>
        <w:t xml:space="preserve"> Všechna m</w:t>
      </w:r>
      <w:r w:rsidRPr="00EC671E">
        <w:rPr>
          <w:color w:val="0D0D0D" w:themeColor="text1" w:themeTint="F2"/>
          <w:sz w:val="16"/>
          <w:szCs w:val="16"/>
        </w:rPr>
        <w:t xml:space="preserve">eziroční tempa produkce </w:t>
      </w:r>
      <w:r>
        <w:rPr>
          <w:color w:val="0D0D0D" w:themeColor="text1" w:themeTint="F2"/>
          <w:sz w:val="16"/>
          <w:szCs w:val="16"/>
        </w:rPr>
        <w:t xml:space="preserve">(na úrovni odvětvových sekcí i oddílů) jsou </w:t>
      </w:r>
      <w:r w:rsidRPr="00EC671E">
        <w:rPr>
          <w:color w:val="0D0D0D" w:themeColor="text1" w:themeTint="F2"/>
          <w:sz w:val="16"/>
          <w:szCs w:val="16"/>
        </w:rPr>
        <w:t>očištěna o kalendářní vlivy.</w:t>
      </w:r>
    </w:p>
  </w:footnote>
  <w:footnote w:id="11">
    <w:p w:rsidR="00D667A0" w:rsidRPr="00EC671E" w:rsidRDefault="00D667A0" w:rsidP="00A0172C">
      <w:pPr>
        <w:pStyle w:val="Textpoznpodarou"/>
        <w:jc w:val="both"/>
        <w:rPr>
          <w:color w:val="0D0D0D" w:themeColor="text1" w:themeTint="F2"/>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Silné tempo bylo ovlivněno vyšším počtem pracovních dní (o 3 více než ve stejném období loňského roku). Výrazný rozdíl mezi očištěnou a neočištěnou produkcí se ve stejném směru působení i s obdobnou intenzitou objevil i ve 2. čtvrtletí 2016.</w:t>
      </w:r>
    </w:p>
  </w:footnote>
  <w:footnote w:id="12">
    <w:p w:rsidR="00D667A0" w:rsidRPr="00EC671E" w:rsidRDefault="00D667A0" w:rsidP="00A0172C">
      <w:pPr>
        <w:pStyle w:val="Textpoznpodarou"/>
        <w:jc w:val="both"/>
        <w:rPr>
          <w:color w:val="0D0D0D" w:themeColor="text1" w:themeTint="F2"/>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O rostoucích cenách surovin vypovídají také </w:t>
      </w:r>
      <w:r>
        <w:rPr>
          <w:color w:val="0D0D0D" w:themeColor="text1" w:themeTint="F2"/>
          <w:sz w:val="16"/>
          <w:szCs w:val="16"/>
        </w:rPr>
        <w:t xml:space="preserve">nominální </w:t>
      </w:r>
      <w:r w:rsidRPr="00EC671E">
        <w:rPr>
          <w:color w:val="0D0D0D" w:themeColor="text1" w:themeTint="F2"/>
          <w:sz w:val="16"/>
          <w:szCs w:val="16"/>
        </w:rPr>
        <w:t xml:space="preserve">tržby podniků v těžbě a dobývání. Ty v 1. čtvrtletí </w:t>
      </w:r>
      <w:r>
        <w:rPr>
          <w:color w:val="0D0D0D" w:themeColor="text1" w:themeTint="F2"/>
          <w:sz w:val="16"/>
          <w:szCs w:val="16"/>
        </w:rPr>
        <w:t>2017 poprvé po dvanácti čtvrtletích</w:t>
      </w:r>
      <w:r w:rsidRPr="00EC671E">
        <w:rPr>
          <w:color w:val="0D0D0D" w:themeColor="text1" w:themeTint="F2"/>
          <w:sz w:val="16"/>
          <w:szCs w:val="16"/>
        </w:rPr>
        <w:t xml:space="preserve"> zastavily propad. Jejich meziroční tempo (+12,2 %) bylo zároveň nejvyšší od 3. čtvrtletí 2010. V naturálním vyjádření</w:t>
      </w:r>
      <w:r>
        <w:rPr>
          <w:color w:val="0D0D0D" w:themeColor="text1" w:themeTint="F2"/>
          <w:sz w:val="16"/>
          <w:szCs w:val="16"/>
        </w:rPr>
        <w:t xml:space="preserve"> však redukce těžby pokračovala.</w:t>
      </w:r>
      <w:r w:rsidRPr="00EC671E">
        <w:rPr>
          <w:color w:val="0D0D0D" w:themeColor="text1" w:themeTint="F2"/>
          <w:sz w:val="16"/>
          <w:szCs w:val="16"/>
        </w:rPr>
        <w:t xml:space="preserve"> </w:t>
      </w:r>
    </w:p>
  </w:footnote>
  <w:footnote w:id="13">
    <w:p w:rsidR="00D667A0" w:rsidRPr="00EC671E" w:rsidRDefault="00D667A0" w:rsidP="00A0172C">
      <w:pPr>
        <w:pStyle w:val="Textpoznpodarou"/>
        <w:jc w:val="both"/>
        <w:rPr>
          <w:color w:val="0D0D0D" w:themeColor="text1" w:themeTint="F2"/>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Podle údajů Sdružení automobilového průmyslu bylo v Česku během prvních třech měsíců roku vyrobeno 387 tis. osobních automobilů, meziročně o 10,7 % více. Dařilo se i většině výrobců ostatních druhů motorových vozidel.</w:t>
      </w:r>
    </w:p>
  </w:footnote>
  <w:footnote w:id="14">
    <w:p w:rsidR="00D667A0" w:rsidRPr="002A2EE3" w:rsidRDefault="00D667A0" w:rsidP="00A0172C">
      <w:pPr>
        <w:pStyle w:val="Textpoznpodarou"/>
        <w:jc w:val="both"/>
        <w:rPr>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Obdobnou výši produkce jako na konci poslední recese letos vykázal také odvětvový oddíl Oprava a instalace strojů a zařízení. Všechny ostatní obory zpracovatelského průmyslu tuto úroveň již překonaly – nejvíce</w:t>
      </w:r>
      <w:r>
        <w:rPr>
          <w:color w:val="0D0D0D" w:themeColor="text1" w:themeTint="F2"/>
          <w:sz w:val="16"/>
          <w:szCs w:val="16"/>
        </w:rPr>
        <w:t xml:space="preserve"> Výroba motorových vozidel (o 66</w:t>
      </w:r>
      <w:r w:rsidRPr="00EC671E">
        <w:rPr>
          <w:color w:val="0D0D0D" w:themeColor="text1" w:themeTint="F2"/>
          <w:sz w:val="16"/>
          <w:szCs w:val="16"/>
        </w:rPr>
        <w:t xml:space="preserve"> %) a Výroba počítačů, elektronic</w:t>
      </w:r>
      <w:r>
        <w:rPr>
          <w:color w:val="0D0D0D" w:themeColor="text1" w:themeTint="F2"/>
          <w:sz w:val="16"/>
          <w:szCs w:val="16"/>
        </w:rPr>
        <w:t>kých a optických přístrojů (o 37</w:t>
      </w:r>
      <w:r w:rsidRPr="00EC671E">
        <w:rPr>
          <w:color w:val="0D0D0D" w:themeColor="text1" w:themeTint="F2"/>
          <w:sz w:val="16"/>
          <w:szCs w:val="16"/>
        </w:rPr>
        <w:t xml:space="preserve"> %).</w:t>
      </w:r>
      <w:r>
        <w:rPr>
          <w:sz w:val="16"/>
          <w:szCs w:val="16"/>
        </w:rPr>
        <w:t xml:space="preserve"> Z nezpracovatelských oborů výrazně zaostával těžební průmysl (-13 %). </w:t>
      </w:r>
    </w:p>
  </w:footnote>
  <w:footnote w:id="15">
    <w:p w:rsidR="00D667A0" w:rsidRPr="00EC671E" w:rsidRDefault="00D667A0" w:rsidP="00A0172C">
      <w:pPr>
        <w:pStyle w:val="Textpoznpodarou"/>
        <w:jc w:val="both"/>
        <w:rPr>
          <w:rFonts w:cs="Arial"/>
          <w:color w:val="0D0D0D" w:themeColor="text1" w:themeTint="F2"/>
          <w:sz w:val="16"/>
          <w:szCs w:val="16"/>
        </w:rPr>
      </w:pPr>
      <w:r w:rsidRPr="00EC671E">
        <w:rPr>
          <w:rStyle w:val="Znakapoznpodarou"/>
          <w:rFonts w:cs="Arial"/>
          <w:color w:val="0D0D0D" w:themeColor="text1" w:themeTint="F2"/>
          <w:sz w:val="16"/>
          <w:szCs w:val="16"/>
        </w:rPr>
        <w:footnoteRef/>
      </w:r>
      <w:r w:rsidRPr="00EC671E">
        <w:rPr>
          <w:rFonts w:cs="Arial"/>
          <w:color w:val="0D0D0D" w:themeColor="text1" w:themeTint="F2"/>
          <w:sz w:val="16"/>
          <w:szCs w:val="16"/>
        </w:rPr>
        <w:t xml:space="preserve"> </w:t>
      </w:r>
      <w:r w:rsidRPr="00EC671E">
        <w:rPr>
          <w:rFonts w:cs="Arial"/>
          <w:bCs/>
          <w:color w:val="0D0D0D" w:themeColor="text1" w:themeTint="F2"/>
          <w:sz w:val="16"/>
          <w:szCs w:val="16"/>
        </w:rPr>
        <w:t>Tržby z průmyslové činnosti</w:t>
      </w:r>
      <w:r w:rsidRPr="00EC671E">
        <w:rPr>
          <w:rFonts w:cs="Arial"/>
          <w:color w:val="0D0D0D" w:themeColor="text1" w:themeTint="F2"/>
          <w:sz w:val="16"/>
          <w:szCs w:val="16"/>
        </w:rPr>
        <w:t xml:space="preserve"> zahrnují jen tržby za výrobky a služby zařazené dle klasifikace CZ-CPA do oddílů 05-39, jde tedy o tržby očištěné od vedlejších neprůmyslových činností podniku. Na rozdíl </w:t>
      </w:r>
      <w:r>
        <w:rPr>
          <w:rFonts w:cs="Arial"/>
          <w:color w:val="0D0D0D" w:themeColor="text1" w:themeTint="F2"/>
          <w:sz w:val="16"/>
          <w:szCs w:val="16"/>
        </w:rPr>
        <w:t>od</w:t>
      </w:r>
      <w:r w:rsidRPr="00EC671E">
        <w:rPr>
          <w:rFonts w:cs="Arial"/>
          <w:color w:val="0D0D0D" w:themeColor="text1" w:themeTint="F2"/>
          <w:sz w:val="16"/>
          <w:szCs w:val="16"/>
        </w:rPr>
        <w:t xml:space="preserve"> průmyslové produkce jsou vyjádřeny v běžných cenách.</w:t>
      </w:r>
    </w:p>
  </w:footnote>
  <w:footnote w:id="16">
    <w:p w:rsidR="00D667A0" w:rsidRPr="00EC671E" w:rsidRDefault="00D667A0" w:rsidP="00A0172C">
      <w:pPr>
        <w:pStyle w:val="Textpoznpodarou"/>
        <w:jc w:val="both"/>
        <w:rPr>
          <w:rFonts w:cs="Arial"/>
          <w:color w:val="0D0D0D" w:themeColor="text1" w:themeTint="F2"/>
          <w:sz w:val="16"/>
          <w:szCs w:val="16"/>
        </w:rPr>
      </w:pPr>
      <w:r w:rsidRPr="00EC671E">
        <w:rPr>
          <w:rStyle w:val="Znakapoznpodarou"/>
          <w:rFonts w:cs="Arial"/>
          <w:color w:val="0D0D0D" w:themeColor="text1" w:themeTint="F2"/>
          <w:sz w:val="16"/>
          <w:szCs w:val="16"/>
        </w:rPr>
        <w:footnoteRef/>
      </w:r>
      <w:r w:rsidRPr="00EC671E">
        <w:rPr>
          <w:rFonts w:cs="Arial"/>
          <w:color w:val="0D0D0D" w:themeColor="text1" w:themeTint="F2"/>
          <w:sz w:val="16"/>
          <w:szCs w:val="16"/>
        </w:rPr>
        <w:t xml:space="preserve"> Průmyslové zakázky se sledují pouze ve vybraných oddílech CZ-NACE (13, 14, 17, 20 až 21, 24 až 30), které vyrábějí převážně na zakázku, s dlouhodobějším výrobním cyklem a s většími zásobami zakázek.</w:t>
      </w:r>
    </w:p>
  </w:footnote>
  <w:footnote w:id="17">
    <w:p w:rsidR="00D667A0" w:rsidRPr="00B4577F" w:rsidRDefault="00D667A0" w:rsidP="00A0172C">
      <w:pPr>
        <w:pStyle w:val="Textpoznpodarou"/>
        <w:jc w:val="both"/>
        <w:rPr>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Údaje o stavební produkci jsou korigovány o kalendářní vlivy (bez tohoto očištění by stavební produkce v 1. čtvrtletí 2017 meziročně stagnovala). V samotném březnu byla očištěná </w:t>
      </w:r>
      <w:r>
        <w:rPr>
          <w:color w:val="0D0D0D" w:themeColor="text1" w:themeTint="F2"/>
          <w:sz w:val="16"/>
          <w:szCs w:val="16"/>
        </w:rPr>
        <w:t>stavební produkce o 3,1</w:t>
      </w:r>
      <w:r w:rsidRPr="00EC671E">
        <w:rPr>
          <w:color w:val="0D0D0D" w:themeColor="text1" w:themeTint="F2"/>
          <w:sz w:val="16"/>
          <w:szCs w:val="16"/>
        </w:rPr>
        <w:t xml:space="preserve"> % vyšší (loňskou úroveň přitom mírně překonala v pozemním i inženýrském stavitelství). Rozjezdu stavebních prací napomohlo i teplejší březnové počasí.</w:t>
      </w:r>
    </w:p>
  </w:footnote>
  <w:footnote w:id="18">
    <w:p w:rsidR="00D667A0" w:rsidRPr="00EC671E" w:rsidRDefault="00D667A0" w:rsidP="00355CAA">
      <w:pPr>
        <w:pStyle w:val="Textpoznpodarou"/>
        <w:rPr>
          <w:color w:val="0D0D0D" w:themeColor="text1" w:themeTint="F2"/>
          <w:spacing w:val="-4"/>
          <w:sz w:val="16"/>
          <w:szCs w:val="16"/>
        </w:rPr>
      </w:pPr>
      <w:r w:rsidRPr="00EC671E">
        <w:rPr>
          <w:rStyle w:val="Znakapoznpodarou"/>
          <w:color w:val="0D0D0D" w:themeColor="text1" w:themeTint="F2"/>
          <w:spacing w:val="-4"/>
          <w:sz w:val="16"/>
          <w:szCs w:val="16"/>
        </w:rPr>
        <w:footnoteRef/>
      </w:r>
      <w:r w:rsidRPr="00EC671E">
        <w:rPr>
          <w:color w:val="0D0D0D" w:themeColor="text1" w:themeTint="F2"/>
          <w:spacing w:val="-4"/>
          <w:sz w:val="16"/>
          <w:szCs w:val="16"/>
        </w:rPr>
        <w:t xml:space="preserve">Bez obchodu, peněžnictví, pojišťovnictví, vědy, výzkumu a veř. </w:t>
      </w:r>
      <w:proofErr w:type="gramStart"/>
      <w:r w:rsidRPr="00EC671E">
        <w:rPr>
          <w:color w:val="0D0D0D" w:themeColor="text1" w:themeTint="F2"/>
          <w:spacing w:val="-4"/>
          <w:sz w:val="16"/>
          <w:szCs w:val="16"/>
        </w:rPr>
        <w:t>služeb</w:t>
      </w:r>
      <w:proofErr w:type="gramEnd"/>
      <w:r w:rsidRPr="00EC671E">
        <w:rPr>
          <w:color w:val="0D0D0D" w:themeColor="text1" w:themeTint="F2"/>
          <w:spacing w:val="-4"/>
          <w:sz w:val="16"/>
          <w:szCs w:val="16"/>
        </w:rPr>
        <w:t>. Údaje za služby jsou očištěny o kalendářní vlivy ve stálých cenách.</w:t>
      </w:r>
    </w:p>
  </w:footnote>
  <w:footnote w:id="19">
    <w:p w:rsidR="00D667A0" w:rsidRPr="00EC671E" w:rsidRDefault="00D667A0" w:rsidP="00EF3CF0">
      <w:pPr>
        <w:pStyle w:val="Textpoznpodarou"/>
        <w:rPr>
          <w:color w:val="0D0D0D" w:themeColor="text1" w:themeTint="F2"/>
          <w:sz w:val="16"/>
          <w:szCs w:val="16"/>
        </w:rPr>
      </w:pPr>
      <w:r w:rsidRPr="00EC671E">
        <w:rPr>
          <w:rStyle w:val="Znakapoznpodarou"/>
          <w:color w:val="0D0D0D" w:themeColor="text1" w:themeTint="F2"/>
          <w:sz w:val="16"/>
          <w:szCs w:val="16"/>
        </w:rPr>
        <w:footnoteRef/>
      </w:r>
      <w:r w:rsidRPr="00EC671E">
        <w:rPr>
          <w:color w:val="0D0D0D" w:themeColor="text1" w:themeTint="F2"/>
          <w:sz w:val="16"/>
          <w:szCs w:val="16"/>
        </w:rPr>
        <w:t xml:space="preserve"> Bez mot</w:t>
      </w:r>
      <w:r>
        <w:rPr>
          <w:color w:val="0D0D0D" w:themeColor="text1" w:themeTint="F2"/>
          <w:sz w:val="16"/>
          <w:szCs w:val="16"/>
        </w:rPr>
        <w:t>oristického segmentu. Ú</w:t>
      </w:r>
      <w:r w:rsidRPr="00EC671E">
        <w:rPr>
          <w:color w:val="0D0D0D" w:themeColor="text1" w:themeTint="F2"/>
          <w:sz w:val="16"/>
          <w:szCs w:val="16"/>
        </w:rPr>
        <w:t>daje o maloobchodních tržbách jsou očištěny o kalendářní vlivy ve stálých cenách.</w:t>
      </w:r>
    </w:p>
  </w:footnote>
  <w:footnote w:id="20">
    <w:p w:rsidR="00D667A0" w:rsidRPr="003279A7" w:rsidRDefault="00D667A0" w:rsidP="00134DFD">
      <w:pPr>
        <w:pStyle w:val="Textpoznpodarou"/>
        <w:rPr>
          <w:sz w:val="16"/>
          <w:szCs w:val="16"/>
        </w:rPr>
      </w:pPr>
      <w:r w:rsidRPr="003279A7">
        <w:rPr>
          <w:rStyle w:val="Znakapoznpodarou"/>
          <w:sz w:val="16"/>
          <w:szCs w:val="16"/>
        </w:rPr>
        <w:footnoteRef/>
      </w:r>
      <w:r w:rsidRPr="003279A7">
        <w:rPr>
          <w:sz w:val="16"/>
          <w:szCs w:val="16"/>
        </w:rPr>
        <w:t xml:space="preserve"> Údaje </w:t>
      </w:r>
      <w:r>
        <w:rPr>
          <w:sz w:val="16"/>
          <w:szCs w:val="16"/>
        </w:rPr>
        <w:t xml:space="preserve">statistiky zahraničního obchodu </w:t>
      </w:r>
      <w:r w:rsidRPr="003279A7">
        <w:rPr>
          <w:sz w:val="16"/>
          <w:szCs w:val="16"/>
        </w:rPr>
        <w:t>v národním pojetí v nominálním vyjádření zahrnující pouze obchod se zbožím. Hodnota vývozu je zachycena v cenách FOB, tj. včetně nákladů souvisejících s dopravou na hranice ČR. Dovoz</w:t>
      </w:r>
      <w:r>
        <w:rPr>
          <w:sz w:val="16"/>
          <w:szCs w:val="16"/>
        </w:rPr>
        <w:t xml:space="preserve"> uvedený níže v této kapitole</w:t>
      </w:r>
      <w:r w:rsidRPr="003279A7">
        <w:rPr>
          <w:sz w:val="16"/>
          <w:szCs w:val="16"/>
        </w:rPr>
        <w:t xml:space="preserve"> je v cenách CIF, tj. včetně nákladů souvisejících s dopravou v zahraničí na hranice ČR. Data jsou platná k </w:t>
      </w:r>
      <w:r>
        <w:rPr>
          <w:sz w:val="16"/>
          <w:szCs w:val="16"/>
        </w:rPr>
        <w:t>6</w:t>
      </w:r>
      <w:r w:rsidRPr="003279A7">
        <w:rPr>
          <w:sz w:val="16"/>
          <w:szCs w:val="16"/>
        </w:rPr>
        <w:t xml:space="preserve">. </w:t>
      </w:r>
      <w:r>
        <w:rPr>
          <w:sz w:val="16"/>
          <w:szCs w:val="16"/>
        </w:rPr>
        <w:t>6</w:t>
      </w:r>
      <w:r w:rsidRPr="003279A7">
        <w:rPr>
          <w:sz w:val="16"/>
          <w:szCs w:val="16"/>
        </w:rPr>
        <w:t>.</w:t>
      </w:r>
      <w:r>
        <w:rPr>
          <w:sz w:val="16"/>
          <w:szCs w:val="16"/>
        </w:rPr>
        <w:t xml:space="preserve"> 2017.</w:t>
      </w:r>
      <w:r w:rsidRPr="003279A7">
        <w:rPr>
          <w:sz w:val="16"/>
          <w:szCs w:val="16"/>
        </w:rPr>
        <w:t xml:space="preserve">  </w:t>
      </w:r>
    </w:p>
  </w:footnote>
  <w:footnote w:id="21">
    <w:p w:rsidR="00D667A0" w:rsidRDefault="00D667A0" w:rsidP="00780DDF">
      <w:pPr>
        <w:pStyle w:val="Textpoznpodarou"/>
      </w:pPr>
      <w:r>
        <w:rPr>
          <w:rStyle w:val="Znakapoznpodarou"/>
        </w:rPr>
        <w:footnoteRef/>
      </w:r>
      <w:r>
        <w:t xml:space="preserve"> </w:t>
      </w:r>
      <w:r w:rsidRPr="003279A7">
        <w:rPr>
          <w:sz w:val="16"/>
          <w:szCs w:val="16"/>
        </w:rPr>
        <w:t xml:space="preserve">Údaje </w:t>
      </w:r>
      <w:r>
        <w:rPr>
          <w:sz w:val="16"/>
          <w:szCs w:val="16"/>
        </w:rPr>
        <w:t xml:space="preserve">statistiky zahraničního obchodu </w:t>
      </w:r>
      <w:r w:rsidRPr="003279A7">
        <w:rPr>
          <w:sz w:val="16"/>
          <w:szCs w:val="16"/>
        </w:rPr>
        <w:t>v národním pojetí</w:t>
      </w:r>
      <w:r>
        <w:rPr>
          <w:sz w:val="16"/>
          <w:szCs w:val="16"/>
        </w:rPr>
        <w:t xml:space="preserve"> v ocenění FOB (vývoz) a CIF (dovoz).</w:t>
      </w:r>
    </w:p>
  </w:footnote>
  <w:footnote w:id="22">
    <w:p w:rsidR="00D667A0" w:rsidRPr="00CF166F" w:rsidRDefault="00D667A0">
      <w:pPr>
        <w:pStyle w:val="Textpoznpodarou"/>
        <w:rPr>
          <w:sz w:val="16"/>
          <w:szCs w:val="16"/>
        </w:rPr>
      </w:pPr>
      <w:r>
        <w:rPr>
          <w:rStyle w:val="Znakapoznpodarou"/>
        </w:rPr>
        <w:footnoteRef/>
      </w:r>
      <w:r>
        <w:t xml:space="preserve"> </w:t>
      </w:r>
      <w:r w:rsidRPr="009748AC">
        <w:rPr>
          <w:sz w:val="16"/>
          <w:szCs w:val="16"/>
        </w:rPr>
        <w:t>Například p</w:t>
      </w:r>
      <w:r w:rsidRPr="00CF166F">
        <w:rPr>
          <w:sz w:val="16"/>
          <w:szCs w:val="16"/>
        </w:rPr>
        <w:t>rognóza ČNB z 3. 11. 2016 počítala s návratem inflace nad 2 % až ve 3. čtvrtletí 2017.</w:t>
      </w:r>
    </w:p>
  </w:footnote>
  <w:footnote w:id="23">
    <w:p w:rsidR="00D667A0" w:rsidRDefault="00D667A0">
      <w:pPr>
        <w:pStyle w:val="Textpoznpodarou"/>
      </w:pPr>
      <w:r>
        <w:rPr>
          <w:rStyle w:val="Znakapoznpodarou"/>
        </w:rPr>
        <w:footnoteRef/>
      </w:r>
      <w:r>
        <w:t xml:space="preserve"> </w:t>
      </w:r>
      <w:r w:rsidRPr="0028235C">
        <w:rPr>
          <w:sz w:val="16"/>
          <w:szCs w:val="16"/>
        </w:rPr>
        <w:t xml:space="preserve">Vyjádřená přírůstkem </w:t>
      </w:r>
      <w:proofErr w:type="spellStart"/>
      <w:r w:rsidRPr="0028235C">
        <w:rPr>
          <w:sz w:val="16"/>
          <w:szCs w:val="16"/>
        </w:rPr>
        <w:t>prům</w:t>
      </w:r>
      <w:proofErr w:type="spellEnd"/>
      <w:r>
        <w:rPr>
          <w:sz w:val="16"/>
          <w:szCs w:val="16"/>
        </w:rPr>
        <w:t>.</w:t>
      </w:r>
      <w:r w:rsidRPr="0028235C">
        <w:rPr>
          <w:sz w:val="16"/>
          <w:szCs w:val="16"/>
        </w:rPr>
        <w:t xml:space="preserve"> indexu spotřebitelských cen za posledních dvanáct měsíců oproti průměru předchozích 12 měsíců</w:t>
      </w:r>
      <w:r>
        <w:rPr>
          <w:sz w:val="16"/>
          <w:szCs w:val="16"/>
        </w:rPr>
        <w:t>.</w:t>
      </w:r>
    </w:p>
  </w:footnote>
  <w:footnote w:id="24">
    <w:p w:rsidR="00D667A0" w:rsidRPr="00B4223A" w:rsidRDefault="00D667A0" w:rsidP="00D84BD1">
      <w:pPr>
        <w:pStyle w:val="Textpoznpodarou"/>
        <w:jc w:val="both"/>
        <w:rPr>
          <w:sz w:val="16"/>
          <w:szCs w:val="16"/>
        </w:rPr>
      </w:pPr>
      <w:r w:rsidRPr="00B4223A">
        <w:rPr>
          <w:rStyle w:val="Znakapoznpodarou"/>
          <w:sz w:val="16"/>
          <w:szCs w:val="16"/>
        </w:rPr>
        <w:footnoteRef/>
      </w:r>
      <w:r w:rsidRPr="00B4223A">
        <w:rPr>
          <w:sz w:val="16"/>
          <w:szCs w:val="16"/>
        </w:rPr>
        <w:t xml:space="preserve"> Pok</w:t>
      </w:r>
      <w:r>
        <w:rPr>
          <w:sz w:val="16"/>
          <w:szCs w:val="16"/>
        </w:rPr>
        <w:t xml:space="preserve">ud není uvedeno jinak, jsou </w:t>
      </w:r>
      <w:r w:rsidRPr="00B4223A">
        <w:rPr>
          <w:sz w:val="16"/>
          <w:szCs w:val="16"/>
        </w:rPr>
        <w:t xml:space="preserve">v této kapitole </w:t>
      </w:r>
      <w:r>
        <w:rPr>
          <w:sz w:val="16"/>
          <w:szCs w:val="16"/>
        </w:rPr>
        <w:t>údaje o zaměstnanosti</w:t>
      </w:r>
      <w:r w:rsidRPr="00B4223A">
        <w:rPr>
          <w:sz w:val="16"/>
          <w:szCs w:val="16"/>
        </w:rPr>
        <w:t xml:space="preserve"> </w:t>
      </w:r>
      <w:r>
        <w:rPr>
          <w:sz w:val="16"/>
          <w:szCs w:val="16"/>
        </w:rPr>
        <w:t xml:space="preserve">uvedeny </w:t>
      </w:r>
      <w:r w:rsidRPr="00B4223A">
        <w:rPr>
          <w:sz w:val="16"/>
          <w:szCs w:val="16"/>
        </w:rPr>
        <w:t>v pojetí národních účtů v očištění o sezónní vlivy.</w:t>
      </w:r>
    </w:p>
  </w:footnote>
  <w:footnote w:id="25">
    <w:p w:rsidR="00D667A0" w:rsidRPr="00E85B0A" w:rsidRDefault="00D667A0" w:rsidP="00D84BD1">
      <w:pPr>
        <w:pStyle w:val="Textpoznpodarou"/>
        <w:jc w:val="both"/>
        <w:rPr>
          <w:sz w:val="16"/>
          <w:szCs w:val="16"/>
        </w:rPr>
      </w:pPr>
      <w:r w:rsidRPr="00E85B0A">
        <w:rPr>
          <w:rStyle w:val="Znakapoznpodarou"/>
          <w:sz w:val="16"/>
          <w:szCs w:val="16"/>
        </w:rPr>
        <w:footnoteRef/>
      </w:r>
      <w:r w:rsidRPr="00E85B0A">
        <w:rPr>
          <w:sz w:val="16"/>
          <w:szCs w:val="16"/>
        </w:rPr>
        <w:t xml:space="preserve"> Dle evidence Ředitelství služeb cizinecké policie přesáhl p</w:t>
      </w:r>
      <w:r>
        <w:rPr>
          <w:sz w:val="16"/>
          <w:szCs w:val="16"/>
        </w:rPr>
        <w:t>očet všech cizinců</w:t>
      </w:r>
      <w:r w:rsidRPr="00E85B0A">
        <w:rPr>
          <w:sz w:val="16"/>
          <w:szCs w:val="16"/>
        </w:rPr>
        <w:t xml:space="preserve"> v průběhu 1. čtvrtletí 2017 </w:t>
      </w:r>
      <w:r>
        <w:rPr>
          <w:sz w:val="16"/>
          <w:szCs w:val="16"/>
        </w:rPr>
        <w:t xml:space="preserve">poprvé v historii samostatné ČR </w:t>
      </w:r>
      <w:r w:rsidRPr="00E85B0A">
        <w:rPr>
          <w:sz w:val="16"/>
          <w:szCs w:val="16"/>
        </w:rPr>
        <w:t xml:space="preserve">půlmiliónovou hranici. S ohledem na jejich věkové složení </w:t>
      </w:r>
      <w:r>
        <w:rPr>
          <w:sz w:val="16"/>
          <w:szCs w:val="16"/>
        </w:rPr>
        <w:t xml:space="preserve">(čtyři z pěti cizinců byli ve věku 20 až 64 let) </w:t>
      </w:r>
      <w:r w:rsidRPr="00E85B0A">
        <w:rPr>
          <w:sz w:val="16"/>
          <w:szCs w:val="16"/>
        </w:rPr>
        <w:t>lze předpokládat, že se v drtivé v</w:t>
      </w:r>
      <w:r>
        <w:rPr>
          <w:sz w:val="16"/>
          <w:szCs w:val="16"/>
        </w:rPr>
        <w:t>ětšině jednalo</w:t>
      </w:r>
      <w:r w:rsidRPr="00E85B0A">
        <w:rPr>
          <w:sz w:val="16"/>
          <w:szCs w:val="16"/>
        </w:rPr>
        <w:t xml:space="preserve"> o </w:t>
      </w:r>
      <w:r>
        <w:rPr>
          <w:sz w:val="16"/>
          <w:szCs w:val="16"/>
        </w:rPr>
        <w:t>osoby intenzivně zapojené na trhu práce.</w:t>
      </w:r>
    </w:p>
  </w:footnote>
  <w:footnote w:id="26">
    <w:p w:rsidR="00D667A0" w:rsidRPr="007E12C1" w:rsidRDefault="00D667A0" w:rsidP="004C0243">
      <w:pPr>
        <w:pStyle w:val="Textpoznpodarou"/>
        <w:rPr>
          <w:sz w:val="16"/>
          <w:szCs w:val="16"/>
        </w:rPr>
      </w:pPr>
      <w:r w:rsidRPr="007E12C1">
        <w:rPr>
          <w:rStyle w:val="Znakapoznpodarou"/>
          <w:sz w:val="16"/>
          <w:szCs w:val="16"/>
        </w:rPr>
        <w:footnoteRef/>
      </w:r>
      <w:r w:rsidRPr="007E12C1">
        <w:rPr>
          <w:sz w:val="16"/>
          <w:szCs w:val="16"/>
        </w:rPr>
        <w:t xml:space="preserve"> Údaje ČNB. Není-li uvedeno jinak, jsou veškeré údaje v této kapitole převzaty z databáze ARAD České národní banky. </w:t>
      </w:r>
    </w:p>
  </w:footnote>
  <w:footnote w:id="27">
    <w:p w:rsidR="00D667A0" w:rsidRPr="008334C3" w:rsidRDefault="00D667A0" w:rsidP="004C0243">
      <w:pPr>
        <w:pStyle w:val="Textpoznpodarou"/>
        <w:rPr>
          <w:sz w:val="16"/>
          <w:szCs w:val="16"/>
        </w:rPr>
      </w:pPr>
      <w:r w:rsidRPr="00AB1653">
        <w:rPr>
          <w:rStyle w:val="Znakapoznpodarou"/>
          <w:sz w:val="16"/>
        </w:rPr>
        <w:footnoteRef/>
      </w:r>
      <w:r w:rsidRPr="00AB1653">
        <w:rPr>
          <w:sz w:val="16"/>
        </w:rPr>
        <w:t xml:space="preserve"> </w:t>
      </w:r>
      <w:r>
        <w:rPr>
          <w:sz w:val="16"/>
          <w:szCs w:val="16"/>
        </w:rPr>
        <w:t>P</w:t>
      </w:r>
      <w:r w:rsidRPr="008334C3">
        <w:rPr>
          <w:sz w:val="16"/>
          <w:szCs w:val="16"/>
        </w:rPr>
        <w:t>odle klasifikace CZ-NACE</w:t>
      </w:r>
      <w:r>
        <w:rPr>
          <w:sz w:val="16"/>
          <w:szCs w:val="16"/>
        </w:rPr>
        <w:t>.</w:t>
      </w:r>
    </w:p>
  </w:footnote>
  <w:footnote w:id="28">
    <w:p w:rsidR="00D667A0" w:rsidRPr="00E9220F" w:rsidRDefault="00D667A0" w:rsidP="00A0172C">
      <w:pPr>
        <w:pStyle w:val="Textpoznpodarou"/>
        <w:jc w:val="both"/>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Dle propočtů MF by hospodaření státního rozpočtu (SR) očištěné na příjmové i výdajové straně o prostředky z rozpočtu EU (a finančních mechanismů) skončilo letos schodkem 4,6 mld. korun (v 1. čtvrtletí roku 2016 by takto očištěný výsledek představoval schodek 12,0 mld.).</w:t>
      </w:r>
    </w:p>
  </w:footnote>
  <w:footnote w:id="29">
    <w:p w:rsidR="00D667A0" w:rsidRPr="00E9220F" w:rsidRDefault="00D667A0" w:rsidP="00A0172C">
      <w:pPr>
        <w:pStyle w:val="Textpoznpodarou"/>
        <w:jc w:val="both"/>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Od 1.</w:t>
      </w:r>
      <w:r>
        <w:rPr>
          <w:color w:val="0D0D0D" w:themeColor="text1" w:themeTint="F2"/>
          <w:spacing w:val="-2"/>
          <w:sz w:val="16"/>
          <w:szCs w:val="16"/>
        </w:rPr>
        <w:t xml:space="preserve"> 1. </w:t>
      </w:r>
      <w:r w:rsidRPr="00E9220F">
        <w:rPr>
          <w:color w:val="0D0D0D" w:themeColor="text1" w:themeTint="F2"/>
          <w:spacing w:val="-2"/>
          <w:sz w:val="16"/>
          <w:szCs w:val="16"/>
        </w:rPr>
        <w:t>2017 klesl změnou rozpočtového určení daní podíl SR na celostátním výnosu DPH ze 70,25 % na 69,68 % ve prospěch podílu obcí. Recipročně došlo k úpravě procentního podílu u výnosu daně z příjmu fyzických osob z přiznání, a to ve prospěch SR.</w:t>
      </w:r>
    </w:p>
  </w:footnote>
  <w:footnote w:id="30">
    <w:p w:rsidR="00D667A0" w:rsidRPr="002A52AF" w:rsidRDefault="00D667A0" w:rsidP="00A0172C">
      <w:pPr>
        <w:pStyle w:val="Textpoznpodarou"/>
        <w:jc w:val="both"/>
        <w:rPr>
          <w:color w:val="0D0D0D" w:themeColor="text1" w:themeTint="F2"/>
          <w:sz w:val="16"/>
          <w:szCs w:val="16"/>
        </w:rPr>
      </w:pPr>
      <w:r w:rsidRPr="002A52AF">
        <w:rPr>
          <w:rStyle w:val="Znakapoznpodarou"/>
          <w:color w:val="0D0D0D" w:themeColor="text1" w:themeTint="F2"/>
          <w:sz w:val="16"/>
          <w:szCs w:val="16"/>
        </w:rPr>
        <w:footnoteRef/>
      </w:r>
      <w:r w:rsidRPr="002A52AF">
        <w:rPr>
          <w:color w:val="0D0D0D" w:themeColor="text1" w:themeTint="F2"/>
          <w:sz w:val="16"/>
          <w:szCs w:val="16"/>
        </w:rPr>
        <w:t xml:space="preserve"> Došlo k </w:t>
      </w:r>
      <w:r w:rsidRPr="002A52AF">
        <w:rPr>
          <w:rFonts w:cs="Arial"/>
          <w:color w:val="0D0D0D" w:themeColor="text1" w:themeTint="F2"/>
          <w:sz w:val="16"/>
          <w:szCs w:val="16"/>
        </w:rPr>
        <w:t>vrácení daně za staré krabičky cigaret, jež bylo nutno stáhnout z oběhu.</w:t>
      </w:r>
      <w:r w:rsidRPr="002A52AF">
        <w:rPr>
          <w:color w:val="0D0D0D" w:themeColor="text1" w:themeTint="F2"/>
          <w:sz w:val="16"/>
          <w:szCs w:val="16"/>
        </w:rPr>
        <w:t xml:space="preserve"> Stažení cigaret souviselo s uvedením nových produktů zatížených vyšší sazbou daně a obsahujících důslednější zdravotní varování.</w:t>
      </w:r>
    </w:p>
  </w:footnote>
  <w:footnote w:id="31">
    <w:p w:rsidR="00D667A0" w:rsidRPr="00E9220F" w:rsidRDefault="00D667A0" w:rsidP="00A0172C">
      <w:pPr>
        <w:pStyle w:val="Textpoznpodarou"/>
        <w:jc w:val="both"/>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Silnější vypovídající hodnotu</w:t>
      </w:r>
      <w:r w:rsidRPr="00E9220F">
        <w:rPr>
          <w:rFonts w:cs="Arial"/>
          <w:color w:val="0D0D0D" w:themeColor="text1" w:themeTint="F2"/>
          <w:spacing w:val="-2"/>
          <w:sz w:val="16"/>
          <w:szCs w:val="16"/>
        </w:rPr>
        <w:t xml:space="preserve"> vzhledem k roku 2017 však bude mít až údaj za 2. čtvrtletí, ve kterém již budou zahrnuty i výsledky přiznání největších plátců daně (většina těchto plátců využívá služby </w:t>
      </w:r>
      <w:r w:rsidRPr="00E9220F">
        <w:rPr>
          <w:color w:val="0D0D0D" w:themeColor="text1" w:themeTint="F2"/>
          <w:spacing w:val="-2"/>
          <w:sz w:val="16"/>
          <w:szCs w:val="16"/>
        </w:rPr>
        <w:t>daňových poradců s odkladem podání přiznání na červen).</w:t>
      </w:r>
    </w:p>
  </w:footnote>
  <w:footnote w:id="32">
    <w:p w:rsidR="00D667A0" w:rsidRPr="00A27277" w:rsidRDefault="00D667A0" w:rsidP="00A0172C">
      <w:pPr>
        <w:pStyle w:val="Textpoznpodarou"/>
        <w:jc w:val="both"/>
        <w:rPr>
          <w:spacing w:val="-4"/>
          <w:sz w:val="16"/>
          <w:szCs w:val="16"/>
        </w:rPr>
      </w:pPr>
      <w:r w:rsidRPr="00E9220F">
        <w:rPr>
          <w:rStyle w:val="Znakapoznpodarou"/>
          <w:color w:val="0D0D0D" w:themeColor="text1" w:themeTint="F2"/>
          <w:spacing w:val="-4"/>
          <w:sz w:val="16"/>
          <w:szCs w:val="16"/>
        </w:rPr>
        <w:footnoteRef/>
      </w:r>
      <w:r w:rsidRPr="00E9220F">
        <w:rPr>
          <w:color w:val="0D0D0D" w:themeColor="text1" w:themeTint="F2"/>
          <w:spacing w:val="-4"/>
          <w:sz w:val="16"/>
          <w:szCs w:val="16"/>
        </w:rPr>
        <w:t xml:space="preserve"> Ten v 1. čtvrtletí 2016 činil 7 mld. korun a byl meziročně o osminu vyšší. Meziročně příznivější bylo inkaso této daně i za čtyři letošní měsíce (o</w:t>
      </w:r>
      <w:r w:rsidRPr="00E9220F">
        <w:rPr>
          <w:color w:val="0D0D0D" w:themeColor="text1" w:themeTint="F2"/>
          <w:spacing w:val="-2"/>
          <w:sz w:val="16"/>
          <w:szCs w:val="16"/>
        </w:rPr>
        <w:t> </w:t>
      </w:r>
      <w:r w:rsidRPr="00E9220F">
        <w:rPr>
          <w:color w:val="0D0D0D" w:themeColor="text1" w:themeTint="F2"/>
          <w:spacing w:val="-4"/>
          <w:sz w:val="16"/>
          <w:szCs w:val="16"/>
        </w:rPr>
        <w:t>1,3 mld.), a to navzdory skutečnosti, že dosáhlo záporné hodnoty (-0,9 mld., v souvislosti s vratkami daně při ročním zúčtování záloh).</w:t>
      </w:r>
    </w:p>
  </w:footnote>
  <w:footnote w:id="33">
    <w:p w:rsidR="00D667A0" w:rsidRPr="00E9220F" w:rsidRDefault="00D667A0" w:rsidP="00A0172C">
      <w:pPr>
        <w:pStyle w:val="Textpoznpodarou"/>
        <w:jc w:val="both"/>
        <w:rPr>
          <w:color w:val="0D0D0D" w:themeColor="text1" w:themeTint="F2"/>
          <w:sz w:val="16"/>
          <w:szCs w:val="16"/>
        </w:rPr>
      </w:pPr>
      <w:r w:rsidRPr="00E9220F">
        <w:rPr>
          <w:rStyle w:val="Znakapoznpodarou"/>
          <w:color w:val="0D0D0D" w:themeColor="text1" w:themeTint="F2"/>
          <w:sz w:val="16"/>
          <w:szCs w:val="16"/>
        </w:rPr>
        <w:footnoteRef/>
      </w:r>
      <w:r w:rsidRPr="00E9220F">
        <w:rPr>
          <w:color w:val="0D0D0D" w:themeColor="text1" w:themeTint="F2"/>
          <w:sz w:val="16"/>
          <w:szCs w:val="16"/>
        </w:rPr>
        <w:t xml:space="preserve"> V 1. čtvrtletí 2016 bylo na spolufinancování alokováno 15,7 mld. korun, z toho bezmála 90 % se týkalo v současnosti již skon</w:t>
      </w:r>
      <w:r>
        <w:rPr>
          <w:color w:val="0D0D0D" w:themeColor="text1" w:themeTint="F2"/>
          <w:sz w:val="16"/>
          <w:szCs w:val="16"/>
        </w:rPr>
        <w:t xml:space="preserve">čeného programového období 2007 až </w:t>
      </w:r>
      <w:r w:rsidRPr="00E9220F">
        <w:rPr>
          <w:color w:val="0D0D0D" w:themeColor="text1" w:themeTint="F2"/>
          <w:sz w:val="16"/>
          <w:szCs w:val="16"/>
        </w:rPr>
        <w:t>2013.</w:t>
      </w:r>
    </w:p>
  </w:footnote>
  <w:footnote w:id="34">
    <w:p w:rsidR="00D667A0" w:rsidRPr="00E9220F" w:rsidRDefault="00D667A0" w:rsidP="00A0172C">
      <w:pPr>
        <w:pStyle w:val="Textpoznpodarou"/>
        <w:jc w:val="both"/>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Zatímco v 1. loňském čtvrtletí vykázala rozpočtová kapitola Státní dluh čisté výdaje 3,1 mld. korun, o rok později čisté příjmy za 0,3 mld. </w:t>
      </w:r>
    </w:p>
  </w:footnote>
  <w:footnote w:id="35">
    <w:p w:rsidR="00D667A0" w:rsidRPr="00E9220F" w:rsidRDefault="00D667A0" w:rsidP="00A0172C">
      <w:pPr>
        <w:autoSpaceDE w:val="0"/>
        <w:autoSpaceDN w:val="0"/>
        <w:adjustRightInd w:val="0"/>
        <w:spacing w:line="240" w:lineRule="auto"/>
        <w:jc w:val="both"/>
        <w:rPr>
          <w:rFonts w:cs="Arial"/>
          <w:color w:val="0D0D0D" w:themeColor="text1" w:themeTint="F2"/>
          <w:sz w:val="16"/>
          <w:szCs w:val="16"/>
        </w:rPr>
      </w:pPr>
      <w:r w:rsidRPr="00E9220F">
        <w:rPr>
          <w:rStyle w:val="Znakapoznpodarou"/>
          <w:rFonts w:cs="Arial"/>
          <w:color w:val="0D0D0D" w:themeColor="text1" w:themeTint="F2"/>
          <w:sz w:val="16"/>
          <w:szCs w:val="16"/>
        </w:rPr>
        <w:footnoteRef/>
      </w:r>
      <w:r w:rsidRPr="00E9220F">
        <w:rPr>
          <w:rFonts w:cs="Arial"/>
          <w:color w:val="0D0D0D" w:themeColor="text1" w:themeTint="F2"/>
          <w:sz w:val="16"/>
          <w:szCs w:val="16"/>
        </w:rPr>
        <w:t xml:space="preserve"> Od roku 2015 došlo k návratu k tradičnímu valorizačnímu schématu důchodů, který opět plně zohledňuje nárůst spotřebitelských cen a</w:t>
      </w:r>
      <w:r w:rsidRPr="00E9220F">
        <w:rPr>
          <w:color w:val="0D0D0D" w:themeColor="text1" w:themeTint="F2"/>
          <w:sz w:val="16"/>
          <w:szCs w:val="16"/>
        </w:rPr>
        <w:t> </w:t>
      </w:r>
      <w:r>
        <w:rPr>
          <w:rFonts w:cs="Arial"/>
          <w:color w:val="0D0D0D" w:themeColor="text1" w:themeTint="F2"/>
          <w:sz w:val="16"/>
          <w:szCs w:val="16"/>
        </w:rPr>
        <w:t>dále třetinu</w:t>
      </w:r>
      <w:r w:rsidRPr="00E9220F">
        <w:rPr>
          <w:rFonts w:cs="Arial"/>
          <w:color w:val="0D0D0D" w:themeColor="text1" w:themeTint="F2"/>
          <w:sz w:val="16"/>
          <w:szCs w:val="16"/>
        </w:rPr>
        <w:t xml:space="preserve"> nárůstu reálné mzdy. Loni byl navíc schválen nový zák</w:t>
      </w:r>
      <w:r>
        <w:rPr>
          <w:rFonts w:cs="Arial"/>
          <w:color w:val="0D0D0D" w:themeColor="text1" w:themeTint="F2"/>
          <w:sz w:val="16"/>
          <w:szCs w:val="16"/>
        </w:rPr>
        <w:t>on o důchodovém připojištění</w:t>
      </w:r>
      <w:r w:rsidRPr="00E9220F">
        <w:rPr>
          <w:rFonts w:cs="Arial"/>
          <w:color w:val="0D0D0D" w:themeColor="text1" w:themeTint="F2"/>
          <w:sz w:val="16"/>
          <w:szCs w:val="16"/>
        </w:rPr>
        <w:t>, který umožňuje vládě navýšit důchody až o 2,7 %, pokud by zvýšení vyplácených důchodů dle obecných pravidel (standardního valorizačního schématu) bylo příliš nízké. Tato možnost byla pro rok 2017 použita. V roce 2016, kdy tento postup ještě nebylo možno využít, došlo k navýšení důchodů nad rámec běžné valorizace prostřednictvím jednorázového příspěvku (1200 korun), jenž byl vyplacen v únoru 2016.</w:t>
      </w:r>
    </w:p>
  </w:footnote>
  <w:footnote w:id="36">
    <w:p w:rsidR="00D667A0" w:rsidRPr="00B514A5" w:rsidRDefault="00D667A0" w:rsidP="00A0172C">
      <w:pPr>
        <w:autoSpaceDE w:val="0"/>
        <w:autoSpaceDN w:val="0"/>
        <w:adjustRightInd w:val="0"/>
        <w:spacing w:line="240" w:lineRule="auto"/>
        <w:rPr>
          <w:rFonts w:cs="Arial"/>
          <w:sz w:val="16"/>
          <w:szCs w:val="16"/>
        </w:rPr>
      </w:pPr>
      <w:r w:rsidRPr="00E9220F">
        <w:rPr>
          <w:rStyle w:val="Znakapoznpodarou"/>
          <w:rFonts w:cs="Arial"/>
          <w:color w:val="0D0D0D" w:themeColor="text1" w:themeTint="F2"/>
          <w:sz w:val="16"/>
          <w:szCs w:val="16"/>
        </w:rPr>
        <w:footnoteRef/>
      </w:r>
      <w:r w:rsidRPr="00E9220F">
        <w:rPr>
          <w:rFonts w:cs="Arial"/>
          <w:color w:val="0D0D0D" w:themeColor="text1" w:themeTint="F2"/>
          <w:sz w:val="16"/>
          <w:szCs w:val="16"/>
        </w:rPr>
        <w:t xml:space="preserve"> Tyto státní pokladniční poukázky vydané v průběhu 1. čtvrtletí roku 2017 neslouží ke krytí potřeby financování v roce 2017, neboť se předpokládá jejich splacení ještě během letošního roku.</w:t>
      </w:r>
    </w:p>
  </w:footnote>
  <w:footnote w:id="37">
    <w:p w:rsidR="00D667A0" w:rsidRPr="00E9220F" w:rsidRDefault="00D667A0" w:rsidP="00A0172C">
      <w:pPr>
        <w:pStyle w:val="Textpoznpodarou"/>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Předběžné údaje o dluhu a deficitu sektoru vládních institucí za 1. čtvrtletí 2017 zveřejní ČSÚ 3. </w:t>
      </w:r>
      <w:r>
        <w:rPr>
          <w:color w:val="0D0D0D" w:themeColor="text1" w:themeTint="F2"/>
          <w:spacing w:val="-2"/>
          <w:sz w:val="16"/>
          <w:szCs w:val="16"/>
        </w:rPr>
        <w:t>č</w:t>
      </w:r>
      <w:r w:rsidRPr="00E9220F">
        <w:rPr>
          <w:color w:val="0D0D0D" w:themeColor="text1" w:themeTint="F2"/>
          <w:spacing w:val="-2"/>
          <w:sz w:val="16"/>
          <w:szCs w:val="16"/>
        </w:rPr>
        <w:t>ervence</w:t>
      </w:r>
      <w:r>
        <w:rPr>
          <w:color w:val="0D0D0D" w:themeColor="text1" w:themeTint="F2"/>
          <w:spacing w:val="-2"/>
          <w:sz w:val="16"/>
          <w:szCs w:val="16"/>
        </w:rPr>
        <w:t xml:space="preserve"> 2017</w:t>
      </w:r>
      <w:r w:rsidRPr="00E9220F">
        <w:rPr>
          <w:color w:val="0D0D0D" w:themeColor="text1" w:themeTint="F2"/>
          <w:spacing w:val="-2"/>
          <w:sz w:val="16"/>
          <w:szCs w:val="16"/>
        </w:rPr>
        <w:t xml:space="preserve">, </w:t>
      </w:r>
      <w:proofErr w:type="spellStart"/>
      <w:r w:rsidRPr="00E9220F">
        <w:rPr>
          <w:color w:val="0D0D0D" w:themeColor="text1" w:themeTint="F2"/>
          <w:spacing w:val="-2"/>
          <w:sz w:val="16"/>
          <w:szCs w:val="16"/>
        </w:rPr>
        <w:t>Eurostat</w:t>
      </w:r>
      <w:proofErr w:type="spellEnd"/>
      <w:r w:rsidRPr="00E9220F">
        <w:rPr>
          <w:color w:val="0D0D0D" w:themeColor="text1" w:themeTint="F2"/>
          <w:spacing w:val="-2"/>
          <w:sz w:val="16"/>
          <w:szCs w:val="16"/>
        </w:rPr>
        <w:t xml:space="preserve"> </w:t>
      </w:r>
      <w:r>
        <w:rPr>
          <w:color w:val="0D0D0D" w:themeColor="text1" w:themeTint="F2"/>
          <w:spacing w:val="-2"/>
          <w:sz w:val="16"/>
          <w:szCs w:val="16"/>
        </w:rPr>
        <w:t xml:space="preserve">pak </w:t>
      </w:r>
      <w:r w:rsidRPr="00E9220F">
        <w:rPr>
          <w:color w:val="0D0D0D" w:themeColor="text1" w:themeTint="F2"/>
          <w:spacing w:val="-2"/>
          <w:sz w:val="16"/>
          <w:szCs w:val="16"/>
        </w:rPr>
        <w:t>20.</w:t>
      </w:r>
      <w:r>
        <w:rPr>
          <w:color w:val="0D0D0D" w:themeColor="text1" w:themeTint="F2"/>
          <w:spacing w:val="-2"/>
          <w:sz w:val="16"/>
          <w:szCs w:val="16"/>
        </w:rPr>
        <w:t> </w:t>
      </w:r>
      <w:r w:rsidRPr="00E9220F">
        <w:rPr>
          <w:color w:val="0D0D0D" w:themeColor="text1" w:themeTint="F2"/>
          <w:spacing w:val="-2"/>
          <w:sz w:val="16"/>
          <w:szCs w:val="16"/>
        </w:rPr>
        <w:t>července 2017.</w:t>
      </w:r>
    </w:p>
  </w:footnote>
  <w:footnote w:id="38">
    <w:p w:rsidR="00D667A0" w:rsidRPr="00552EAB" w:rsidRDefault="00D667A0" w:rsidP="006F3A90">
      <w:pPr>
        <w:pStyle w:val="Textpoznpodarou"/>
        <w:jc w:val="both"/>
        <w:rPr>
          <w:sz w:val="16"/>
          <w:szCs w:val="16"/>
        </w:rPr>
      </w:pPr>
      <w:r w:rsidRPr="00E9220F">
        <w:rPr>
          <w:rStyle w:val="Znakapoznpodarou"/>
          <w:rFonts w:cs="Arial"/>
          <w:color w:val="0D0D0D" w:themeColor="text1" w:themeTint="F2"/>
          <w:sz w:val="16"/>
          <w:szCs w:val="16"/>
        </w:rPr>
        <w:footnoteRef/>
      </w:r>
      <w:r w:rsidRPr="00E9220F">
        <w:rPr>
          <w:rFonts w:cs="Arial"/>
          <w:color w:val="0D0D0D" w:themeColor="text1" w:themeTint="F2"/>
          <w:sz w:val="16"/>
          <w:szCs w:val="16"/>
        </w:rPr>
        <w:t xml:space="preserve"> Indikátory salda hospodaření a dluhu vládních institucí jsou založeny na </w:t>
      </w:r>
      <w:proofErr w:type="spellStart"/>
      <w:r w:rsidRPr="00E9220F">
        <w:rPr>
          <w:rFonts w:cs="Arial"/>
          <w:color w:val="0D0D0D" w:themeColor="text1" w:themeTint="F2"/>
          <w:sz w:val="16"/>
          <w:szCs w:val="16"/>
        </w:rPr>
        <w:t>akruálním</w:t>
      </w:r>
      <w:proofErr w:type="spellEnd"/>
      <w:r w:rsidRPr="00E9220F">
        <w:rPr>
          <w:rFonts w:cs="Arial"/>
          <w:color w:val="0D0D0D" w:themeColor="text1" w:themeTint="F2"/>
          <w:sz w:val="16"/>
          <w:szCs w:val="16"/>
        </w:rPr>
        <w:t xml:space="preserve"> principu. Dle něj jsou příjmy i výdaje přiřazeny období, se kterým věcně souvisí, tj. bez ohledu na období uskutečnění hotovostního toku (jak je tomu v případě pokladního plnění).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Pr="00173642" w:rsidRDefault="00D667A0"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Pr="00DC5B3B" w:rsidRDefault="00D667A0"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čtvrtletí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Pr="00C00831" w:rsidRDefault="00D667A0" w:rsidP="00D766EF">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čtvrtletí 2017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A0" w:rsidRPr="0030768C" w:rsidRDefault="00D667A0" w:rsidP="0030768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čtvrtletí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2"/>
  </w:num>
  <w:num w:numId="2">
    <w:abstractNumId w:val="18"/>
  </w:num>
  <w:num w:numId="3">
    <w:abstractNumId w:val="9"/>
  </w:num>
  <w:num w:numId="4">
    <w:abstractNumId w:val="16"/>
  </w:num>
  <w:num w:numId="5">
    <w:abstractNumId w:val="10"/>
  </w:num>
  <w:num w:numId="6">
    <w:abstractNumId w:val="13"/>
  </w:num>
  <w:num w:numId="7">
    <w:abstractNumId w:val="3"/>
  </w:num>
  <w:num w:numId="8">
    <w:abstractNumId w:val="8"/>
  </w:num>
  <w:num w:numId="9">
    <w:abstractNumId w:val="15"/>
  </w:num>
  <w:num w:numId="10">
    <w:abstractNumId w:val="2"/>
  </w:num>
  <w:num w:numId="11">
    <w:abstractNumId w:val="6"/>
  </w:num>
  <w:num w:numId="12">
    <w:abstractNumId w:val="1"/>
  </w:num>
  <w:num w:numId="13">
    <w:abstractNumId w:val="5"/>
  </w:num>
  <w:num w:numId="14">
    <w:abstractNumId w:val="0"/>
  </w:num>
  <w:num w:numId="15">
    <w:abstractNumId w:val="14"/>
  </w:num>
  <w:num w:numId="16">
    <w:abstractNumId w:val="11"/>
  </w:num>
  <w:num w:numId="17">
    <w:abstractNumId w:val="4"/>
  </w:num>
  <w:num w:numId="18">
    <w:abstractNumId w:val="17"/>
  </w:num>
  <w:num w:numId="1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5D"/>
    <w:rsid w:val="00004EB0"/>
    <w:rsid w:val="00007498"/>
    <w:rsid w:val="0000767A"/>
    <w:rsid w:val="000101F5"/>
    <w:rsid w:val="000104B9"/>
    <w:rsid w:val="00010702"/>
    <w:rsid w:val="00010770"/>
    <w:rsid w:val="00010982"/>
    <w:rsid w:val="00011191"/>
    <w:rsid w:val="0001159B"/>
    <w:rsid w:val="000117CA"/>
    <w:rsid w:val="00012986"/>
    <w:rsid w:val="00014028"/>
    <w:rsid w:val="00015195"/>
    <w:rsid w:val="0001519F"/>
    <w:rsid w:val="0001572B"/>
    <w:rsid w:val="0001573E"/>
    <w:rsid w:val="000157DA"/>
    <w:rsid w:val="0001589D"/>
    <w:rsid w:val="00016033"/>
    <w:rsid w:val="000162DB"/>
    <w:rsid w:val="00017F05"/>
    <w:rsid w:val="000202C6"/>
    <w:rsid w:val="000208B1"/>
    <w:rsid w:val="00020946"/>
    <w:rsid w:val="00022081"/>
    <w:rsid w:val="0002292C"/>
    <w:rsid w:val="00022B41"/>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5CCF"/>
    <w:rsid w:val="00035FC6"/>
    <w:rsid w:val="0003705E"/>
    <w:rsid w:val="00037667"/>
    <w:rsid w:val="0003780E"/>
    <w:rsid w:val="0004075D"/>
    <w:rsid w:val="000411E1"/>
    <w:rsid w:val="00041E9C"/>
    <w:rsid w:val="00043C68"/>
    <w:rsid w:val="00043E05"/>
    <w:rsid w:val="00045681"/>
    <w:rsid w:val="0004694F"/>
    <w:rsid w:val="00046E43"/>
    <w:rsid w:val="000500DC"/>
    <w:rsid w:val="000509FD"/>
    <w:rsid w:val="00051ADE"/>
    <w:rsid w:val="00052052"/>
    <w:rsid w:val="00052172"/>
    <w:rsid w:val="000534FD"/>
    <w:rsid w:val="00053CBA"/>
    <w:rsid w:val="00054E43"/>
    <w:rsid w:val="00055059"/>
    <w:rsid w:val="000553E4"/>
    <w:rsid w:val="0005619C"/>
    <w:rsid w:val="000567FA"/>
    <w:rsid w:val="00056B26"/>
    <w:rsid w:val="00057C16"/>
    <w:rsid w:val="00060F26"/>
    <w:rsid w:val="00062D43"/>
    <w:rsid w:val="00062EC5"/>
    <w:rsid w:val="00064256"/>
    <w:rsid w:val="000706A4"/>
    <w:rsid w:val="00070A0C"/>
    <w:rsid w:val="00071F80"/>
    <w:rsid w:val="00072118"/>
    <w:rsid w:val="00073173"/>
    <w:rsid w:val="0007324C"/>
    <w:rsid w:val="000779AC"/>
    <w:rsid w:val="00080A41"/>
    <w:rsid w:val="00080AA8"/>
    <w:rsid w:val="00081851"/>
    <w:rsid w:val="00083803"/>
    <w:rsid w:val="00083D7F"/>
    <w:rsid w:val="00084393"/>
    <w:rsid w:val="0008716A"/>
    <w:rsid w:val="00087634"/>
    <w:rsid w:val="00091237"/>
    <w:rsid w:val="000916B1"/>
    <w:rsid w:val="0009191B"/>
    <w:rsid w:val="000920EC"/>
    <w:rsid w:val="000921B6"/>
    <w:rsid w:val="00092208"/>
    <w:rsid w:val="00092505"/>
    <w:rsid w:val="000927EB"/>
    <w:rsid w:val="00092C9A"/>
    <w:rsid w:val="00093F4B"/>
    <w:rsid w:val="000973B6"/>
    <w:rsid w:val="00097BFC"/>
    <w:rsid w:val="00097D02"/>
    <w:rsid w:val="000A1183"/>
    <w:rsid w:val="000A2121"/>
    <w:rsid w:val="000A2484"/>
    <w:rsid w:val="000A2929"/>
    <w:rsid w:val="000A36CE"/>
    <w:rsid w:val="000A59BF"/>
    <w:rsid w:val="000A66C2"/>
    <w:rsid w:val="000A68A7"/>
    <w:rsid w:val="000B1CFE"/>
    <w:rsid w:val="000B210A"/>
    <w:rsid w:val="000B249B"/>
    <w:rsid w:val="000B2ADE"/>
    <w:rsid w:val="000B3B01"/>
    <w:rsid w:val="000B3DB9"/>
    <w:rsid w:val="000B3F02"/>
    <w:rsid w:val="000B48A2"/>
    <w:rsid w:val="000B48E7"/>
    <w:rsid w:val="000B4F41"/>
    <w:rsid w:val="000B7663"/>
    <w:rsid w:val="000C1106"/>
    <w:rsid w:val="000C11D3"/>
    <w:rsid w:val="000C12F5"/>
    <w:rsid w:val="000C3408"/>
    <w:rsid w:val="000C54AF"/>
    <w:rsid w:val="000C5C0F"/>
    <w:rsid w:val="000C5D56"/>
    <w:rsid w:val="000C60D8"/>
    <w:rsid w:val="000C6498"/>
    <w:rsid w:val="000D0B22"/>
    <w:rsid w:val="000D0D51"/>
    <w:rsid w:val="000D14B3"/>
    <w:rsid w:val="000D1BFB"/>
    <w:rsid w:val="000D1F52"/>
    <w:rsid w:val="000D208B"/>
    <w:rsid w:val="000D263E"/>
    <w:rsid w:val="000D2B8D"/>
    <w:rsid w:val="000D2E41"/>
    <w:rsid w:val="000D342A"/>
    <w:rsid w:val="000D43CB"/>
    <w:rsid w:val="000D5E7A"/>
    <w:rsid w:val="000D5FAA"/>
    <w:rsid w:val="000D65A4"/>
    <w:rsid w:val="000D6AEF"/>
    <w:rsid w:val="000D7414"/>
    <w:rsid w:val="000E025B"/>
    <w:rsid w:val="000E0ECB"/>
    <w:rsid w:val="000E153A"/>
    <w:rsid w:val="000E19A8"/>
    <w:rsid w:val="000E1EEA"/>
    <w:rsid w:val="000E4241"/>
    <w:rsid w:val="000E4A42"/>
    <w:rsid w:val="000E6184"/>
    <w:rsid w:val="000E6476"/>
    <w:rsid w:val="000E70F7"/>
    <w:rsid w:val="000E78D2"/>
    <w:rsid w:val="000F3332"/>
    <w:rsid w:val="000F33EE"/>
    <w:rsid w:val="000F401E"/>
    <w:rsid w:val="000F5445"/>
    <w:rsid w:val="000F5598"/>
    <w:rsid w:val="000F5673"/>
    <w:rsid w:val="000F67B2"/>
    <w:rsid w:val="000F6CFB"/>
    <w:rsid w:val="000F74B6"/>
    <w:rsid w:val="000F790F"/>
    <w:rsid w:val="000F7E1B"/>
    <w:rsid w:val="00100014"/>
    <w:rsid w:val="0010039A"/>
    <w:rsid w:val="00101E94"/>
    <w:rsid w:val="00101FB2"/>
    <w:rsid w:val="00102CB8"/>
    <w:rsid w:val="00102F02"/>
    <w:rsid w:val="0010385D"/>
    <w:rsid w:val="00103E41"/>
    <w:rsid w:val="001041B6"/>
    <w:rsid w:val="001070EA"/>
    <w:rsid w:val="0011002A"/>
    <w:rsid w:val="001107CE"/>
    <w:rsid w:val="001109F0"/>
    <w:rsid w:val="0011110A"/>
    <w:rsid w:val="001118AF"/>
    <w:rsid w:val="00111CA5"/>
    <w:rsid w:val="0011256E"/>
    <w:rsid w:val="0011352E"/>
    <w:rsid w:val="00114FC0"/>
    <w:rsid w:val="00115496"/>
    <w:rsid w:val="00116DB9"/>
    <w:rsid w:val="00116F28"/>
    <w:rsid w:val="00117CE8"/>
    <w:rsid w:val="00121C39"/>
    <w:rsid w:val="00123255"/>
    <w:rsid w:val="00124D2D"/>
    <w:rsid w:val="00124DA1"/>
    <w:rsid w:val="00125326"/>
    <w:rsid w:val="00125CB5"/>
    <w:rsid w:val="00127535"/>
    <w:rsid w:val="001307BE"/>
    <w:rsid w:val="00130C8F"/>
    <w:rsid w:val="001314F2"/>
    <w:rsid w:val="001317DA"/>
    <w:rsid w:val="001323BA"/>
    <w:rsid w:val="0013254D"/>
    <w:rsid w:val="00133AAC"/>
    <w:rsid w:val="00133FBD"/>
    <w:rsid w:val="00134DFD"/>
    <w:rsid w:val="00136561"/>
    <w:rsid w:val="001400E1"/>
    <w:rsid w:val="001405FA"/>
    <w:rsid w:val="001413B3"/>
    <w:rsid w:val="001425C3"/>
    <w:rsid w:val="00142F16"/>
    <w:rsid w:val="00143E03"/>
    <w:rsid w:val="00143E93"/>
    <w:rsid w:val="00143FA3"/>
    <w:rsid w:val="0014428D"/>
    <w:rsid w:val="0014731B"/>
    <w:rsid w:val="00147E55"/>
    <w:rsid w:val="001500FC"/>
    <w:rsid w:val="00151AC0"/>
    <w:rsid w:val="00151B27"/>
    <w:rsid w:val="00152046"/>
    <w:rsid w:val="00152488"/>
    <w:rsid w:val="00152E53"/>
    <w:rsid w:val="00154147"/>
    <w:rsid w:val="001550F3"/>
    <w:rsid w:val="00155746"/>
    <w:rsid w:val="00156318"/>
    <w:rsid w:val="0015639A"/>
    <w:rsid w:val="0016081D"/>
    <w:rsid w:val="00160CF3"/>
    <w:rsid w:val="00160E61"/>
    <w:rsid w:val="00161300"/>
    <w:rsid w:val="001620FA"/>
    <w:rsid w:val="00162853"/>
    <w:rsid w:val="00163793"/>
    <w:rsid w:val="00167FB2"/>
    <w:rsid w:val="001707DE"/>
    <w:rsid w:val="00170B04"/>
    <w:rsid w:val="00170F47"/>
    <w:rsid w:val="001711F2"/>
    <w:rsid w:val="001714F2"/>
    <w:rsid w:val="001718C2"/>
    <w:rsid w:val="00173642"/>
    <w:rsid w:val="00173AF4"/>
    <w:rsid w:val="00173CB0"/>
    <w:rsid w:val="00174CE8"/>
    <w:rsid w:val="00174E7D"/>
    <w:rsid w:val="001752CB"/>
    <w:rsid w:val="00175351"/>
    <w:rsid w:val="00175F60"/>
    <w:rsid w:val="00176050"/>
    <w:rsid w:val="001764D8"/>
    <w:rsid w:val="00176A8F"/>
    <w:rsid w:val="00180D58"/>
    <w:rsid w:val="00181938"/>
    <w:rsid w:val="00182981"/>
    <w:rsid w:val="00184CF9"/>
    <w:rsid w:val="00185010"/>
    <w:rsid w:val="001852EC"/>
    <w:rsid w:val="00186447"/>
    <w:rsid w:val="001874CF"/>
    <w:rsid w:val="00190214"/>
    <w:rsid w:val="00190D9B"/>
    <w:rsid w:val="00191BAE"/>
    <w:rsid w:val="00193432"/>
    <w:rsid w:val="0019346C"/>
    <w:rsid w:val="00194AE3"/>
    <w:rsid w:val="00195335"/>
    <w:rsid w:val="00195444"/>
    <w:rsid w:val="0019579E"/>
    <w:rsid w:val="00197806"/>
    <w:rsid w:val="001A199D"/>
    <w:rsid w:val="001A2855"/>
    <w:rsid w:val="001A2BDB"/>
    <w:rsid w:val="001A30F4"/>
    <w:rsid w:val="001A47AB"/>
    <w:rsid w:val="001A4C0D"/>
    <w:rsid w:val="001A552F"/>
    <w:rsid w:val="001A56F3"/>
    <w:rsid w:val="001A737B"/>
    <w:rsid w:val="001A750C"/>
    <w:rsid w:val="001B1D89"/>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E0E"/>
    <w:rsid w:val="001C0E66"/>
    <w:rsid w:val="001C0EB9"/>
    <w:rsid w:val="001C1219"/>
    <w:rsid w:val="001C357A"/>
    <w:rsid w:val="001C3A37"/>
    <w:rsid w:val="001C4384"/>
    <w:rsid w:val="001C55F5"/>
    <w:rsid w:val="001C65FF"/>
    <w:rsid w:val="001C6747"/>
    <w:rsid w:val="001D3787"/>
    <w:rsid w:val="001D47E5"/>
    <w:rsid w:val="001D584C"/>
    <w:rsid w:val="001D5E1B"/>
    <w:rsid w:val="001D66C1"/>
    <w:rsid w:val="001D6EF6"/>
    <w:rsid w:val="001D7C6F"/>
    <w:rsid w:val="001E0024"/>
    <w:rsid w:val="001E0C65"/>
    <w:rsid w:val="001E23E3"/>
    <w:rsid w:val="001E29AF"/>
    <w:rsid w:val="001E387A"/>
    <w:rsid w:val="001E3DA4"/>
    <w:rsid w:val="001E5469"/>
    <w:rsid w:val="001E5830"/>
    <w:rsid w:val="001E684C"/>
    <w:rsid w:val="001E701C"/>
    <w:rsid w:val="001E7552"/>
    <w:rsid w:val="001E7C03"/>
    <w:rsid w:val="001F02AF"/>
    <w:rsid w:val="001F0649"/>
    <w:rsid w:val="001F28F4"/>
    <w:rsid w:val="001F2902"/>
    <w:rsid w:val="001F2CC6"/>
    <w:rsid w:val="001F3055"/>
    <w:rsid w:val="001F31BC"/>
    <w:rsid w:val="001F378E"/>
    <w:rsid w:val="001F3C79"/>
    <w:rsid w:val="001F3E68"/>
    <w:rsid w:val="001F4597"/>
    <w:rsid w:val="001F56A9"/>
    <w:rsid w:val="001F5C6A"/>
    <w:rsid w:val="001F63A7"/>
    <w:rsid w:val="001F670A"/>
    <w:rsid w:val="00200D15"/>
    <w:rsid w:val="0020223B"/>
    <w:rsid w:val="0020294A"/>
    <w:rsid w:val="00203074"/>
    <w:rsid w:val="00203B46"/>
    <w:rsid w:val="00203FCB"/>
    <w:rsid w:val="002048E1"/>
    <w:rsid w:val="002070AB"/>
    <w:rsid w:val="00207DB6"/>
    <w:rsid w:val="00210278"/>
    <w:rsid w:val="00210CC2"/>
    <w:rsid w:val="00210F5B"/>
    <w:rsid w:val="00210FFA"/>
    <w:rsid w:val="00211262"/>
    <w:rsid w:val="0021139C"/>
    <w:rsid w:val="002115F5"/>
    <w:rsid w:val="00211AC9"/>
    <w:rsid w:val="0021329E"/>
    <w:rsid w:val="0021355B"/>
    <w:rsid w:val="00215061"/>
    <w:rsid w:val="00215A2C"/>
    <w:rsid w:val="002161D6"/>
    <w:rsid w:val="00217980"/>
    <w:rsid w:val="002179F9"/>
    <w:rsid w:val="002205F2"/>
    <w:rsid w:val="0022080E"/>
    <w:rsid w:val="00220895"/>
    <w:rsid w:val="00220B20"/>
    <w:rsid w:val="0022139E"/>
    <w:rsid w:val="0022272B"/>
    <w:rsid w:val="00222A99"/>
    <w:rsid w:val="00223678"/>
    <w:rsid w:val="002236F7"/>
    <w:rsid w:val="00223E00"/>
    <w:rsid w:val="002252E0"/>
    <w:rsid w:val="002255F6"/>
    <w:rsid w:val="00225F36"/>
    <w:rsid w:val="00226466"/>
    <w:rsid w:val="002266D0"/>
    <w:rsid w:val="00226887"/>
    <w:rsid w:val="00227991"/>
    <w:rsid w:val="00230DAD"/>
    <w:rsid w:val="0023229C"/>
    <w:rsid w:val="0023301B"/>
    <w:rsid w:val="002334DF"/>
    <w:rsid w:val="0023355C"/>
    <w:rsid w:val="00234280"/>
    <w:rsid w:val="00234DD5"/>
    <w:rsid w:val="00235000"/>
    <w:rsid w:val="002350E3"/>
    <w:rsid w:val="00235330"/>
    <w:rsid w:val="00236443"/>
    <w:rsid w:val="00240773"/>
    <w:rsid w:val="00240815"/>
    <w:rsid w:val="00240A5B"/>
    <w:rsid w:val="00240C76"/>
    <w:rsid w:val="002411EF"/>
    <w:rsid w:val="00241446"/>
    <w:rsid w:val="00242730"/>
    <w:rsid w:val="002436BA"/>
    <w:rsid w:val="002444ED"/>
    <w:rsid w:val="00244A15"/>
    <w:rsid w:val="00244D40"/>
    <w:rsid w:val="00246AE9"/>
    <w:rsid w:val="0024799E"/>
    <w:rsid w:val="00250C59"/>
    <w:rsid w:val="00250E0D"/>
    <w:rsid w:val="002518F6"/>
    <w:rsid w:val="00251D59"/>
    <w:rsid w:val="00252602"/>
    <w:rsid w:val="00252609"/>
    <w:rsid w:val="00252FDC"/>
    <w:rsid w:val="002532E2"/>
    <w:rsid w:val="002550D8"/>
    <w:rsid w:val="00257613"/>
    <w:rsid w:val="00261A0F"/>
    <w:rsid w:val="00261E5B"/>
    <w:rsid w:val="00262F34"/>
    <w:rsid w:val="00263470"/>
    <w:rsid w:val="00263733"/>
    <w:rsid w:val="00264676"/>
    <w:rsid w:val="00265536"/>
    <w:rsid w:val="00265E54"/>
    <w:rsid w:val="00266F3E"/>
    <w:rsid w:val="00270785"/>
    <w:rsid w:val="00272464"/>
    <w:rsid w:val="00272B0B"/>
    <w:rsid w:val="00272CC5"/>
    <w:rsid w:val="00273C60"/>
    <w:rsid w:val="00273DCD"/>
    <w:rsid w:val="00274291"/>
    <w:rsid w:val="00276C09"/>
    <w:rsid w:val="00276CFE"/>
    <w:rsid w:val="00277071"/>
    <w:rsid w:val="0027786C"/>
    <w:rsid w:val="00277BF7"/>
    <w:rsid w:val="00281416"/>
    <w:rsid w:val="00283C61"/>
    <w:rsid w:val="00284C6F"/>
    <w:rsid w:val="00285CD3"/>
    <w:rsid w:val="0028633E"/>
    <w:rsid w:val="0028686A"/>
    <w:rsid w:val="00286E66"/>
    <w:rsid w:val="002870B7"/>
    <w:rsid w:val="002919B5"/>
    <w:rsid w:val="00293441"/>
    <w:rsid w:val="00294238"/>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3B9"/>
    <w:rsid w:val="002A6821"/>
    <w:rsid w:val="002A74D2"/>
    <w:rsid w:val="002A7CDA"/>
    <w:rsid w:val="002A7F47"/>
    <w:rsid w:val="002B1544"/>
    <w:rsid w:val="002B1DC1"/>
    <w:rsid w:val="002B36C8"/>
    <w:rsid w:val="002B385B"/>
    <w:rsid w:val="002B6B7A"/>
    <w:rsid w:val="002B71B4"/>
    <w:rsid w:val="002B7240"/>
    <w:rsid w:val="002C0FF4"/>
    <w:rsid w:val="002C125A"/>
    <w:rsid w:val="002C2668"/>
    <w:rsid w:val="002C43BD"/>
    <w:rsid w:val="002C493D"/>
    <w:rsid w:val="002C5261"/>
    <w:rsid w:val="002C6091"/>
    <w:rsid w:val="002C63C1"/>
    <w:rsid w:val="002D0562"/>
    <w:rsid w:val="002D1B5A"/>
    <w:rsid w:val="002D2500"/>
    <w:rsid w:val="002D338A"/>
    <w:rsid w:val="002D3F00"/>
    <w:rsid w:val="002D4D59"/>
    <w:rsid w:val="002D54BF"/>
    <w:rsid w:val="002D5C3D"/>
    <w:rsid w:val="002D5E94"/>
    <w:rsid w:val="002D632D"/>
    <w:rsid w:val="002D6B01"/>
    <w:rsid w:val="002D6B11"/>
    <w:rsid w:val="002D6FC7"/>
    <w:rsid w:val="002D7EF4"/>
    <w:rsid w:val="002E02A1"/>
    <w:rsid w:val="002E0982"/>
    <w:rsid w:val="002E0DB9"/>
    <w:rsid w:val="002E2CE4"/>
    <w:rsid w:val="002E34F3"/>
    <w:rsid w:val="002E4217"/>
    <w:rsid w:val="002E435E"/>
    <w:rsid w:val="002E72FC"/>
    <w:rsid w:val="002E73F2"/>
    <w:rsid w:val="002F33FB"/>
    <w:rsid w:val="002F663A"/>
    <w:rsid w:val="002F68A4"/>
    <w:rsid w:val="002F7594"/>
    <w:rsid w:val="002F7902"/>
    <w:rsid w:val="003003E7"/>
    <w:rsid w:val="00300D6F"/>
    <w:rsid w:val="00301357"/>
    <w:rsid w:val="0030192C"/>
    <w:rsid w:val="00301D04"/>
    <w:rsid w:val="00302A94"/>
    <w:rsid w:val="003035D4"/>
    <w:rsid w:val="00303A3C"/>
    <w:rsid w:val="00303DCB"/>
    <w:rsid w:val="00304771"/>
    <w:rsid w:val="00305736"/>
    <w:rsid w:val="00305C33"/>
    <w:rsid w:val="00306C5B"/>
    <w:rsid w:val="00306E3B"/>
    <w:rsid w:val="0030768C"/>
    <w:rsid w:val="00310ADB"/>
    <w:rsid w:val="003119B6"/>
    <w:rsid w:val="00312C3D"/>
    <w:rsid w:val="00314331"/>
    <w:rsid w:val="00317E31"/>
    <w:rsid w:val="00320214"/>
    <w:rsid w:val="003209D6"/>
    <w:rsid w:val="0032109A"/>
    <w:rsid w:val="0032214F"/>
    <w:rsid w:val="00322164"/>
    <w:rsid w:val="00323CF7"/>
    <w:rsid w:val="00323E61"/>
    <w:rsid w:val="0032513D"/>
    <w:rsid w:val="00326251"/>
    <w:rsid w:val="0032739C"/>
    <w:rsid w:val="003276D1"/>
    <w:rsid w:val="00327DEE"/>
    <w:rsid w:val="003302DA"/>
    <w:rsid w:val="00330EB0"/>
    <w:rsid w:val="00331574"/>
    <w:rsid w:val="0033229B"/>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51B63"/>
    <w:rsid w:val="00352E57"/>
    <w:rsid w:val="003541B0"/>
    <w:rsid w:val="0035457E"/>
    <w:rsid w:val="00355885"/>
    <w:rsid w:val="00355CAA"/>
    <w:rsid w:val="0035605E"/>
    <w:rsid w:val="00356244"/>
    <w:rsid w:val="00357449"/>
    <w:rsid w:val="00357C28"/>
    <w:rsid w:val="00361F76"/>
    <w:rsid w:val="0036238B"/>
    <w:rsid w:val="00362408"/>
    <w:rsid w:val="003630B0"/>
    <w:rsid w:val="003649FC"/>
    <w:rsid w:val="003651A4"/>
    <w:rsid w:val="00365680"/>
    <w:rsid w:val="003657F3"/>
    <w:rsid w:val="00365E26"/>
    <w:rsid w:val="00366D4D"/>
    <w:rsid w:val="00366F77"/>
    <w:rsid w:val="00367038"/>
    <w:rsid w:val="00370963"/>
    <w:rsid w:val="0037144E"/>
    <w:rsid w:val="00372272"/>
    <w:rsid w:val="0037290D"/>
    <w:rsid w:val="003736B5"/>
    <w:rsid w:val="00374F1E"/>
    <w:rsid w:val="003750CF"/>
    <w:rsid w:val="003769F0"/>
    <w:rsid w:val="00376DEC"/>
    <w:rsid w:val="00377200"/>
    <w:rsid w:val="00377666"/>
    <w:rsid w:val="0038034A"/>
    <w:rsid w:val="00380E04"/>
    <w:rsid w:val="00380E6C"/>
    <w:rsid w:val="00383227"/>
    <w:rsid w:val="003839C9"/>
    <w:rsid w:val="0038422D"/>
    <w:rsid w:val="00384D8F"/>
    <w:rsid w:val="003857A2"/>
    <w:rsid w:val="00385D98"/>
    <w:rsid w:val="00385EC5"/>
    <w:rsid w:val="0038658E"/>
    <w:rsid w:val="003875C2"/>
    <w:rsid w:val="0039066E"/>
    <w:rsid w:val="00391C95"/>
    <w:rsid w:val="00392110"/>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B38"/>
    <w:rsid w:val="003B2142"/>
    <w:rsid w:val="003B2580"/>
    <w:rsid w:val="003B293F"/>
    <w:rsid w:val="003B2E63"/>
    <w:rsid w:val="003B3189"/>
    <w:rsid w:val="003B3A9D"/>
    <w:rsid w:val="003B3DDD"/>
    <w:rsid w:val="003B5031"/>
    <w:rsid w:val="003B5A32"/>
    <w:rsid w:val="003B6105"/>
    <w:rsid w:val="003C03CC"/>
    <w:rsid w:val="003C04C4"/>
    <w:rsid w:val="003C0B96"/>
    <w:rsid w:val="003C26F4"/>
    <w:rsid w:val="003C3686"/>
    <w:rsid w:val="003C4852"/>
    <w:rsid w:val="003C5BC7"/>
    <w:rsid w:val="003C601E"/>
    <w:rsid w:val="003C66C4"/>
    <w:rsid w:val="003C6DB9"/>
    <w:rsid w:val="003D2393"/>
    <w:rsid w:val="003D2C4E"/>
    <w:rsid w:val="003D3600"/>
    <w:rsid w:val="003D3825"/>
    <w:rsid w:val="003D3EC4"/>
    <w:rsid w:val="003D44E2"/>
    <w:rsid w:val="003D4760"/>
    <w:rsid w:val="003D49DC"/>
    <w:rsid w:val="003D4DD9"/>
    <w:rsid w:val="003D4FB5"/>
    <w:rsid w:val="003D59BE"/>
    <w:rsid w:val="003D5D7A"/>
    <w:rsid w:val="003D5E4B"/>
    <w:rsid w:val="003D653F"/>
    <w:rsid w:val="003D6B55"/>
    <w:rsid w:val="003E0663"/>
    <w:rsid w:val="003E133F"/>
    <w:rsid w:val="003E49F6"/>
    <w:rsid w:val="003E699C"/>
    <w:rsid w:val="003E69F3"/>
    <w:rsid w:val="003E782E"/>
    <w:rsid w:val="003E7A0B"/>
    <w:rsid w:val="003E7B2B"/>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4000D5"/>
    <w:rsid w:val="00400244"/>
    <w:rsid w:val="004005C1"/>
    <w:rsid w:val="00400BBD"/>
    <w:rsid w:val="00401716"/>
    <w:rsid w:val="004018F7"/>
    <w:rsid w:val="00401A09"/>
    <w:rsid w:val="0040273A"/>
    <w:rsid w:val="00402C25"/>
    <w:rsid w:val="00402CBB"/>
    <w:rsid w:val="004036FB"/>
    <w:rsid w:val="004050D7"/>
    <w:rsid w:val="004078BD"/>
    <w:rsid w:val="00410132"/>
    <w:rsid w:val="004104E4"/>
    <w:rsid w:val="00410A97"/>
    <w:rsid w:val="00410BCD"/>
    <w:rsid w:val="00410DE5"/>
    <w:rsid w:val="0041175D"/>
    <w:rsid w:val="004117CE"/>
    <w:rsid w:val="004123BE"/>
    <w:rsid w:val="00414CE5"/>
    <w:rsid w:val="00416673"/>
    <w:rsid w:val="00420AE6"/>
    <w:rsid w:val="0042160D"/>
    <w:rsid w:val="00423A3C"/>
    <w:rsid w:val="00423C04"/>
    <w:rsid w:val="00424D9B"/>
    <w:rsid w:val="0042681B"/>
    <w:rsid w:val="00427193"/>
    <w:rsid w:val="0043068A"/>
    <w:rsid w:val="004306E0"/>
    <w:rsid w:val="00431D54"/>
    <w:rsid w:val="00431F98"/>
    <w:rsid w:val="004329BE"/>
    <w:rsid w:val="00432C38"/>
    <w:rsid w:val="004342EC"/>
    <w:rsid w:val="00437C76"/>
    <w:rsid w:val="00437F4A"/>
    <w:rsid w:val="0044105C"/>
    <w:rsid w:val="00442197"/>
    <w:rsid w:val="00443E95"/>
    <w:rsid w:val="004441A0"/>
    <w:rsid w:val="00444268"/>
    <w:rsid w:val="00444326"/>
    <w:rsid w:val="004443BF"/>
    <w:rsid w:val="00444C19"/>
    <w:rsid w:val="00445218"/>
    <w:rsid w:val="00445CDD"/>
    <w:rsid w:val="004464DC"/>
    <w:rsid w:val="00446892"/>
    <w:rsid w:val="00447267"/>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0C7"/>
    <w:rsid w:val="004629FD"/>
    <w:rsid w:val="00462AD2"/>
    <w:rsid w:val="00463B4B"/>
    <w:rsid w:val="00463F4D"/>
    <w:rsid w:val="00464658"/>
    <w:rsid w:val="0046471F"/>
    <w:rsid w:val="00464BE8"/>
    <w:rsid w:val="00465019"/>
    <w:rsid w:val="00465FA4"/>
    <w:rsid w:val="0046613F"/>
    <w:rsid w:val="0046655D"/>
    <w:rsid w:val="00466808"/>
    <w:rsid w:val="00466AAE"/>
    <w:rsid w:val="0046765E"/>
    <w:rsid w:val="004676E2"/>
    <w:rsid w:val="00471EDD"/>
    <w:rsid w:val="00473E94"/>
    <w:rsid w:val="0047400C"/>
    <w:rsid w:val="00474471"/>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104F"/>
    <w:rsid w:val="00491218"/>
    <w:rsid w:val="00491CFD"/>
    <w:rsid w:val="00492991"/>
    <w:rsid w:val="00493362"/>
    <w:rsid w:val="00494343"/>
    <w:rsid w:val="00494AAB"/>
    <w:rsid w:val="00496C2F"/>
    <w:rsid w:val="0049740D"/>
    <w:rsid w:val="004978D3"/>
    <w:rsid w:val="004A06A6"/>
    <w:rsid w:val="004A11F8"/>
    <w:rsid w:val="004A22BD"/>
    <w:rsid w:val="004A22FA"/>
    <w:rsid w:val="004A269A"/>
    <w:rsid w:val="004A26DB"/>
    <w:rsid w:val="004A30FB"/>
    <w:rsid w:val="004A35DD"/>
    <w:rsid w:val="004A37D3"/>
    <w:rsid w:val="004A3AD6"/>
    <w:rsid w:val="004A3BCE"/>
    <w:rsid w:val="004A5865"/>
    <w:rsid w:val="004A7670"/>
    <w:rsid w:val="004A77DF"/>
    <w:rsid w:val="004B0295"/>
    <w:rsid w:val="004B0803"/>
    <w:rsid w:val="004B10A8"/>
    <w:rsid w:val="004B1F58"/>
    <w:rsid w:val="004B1F9D"/>
    <w:rsid w:val="004B22DA"/>
    <w:rsid w:val="004B3CB7"/>
    <w:rsid w:val="004B3D55"/>
    <w:rsid w:val="004B55B7"/>
    <w:rsid w:val="004B5836"/>
    <w:rsid w:val="004B5F05"/>
    <w:rsid w:val="004C00A6"/>
    <w:rsid w:val="004C0243"/>
    <w:rsid w:val="004C0BBB"/>
    <w:rsid w:val="004C1AD6"/>
    <w:rsid w:val="004C1B86"/>
    <w:rsid w:val="004C1DEE"/>
    <w:rsid w:val="004C3382"/>
    <w:rsid w:val="004C3867"/>
    <w:rsid w:val="004C4AB7"/>
    <w:rsid w:val="004C4B88"/>
    <w:rsid w:val="004C4CD0"/>
    <w:rsid w:val="004C57B5"/>
    <w:rsid w:val="004C5C25"/>
    <w:rsid w:val="004C6717"/>
    <w:rsid w:val="004C6CFF"/>
    <w:rsid w:val="004C70DC"/>
    <w:rsid w:val="004C7268"/>
    <w:rsid w:val="004C7C50"/>
    <w:rsid w:val="004D0211"/>
    <w:rsid w:val="004D1C9C"/>
    <w:rsid w:val="004D2A0E"/>
    <w:rsid w:val="004D458D"/>
    <w:rsid w:val="004D4F13"/>
    <w:rsid w:val="004D504B"/>
    <w:rsid w:val="004D536E"/>
    <w:rsid w:val="004D58CE"/>
    <w:rsid w:val="004D70B1"/>
    <w:rsid w:val="004D76CC"/>
    <w:rsid w:val="004E1415"/>
    <w:rsid w:val="004E1839"/>
    <w:rsid w:val="004E4A75"/>
    <w:rsid w:val="004E541A"/>
    <w:rsid w:val="004E5A5C"/>
    <w:rsid w:val="004E7007"/>
    <w:rsid w:val="004E76D6"/>
    <w:rsid w:val="004E7F57"/>
    <w:rsid w:val="004F06F5"/>
    <w:rsid w:val="004F191F"/>
    <w:rsid w:val="004F2A4D"/>
    <w:rsid w:val="004F2A73"/>
    <w:rsid w:val="004F33A0"/>
    <w:rsid w:val="004F353A"/>
    <w:rsid w:val="004F4353"/>
    <w:rsid w:val="004F447D"/>
    <w:rsid w:val="004F4C28"/>
    <w:rsid w:val="004F4E82"/>
    <w:rsid w:val="004F5470"/>
    <w:rsid w:val="004F5CC5"/>
    <w:rsid w:val="004F6350"/>
    <w:rsid w:val="004F7170"/>
    <w:rsid w:val="005028E1"/>
    <w:rsid w:val="00505493"/>
    <w:rsid w:val="00505989"/>
    <w:rsid w:val="00506309"/>
    <w:rsid w:val="0050692E"/>
    <w:rsid w:val="00507040"/>
    <w:rsid w:val="005079F8"/>
    <w:rsid w:val="00510189"/>
    <w:rsid w:val="005108C0"/>
    <w:rsid w:val="00511873"/>
    <w:rsid w:val="00512603"/>
    <w:rsid w:val="0051367B"/>
    <w:rsid w:val="00513A89"/>
    <w:rsid w:val="00513B7E"/>
    <w:rsid w:val="005140DE"/>
    <w:rsid w:val="00514474"/>
    <w:rsid w:val="005147E9"/>
    <w:rsid w:val="0051507D"/>
    <w:rsid w:val="0051593C"/>
    <w:rsid w:val="00517567"/>
    <w:rsid w:val="0051778E"/>
    <w:rsid w:val="005215EF"/>
    <w:rsid w:val="00524637"/>
    <w:rsid w:val="00524FDD"/>
    <w:rsid w:val="00525137"/>
    <w:rsid w:val="005251DD"/>
    <w:rsid w:val="00526DB6"/>
    <w:rsid w:val="0053017A"/>
    <w:rsid w:val="00530492"/>
    <w:rsid w:val="005308E4"/>
    <w:rsid w:val="005325A8"/>
    <w:rsid w:val="00532854"/>
    <w:rsid w:val="005350F2"/>
    <w:rsid w:val="00535152"/>
    <w:rsid w:val="00535359"/>
    <w:rsid w:val="005357A2"/>
    <w:rsid w:val="005359E3"/>
    <w:rsid w:val="00535D87"/>
    <w:rsid w:val="00535EF0"/>
    <w:rsid w:val="00535F78"/>
    <w:rsid w:val="005363DF"/>
    <w:rsid w:val="0053734B"/>
    <w:rsid w:val="005375B1"/>
    <w:rsid w:val="00537AFD"/>
    <w:rsid w:val="00537CB4"/>
    <w:rsid w:val="00540CB3"/>
    <w:rsid w:val="00541822"/>
    <w:rsid w:val="00542D19"/>
    <w:rsid w:val="0054516B"/>
    <w:rsid w:val="0054559E"/>
    <w:rsid w:val="005459BD"/>
    <w:rsid w:val="00546833"/>
    <w:rsid w:val="0054787A"/>
    <w:rsid w:val="005513D5"/>
    <w:rsid w:val="005523B9"/>
    <w:rsid w:val="00553C88"/>
    <w:rsid w:val="005545E0"/>
    <w:rsid w:val="00554865"/>
    <w:rsid w:val="00554E57"/>
    <w:rsid w:val="00557E6A"/>
    <w:rsid w:val="00562749"/>
    <w:rsid w:val="00562DE9"/>
    <w:rsid w:val="005638A5"/>
    <w:rsid w:val="00564137"/>
    <w:rsid w:val="00566381"/>
    <w:rsid w:val="00566A03"/>
    <w:rsid w:val="00571932"/>
    <w:rsid w:val="00573C97"/>
    <w:rsid w:val="00574240"/>
    <w:rsid w:val="0057454C"/>
    <w:rsid w:val="005752EB"/>
    <w:rsid w:val="005755FE"/>
    <w:rsid w:val="00575CDC"/>
    <w:rsid w:val="005765D5"/>
    <w:rsid w:val="00576A3E"/>
    <w:rsid w:val="0057703D"/>
    <w:rsid w:val="00581892"/>
    <w:rsid w:val="0058366F"/>
    <w:rsid w:val="00583D5B"/>
    <w:rsid w:val="00583FFD"/>
    <w:rsid w:val="00587CCD"/>
    <w:rsid w:val="005908AE"/>
    <w:rsid w:val="005914F2"/>
    <w:rsid w:val="0059176E"/>
    <w:rsid w:val="00592854"/>
    <w:rsid w:val="00593152"/>
    <w:rsid w:val="005934CE"/>
    <w:rsid w:val="00593CA3"/>
    <w:rsid w:val="00594161"/>
    <w:rsid w:val="00594969"/>
    <w:rsid w:val="00594B91"/>
    <w:rsid w:val="00595035"/>
    <w:rsid w:val="00596C5E"/>
    <w:rsid w:val="005A2194"/>
    <w:rsid w:val="005A21E0"/>
    <w:rsid w:val="005A3210"/>
    <w:rsid w:val="005A33A1"/>
    <w:rsid w:val="005A3687"/>
    <w:rsid w:val="005A54EE"/>
    <w:rsid w:val="005A563B"/>
    <w:rsid w:val="005A5F82"/>
    <w:rsid w:val="005A61D1"/>
    <w:rsid w:val="005A6E85"/>
    <w:rsid w:val="005A7500"/>
    <w:rsid w:val="005A77E4"/>
    <w:rsid w:val="005B0262"/>
    <w:rsid w:val="005B0B8F"/>
    <w:rsid w:val="005B1BDB"/>
    <w:rsid w:val="005B22A7"/>
    <w:rsid w:val="005B2BAA"/>
    <w:rsid w:val="005B2D53"/>
    <w:rsid w:val="005B3247"/>
    <w:rsid w:val="005B3409"/>
    <w:rsid w:val="005B498A"/>
    <w:rsid w:val="005B7B12"/>
    <w:rsid w:val="005C16CB"/>
    <w:rsid w:val="005C21D6"/>
    <w:rsid w:val="005C3F9F"/>
    <w:rsid w:val="005C406F"/>
    <w:rsid w:val="005C40BA"/>
    <w:rsid w:val="005C4A23"/>
    <w:rsid w:val="005C562C"/>
    <w:rsid w:val="005C5812"/>
    <w:rsid w:val="005C6400"/>
    <w:rsid w:val="005C7B4D"/>
    <w:rsid w:val="005C7F1E"/>
    <w:rsid w:val="005D073B"/>
    <w:rsid w:val="005D25B4"/>
    <w:rsid w:val="005D374F"/>
    <w:rsid w:val="005D5802"/>
    <w:rsid w:val="005D6CFC"/>
    <w:rsid w:val="005D73E2"/>
    <w:rsid w:val="005D757A"/>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3F04"/>
    <w:rsid w:val="005F4057"/>
    <w:rsid w:val="005F4088"/>
    <w:rsid w:val="005F42F4"/>
    <w:rsid w:val="005F4C83"/>
    <w:rsid w:val="005F5916"/>
    <w:rsid w:val="005F601D"/>
    <w:rsid w:val="005F6119"/>
    <w:rsid w:val="005F7940"/>
    <w:rsid w:val="00600712"/>
    <w:rsid w:val="0060107A"/>
    <w:rsid w:val="00601AFF"/>
    <w:rsid w:val="00602D1D"/>
    <w:rsid w:val="00604307"/>
    <w:rsid w:val="0060487F"/>
    <w:rsid w:val="00605814"/>
    <w:rsid w:val="00606B93"/>
    <w:rsid w:val="00607727"/>
    <w:rsid w:val="00607934"/>
    <w:rsid w:val="00610BD5"/>
    <w:rsid w:val="00611363"/>
    <w:rsid w:val="00611531"/>
    <w:rsid w:val="006118AA"/>
    <w:rsid w:val="00611C28"/>
    <w:rsid w:val="006139C7"/>
    <w:rsid w:val="006150EA"/>
    <w:rsid w:val="006153E3"/>
    <w:rsid w:val="006167AB"/>
    <w:rsid w:val="0061718A"/>
    <w:rsid w:val="00617D2D"/>
    <w:rsid w:val="00617D83"/>
    <w:rsid w:val="00620430"/>
    <w:rsid w:val="00620AC5"/>
    <w:rsid w:val="00621575"/>
    <w:rsid w:val="006215FC"/>
    <w:rsid w:val="00621916"/>
    <w:rsid w:val="00624093"/>
    <w:rsid w:val="006260B8"/>
    <w:rsid w:val="00630F66"/>
    <w:rsid w:val="00631FC2"/>
    <w:rsid w:val="00632171"/>
    <w:rsid w:val="0063332A"/>
    <w:rsid w:val="006347F9"/>
    <w:rsid w:val="0063494E"/>
    <w:rsid w:val="00634C90"/>
    <w:rsid w:val="00635818"/>
    <w:rsid w:val="00635E79"/>
    <w:rsid w:val="00636E5E"/>
    <w:rsid w:val="006379E0"/>
    <w:rsid w:val="00637D0E"/>
    <w:rsid w:val="006404A7"/>
    <w:rsid w:val="006407F3"/>
    <w:rsid w:val="006408EC"/>
    <w:rsid w:val="0064129B"/>
    <w:rsid w:val="00641DF7"/>
    <w:rsid w:val="00643497"/>
    <w:rsid w:val="00643735"/>
    <w:rsid w:val="00643A80"/>
    <w:rsid w:val="00644DFC"/>
    <w:rsid w:val="006451E4"/>
    <w:rsid w:val="006454B4"/>
    <w:rsid w:val="00645A9C"/>
    <w:rsid w:val="006460B8"/>
    <w:rsid w:val="00646448"/>
    <w:rsid w:val="006467D0"/>
    <w:rsid w:val="006504A0"/>
    <w:rsid w:val="00650784"/>
    <w:rsid w:val="006520C7"/>
    <w:rsid w:val="006520D5"/>
    <w:rsid w:val="00652179"/>
    <w:rsid w:val="00652CBB"/>
    <w:rsid w:val="006530B8"/>
    <w:rsid w:val="006535D6"/>
    <w:rsid w:val="00656716"/>
    <w:rsid w:val="006572ED"/>
    <w:rsid w:val="00657E87"/>
    <w:rsid w:val="0066026B"/>
    <w:rsid w:val="00660457"/>
    <w:rsid w:val="00660CB4"/>
    <w:rsid w:val="00660E1E"/>
    <w:rsid w:val="006637B1"/>
    <w:rsid w:val="00663CFD"/>
    <w:rsid w:val="006647AD"/>
    <w:rsid w:val="00664B64"/>
    <w:rsid w:val="00665691"/>
    <w:rsid w:val="00665D67"/>
    <w:rsid w:val="00665D77"/>
    <w:rsid w:val="006660CD"/>
    <w:rsid w:val="00666883"/>
    <w:rsid w:val="00666EC8"/>
    <w:rsid w:val="00666F4B"/>
    <w:rsid w:val="006676D0"/>
    <w:rsid w:val="0066796E"/>
    <w:rsid w:val="00670FAC"/>
    <w:rsid w:val="006710C9"/>
    <w:rsid w:val="006716A5"/>
    <w:rsid w:val="006717CC"/>
    <w:rsid w:val="006743E8"/>
    <w:rsid w:val="00675E37"/>
    <w:rsid w:val="00675F0F"/>
    <w:rsid w:val="006764ED"/>
    <w:rsid w:val="00676AFC"/>
    <w:rsid w:val="00676F11"/>
    <w:rsid w:val="00680079"/>
    <w:rsid w:val="00680ECC"/>
    <w:rsid w:val="00680F68"/>
    <w:rsid w:val="0068260E"/>
    <w:rsid w:val="00682D98"/>
    <w:rsid w:val="0068373D"/>
    <w:rsid w:val="00683B2A"/>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3FB"/>
    <w:rsid w:val="00696AA5"/>
    <w:rsid w:val="006977F6"/>
    <w:rsid w:val="0069789D"/>
    <w:rsid w:val="00697A13"/>
    <w:rsid w:val="006A109C"/>
    <w:rsid w:val="006A18AE"/>
    <w:rsid w:val="006A2EE8"/>
    <w:rsid w:val="006A3CF3"/>
    <w:rsid w:val="006A568F"/>
    <w:rsid w:val="006A65EF"/>
    <w:rsid w:val="006A672B"/>
    <w:rsid w:val="006B1781"/>
    <w:rsid w:val="006B23A9"/>
    <w:rsid w:val="006B23D8"/>
    <w:rsid w:val="006B281D"/>
    <w:rsid w:val="006B3F8A"/>
    <w:rsid w:val="006B59D7"/>
    <w:rsid w:val="006B5CA3"/>
    <w:rsid w:val="006B6B3B"/>
    <w:rsid w:val="006B7248"/>
    <w:rsid w:val="006B7714"/>
    <w:rsid w:val="006B78D8"/>
    <w:rsid w:val="006B7CCE"/>
    <w:rsid w:val="006C090F"/>
    <w:rsid w:val="006C0935"/>
    <w:rsid w:val="006C0BCE"/>
    <w:rsid w:val="006C113F"/>
    <w:rsid w:val="006C2AED"/>
    <w:rsid w:val="006C38DD"/>
    <w:rsid w:val="006C457F"/>
    <w:rsid w:val="006C53C7"/>
    <w:rsid w:val="006C5577"/>
    <w:rsid w:val="006C559A"/>
    <w:rsid w:val="006C58FA"/>
    <w:rsid w:val="006C6197"/>
    <w:rsid w:val="006D004F"/>
    <w:rsid w:val="006D042D"/>
    <w:rsid w:val="006D06EF"/>
    <w:rsid w:val="006D142E"/>
    <w:rsid w:val="006D3B87"/>
    <w:rsid w:val="006D4497"/>
    <w:rsid w:val="006D4E6F"/>
    <w:rsid w:val="006D61F6"/>
    <w:rsid w:val="006D710C"/>
    <w:rsid w:val="006E0EB0"/>
    <w:rsid w:val="006E182C"/>
    <w:rsid w:val="006E1F4C"/>
    <w:rsid w:val="006E22C8"/>
    <w:rsid w:val="006E279A"/>
    <w:rsid w:val="006E2C28"/>
    <w:rsid w:val="006E2F3F"/>
    <w:rsid w:val="006E313B"/>
    <w:rsid w:val="006E442A"/>
    <w:rsid w:val="006E4434"/>
    <w:rsid w:val="006E4A1B"/>
    <w:rsid w:val="006E59FC"/>
    <w:rsid w:val="006E5CFD"/>
    <w:rsid w:val="006E7E2C"/>
    <w:rsid w:val="006F1326"/>
    <w:rsid w:val="006F2280"/>
    <w:rsid w:val="006F2BEE"/>
    <w:rsid w:val="006F3708"/>
    <w:rsid w:val="006F376C"/>
    <w:rsid w:val="006F3A90"/>
    <w:rsid w:val="006F3E6B"/>
    <w:rsid w:val="006F4619"/>
    <w:rsid w:val="006F4A59"/>
    <w:rsid w:val="006F6968"/>
    <w:rsid w:val="00700232"/>
    <w:rsid w:val="00701382"/>
    <w:rsid w:val="007014C7"/>
    <w:rsid w:val="00702100"/>
    <w:rsid w:val="00702D6F"/>
    <w:rsid w:val="007031C6"/>
    <w:rsid w:val="00703B6C"/>
    <w:rsid w:val="00703C6B"/>
    <w:rsid w:val="007047D5"/>
    <w:rsid w:val="00705D98"/>
    <w:rsid w:val="00707891"/>
    <w:rsid w:val="00707D43"/>
    <w:rsid w:val="00710F7C"/>
    <w:rsid w:val="00711EF1"/>
    <w:rsid w:val="0071229A"/>
    <w:rsid w:val="00712572"/>
    <w:rsid w:val="00713495"/>
    <w:rsid w:val="00713EEB"/>
    <w:rsid w:val="007142C1"/>
    <w:rsid w:val="00715487"/>
    <w:rsid w:val="007159D2"/>
    <w:rsid w:val="00716DCC"/>
    <w:rsid w:val="00717726"/>
    <w:rsid w:val="0072050E"/>
    <w:rsid w:val="00720958"/>
    <w:rsid w:val="00720FA2"/>
    <w:rsid w:val="007211F5"/>
    <w:rsid w:val="007240C5"/>
    <w:rsid w:val="00724666"/>
    <w:rsid w:val="00724ADE"/>
    <w:rsid w:val="00724E80"/>
    <w:rsid w:val="00725492"/>
    <w:rsid w:val="007256B7"/>
    <w:rsid w:val="00726043"/>
    <w:rsid w:val="0072704A"/>
    <w:rsid w:val="007279B9"/>
    <w:rsid w:val="00730AE8"/>
    <w:rsid w:val="007315DA"/>
    <w:rsid w:val="00731963"/>
    <w:rsid w:val="00732706"/>
    <w:rsid w:val="00734321"/>
    <w:rsid w:val="00734597"/>
    <w:rsid w:val="00735044"/>
    <w:rsid w:val="0073532E"/>
    <w:rsid w:val="00735B01"/>
    <w:rsid w:val="007367F6"/>
    <w:rsid w:val="00740310"/>
    <w:rsid w:val="00740652"/>
    <w:rsid w:val="00740F02"/>
    <w:rsid w:val="00740FEC"/>
    <w:rsid w:val="0074132E"/>
    <w:rsid w:val="00741493"/>
    <w:rsid w:val="007426B3"/>
    <w:rsid w:val="007426FD"/>
    <w:rsid w:val="007430AB"/>
    <w:rsid w:val="0074329D"/>
    <w:rsid w:val="00744376"/>
    <w:rsid w:val="007449EA"/>
    <w:rsid w:val="00744D00"/>
    <w:rsid w:val="00744D2B"/>
    <w:rsid w:val="00745273"/>
    <w:rsid w:val="00745F3C"/>
    <w:rsid w:val="00746DD9"/>
    <w:rsid w:val="0075057A"/>
    <w:rsid w:val="00751771"/>
    <w:rsid w:val="00751C1C"/>
    <w:rsid w:val="00752180"/>
    <w:rsid w:val="007521A1"/>
    <w:rsid w:val="00752BC3"/>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63A13"/>
    <w:rsid w:val="00763D86"/>
    <w:rsid w:val="0077058D"/>
    <w:rsid w:val="00770931"/>
    <w:rsid w:val="00772536"/>
    <w:rsid w:val="00773613"/>
    <w:rsid w:val="0077430F"/>
    <w:rsid w:val="00774782"/>
    <w:rsid w:val="00776476"/>
    <w:rsid w:val="00776527"/>
    <w:rsid w:val="00777DB1"/>
    <w:rsid w:val="007805E1"/>
    <w:rsid w:val="00780DDF"/>
    <w:rsid w:val="0078113E"/>
    <w:rsid w:val="00781834"/>
    <w:rsid w:val="007821DB"/>
    <w:rsid w:val="00782818"/>
    <w:rsid w:val="007838F1"/>
    <w:rsid w:val="007841BB"/>
    <w:rsid w:val="00784C4A"/>
    <w:rsid w:val="00787432"/>
    <w:rsid w:val="00787507"/>
    <w:rsid w:val="0078778C"/>
    <w:rsid w:val="007879F2"/>
    <w:rsid w:val="00790393"/>
    <w:rsid w:val="00791804"/>
    <w:rsid w:val="0079197F"/>
    <w:rsid w:val="00791CF8"/>
    <w:rsid w:val="00791EF9"/>
    <w:rsid w:val="00792262"/>
    <w:rsid w:val="00793387"/>
    <w:rsid w:val="00793BAE"/>
    <w:rsid w:val="007941C3"/>
    <w:rsid w:val="00794870"/>
    <w:rsid w:val="00794E0A"/>
    <w:rsid w:val="00795B04"/>
    <w:rsid w:val="00796642"/>
    <w:rsid w:val="007A11D9"/>
    <w:rsid w:val="007A327B"/>
    <w:rsid w:val="007A4048"/>
    <w:rsid w:val="007A45B1"/>
    <w:rsid w:val="007A4606"/>
    <w:rsid w:val="007A4D58"/>
    <w:rsid w:val="007A5039"/>
    <w:rsid w:val="007B04E8"/>
    <w:rsid w:val="007B0D67"/>
    <w:rsid w:val="007B0F90"/>
    <w:rsid w:val="007B1966"/>
    <w:rsid w:val="007B2257"/>
    <w:rsid w:val="007B2779"/>
    <w:rsid w:val="007B2AF7"/>
    <w:rsid w:val="007B3DCC"/>
    <w:rsid w:val="007B4518"/>
    <w:rsid w:val="007B5031"/>
    <w:rsid w:val="007B573F"/>
    <w:rsid w:val="007B72AC"/>
    <w:rsid w:val="007B78F8"/>
    <w:rsid w:val="007C0065"/>
    <w:rsid w:val="007C010B"/>
    <w:rsid w:val="007C32B6"/>
    <w:rsid w:val="007C3AE3"/>
    <w:rsid w:val="007C605B"/>
    <w:rsid w:val="007C6EBA"/>
    <w:rsid w:val="007D2A5A"/>
    <w:rsid w:val="007D2AD8"/>
    <w:rsid w:val="007D2C47"/>
    <w:rsid w:val="007D2C61"/>
    <w:rsid w:val="007D2DA3"/>
    <w:rsid w:val="007D2F81"/>
    <w:rsid w:val="007D3167"/>
    <w:rsid w:val="007D3CF7"/>
    <w:rsid w:val="007D4128"/>
    <w:rsid w:val="007D4281"/>
    <w:rsid w:val="007D42F5"/>
    <w:rsid w:val="007D44C3"/>
    <w:rsid w:val="007D5947"/>
    <w:rsid w:val="007D65C1"/>
    <w:rsid w:val="007E030F"/>
    <w:rsid w:val="007E0D49"/>
    <w:rsid w:val="007E0E59"/>
    <w:rsid w:val="007E0F4B"/>
    <w:rsid w:val="007E12C1"/>
    <w:rsid w:val="007E1EF7"/>
    <w:rsid w:val="007E3715"/>
    <w:rsid w:val="007E5880"/>
    <w:rsid w:val="007E5F3D"/>
    <w:rsid w:val="007E6588"/>
    <w:rsid w:val="007E7063"/>
    <w:rsid w:val="007E7E61"/>
    <w:rsid w:val="007F0316"/>
    <w:rsid w:val="007F0845"/>
    <w:rsid w:val="007F1092"/>
    <w:rsid w:val="007F16F9"/>
    <w:rsid w:val="007F2801"/>
    <w:rsid w:val="007F3E3E"/>
    <w:rsid w:val="007F42E0"/>
    <w:rsid w:val="007F500D"/>
    <w:rsid w:val="007F5F14"/>
    <w:rsid w:val="007F7B54"/>
    <w:rsid w:val="007F7C60"/>
    <w:rsid w:val="00800073"/>
    <w:rsid w:val="008005D7"/>
    <w:rsid w:val="00801FDD"/>
    <w:rsid w:val="008020C2"/>
    <w:rsid w:val="0080255C"/>
    <w:rsid w:val="008054FB"/>
    <w:rsid w:val="00806088"/>
    <w:rsid w:val="00806D07"/>
    <w:rsid w:val="0081019B"/>
    <w:rsid w:val="0081187C"/>
    <w:rsid w:val="00811E24"/>
    <w:rsid w:val="008120C5"/>
    <w:rsid w:val="00812386"/>
    <w:rsid w:val="00812E2B"/>
    <w:rsid w:val="00813A70"/>
    <w:rsid w:val="00813CB4"/>
    <w:rsid w:val="00813DB0"/>
    <w:rsid w:val="00813FE6"/>
    <w:rsid w:val="00815B82"/>
    <w:rsid w:val="00815C6E"/>
    <w:rsid w:val="00815DD0"/>
    <w:rsid w:val="00815F10"/>
    <w:rsid w:val="0081645F"/>
    <w:rsid w:val="00816A28"/>
    <w:rsid w:val="008174A3"/>
    <w:rsid w:val="00817755"/>
    <w:rsid w:val="008178C2"/>
    <w:rsid w:val="008178CF"/>
    <w:rsid w:val="00817C98"/>
    <w:rsid w:val="00820C9F"/>
    <w:rsid w:val="00821AAE"/>
    <w:rsid w:val="00821FF6"/>
    <w:rsid w:val="00823AAF"/>
    <w:rsid w:val="00824081"/>
    <w:rsid w:val="0082409A"/>
    <w:rsid w:val="008252D7"/>
    <w:rsid w:val="00825C0F"/>
    <w:rsid w:val="00826376"/>
    <w:rsid w:val="00826ED1"/>
    <w:rsid w:val="00827181"/>
    <w:rsid w:val="0082733C"/>
    <w:rsid w:val="00827746"/>
    <w:rsid w:val="0083102D"/>
    <w:rsid w:val="0083143E"/>
    <w:rsid w:val="0083159D"/>
    <w:rsid w:val="008318FF"/>
    <w:rsid w:val="00832187"/>
    <w:rsid w:val="00832493"/>
    <w:rsid w:val="008329BD"/>
    <w:rsid w:val="008334C3"/>
    <w:rsid w:val="008336D8"/>
    <w:rsid w:val="008339C4"/>
    <w:rsid w:val="00834F0A"/>
    <w:rsid w:val="00834FAA"/>
    <w:rsid w:val="00835181"/>
    <w:rsid w:val="00835991"/>
    <w:rsid w:val="00836086"/>
    <w:rsid w:val="00840699"/>
    <w:rsid w:val="00841D9F"/>
    <w:rsid w:val="00842078"/>
    <w:rsid w:val="00842604"/>
    <w:rsid w:val="00843ECF"/>
    <w:rsid w:val="00845AB1"/>
    <w:rsid w:val="00846673"/>
    <w:rsid w:val="008508A9"/>
    <w:rsid w:val="0085188D"/>
    <w:rsid w:val="008518D8"/>
    <w:rsid w:val="008525F9"/>
    <w:rsid w:val="0085281A"/>
    <w:rsid w:val="00853F33"/>
    <w:rsid w:val="008548EA"/>
    <w:rsid w:val="008550EA"/>
    <w:rsid w:val="008559FE"/>
    <w:rsid w:val="0085686D"/>
    <w:rsid w:val="00857339"/>
    <w:rsid w:val="00860706"/>
    <w:rsid w:val="00862A7A"/>
    <w:rsid w:val="00862FBD"/>
    <w:rsid w:val="00863104"/>
    <w:rsid w:val="008636CD"/>
    <w:rsid w:val="00863702"/>
    <w:rsid w:val="00863D9E"/>
    <w:rsid w:val="00863FDC"/>
    <w:rsid w:val="008642AF"/>
    <w:rsid w:val="00865286"/>
    <w:rsid w:val="00865729"/>
    <w:rsid w:val="00865EA8"/>
    <w:rsid w:val="00865ED4"/>
    <w:rsid w:val="008669A7"/>
    <w:rsid w:val="00867464"/>
    <w:rsid w:val="00867D15"/>
    <w:rsid w:val="00867E29"/>
    <w:rsid w:val="00870F2B"/>
    <w:rsid w:val="00873B2E"/>
    <w:rsid w:val="00874097"/>
    <w:rsid w:val="008746E6"/>
    <w:rsid w:val="0087515D"/>
    <w:rsid w:val="0087594C"/>
    <w:rsid w:val="00876086"/>
    <w:rsid w:val="008765FA"/>
    <w:rsid w:val="008768D6"/>
    <w:rsid w:val="008775D1"/>
    <w:rsid w:val="008777BB"/>
    <w:rsid w:val="00877D68"/>
    <w:rsid w:val="00877E5D"/>
    <w:rsid w:val="00880150"/>
    <w:rsid w:val="00880ABA"/>
    <w:rsid w:val="00883A67"/>
    <w:rsid w:val="00883D45"/>
    <w:rsid w:val="00884D69"/>
    <w:rsid w:val="0088503D"/>
    <w:rsid w:val="00885EC6"/>
    <w:rsid w:val="008869D2"/>
    <w:rsid w:val="00886A8F"/>
    <w:rsid w:val="00886DE2"/>
    <w:rsid w:val="0088733A"/>
    <w:rsid w:val="008901CC"/>
    <w:rsid w:val="00891BE0"/>
    <w:rsid w:val="00893302"/>
    <w:rsid w:val="00893648"/>
    <w:rsid w:val="00893D83"/>
    <w:rsid w:val="00893F0C"/>
    <w:rsid w:val="00893F3C"/>
    <w:rsid w:val="008945A1"/>
    <w:rsid w:val="00894A63"/>
    <w:rsid w:val="00894F71"/>
    <w:rsid w:val="00895A54"/>
    <w:rsid w:val="00896776"/>
    <w:rsid w:val="00896916"/>
    <w:rsid w:val="00896BDE"/>
    <w:rsid w:val="0089763E"/>
    <w:rsid w:val="008A03DE"/>
    <w:rsid w:val="008A0861"/>
    <w:rsid w:val="008A0BB2"/>
    <w:rsid w:val="008A1AB3"/>
    <w:rsid w:val="008A1D5C"/>
    <w:rsid w:val="008A3292"/>
    <w:rsid w:val="008A3A85"/>
    <w:rsid w:val="008A43E9"/>
    <w:rsid w:val="008A4CB1"/>
    <w:rsid w:val="008A615E"/>
    <w:rsid w:val="008A632B"/>
    <w:rsid w:val="008A6BFE"/>
    <w:rsid w:val="008A6F21"/>
    <w:rsid w:val="008A73DA"/>
    <w:rsid w:val="008B00C2"/>
    <w:rsid w:val="008B05E8"/>
    <w:rsid w:val="008B07EF"/>
    <w:rsid w:val="008B16DE"/>
    <w:rsid w:val="008B190E"/>
    <w:rsid w:val="008B1A8A"/>
    <w:rsid w:val="008B1FC9"/>
    <w:rsid w:val="008B531F"/>
    <w:rsid w:val="008B54A3"/>
    <w:rsid w:val="008B634C"/>
    <w:rsid w:val="008B6B67"/>
    <w:rsid w:val="008B7306"/>
    <w:rsid w:val="008B775F"/>
    <w:rsid w:val="008B7C02"/>
    <w:rsid w:val="008B7D13"/>
    <w:rsid w:val="008B7F9E"/>
    <w:rsid w:val="008C034E"/>
    <w:rsid w:val="008C0E88"/>
    <w:rsid w:val="008C1399"/>
    <w:rsid w:val="008C17B8"/>
    <w:rsid w:val="008C18A5"/>
    <w:rsid w:val="008C1AA8"/>
    <w:rsid w:val="008C22A8"/>
    <w:rsid w:val="008C5B43"/>
    <w:rsid w:val="008C63FD"/>
    <w:rsid w:val="008C6CB8"/>
    <w:rsid w:val="008C6D92"/>
    <w:rsid w:val="008C777A"/>
    <w:rsid w:val="008C7815"/>
    <w:rsid w:val="008C7A07"/>
    <w:rsid w:val="008C7E90"/>
    <w:rsid w:val="008C7EB3"/>
    <w:rsid w:val="008D0171"/>
    <w:rsid w:val="008D0632"/>
    <w:rsid w:val="008D0E3B"/>
    <w:rsid w:val="008D13EA"/>
    <w:rsid w:val="008D2671"/>
    <w:rsid w:val="008D2A16"/>
    <w:rsid w:val="008D2ECF"/>
    <w:rsid w:val="008D347D"/>
    <w:rsid w:val="008D3F3D"/>
    <w:rsid w:val="008D4376"/>
    <w:rsid w:val="008E0367"/>
    <w:rsid w:val="008E2DCD"/>
    <w:rsid w:val="008E308D"/>
    <w:rsid w:val="008E31FF"/>
    <w:rsid w:val="008E46A3"/>
    <w:rsid w:val="008E5DE6"/>
    <w:rsid w:val="008E6113"/>
    <w:rsid w:val="008E6AB3"/>
    <w:rsid w:val="008E6AD3"/>
    <w:rsid w:val="008E6EBD"/>
    <w:rsid w:val="008E71A6"/>
    <w:rsid w:val="008E77B6"/>
    <w:rsid w:val="008E7C55"/>
    <w:rsid w:val="008F032E"/>
    <w:rsid w:val="008F0F14"/>
    <w:rsid w:val="008F1638"/>
    <w:rsid w:val="008F2097"/>
    <w:rsid w:val="008F2F44"/>
    <w:rsid w:val="008F4FCE"/>
    <w:rsid w:val="008F5301"/>
    <w:rsid w:val="008F6967"/>
    <w:rsid w:val="008F6A0C"/>
    <w:rsid w:val="008F6F38"/>
    <w:rsid w:val="008F7721"/>
    <w:rsid w:val="008F7D28"/>
    <w:rsid w:val="009003A8"/>
    <w:rsid w:val="009010A7"/>
    <w:rsid w:val="009010E3"/>
    <w:rsid w:val="00901703"/>
    <w:rsid w:val="00901AF3"/>
    <w:rsid w:val="00902CBE"/>
    <w:rsid w:val="00902D74"/>
    <w:rsid w:val="00902EFF"/>
    <w:rsid w:val="00902FAC"/>
    <w:rsid w:val="00903E06"/>
    <w:rsid w:val="009045D1"/>
    <w:rsid w:val="00904B9D"/>
    <w:rsid w:val="00905A11"/>
    <w:rsid w:val="00905FE8"/>
    <w:rsid w:val="009066E1"/>
    <w:rsid w:val="00906F67"/>
    <w:rsid w:val="00907A41"/>
    <w:rsid w:val="009102BD"/>
    <w:rsid w:val="00910F93"/>
    <w:rsid w:val="0091255A"/>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306BE"/>
    <w:rsid w:val="00934836"/>
    <w:rsid w:val="00934963"/>
    <w:rsid w:val="00937B11"/>
    <w:rsid w:val="00940F1F"/>
    <w:rsid w:val="00941250"/>
    <w:rsid w:val="00941339"/>
    <w:rsid w:val="0094396E"/>
    <w:rsid w:val="0094427A"/>
    <w:rsid w:val="00944380"/>
    <w:rsid w:val="009459C5"/>
    <w:rsid w:val="00945E5E"/>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AE"/>
    <w:rsid w:val="009742F7"/>
    <w:rsid w:val="0097476C"/>
    <w:rsid w:val="00974923"/>
    <w:rsid w:val="00974D48"/>
    <w:rsid w:val="00974D5F"/>
    <w:rsid w:val="00975017"/>
    <w:rsid w:val="009759DF"/>
    <w:rsid w:val="00980373"/>
    <w:rsid w:val="00980621"/>
    <w:rsid w:val="0098095B"/>
    <w:rsid w:val="00982072"/>
    <w:rsid w:val="009833FA"/>
    <w:rsid w:val="00983DBB"/>
    <w:rsid w:val="00983ECF"/>
    <w:rsid w:val="00985157"/>
    <w:rsid w:val="00986745"/>
    <w:rsid w:val="009867BC"/>
    <w:rsid w:val="00987109"/>
    <w:rsid w:val="00987309"/>
    <w:rsid w:val="0099012D"/>
    <w:rsid w:val="00990363"/>
    <w:rsid w:val="00991266"/>
    <w:rsid w:val="009928AE"/>
    <w:rsid w:val="00993BE6"/>
    <w:rsid w:val="00993D9C"/>
    <w:rsid w:val="00993F56"/>
    <w:rsid w:val="009954FF"/>
    <w:rsid w:val="0099571E"/>
    <w:rsid w:val="00995E2F"/>
    <w:rsid w:val="009961BC"/>
    <w:rsid w:val="00996355"/>
    <w:rsid w:val="0099788F"/>
    <w:rsid w:val="00997ADD"/>
    <w:rsid w:val="009A05A2"/>
    <w:rsid w:val="009A0979"/>
    <w:rsid w:val="009A1374"/>
    <w:rsid w:val="009A13FA"/>
    <w:rsid w:val="009A2014"/>
    <w:rsid w:val="009A2030"/>
    <w:rsid w:val="009A3A87"/>
    <w:rsid w:val="009A4E12"/>
    <w:rsid w:val="009A5C68"/>
    <w:rsid w:val="009A5DE2"/>
    <w:rsid w:val="009A6EF7"/>
    <w:rsid w:val="009B04D0"/>
    <w:rsid w:val="009B052C"/>
    <w:rsid w:val="009B0975"/>
    <w:rsid w:val="009B0EF2"/>
    <w:rsid w:val="009B23A3"/>
    <w:rsid w:val="009B2C0E"/>
    <w:rsid w:val="009B4925"/>
    <w:rsid w:val="009B4B4B"/>
    <w:rsid w:val="009B4CE3"/>
    <w:rsid w:val="009B6FD3"/>
    <w:rsid w:val="009B70BD"/>
    <w:rsid w:val="009C07A5"/>
    <w:rsid w:val="009C24A3"/>
    <w:rsid w:val="009C3705"/>
    <w:rsid w:val="009C7388"/>
    <w:rsid w:val="009C74C2"/>
    <w:rsid w:val="009D0CFF"/>
    <w:rsid w:val="009D1551"/>
    <w:rsid w:val="009D2859"/>
    <w:rsid w:val="009D36EC"/>
    <w:rsid w:val="009D3CD0"/>
    <w:rsid w:val="009D4173"/>
    <w:rsid w:val="009D51CA"/>
    <w:rsid w:val="009D6095"/>
    <w:rsid w:val="009D6306"/>
    <w:rsid w:val="009E048A"/>
    <w:rsid w:val="009E1124"/>
    <w:rsid w:val="009E1FBA"/>
    <w:rsid w:val="009E2C54"/>
    <w:rsid w:val="009E3710"/>
    <w:rsid w:val="009E6F65"/>
    <w:rsid w:val="009E7340"/>
    <w:rsid w:val="009E7B1F"/>
    <w:rsid w:val="009F346F"/>
    <w:rsid w:val="009F371A"/>
    <w:rsid w:val="009F3F25"/>
    <w:rsid w:val="009F3FC3"/>
    <w:rsid w:val="009F41C4"/>
    <w:rsid w:val="009F5846"/>
    <w:rsid w:val="009F63D2"/>
    <w:rsid w:val="009F777A"/>
    <w:rsid w:val="009F7B52"/>
    <w:rsid w:val="009F7D77"/>
    <w:rsid w:val="00A004D2"/>
    <w:rsid w:val="00A015EA"/>
    <w:rsid w:val="00A0172C"/>
    <w:rsid w:val="00A05B91"/>
    <w:rsid w:val="00A10D66"/>
    <w:rsid w:val="00A12BA8"/>
    <w:rsid w:val="00A133F2"/>
    <w:rsid w:val="00A13993"/>
    <w:rsid w:val="00A1420C"/>
    <w:rsid w:val="00A1456C"/>
    <w:rsid w:val="00A14821"/>
    <w:rsid w:val="00A14C9D"/>
    <w:rsid w:val="00A17754"/>
    <w:rsid w:val="00A2055B"/>
    <w:rsid w:val="00A20E22"/>
    <w:rsid w:val="00A2253C"/>
    <w:rsid w:val="00A23545"/>
    <w:rsid w:val="00A23A55"/>
    <w:rsid w:val="00A23E43"/>
    <w:rsid w:val="00A23EF0"/>
    <w:rsid w:val="00A24F8C"/>
    <w:rsid w:val="00A262BF"/>
    <w:rsid w:val="00A271AD"/>
    <w:rsid w:val="00A276D5"/>
    <w:rsid w:val="00A30336"/>
    <w:rsid w:val="00A30BB5"/>
    <w:rsid w:val="00A3128F"/>
    <w:rsid w:val="00A326D0"/>
    <w:rsid w:val="00A35287"/>
    <w:rsid w:val="00A355F2"/>
    <w:rsid w:val="00A378F8"/>
    <w:rsid w:val="00A40965"/>
    <w:rsid w:val="00A40B19"/>
    <w:rsid w:val="00A41D07"/>
    <w:rsid w:val="00A424F8"/>
    <w:rsid w:val="00A42883"/>
    <w:rsid w:val="00A437B7"/>
    <w:rsid w:val="00A43EA2"/>
    <w:rsid w:val="00A46C70"/>
    <w:rsid w:val="00A46D48"/>
    <w:rsid w:val="00A46DE0"/>
    <w:rsid w:val="00A4778A"/>
    <w:rsid w:val="00A47C94"/>
    <w:rsid w:val="00A504C0"/>
    <w:rsid w:val="00A5067F"/>
    <w:rsid w:val="00A517C1"/>
    <w:rsid w:val="00A518E0"/>
    <w:rsid w:val="00A5408A"/>
    <w:rsid w:val="00A55301"/>
    <w:rsid w:val="00A572FB"/>
    <w:rsid w:val="00A57B3C"/>
    <w:rsid w:val="00A57F1B"/>
    <w:rsid w:val="00A600D2"/>
    <w:rsid w:val="00A6128E"/>
    <w:rsid w:val="00A62CE1"/>
    <w:rsid w:val="00A631FA"/>
    <w:rsid w:val="00A64203"/>
    <w:rsid w:val="00A64348"/>
    <w:rsid w:val="00A644E1"/>
    <w:rsid w:val="00A6766C"/>
    <w:rsid w:val="00A711B0"/>
    <w:rsid w:val="00A71279"/>
    <w:rsid w:val="00A721FB"/>
    <w:rsid w:val="00A727BA"/>
    <w:rsid w:val="00A72D4B"/>
    <w:rsid w:val="00A732AE"/>
    <w:rsid w:val="00A74192"/>
    <w:rsid w:val="00A75837"/>
    <w:rsid w:val="00A75E40"/>
    <w:rsid w:val="00A76B12"/>
    <w:rsid w:val="00A76EF2"/>
    <w:rsid w:val="00A7727E"/>
    <w:rsid w:val="00A77EB2"/>
    <w:rsid w:val="00A81094"/>
    <w:rsid w:val="00A82B66"/>
    <w:rsid w:val="00A82C52"/>
    <w:rsid w:val="00A83B58"/>
    <w:rsid w:val="00A84D7D"/>
    <w:rsid w:val="00A84FAF"/>
    <w:rsid w:val="00A851B6"/>
    <w:rsid w:val="00A85729"/>
    <w:rsid w:val="00A8574B"/>
    <w:rsid w:val="00A857C0"/>
    <w:rsid w:val="00A85F5E"/>
    <w:rsid w:val="00A90343"/>
    <w:rsid w:val="00A91336"/>
    <w:rsid w:val="00A9221C"/>
    <w:rsid w:val="00A92277"/>
    <w:rsid w:val="00A92916"/>
    <w:rsid w:val="00A929D1"/>
    <w:rsid w:val="00A94628"/>
    <w:rsid w:val="00A94954"/>
    <w:rsid w:val="00A9497A"/>
    <w:rsid w:val="00A949A6"/>
    <w:rsid w:val="00A96463"/>
    <w:rsid w:val="00A97E3F"/>
    <w:rsid w:val="00AA09D3"/>
    <w:rsid w:val="00AA1356"/>
    <w:rsid w:val="00AA220F"/>
    <w:rsid w:val="00AA23FB"/>
    <w:rsid w:val="00AA34FE"/>
    <w:rsid w:val="00AA42AB"/>
    <w:rsid w:val="00AA4A76"/>
    <w:rsid w:val="00AA559A"/>
    <w:rsid w:val="00AA57A4"/>
    <w:rsid w:val="00AA5F10"/>
    <w:rsid w:val="00AB0BB9"/>
    <w:rsid w:val="00AB104D"/>
    <w:rsid w:val="00AB1441"/>
    <w:rsid w:val="00AB1653"/>
    <w:rsid w:val="00AB2AF1"/>
    <w:rsid w:val="00AB440B"/>
    <w:rsid w:val="00AB47E3"/>
    <w:rsid w:val="00AB74C5"/>
    <w:rsid w:val="00AB7BEE"/>
    <w:rsid w:val="00AB7DF2"/>
    <w:rsid w:val="00AC1E3F"/>
    <w:rsid w:val="00AC219A"/>
    <w:rsid w:val="00AC3D02"/>
    <w:rsid w:val="00AC4F18"/>
    <w:rsid w:val="00AD0B46"/>
    <w:rsid w:val="00AD1094"/>
    <w:rsid w:val="00AD2565"/>
    <w:rsid w:val="00AD306C"/>
    <w:rsid w:val="00AD3424"/>
    <w:rsid w:val="00AD3E3F"/>
    <w:rsid w:val="00AD4FEF"/>
    <w:rsid w:val="00AD50D1"/>
    <w:rsid w:val="00AD59BB"/>
    <w:rsid w:val="00AD5D68"/>
    <w:rsid w:val="00AD6C73"/>
    <w:rsid w:val="00AD7D49"/>
    <w:rsid w:val="00AE06D0"/>
    <w:rsid w:val="00AE1B8A"/>
    <w:rsid w:val="00AE39DC"/>
    <w:rsid w:val="00AE3CDA"/>
    <w:rsid w:val="00AE481D"/>
    <w:rsid w:val="00AE6734"/>
    <w:rsid w:val="00AE6CDA"/>
    <w:rsid w:val="00AE7968"/>
    <w:rsid w:val="00AE7B2B"/>
    <w:rsid w:val="00AE7DFF"/>
    <w:rsid w:val="00AF128B"/>
    <w:rsid w:val="00AF1AEA"/>
    <w:rsid w:val="00AF2536"/>
    <w:rsid w:val="00AF2852"/>
    <w:rsid w:val="00AF3225"/>
    <w:rsid w:val="00AF4983"/>
    <w:rsid w:val="00AF4CA7"/>
    <w:rsid w:val="00AF518B"/>
    <w:rsid w:val="00AF5275"/>
    <w:rsid w:val="00AF5D62"/>
    <w:rsid w:val="00AF6367"/>
    <w:rsid w:val="00AF6A79"/>
    <w:rsid w:val="00AF6B7C"/>
    <w:rsid w:val="00AF724E"/>
    <w:rsid w:val="00AF73A9"/>
    <w:rsid w:val="00B01436"/>
    <w:rsid w:val="00B01C2C"/>
    <w:rsid w:val="00B0231C"/>
    <w:rsid w:val="00B07372"/>
    <w:rsid w:val="00B07C2A"/>
    <w:rsid w:val="00B128E5"/>
    <w:rsid w:val="00B13681"/>
    <w:rsid w:val="00B13BCE"/>
    <w:rsid w:val="00B15DCD"/>
    <w:rsid w:val="00B16201"/>
    <w:rsid w:val="00B17E71"/>
    <w:rsid w:val="00B17FDE"/>
    <w:rsid w:val="00B208FC"/>
    <w:rsid w:val="00B20C65"/>
    <w:rsid w:val="00B22E17"/>
    <w:rsid w:val="00B25567"/>
    <w:rsid w:val="00B25E31"/>
    <w:rsid w:val="00B266C5"/>
    <w:rsid w:val="00B27293"/>
    <w:rsid w:val="00B300E8"/>
    <w:rsid w:val="00B301BB"/>
    <w:rsid w:val="00B321E3"/>
    <w:rsid w:val="00B3229E"/>
    <w:rsid w:val="00B32DDB"/>
    <w:rsid w:val="00B3447A"/>
    <w:rsid w:val="00B3448C"/>
    <w:rsid w:val="00B34931"/>
    <w:rsid w:val="00B35174"/>
    <w:rsid w:val="00B35BEA"/>
    <w:rsid w:val="00B37915"/>
    <w:rsid w:val="00B3793D"/>
    <w:rsid w:val="00B41BE6"/>
    <w:rsid w:val="00B42831"/>
    <w:rsid w:val="00B428A4"/>
    <w:rsid w:val="00B457E7"/>
    <w:rsid w:val="00B45D1B"/>
    <w:rsid w:val="00B45DE5"/>
    <w:rsid w:val="00B46D25"/>
    <w:rsid w:val="00B47430"/>
    <w:rsid w:val="00B47AC6"/>
    <w:rsid w:val="00B52D2D"/>
    <w:rsid w:val="00B534EF"/>
    <w:rsid w:val="00B548DA"/>
    <w:rsid w:val="00B55BA8"/>
    <w:rsid w:val="00B55F15"/>
    <w:rsid w:val="00B561A6"/>
    <w:rsid w:val="00B57CC4"/>
    <w:rsid w:val="00B60062"/>
    <w:rsid w:val="00B62960"/>
    <w:rsid w:val="00B63A11"/>
    <w:rsid w:val="00B63FD0"/>
    <w:rsid w:val="00B6553E"/>
    <w:rsid w:val="00B65C84"/>
    <w:rsid w:val="00B6608F"/>
    <w:rsid w:val="00B73180"/>
    <w:rsid w:val="00B74317"/>
    <w:rsid w:val="00B75700"/>
    <w:rsid w:val="00B760C1"/>
    <w:rsid w:val="00B76D1E"/>
    <w:rsid w:val="00B77BC8"/>
    <w:rsid w:val="00B800EB"/>
    <w:rsid w:val="00B822D2"/>
    <w:rsid w:val="00B823F1"/>
    <w:rsid w:val="00B831B4"/>
    <w:rsid w:val="00B83D46"/>
    <w:rsid w:val="00B848B8"/>
    <w:rsid w:val="00B84A41"/>
    <w:rsid w:val="00B84D57"/>
    <w:rsid w:val="00B8504B"/>
    <w:rsid w:val="00B853C2"/>
    <w:rsid w:val="00B853DC"/>
    <w:rsid w:val="00B85689"/>
    <w:rsid w:val="00B86748"/>
    <w:rsid w:val="00B907EA"/>
    <w:rsid w:val="00B91EC9"/>
    <w:rsid w:val="00B924CA"/>
    <w:rsid w:val="00B92A4B"/>
    <w:rsid w:val="00B93384"/>
    <w:rsid w:val="00B93616"/>
    <w:rsid w:val="00B94417"/>
    <w:rsid w:val="00B95566"/>
    <w:rsid w:val="00B95940"/>
    <w:rsid w:val="00B95EF8"/>
    <w:rsid w:val="00B95F50"/>
    <w:rsid w:val="00B96BD9"/>
    <w:rsid w:val="00B979A0"/>
    <w:rsid w:val="00BA094F"/>
    <w:rsid w:val="00BA0DED"/>
    <w:rsid w:val="00BA0F99"/>
    <w:rsid w:val="00BA56C9"/>
    <w:rsid w:val="00BB0274"/>
    <w:rsid w:val="00BB0B13"/>
    <w:rsid w:val="00BB1CFD"/>
    <w:rsid w:val="00BB2C53"/>
    <w:rsid w:val="00BB32DA"/>
    <w:rsid w:val="00BB3A54"/>
    <w:rsid w:val="00BB462A"/>
    <w:rsid w:val="00BB4D26"/>
    <w:rsid w:val="00BB4E21"/>
    <w:rsid w:val="00BB7746"/>
    <w:rsid w:val="00BC22EB"/>
    <w:rsid w:val="00BC682B"/>
    <w:rsid w:val="00BC68BA"/>
    <w:rsid w:val="00BC6B04"/>
    <w:rsid w:val="00BC6D27"/>
    <w:rsid w:val="00BD059A"/>
    <w:rsid w:val="00BD0CBB"/>
    <w:rsid w:val="00BD186B"/>
    <w:rsid w:val="00BD1EAC"/>
    <w:rsid w:val="00BD254C"/>
    <w:rsid w:val="00BD3428"/>
    <w:rsid w:val="00BD366B"/>
    <w:rsid w:val="00BD5298"/>
    <w:rsid w:val="00BD534C"/>
    <w:rsid w:val="00BD55A9"/>
    <w:rsid w:val="00BD56BC"/>
    <w:rsid w:val="00BD5D91"/>
    <w:rsid w:val="00BD6445"/>
    <w:rsid w:val="00BD6615"/>
    <w:rsid w:val="00BD6D50"/>
    <w:rsid w:val="00BE0D79"/>
    <w:rsid w:val="00BE0DB0"/>
    <w:rsid w:val="00BE15B9"/>
    <w:rsid w:val="00BE2C15"/>
    <w:rsid w:val="00BE3381"/>
    <w:rsid w:val="00BE3F09"/>
    <w:rsid w:val="00BE670A"/>
    <w:rsid w:val="00BE6906"/>
    <w:rsid w:val="00BF18F4"/>
    <w:rsid w:val="00BF1A69"/>
    <w:rsid w:val="00BF3BC8"/>
    <w:rsid w:val="00BF3DF1"/>
    <w:rsid w:val="00BF4C31"/>
    <w:rsid w:val="00BF4E57"/>
    <w:rsid w:val="00BF53B8"/>
    <w:rsid w:val="00BF786A"/>
    <w:rsid w:val="00BF7CB8"/>
    <w:rsid w:val="00BF7F08"/>
    <w:rsid w:val="00C00831"/>
    <w:rsid w:val="00C00F20"/>
    <w:rsid w:val="00C01354"/>
    <w:rsid w:val="00C01700"/>
    <w:rsid w:val="00C01B84"/>
    <w:rsid w:val="00C034E6"/>
    <w:rsid w:val="00C05715"/>
    <w:rsid w:val="00C05926"/>
    <w:rsid w:val="00C0784A"/>
    <w:rsid w:val="00C10B28"/>
    <w:rsid w:val="00C10D62"/>
    <w:rsid w:val="00C10FAE"/>
    <w:rsid w:val="00C1135D"/>
    <w:rsid w:val="00C11DAF"/>
    <w:rsid w:val="00C123B4"/>
    <w:rsid w:val="00C12A69"/>
    <w:rsid w:val="00C13150"/>
    <w:rsid w:val="00C13737"/>
    <w:rsid w:val="00C150BE"/>
    <w:rsid w:val="00C158B0"/>
    <w:rsid w:val="00C15A0C"/>
    <w:rsid w:val="00C15CEB"/>
    <w:rsid w:val="00C15DCB"/>
    <w:rsid w:val="00C16208"/>
    <w:rsid w:val="00C16971"/>
    <w:rsid w:val="00C1711F"/>
    <w:rsid w:val="00C17E38"/>
    <w:rsid w:val="00C2038A"/>
    <w:rsid w:val="00C205BF"/>
    <w:rsid w:val="00C20744"/>
    <w:rsid w:val="00C20B1C"/>
    <w:rsid w:val="00C20C4D"/>
    <w:rsid w:val="00C21D46"/>
    <w:rsid w:val="00C21F94"/>
    <w:rsid w:val="00C222A1"/>
    <w:rsid w:val="00C22C59"/>
    <w:rsid w:val="00C23371"/>
    <w:rsid w:val="00C23CBD"/>
    <w:rsid w:val="00C23D22"/>
    <w:rsid w:val="00C2463B"/>
    <w:rsid w:val="00C24E77"/>
    <w:rsid w:val="00C2732D"/>
    <w:rsid w:val="00C273C6"/>
    <w:rsid w:val="00C27913"/>
    <w:rsid w:val="00C300C6"/>
    <w:rsid w:val="00C30828"/>
    <w:rsid w:val="00C30924"/>
    <w:rsid w:val="00C31DD8"/>
    <w:rsid w:val="00C3271C"/>
    <w:rsid w:val="00C34FDE"/>
    <w:rsid w:val="00C35C16"/>
    <w:rsid w:val="00C36EC3"/>
    <w:rsid w:val="00C40E09"/>
    <w:rsid w:val="00C40F81"/>
    <w:rsid w:val="00C41463"/>
    <w:rsid w:val="00C41A72"/>
    <w:rsid w:val="00C42D45"/>
    <w:rsid w:val="00C43CB1"/>
    <w:rsid w:val="00C4422D"/>
    <w:rsid w:val="00C476C5"/>
    <w:rsid w:val="00C503B0"/>
    <w:rsid w:val="00C511C2"/>
    <w:rsid w:val="00C527C6"/>
    <w:rsid w:val="00C53CDB"/>
    <w:rsid w:val="00C53D82"/>
    <w:rsid w:val="00C54748"/>
    <w:rsid w:val="00C574CF"/>
    <w:rsid w:val="00C575FB"/>
    <w:rsid w:val="00C60696"/>
    <w:rsid w:val="00C60943"/>
    <w:rsid w:val="00C60EEF"/>
    <w:rsid w:val="00C610C5"/>
    <w:rsid w:val="00C6121D"/>
    <w:rsid w:val="00C615F1"/>
    <w:rsid w:val="00C61627"/>
    <w:rsid w:val="00C63B1A"/>
    <w:rsid w:val="00C64E60"/>
    <w:rsid w:val="00C657A4"/>
    <w:rsid w:val="00C66589"/>
    <w:rsid w:val="00C6736C"/>
    <w:rsid w:val="00C7179C"/>
    <w:rsid w:val="00C71A1D"/>
    <w:rsid w:val="00C71EC4"/>
    <w:rsid w:val="00C7410A"/>
    <w:rsid w:val="00C74791"/>
    <w:rsid w:val="00C7591E"/>
    <w:rsid w:val="00C75C7E"/>
    <w:rsid w:val="00C75C9B"/>
    <w:rsid w:val="00C76D8E"/>
    <w:rsid w:val="00C77833"/>
    <w:rsid w:val="00C80C9B"/>
    <w:rsid w:val="00C8180B"/>
    <w:rsid w:val="00C8335E"/>
    <w:rsid w:val="00C83F9C"/>
    <w:rsid w:val="00C84CE3"/>
    <w:rsid w:val="00C85614"/>
    <w:rsid w:val="00C86127"/>
    <w:rsid w:val="00C9003C"/>
    <w:rsid w:val="00C90CF4"/>
    <w:rsid w:val="00C91C19"/>
    <w:rsid w:val="00C929A0"/>
    <w:rsid w:val="00C930FB"/>
    <w:rsid w:val="00C93389"/>
    <w:rsid w:val="00C937DB"/>
    <w:rsid w:val="00C94519"/>
    <w:rsid w:val="00C94E11"/>
    <w:rsid w:val="00C94E83"/>
    <w:rsid w:val="00C9567E"/>
    <w:rsid w:val="00C97038"/>
    <w:rsid w:val="00CA02B2"/>
    <w:rsid w:val="00CA0883"/>
    <w:rsid w:val="00CA1085"/>
    <w:rsid w:val="00CA140F"/>
    <w:rsid w:val="00CA25C2"/>
    <w:rsid w:val="00CA37BB"/>
    <w:rsid w:val="00CA37CA"/>
    <w:rsid w:val="00CA39E1"/>
    <w:rsid w:val="00CA5016"/>
    <w:rsid w:val="00CA5724"/>
    <w:rsid w:val="00CA6508"/>
    <w:rsid w:val="00CA6BA1"/>
    <w:rsid w:val="00CA6CD5"/>
    <w:rsid w:val="00CA6D0B"/>
    <w:rsid w:val="00CB1910"/>
    <w:rsid w:val="00CB2150"/>
    <w:rsid w:val="00CB28EE"/>
    <w:rsid w:val="00CB2B15"/>
    <w:rsid w:val="00CB2EEA"/>
    <w:rsid w:val="00CB43A7"/>
    <w:rsid w:val="00CB4DF1"/>
    <w:rsid w:val="00CB5996"/>
    <w:rsid w:val="00CB6809"/>
    <w:rsid w:val="00CB7452"/>
    <w:rsid w:val="00CC0E10"/>
    <w:rsid w:val="00CC1DAF"/>
    <w:rsid w:val="00CC2642"/>
    <w:rsid w:val="00CC2967"/>
    <w:rsid w:val="00CC2A1E"/>
    <w:rsid w:val="00CC2A36"/>
    <w:rsid w:val="00CC2E15"/>
    <w:rsid w:val="00CC3440"/>
    <w:rsid w:val="00CC351B"/>
    <w:rsid w:val="00CC3908"/>
    <w:rsid w:val="00CC4F3D"/>
    <w:rsid w:val="00CC62AD"/>
    <w:rsid w:val="00CC6CA2"/>
    <w:rsid w:val="00CC7086"/>
    <w:rsid w:val="00CC7B80"/>
    <w:rsid w:val="00CD0779"/>
    <w:rsid w:val="00CD2B3C"/>
    <w:rsid w:val="00CD30F6"/>
    <w:rsid w:val="00CD4B29"/>
    <w:rsid w:val="00CD5493"/>
    <w:rsid w:val="00CD67CA"/>
    <w:rsid w:val="00CD6954"/>
    <w:rsid w:val="00CD6DA3"/>
    <w:rsid w:val="00CD6EF1"/>
    <w:rsid w:val="00CD7E35"/>
    <w:rsid w:val="00CE21C7"/>
    <w:rsid w:val="00CE2682"/>
    <w:rsid w:val="00CE2756"/>
    <w:rsid w:val="00CE442A"/>
    <w:rsid w:val="00CE4DEB"/>
    <w:rsid w:val="00CE57D8"/>
    <w:rsid w:val="00CE5F03"/>
    <w:rsid w:val="00CE617A"/>
    <w:rsid w:val="00CE6E3C"/>
    <w:rsid w:val="00CE7158"/>
    <w:rsid w:val="00CE797F"/>
    <w:rsid w:val="00CF107E"/>
    <w:rsid w:val="00CF15BF"/>
    <w:rsid w:val="00CF25D2"/>
    <w:rsid w:val="00CF28C2"/>
    <w:rsid w:val="00CF3D3A"/>
    <w:rsid w:val="00CF42BD"/>
    <w:rsid w:val="00CF51EC"/>
    <w:rsid w:val="00CF6A9D"/>
    <w:rsid w:val="00CF6CD7"/>
    <w:rsid w:val="00CF7276"/>
    <w:rsid w:val="00CF75EC"/>
    <w:rsid w:val="00D002DF"/>
    <w:rsid w:val="00D0037A"/>
    <w:rsid w:val="00D0061E"/>
    <w:rsid w:val="00D00DAF"/>
    <w:rsid w:val="00D017EC"/>
    <w:rsid w:val="00D01CDA"/>
    <w:rsid w:val="00D020FC"/>
    <w:rsid w:val="00D03866"/>
    <w:rsid w:val="00D040DD"/>
    <w:rsid w:val="00D04E1B"/>
    <w:rsid w:val="00D0547B"/>
    <w:rsid w:val="00D076DB"/>
    <w:rsid w:val="00D07EFF"/>
    <w:rsid w:val="00D1067C"/>
    <w:rsid w:val="00D11CBB"/>
    <w:rsid w:val="00D136D4"/>
    <w:rsid w:val="00D13830"/>
    <w:rsid w:val="00D13ECF"/>
    <w:rsid w:val="00D142E5"/>
    <w:rsid w:val="00D148CD"/>
    <w:rsid w:val="00D1611E"/>
    <w:rsid w:val="00D163CC"/>
    <w:rsid w:val="00D16E69"/>
    <w:rsid w:val="00D17F4A"/>
    <w:rsid w:val="00D205A9"/>
    <w:rsid w:val="00D217EE"/>
    <w:rsid w:val="00D24299"/>
    <w:rsid w:val="00D245BA"/>
    <w:rsid w:val="00D26923"/>
    <w:rsid w:val="00D27856"/>
    <w:rsid w:val="00D27D34"/>
    <w:rsid w:val="00D3006B"/>
    <w:rsid w:val="00D301CA"/>
    <w:rsid w:val="00D30740"/>
    <w:rsid w:val="00D31075"/>
    <w:rsid w:val="00D31445"/>
    <w:rsid w:val="00D31932"/>
    <w:rsid w:val="00D32AE0"/>
    <w:rsid w:val="00D360DA"/>
    <w:rsid w:val="00D374B3"/>
    <w:rsid w:val="00D37689"/>
    <w:rsid w:val="00D378CC"/>
    <w:rsid w:val="00D4042C"/>
    <w:rsid w:val="00D40B9E"/>
    <w:rsid w:val="00D41281"/>
    <w:rsid w:val="00D42312"/>
    <w:rsid w:val="00D42E15"/>
    <w:rsid w:val="00D433F5"/>
    <w:rsid w:val="00D43998"/>
    <w:rsid w:val="00D439C2"/>
    <w:rsid w:val="00D451E0"/>
    <w:rsid w:val="00D45A1D"/>
    <w:rsid w:val="00D4615E"/>
    <w:rsid w:val="00D4651F"/>
    <w:rsid w:val="00D478E2"/>
    <w:rsid w:val="00D5264C"/>
    <w:rsid w:val="00D547BA"/>
    <w:rsid w:val="00D55626"/>
    <w:rsid w:val="00D556BC"/>
    <w:rsid w:val="00D5626D"/>
    <w:rsid w:val="00D56631"/>
    <w:rsid w:val="00D577A4"/>
    <w:rsid w:val="00D57E4B"/>
    <w:rsid w:val="00D60277"/>
    <w:rsid w:val="00D60336"/>
    <w:rsid w:val="00D61B06"/>
    <w:rsid w:val="00D61F88"/>
    <w:rsid w:val="00D62688"/>
    <w:rsid w:val="00D62901"/>
    <w:rsid w:val="00D6345E"/>
    <w:rsid w:val="00D6470C"/>
    <w:rsid w:val="00D64853"/>
    <w:rsid w:val="00D64CB5"/>
    <w:rsid w:val="00D667A0"/>
    <w:rsid w:val="00D66D48"/>
    <w:rsid w:val="00D7162F"/>
    <w:rsid w:val="00D72897"/>
    <w:rsid w:val="00D72948"/>
    <w:rsid w:val="00D73256"/>
    <w:rsid w:val="00D73A30"/>
    <w:rsid w:val="00D73E6F"/>
    <w:rsid w:val="00D74ABF"/>
    <w:rsid w:val="00D74C65"/>
    <w:rsid w:val="00D74E97"/>
    <w:rsid w:val="00D74F21"/>
    <w:rsid w:val="00D758D0"/>
    <w:rsid w:val="00D75DC2"/>
    <w:rsid w:val="00D75DC3"/>
    <w:rsid w:val="00D766EF"/>
    <w:rsid w:val="00D76C03"/>
    <w:rsid w:val="00D77F8D"/>
    <w:rsid w:val="00D80E07"/>
    <w:rsid w:val="00D8119B"/>
    <w:rsid w:val="00D81B44"/>
    <w:rsid w:val="00D82462"/>
    <w:rsid w:val="00D831C6"/>
    <w:rsid w:val="00D83EF3"/>
    <w:rsid w:val="00D84BD1"/>
    <w:rsid w:val="00D85886"/>
    <w:rsid w:val="00D868CE"/>
    <w:rsid w:val="00D86DAE"/>
    <w:rsid w:val="00D875B6"/>
    <w:rsid w:val="00D90116"/>
    <w:rsid w:val="00D90C1E"/>
    <w:rsid w:val="00D91BDF"/>
    <w:rsid w:val="00D91F2C"/>
    <w:rsid w:val="00D93F09"/>
    <w:rsid w:val="00D94859"/>
    <w:rsid w:val="00D954C2"/>
    <w:rsid w:val="00D97BB8"/>
    <w:rsid w:val="00DA1318"/>
    <w:rsid w:val="00DA1382"/>
    <w:rsid w:val="00DA28B7"/>
    <w:rsid w:val="00DA2FE8"/>
    <w:rsid w:val="00DA4AF6"/>
    <w:rsid w:val="00DA7AB2"/>
    <w:rsid w:val="00DB016E"/>
    <w:rsid w:val="00DB06E9"/>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B8D"/>
    <w:rsid w:val="00DC226A"/>
    <w:rsid w:val="00DC257F"/>
    <w:rsid w:val="00DC2A9F"/>
    <w:rsid w:val="00DC2FA9"/>
    <w:rsid w:val="00DC350B"/>
    <w:rsid w:val="00DC3790"/>
    <w:rsid w:val="00DC408A"/>
    <w:rsid w:val="00DC436D"/>
    <w:rsid w:val="00DC519B"/>
    <w:rsid w:val="00DC5B3B"/>
    <w:rsid w:val="00DC6796"/>
    <w:rsid w:val="00DC6CC6"/>
    <w:rsid w:val="00DC78DF"/>
    <w:rsid w:val="00DC7D4C"/>
    <w:rsid w:val="00DD0821"/>
    <w:rsid w:val="00DD0E32"/>
    <w:rsid w:val="00DD1878"/>
    <w:rsid w:val="00DD2872"/>
    <w:rsid w:val="00DD2A62"/>
    <w:rsid w:val="00DD2BD0"/>
    <w:rsid w:val="00DD2BFE"/>
    <w:rsid w:val="00DD373E"/>
    <w:rsid w:val="00DD3867"/>
    <w:rsid w:val="00DD57AD"/>
    <w:rsid w:val="00DD7435"/>
    <w:rsid w:val="00DD7C6D"/>
    <w:rsid w:val="00DE009B"/>
    <w:rsid w:val="00DE08F8"/>
    <w:rsid w:val="00DE0C31"/>
    <w:rsid w:val="00DE0E40"/>
    <w:rsid w:val="00DE1460"/>
    <w:rsid w:val="00DE2ED9"/>
    <w:rsid w:val="00DE319A"/>
    <w:rsid w:val="00DF0615"/>
    <w:rsid w:val="00DF0DC3"/>
    <w:rsid w:val="00DF21FD"/>
    <w:rsid w:val="00DF2873"/>
    <w:rsid w:val="00DF293C"/>
    <w:rsid w:val="00DF34B2"/>
    <w:rsid w:val="00DF4C74"/>
    <w:rsid w:val="00DF5578"/>
    <w:rsid w:val="00DF6CF8"/>
    <w:rsid w:val="00DF78DD"/>
    <w:rsid w:val="00DF7FEC"/>
    <w:rsid w:val="00E01B16"/>
    <w:rsid w:val="00E01C0E"/>
    <w:rsid w:val="00E02086"/>
    <w:rsid w:val="00E023BE"/>
    <w:rsid w:val="00E02740"/>
    <w:rsid w:val="00E03B27"/>
    <w:rsid w:val="00E0446B"/>
    <w:rsid w:val="00E04694"/>
    <w:rsid w:val="00E049F6"/>
    <w:rsid w:val="00E04CA9"/>
    <w:rsid w:val="00E05B2B"/>
    <w:rsid w:val="00E05EAD"/>
    <w:rsid w:val="00E06A2A"/>
    <w:rsid w:val="00E06E17"/>
    <w:rsid w:val="00E07F05"/>
    <w:rsid w:val="00E106A2"/>
    <w:rsid w:val="00E127E1"/>
    <w:rsid w:val="00E12BCE"/>
    <w:rsid w:val="00E144D2"/>
    <w:rsid w:val="00E144D6"/>
    <w:rsid w:val="00E15346"/>
    <w:rsid w:val="00E15B7D"/>
    <w:rsid w:val="00E16D20"/>
    <w:rsid w:val="00E17C5F"/>
    <w:rsid w:val="00E2097E"/>
    <w:rsid w:val="00E215EA"/>
    <w:rsid w:val="00E21CAB"/>
    <w:rsid w:val="00E221FC"/>
    <w:rsid w:val="00E22E78"/>
    <w:rsid w:val="00E24619"/>
    <w:rsid w:val="00E25223"/>
    <w:rsid w:val="00E25999"/>
    <w:rsid w:val="00E263A8"/>
    <w:rsid w:val="00E30BEA"/>
    <w:rsid w:val="00E31764"/>
    <w:rsid w:val="00E3288A"/>
    <w:rsid w:val="00E32BC2"/>
    <w:rsid w:val="00E34985"/>
    <w:rsid w:val="00E34E4A"/>
    <w:rsid w:val="00E365B3"/>
    <w:rsid w:val="00E366BB"/>
    <w:rsid w:val="00E372FD"/>
    <w:rsid w:val="00E37C45"/>
    <w:rsid w:val="00E40AAA"/>
    <w:rsid w:val="00E41A59"/>
    <w:rsid w:val="00E42444"/>
    <w:rsid w:val="00E438CF"/>
    <w:rsid w:val="00E43B06"/>
    <w:rsid w:val="00E43C41"/>
    <w:rsid w:val="00E4500E"/>
    <w:rsid w:val="00E450CE"/>
    <w:rsid w:val="00E45A00"/>
    <w:rsid w:val="00E45CE7"/>
    <w:rsid w:val="00E4631F"/>
    <w:rsid w:val="00E46A4A"/>
    <w:rsid w:val="00E4793B"/>
    <w:rsid w:val="00E47CB8"/>
    <w:rsid w:val="00E522BB"/>
    <w:rsid w:val="00E52A3D"/>
    <w:rsid w:val="00E533B7"/>
    <w:rsid w:val="00E539E4"/>
    <w:rsid w:val="00E53C14"/>
    <w:rsid w:val="00E569C7"/>
    <w:rsid w:val="00E571F2"/>
    <w:rsid w:val="00E57429"/>
    <w:rsid w:val="00E60FCE"/>
    <w:rsid w:val="00E61EA8"/>
    <w:rsid w:val="00E62A33"/>
    <w:rsid w:val="00E63221"/>
    <w:rsid w:val="00E63EC6"/>
    <w:rsid w:val="00E64AE4"/>
    <w:rsid w:val="00E64CFF"/>
    <w:rsid w:val="00E64EA1"/>
    <w:rsid w:val="00E6582D"/>
    <w:rsid w:val="00E669C7"/>
    <w:rsid w:val="00E67611"/>
    <w:rsid w:val="00E70510"/>
    <w:rsid w:val="00E71262"/>
    <w:rsid w:val="00E71A58"/>
    <w:rsid w:val="00E737F6"/>
    <w:rsid w:val="00E7568F"/>
    <w:rsid w:val="00E764AE"/>
    <w:rsid w:val="00E7724B"/>
    <w:rsid w:val="00E77FEA"/>
    <w:rsid w:val="00E80E31"/>
    <w:rsid w:val="00E83DAB"/>
    <w:rsid w:val="00E84F21"/>
    <w:rsid w:val="00E8618A"/>
    <w:rsid w:val="00E90A4B"/>
    <w:rsid w:val="00E90D67"/>
    <w:rsid w:val="00E90F73"/>
    <w:rsid w:val="00E910A7"/>
    <w:rsid w:val="00E91607"/>
    <w:rsid w:val="00E921C7"/>
    <w:rsid w:val="00E92995"/>
    <w:rsid w:val="00E9446C"/>
    <w:rsid w:val="00E94612"/>
    <w:rsid w:val="00E95797"/>
    <w:rsid w:val="00E9682F"/>
    <w:rsid w:val="00E96A8D"/>
    <w:rsid w:val="00E972BA"/>
    <w:rsid w:val="00E97FA2"/>
    <w:rsid w:val="00EA06CB"/>
    <w:rsid w:val="00EA0AF3"/>
    <w:rsid w:val="00EA0C68"/>
    <w:rsid w:val="00EA19E2"/>
    <w:rsid w:val="00EA2169"/>
    <w:rsid w:val="00EA3EBE"/>
    <w:rsid w:val="00EA3FAC"/>
    <w:rsid w:val="00EA4153"/>
    <w:rsid w:val="00EA421A"/>
    <w:rsid w:val="00EA5CD6"/>
    <w:rsid w:val="00EA76FD"/>
    <w:rsid w:val="00EA77CA"/>
    <w:rsid w:val="00EA78FE"/>
    <w:rsid w:val="00EB03D4"/>
    <w:rsid w:val="00EB0555"/>
    <w:rsid w:val="00EB20A0"/>
    <w:rsid w:val="00EB2CE9"/>
    <w:rsid w:val="00EB30B6"/>
    <w:rsid w:val="00EB4FA4"/>
    <w:rsid w:val="00EB5146"/>
    <w:rsid w:val="00EB522B"/>
    <w:rsid w:val="00EB55E9"/>
    <w:rsid w:val="00EB5641"/>
    <w:rsid w:val="00EB5CA9"/>
    <w:rsid w:val="00EB5ED4"/>
    <w:rsid w:val="00EB6537"/>
    <w:rsid w:val="00EB70E1"/>
    <w:rsid w:val="00EB7EB5"/>
    <w:rsid w:val="00EC0860"/>
    <w:rsid w:val="00EC0EC1"/>
    <w:rsid w:val="00EC424C"/>
    <w:rsid w:val="00EC454B"/>
    <w:rsid w:val="00EC4941"/>
    <w:rsid w:val="00EC6153"/>
    <w:rsid w:val="00EC7F92"/>
    <w:rsid w:val="00ED00A8"/>
    <w:rsid w:val="00ED0A79"/>
    <w:rsid w:val="00ED2989"/>
    <w:rsid w:val="00ED2B0B"/>
    <w:rsid w:val="00ED2CA5"/>
    <w:rsid w:val="00ED336F"/>
    <w:rsid w:val="00ED3A94"/>
    <w:rsid w:val="00ED40F0"/>
    <w:rsid w:val="00ED4AC0"/>
    <w:rsid w:val="00ED54D6"/>
    <w:rsid w:val="00ED5726"/>
    <w:rsid w:val="00EE0113"/>
    <w:rsid w:val="00EE0298"/>
    <w:rsid w:val="00EE0384"/>
    <w:rsid w:val="00EE043A"/>
    <w:rsid w:val="00EE0473"/>
    <w:rsid w:val="00EE1057"/>
    <w:rsid w:val="00EE10AA"/>
    <w:rsid w:val="00EE1637"/>
    <w:rsid w:val="00EE3547"/>
    <w:rsid w:val="00EE3B7A"/>
    <w:rsid w:val="00EE3E78"/>
    <w:rsid w:val="00EE4534"/>
    <w:rsid w:val="00EE495A"/>
    <w:rsid w:val="00EE5E02"/>
    <w:rsid w:val="00EE617D"/>
    <w:rsid w:val="00EE61BF"/>
    <w:rsid w:val="00EE6538"/>
    <w:rsid w:val="00EE6748"/>
    <w:rsid w:val="00EE6C6B"/>
    <w:rsid w:val="00EF0E75"/>
    <w:rsid w:val="00EF1D92"/>
    <w:rsid w:val="00EF1F5A"/>
    <w:rsid w:val="00EF3486"/>
    <w:rsid w:val="00EF3CF0"/>
    <w:rsid w:val="00EF4685"/>
    <w:rsid w:val="00EF5397"/>
    <w:rsid w:val="00EF6BE3"/>
    <w:rsid w:val="00F00D0E"/>
    <w:rsid w:val="00F00D3C"/>
    <w:rsid w:val="00F020EA"/>
    <w:rsid w:val="00F02A72"/>
    <w:rsid w:val="00F04811"/>
    <w:rsid w:val="00F0488C"/>
    <w:rsid w:val="00F0496E"/>
    <w:rsid w:val="00F04D10"/>
    <w:rsid w:val="00F053EA"/>
    <w:rsid w:val="00F0625B"/>
    <w:rsid w:val="00F06944"/>
    <w:rsid w:val="00F06C6F"/>
    <w:rsid w:val="00F0732D"/>
    <w:rsid w:val="00F101FF"/>
    <w:rsid w:val="00F104DF"/>
    <w:rsid w:val="00F10A33"/>
    <w:rsid w:val="00F10B64"/>
    <w:rsid w:val="00F1186C"/>
    <w:rsid w:val="00F11AD5"/>
    <w:rsid w:val="00F126D0"/>
    <w:rsid w:val="00F12A83"/>
    <w:rsid w:val="00F14ACD"/>
    <w:rsid w:val="00F15309"/>
    <w:rsid w:val="00F15BEF"/>
    <w:rsid w:val="00F172BE"/>
    <w:rsid w:val="00F1776C"/>
    <w:rsid w:val="00F2037E"/>
    <w:rsid w:val="00F20D17"/>
    <w:rsid w:val="00F2103E"/>
    <w:rsid w:val="00F214FC"/>
    <w:rsid w:val="00F21C31"/>
    <w:rsid w:val="00F23825"/>
    <w:rsid w:val="00F2389A"/>
    <w:rsid w:val="00F23FFF"/>
    <w:rsid w:val="00F2441D"/>
    <w:rsid w:val="00F24FAA"/>
    <w:rsid w:val="00F25226"/>
    <w:rsid w:val="00F25860"/>
    <w:rsid w:val="00F26197"/>
    <w:rsid w:val="00F273D4"/>
    <w:rsid w:val="00F307DD"/>
    <w:rsid w:val="00F30C2E"/>
    <w:rsid w:val="00F30CB4"/>
    <w:rsid w:val="00F30EBF"/>
    <w:rsid w:val="00F318FC"/>
    <w:rsid w:val="00F31D53"/>
    <w:rsid w:val="00F31F76"/>
    <w:rsid w:val="00F325A3"/>
    <w:rsid w:val="00F3364D"/>
    <w:rsid w:val="00F339D0"/>
    <w:rsid w:val="00F353AE"/>
    <w:rsid w:val="00F35ACD"/>
    <w:rsid w:val="00F365BF"/>
    <w:rsid w:val="00F36BF8"/>
    <w:rsid w:val="00F375BA"/>
    <w:rsid w:val="00F37760"/>
    <w:rsid w:val="00F403D1"/>
    <w:rsid w:val="00F4351C"/>
    <w:rsid w:val="00F43921"/>
    <w:rsid w:val="00F44E1B"/>
    <w:rsid w:val="00F4524F"/>
    <w:rsid w:val="00F45530"/>
    <w:rsid w:val="00F4591F"/>
    <w:rsid w:val="00F47321"/>
    <w:rsid w:val="00F4736B"/>
    <w:rsid w:val="00F47804"/>
    <w:rsid w:val="00F47997"/>
    <w:rsid w:val="00F47D05"/>
    <w:rsid w:val="00F50030"/>
    <w:rsid w:val="00F502F5"/>
    <w:rsid w:val="00F50B9D"/>
    <w:rsid w:val="00F51FC9"/>
    <w:rsid w:val="00F52AE1"/>
    <w:rsid w:val="00F53243"/>
    <w:rsid w:val="00F541ED"/>
    <w:rsid w:val="00F54B31"/>
    <w:rsid w:val="00F54FD3"/>
    <w:rsid w:val="00F554F9"/>
    <w:rsid w:val="00F55605"/>
    <w:rsid w:val="00F56375"/>
    <w:rsid w:val="00F57CD7"/>
    <w:rsid w:val="00F6080A"/>
    <w:rsid w:val="00F61BFE"/>
    <w:rsid w:val="00F6260B"/>
    <w:rsid w:val="00F62F02"/>
    <w:rsid w:val="00F6339F"/>
    <w:rsid w:val="00F63DDE"/>
    <w:rsid w:val="00F63FB7"/>
    <w:rsid w:val="00F64726"/>
    <w:rsid w:val="00F64F44"/>
    <w:rsid w:val="00F6561A"/>
    <w:rsid w:val="00F66243"/>
    <w:rsid w:val="00F67BDA"/>
    <w:rsid w:val="00F70309"/>
    <w:rsid w:val="00F7078A"/>
    <w:rsid w:val="00F70E45"/>
    <w:rsid w:val="00F71F0F"/>
    <w:rsid w:val="00F727D5"/>
    <w:rsid w:val="00F72F44"/>
    <w:rsid w:val="00F73A0C"/>
    <w:rsid w:val="00F7593B"/>
    <w:rsid w:val="00F759DC"/>
    <w:rsid w:val="00F76563"/>
    <w:rsid w:val="00F7717C"/>
    <w:rsid w:val="00F771A5"/>
    <w:rsid w:val="00F80D1E"/>
    <w:rsid w:val="00F817A4"/>
    <w:rsid w:val="00F81C3A"/>
    <w:rsid w:val="00F835E1"/>
    <w:rsid w:val="00F835FC"/>
    <w:rsid w:val="00F8373A"/>
    <w:rsid w:val="00F83E21"/>
    <w:rsid w:val="00F83FA4"/>
    <w:rsid w:val="00F8410C"/>
    <w:rsid w:val="00F84E18"/>
    <w:rsid w:val="00F852E5"/>
    <w:rsid w:val="00F853A5"/>
    <w:rsid w:val="00F90350"/>
    <w:rsid w:val="00F91EAF"/>
    <w:rsid w:val="00F9310A"/>
    <w:rsid w:val="00F94681"/>
    <w:rsid w:val="00F95117"/>
    <w:rsid w:val="00F97ED2"/>
    <w:rsid w:val="00FA05D7"/>
    <w:rsid w:val="00FA16BD"/>
    <w:rsid w:val="00FA1992"/>
    <w:rsid w:val="00FA1C6C"/>
    <w:rsid w:val="00FA2447"/>
    <w:rsid w:val="00FA2A4A"/>
    <w:rsid w:val="00FA2BDE"/>
    <w:rsid w:val="00FA2C2A"/>
    <w:rsid w:val="00FA309A"/>
    <w:rsid w:val="00FA6B3F"/>
    <w:rsid w:val="00FA7644"/>
    <w:rsid w:val="00FB0A9A"/>
    <w:rsid w:val="00FB16AD"/>
    <w:rsid w:val="00FB1F21"/>
    <w:rsid w:val="00FB3763"/>
    <w:rsid w:val="00FB483B"/>
    <w:rsid w:val="00FB56F1"/>
    <w:rsid w:val="00FB5FD4"/>
    <w:rsid w:val="00FB6398"/>
    <w:rsid w:val="00FB67F3"/>
    <w:rsid w:val="00FB6AF4"/>
    <w:rsid w:val="00FC0D8A"/>
    <w:rsid w:val="00FC0E5F"/>
    <w:rsid w:val="00FC135D"/>
    <w:rsid w:val="00FC26FB"/>
    <w:rsid w:val="00FC2CF4"/>
    <w:rsid w:val="00FC3C84"/>
    <w:rsid w:val="00FC4660"/>
    <w:rsid w:val="00FC56DE"/>
    <w:rsid w:val="00FC5E01"/>
    <w:rsid w:val="00FC6140"/>
    <w:rsid w:val="00FC6DB5"/>
    <w:rsid w:val="00FD1261"/>
    <w:rsid w:val="00FD1627"/>
    <w:rsid w:val="00FD1BBD"/>
    <w:rsid w:val="00FD38B2"/>
    <w:rsid w:val="00FD43A0"/>
    <w:rsid w:val="00FD473D"/>
    <w:rsid w:val="00FD55BA"/>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4B4"/>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oter" Target="footer3.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tyles" Target="styles.xml"/><Relationship Id="rId9" Type="http://schemas.openxmlformats.org/officeDocument/2006/relationships/hyperlink" Target="mailto:jiri.kamenicky@czso.cz"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7\QMakro\Makroanal&#253;za%20grafy-vzor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JKAM%20CSU\PUBLIKACE\PUBLIKACE\2017\QMakro\Makroanal&#253;za%20grafy-vzor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Desktop\Anal&#253;za\2017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495E-2"/>
          <c:y val="2.3046636085626952E-2"/>
          <c:w val="0.93617042384329663"/>
          <c:h val="0.74192840256670733"/>
        </c:manualLayout>
      </c:layout>
      <c:barChart>
        <c:barDir val="col"/>
        <c:grouping val="clustered"/>
        <c:ser>
          <c:idx val="0"/>
          <c:order val="0"/>
          <c:tx>
            <c:strRef>
              <c:f>'souhrnná výkonnost 1'!$C$4</c:f>
              <c:strCache>
                <c:ptCount val="1"/>
                <c:pt idx="0">
                  <c:v>ČR meziroční změna</c:v>
                </c:pt>
              </c:strCache>
            </c:strRef>
          </c:tx>
          <c:spPr>
            <a:solidFill>
              <a:schemeClr val="bg1">
                <a:lumMod val="65000"/>
              </a:schemeClr>
            </a:solidFill>
            <a:ln>
              <a:noFill/>
            </a:ln>
          </c:spPr>
          <c:cat>
            <c:multiLvlStrRef>
              <c:f>'souhrnná výkonnost 1'!$A$9:$B$25</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'souhrnná výkonnost 1'!$C$9:$C$25</c:f>
              <c:numCache>
                <c:formatCode>0.0</c:formatCode>
                <c:ptCount val="17"/>
                <c:pt idx="0">
                  <c:v>-1.8183240994123595</c:v>
                </c:pt>
                <c:pt idx="1">
                  <c:v>-1.1346359154058521</c:v>
                </c:pt>
                <c:pt idx="2">
                  <c:v>-0.31855910189885883</c:v>
                </c:pt>
                <c:pt idx="3">
                  <c:v>1.3442938337462413</c:v>
                </c:pt>
                <c:pt idx="4">
                  <c:v>1.9118657875327472</c:v>
                </c:pt>
                <c:pt idx="5">
                  <c:v>2.5704618333533804</c:v>
                </c:pt>
                <c:pt idx="6">
                  <c:v>3.4094329084640975</c:v>
                </c:pt>
                <c:pt idx="7">
                  <c:v>2.9599504950552222</c:v>
                </c:pt>
                <c:pt idx="8">
                  <c:v>4.6183316957481404</c:v>
                </c:pt>
                <c:pt idx="9">
                  <c:v>5.0044710844734714</c:v>
                </c:pt>
                <c:pt idx="10">
                  <c:v>4.8146133276957777</c:v>
                </c:pt>
                <c:pt idx="11">
                  <c:v>4.0266999877712824</c:v>
                </c:pt>
                <c:pt idx="12">
                  <c:v>3.0002433446268797</c:v>
                </c:pt>
                <c:pt idx="13">
                  <c:v>2.6048115202913222</c:v>
                </c:pt>
                <c:pt idx="14">
                  <c:v>1.8</c:v>
                </c:pt>
                <c:pt idx="15">
                  <c:v>1.9000000000000001</c:v>
                </c:pt>
                <c:pt idx="16" formatCode="General">
                  <c:v>2.9</c:v>
                </c:pt>
              </c:numCache>
            </c:numRef>
          </c:val>
        </c:ser>
        <c:ser>
          <c:idx val="1"/>
          <c:order val="1"/>
          <c:tx>
            <c:strRef>
              <c:f>'souhrnná výkonnost 1'!$D$4</c:f>
              <c:strCache>
                <c:ptCount val="1"/>
                <c:pt idx="0">
                  <c:v>EU28 meziroční změna</c:v>
                </c:pt>
              </c:strCache>
            </c:strRef>
          </c:tx>
          <c:spPr>
            <a:solidFill>
              <a:schemeClr val="bg1">
                <a:lumMod val="50000"/>
              </a:schemeClr>
            </a:solidFill>
            <a:ln>
              <a:noFill/>
            </a:ln>
          </c:spPr>
          <c:cat>
            <c:multiLvlStrRef>
              <c:f>'souhrnná výkonnost 1'!$A$9:$B$25</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'souhrnná výkonnost 1'!$D$9:$D$25</c:f>
              <c:numCache>
                <c:formatCode>0.0</c:formatCode>
                <c:ptCount val="17"/>
                <c:pt idx="0">
                  <c:v>-0.59113300492609999</c:v>
                </c:pt>
                <c:pt idx="1">
                  <c:v>9.8716683119455667E-2</c:v>
                </c:pt>
                <c:pt idx="2">
                  <c:v>0.49358341559723745</c:v>
                </c:pt>
                <c:pt idx="3">
                  <c:v>1.1892963330029618</c:v>
                </c:pt>
                <c:pt idx="4">
                  <c:v>1.6848364717542021</c:v>
                </c:pt>
                <c:pt idx="5">
                  <c:v>1.4792899408284024</c:v>
                </c:pt>
                <c:pt idx="6">
                  <c:v>1.5717092337917571</c:v>
                </c:pt>
                <c:pt idx="7">
                  <c:v>1.8609206660137181</c:v>
                </c:pt>
                <c:pt idx="8">
                  <c:v>2.0467836257310026</c:v>
                </c:pt>
                <c:pt idx="9">
                  <c:v>2.2351797862001912</c:v>
                </c:pt>
                <c:pt idx="10">
                  <c:v>2.127659574468074</c:v>
                </c:pt>
                <c:pt idx="11">
                  <c:v>2.1153846153846181</c:v>
                </c:pt>
                <c:pt idx="12">
                  <c:v>1.8</c:v>
                </c:pt>
                <c:pt idx="13">
                  <c:v>1.8</c:v>
                </c:pt>
                <c:pt idx="14">
                  <c:v>1.8939393939393856</c:v>
                </c:pt>
                <c:pt idx="15">
                  <c:v>1.9000000000000001</c:v>
                </c:pt>
                <c:pt idx="16" formatCode="General">
                  <c:v>2.1</c:v>
                </c:pt>
              </c:numCache>
            </c:numRef>
          </c:val>
        </c:ser>
        <c:gapWidth val="100"/>
        <c:axId val="123867520"/>
        <c:axId val="123869440"/>
      </c:barChart>
      <c:lineChart>
        <c:grouping val="standard"/>
        <c:ser>
          <c:idx val="2"/>
          <c:order val="2"/>
          <c:tx>
            <c:strRef>
              <c:f>'souhrnná výkonnost 1'!$E$4</c:f>
              <c:strCache>
                <c:ptCount val="1"/>
                <c:pt idx="0">
                  <c:v>ČR mezičtvrtletní změna</c:v>
                </c:pt>
              </c:strCache>
            </c:strRef>
          </c:tx>
          <c:spPr>
            <a:ln w="19050">
              <a:noFill/>
            </a:ln>
          </c:spPr>
          <c:marker>
            <c:symbol val="dash"/>
            <c:size val="5"/>
            <c:spPr>
              <a:solidFill>
                <a:schemeClr val="accent1"/>
              </a:solidFill>
              <a:ln w="15875">
                <a:solidFill>
                  <a:srgbClr val="0071BC"/>
                </a:solidFill>
              </a:ln>
            </c:spPr>
          </c:marker>
          <c:val>
            <c:numRef>
              <c:f>'souhrnná výkonnost 1'!$E$9:$E$25</c:f>
              <c:numCache>
                <c:formatCode>0.0</c:formatCode>
                <c:ptCount val="17"/>
                <c:pt idx="0">
                  <c:v>-0.77984519331122104</c:v>
                </c:pt>
                <c:pt idx="1">
                  <c:v>0.30366655157341432</c:v>
                </c:pt>
                <c:pt idx="2">
                  <c:v>0.33090279954115226</c:v>
                </c:pt>
                <c:pt idx="3">
                  <c:v>1.4957534049610643</c:v>
                </c:pt>
                <c:pt idx="4">
                  <c:v>-0.22416933837837424</c:v>
                </c:pt>
                <c:pt idx="5">
                  <c:v>0.9518697579586477</c:v>
                </c:pt>
                <c:pt idx="6">
                  <c:v>1.1515554892533038</c:v>
                </c:pt>
                <c:pt idx="7">
                  <c:v>1.0545890458876244</c:v>
                </c:pt>
                <c:pt idx="8">
                  <c:v>1.3829250809288141</c:v>
                </c:pt>
                <c:pt idx="9">
                  <c:v>1.3244764765629924</c:v>
                </c:pt>
                <c:pt idx="10">
                  <c:v>0.96866415880406009</c:v>
                </c:pt>
                <c:pt idx="11">
                  <c:v>0.29494059380668786</c:v>
                </c:pt>
                <c:pt idx="12">
                  <c:v>0.38255520508960494</c:v>
                </c:pt>
                <c:pt idx="13">
                  <c:v>0.93547814722010969</c:v>
                </c:pt>
                <c:pt idx="14">
                  <c:v>0.23024423038829553</c:v>
                </c:pt>
                <c:pt idx="15">
                  <c:v>0.4</c:v>
                </c:pt>
                <c:pt idx="16" formatCode="General">
                  <c:v>1.3</c:v>
                </c:pt>
              </c:numCache>
            </c:numRef>
          </c:val>
        </c:ser>
        <c:ser>
          <c:idx val="3"/>
          <c:order val="3"/>
          <c:tx>
            <c:strRef>
              <c:f>'souhrnná výkonnost 1'!$F$4</c:f>
              <c:strCache>
                <c:ptCount val="1"/>
                <c:pt idx="0">
                  <c:v>EU28 mezičtvrtletní změna</c:v>
                </c:pt>
              </c:strCache>
            </c:strRef>
          </c:tx>
          <c:spPr>
            <a:ln w="19050">
              <a:noFill/>
            </a:ln>
          </c:spPr>
          <c:marker>
            <c:symbol val="dash"/>
            <c:size val="5"/>
            <c:spPr>
              <a:solidFill>
                <a:srgbClr val="4F81BD"/>
              </a:solidFill>
              <a:ln w="15875">
                <a:solidFill>
                  <a:srgbClr val="BD1B21"/>
                </a:solidFill>
              </a:ln>
            </c:spPr>
          </c:marker>
          <c:val>
            <c:numRef>
              <c:f>'souhrnná výkonnost 1'!$F$9:$F$25</c:f>
              <c:numCache>
                <c:formatCode>0.0</c:formatCode>
                <c:ptCount val="17"/>
                <c:pt idx="0">
                  <c:v>0</c:v>
                </c:pt>
                <c:pt idx="1">
                  <c:v>0.49554013875123876</c:v>
                </c:pt>
                <c:pt idx="2">
                  <c:v>0.39447731755423465</c:v>
                </c:pt>
                <c:pt idx="3">
                  <c:v>0.29469548133595214</c:v>
                </c:pt>
                <c:pt idx="4">
                  <c:v>0.48971596474045298</c:v>
                </c:pt>
                <c:pt idx="5">
                  <c:v>0.29239766081872481</c:v>
                </c:pt>
                <c:pt idx="6">
                  <c:v>0.48590864917395776</c:v>
                </c:pt>
                <c:pt idx="7">
                  <c:v>0.58027079303674456</c:v>
                </c:pt>
                <c:pt idx="8">
                  <c:v>0.67307692307692579</c:v>
                </c:pt>
                <c:pt idx="9">
                  <c:v>0.47755491881566586</c:v>
                </c:pt>
                <c:pt idx="10">
                  <c:v>0.38022813688212131</c:v>
                </c:pt>
                <c:pt idx="11">
                  <c:v>0.56818181818182933</c:v>
                </c:pt>
                <c:pt idx="12">
                  <c:v>0.4</c:v>
                </c:pt>
                <c:pt idx="13">
                  <c:v>0.4</c:v>
                </c:pt>
                <c:pt idx="14">
                  <c:v>0.4</c:v>
                </c:pt>
                <c:pt idx="15">
                  <c:v>0.5</c:v>
                </c:pt>
                <c:pt idx="16" formatCode="General">
                  <c:v>0.60000000000000064</c:v>
                </c:pt>
              </c:numCache>
            </c:numRef>
          </c:val>
        </c:ser>
        <c:marker val="1"/>
        <c:axId val="123867520"/>
        <c:axId val="123869440"/>
      </c:lineChart>
      <c:catAx>
        <c:axId val="123867520"/>
        <c:scaling>
          <c:orientation val="minMax"/>
        </c:scaling>
        <c:axPos val="b"/>
        <c:tickLblPos val="low"/>
        <c:spPr>
          <a:ln>
            <a:solidFill>
              <a:schemeClr val="tx1"/>
            </a:solidFill>
          </a:ln>
        </c:spPr>
        <c:txPr>
          <a:bodyPr rot="0" vert="horz"/>
          <a:lstStyle/>
          <a:p>
            <a:pPr>
              <a:defRPr/>
            </a:pPr>
            <a:endParaRPr lang="cs-CZ"/>
          </a:p>
        </c:txPr>
        <c:crossAx val="123869440"/>
        <c:crosses val="autoZero"/>
        <c:auto val="1"/>
        <c:lblAlgn val="ctr"/>
        <c:lblOffset val="100"/>
      </c:catAx>
      <c:valAx>
        <c:axId val="123869440"/>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23867520"/>
        <c:crosses val="autoZero"/>
        <c:crossBetween val="between"/>
      </c:valAx>
      <c:spPr>
        <a:ln>
          <a:solidFill>
            <a:schemeClr val="tx1"/>
          </a:solidFill>
        </a:ln>
      </c:spPr>
    </c:plotArea>
    <c:legend>
      <c:legendPos val="b"/>
      <c:layout>
        <c:manualLayout>
          <c:xMode val="edge"/>
          <c:yMode val="edge"/>
          <c:x val="3.9667131036811888E-2"/>
          <c:y val="0.89437255125717996"/>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656266097578916E-2"/>
          <c:y val="3.4027723097112862E-2"/>
          <c:w val="0.92389825103638279"/>
          <c:h val="0.5755091185410337"/>
        </c:manualLayout>
      </c:layout>
      <c:barChart>
        <c:barDir val="col"/>
        <c:grouping val="clustered"/>
        <c:ser>
          <c:idx val="1"/>
          <c:order val="0"/>
          <c:tx>
            <c:strRef>
              <c:f>'Vnější vztahy 2'!$A$7</c:f>
              <c:strCache>
                <c:ptCount val="1"/>
                <c:pt idx="0">
                  <c:v>2016 Q1</c:v>
                </c:pt>
              </c:strCache>
            </c:strRef>
          </c:tx>
          <c:spPr>
            <a:solidFill>
              <a:schemeClr val="bg1">
                <a:lumMod val="65000"/>
              </a:schemeClr>
            </a:solidFill>
          </c:spPr>
          <c:val>
            <c:numRef>
              <c:f>'Vnější vztahy 2'!$B$7:$N$7</c:f>
              <c:numCache>
                <c:formatCode>General</c:formatCode>
                <c:ptCount val="13"/>
                <c:pt idx="0">
                  <c:v>-17.966999999999896</c:v>
                </c:pt>
                <c:pt idx="1">
                  <c:v>-8.266</c:v>
                </c:pt>
                <c:pt idx="2">
                  <c:v>-6.2759999999999998</c:v>
                </c:pt>
                <c:pt idx="3">
                  <c:v>-3.2680000000000002</c:v>
                </c:pt>
                <c:pt idx="4">
                  <c:v>-31.161999999999999</c:v>
                </c:pt>
                <c:pt idx="5">
                  <c:v>-11.147999999999998</c:v>
                </c:pt>
                <c:pt idx="6">
                  <c:v>5.7779999999999996</c:v>
                </c:pt>
                <c:pt idx="7">
                  <c:v>-22.982999999999873</c:v>
                </c:pt>
                <c:pt idx="8">
                  <c:v>16.143000000000001</c:v>
                </c:pt>
                <c:pt idx="9">
                  <c:v>-12.249000000000001</c:v>
                </c:pt>
                <c:pt idx="10">
                  <c:v>11.679</c:v>
                </c:pt>
                <c:pt idx="11">
                  <c:v>16.271999999999988</c:v>
                </c:pt>
                <c:pt idx="12">
                  <c:v>114.601</c:v>
                </c:pt>
              </c:numCache>
            </c:numRef>
          </c:val>
        </c:ser>
        <c:ser>
          <c:idx val="0"/>
          <c:order val="1"/>
          <c:tx>
            <c:strRef>
              <c:f>'Vnější vztahy 2'!$A$6</c:f>
              <c:strCache>
                <c:ptCount val="1"/>
                <c:pt idx="0">
                  <c:v>2017 Q1</c:v>
                </c:pt>
              </c:strCache>
            </c:strRef>
          </c:tx>
          <c:spPr>
            <a:solidFill>
              <a:schemeClr val="tx1">
                <a:lumMod val="50000"/>
                <a:lumOff val="50000"/>
              </a:schemeClr>
            </a:solidFill>
            <a:ln>
              <a:noFill/>
            </a:ln>
          </c:spPr>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elektron. přístr.</c:v>
                </c:pt>
                <c:pt idx="10">
                  <c:v>Elektrická zařízení</c:v>
                </c:pt>
                <c:pt idx="11">
                  <c:v>Stroje a zařízení j.n.</c:v>
                </c:pt>
                <c:pt idx="12">
                  <c:v>Motorová vozidla</c:v>
                </c:pt>
              </c:strCache>
            </c:strRef>
          </c:cat>
          <c:val>
            <c:numRef>
              <c:f>'Vnější vztahy 2'!$B$6:$N$6</c:f>
              <c:numCache>
                <c:formatCode>General</c:formatCode>
                <c:ptCount val="13"/>
                <c:pt idx="0">
                  <c:v>-29.99</c:v>
                </c:pt>
                <c:pt idx="1">
                  <c:v>-8.3870000000000005</c:v>
                </c:pt>
                <c:pt idx="2">
                  <c:v>-7.2759999999999998</c:v>
                </c:pt>
                <c:pt idx="3">
                  <c:v>-1.7609999999999937</c:v>
                </c:pt>
                <c:pt idx="4">
                  <c:v>-27.157000000000096</c:v>
                </c:pt>
                <c:pt idx="5">
                  <c:v>-13.707999999999998</c:v>
                </c:pt>
                <c:pt idx="6">
                  <c:v>5.8419999999999996</c:v>
                </c:pt>
                <c:pt idx="7">
                  <c:v>-30.29</c:v>
                </c:pt>
                <c:pt idx="8">
                  <c:v>15.029</c:v>
                </c:pt>
                <c:pt idx="9">
                  <c:v>-12.46</c:v>
                </c:pt>
                <c:pt idx="10">
                  <c:v>10.26</c:v>
                </c:pt>
                <c:pt idx="11">
                  <c:v>24.501999999999999</c:v>
                </c:pt>
                <c:pt idx="12">
                  <c:v>123.94300000000032</c:v>
                </c:pt>
              </c:numCache>
            </c:numRef>
          </c:val>
        </c:ser>
        <c:gapWidth val="97"/>
        <c:axId val="124321792"/>
        <c:axId val="124323328"/>
      </c:barChart>
      <c:catAx>
        <c:axId val="124321792"/>
        <c:scaling>
          <c:orientation val="minMax"/>
        </c:scaling>
        <c:axPos val="b"/>
        <c:tickLblPos val="low"/>
        <c:spPr>
          <a:ln>
            <a:solidFill>
              <a:schemeClr val="tx1"/>
            </a:solidFill>
          </a:ln>
        </c:spPr>
        <c:txPr>
          <a:bodyPr rot="-5400000" vert="horz"/>
          <a:lstStyle/>
          <a:p>
            <a:pPr>
              <a:defRPr/>
            </a:pPr>
            <a:endParaRPr lang="cs-CZ"/>
          </a:p>
        </c:txPr>
        <c:crossAx val="124323328"/>
        <c:crosses val="autoZero"/>
        <c:auto val="1"/>
        <c:lblAlgn val="ctr"/>
        <c:lblOffset val="100"/>
      </c:catAx>
      <c:valAx>
        <c:axId val="124323328"/>
        <c:scaling>
          <c:orientation val="minMax"/>
          <c:max val="140"/>
          <c:min val="-40"/>
        </c:scaling>
        <c:axPos val="l"/>
        <c:majorGridlines>
          <c:spPr>
            <a:ln w="6350">
              <a:solidFill>
                <a:schemeClr val="bg1">
                  <a:lumMod val="75000"/>
                </a:schemeClr>
              </a:solidFill>
            </a:ln>
          </c:spPr>
        </c:majorGridlines>
        <c:numFmt formatCode="General" sourceLinked="1"/>
        <c:tickLblPos val="nextTo"/>
        <c:crossAx val="124321792"/>
        <c:crosses val="autoZero"/>
        <c:crossBetween val="between"/>
        <c:majorUnit val="20"/>
      </c:valAx>
      <c:spPr>
        <a:ln>
          <a:solidFill>
            <a:schemeClr val="tx1"/>
          </a:solidFill>
        </a:ln>
      </c:spPr>
    </c:plotArea>
    <c:legend>
      <c:legendPos val="b"/>
      <c:layout>
        <c:manualLayout>
          <c:xMode val="edge"/>
          <c:yMode val="edge"/>
          <c:x val="5.5873075264417107E-2"/>
          <c:y val="0.93271781816746591"/>
          <c:w val="0.9178968253968256"/>
          <c:h val="5.4750853511732103E-2"/>
        </c:manualLayout>
      </c:layout>
      <c:overlay val="1"/>
      <c:spPr>
        <a:ln w="6350">
          <a:solidFill>
            <a:sysClr val="windowText" lastClr="000000"/>
          </a:solidFill>
        </a:ln>
      </c:spPr>
    </c:legend>
    <c:plotVisOnly val="1"/>
    <c:dispBlanksAs val="gap"/>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568840579710145E-2"/>
          <c:y val="2.1811315924219799E-2"/>
          <c:w val="0.92237743255066085"/>
          <c:h val="0.72245834740515591"/>
        </c:manualLayout>
      </c:layout>
      <c:barChart>
        <c:barDir val="col"/>
        <c:grouping val="clustered"/>
        <c:ser>
          <c:idx val="0"/>
          <c:order val="0"/>
          <c:tx>
            <c:strRef>
              <c:f>'Ceny 2'!$C$5</c:f>
              <c:strCache>
                <c:ptCount val="1"/>
                <c:pt idx="0">
                  <c:v>Celkem</c:v>
                </c:pt>
              </c:strCache>
            </c:strRef>
          </c:tx>
          <c:spPr>
            <a:solidFill>
              <a:schemeClr val="bg1">
                <a:lumMod val="65000"/>
              </a:schemeClr>
            </a:solidFill>
            <a:ln w="19050">
              <a:noFill/>
            </a:ln>
          </c:spPr>
          <c:cat>
            <c:multiLvlStrRef>
              <c:f>'Ceny 2'!$A$10:$B$26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2'!$C$10:$C$26</c:f>
              <c:numCache>
                <c:formatCode>0.0</c:formatCode>
                <c:ptCount val="17"/>
                <c:pt idx="0">
                  <c:v>1.7999999999999889</c:v>
                </c:pt>
                <c:pt idx="1">
                  <c:v>1.5</c:v>
                </c:pt>
                <c:pt idx="2">
                  <c:v>1.2000000000000028</c:v>
                </c:pt>
                <c:pt idx="3">
                  <c:v>1.0999999999999872</c:v>
                </c:pt>
                <c:pt idx="4">
                  <c:v>0.20000000000000284</c:v>
                </c:pt>
                <c:pt idx="5">
                  <c:v>0.20000000000000284</c:v>
                </c:pt>
                <c:pt idx="6">
                  <c:v>0.59999999999999432</c:v>
                </c:pt>
                <c:pt idx="7">
                  <c:v>0.5</c:v>
                </c:pt>
                <c:pt idx="8">
                  <c:v>9.9999999999994899E-2</c:v>
                </c:pt>
                <c:pt idx="9">
                  <c:v>0.70000000000000284</c:v>
                </c:pt>
                <c:pt idx="10">
                  <c:v>0.40000000000000568</c:v>
                </c:pt>
                <c:pt idx="11">
                  <c:v>9.9999999999994899E-2</c:v>
                </c:pt>
                <c:pt idx="12">
                  <c:v>0.5</c:v>
                </c:pt>
                <c:pt idx="13">
                  <c:v>0.20000000000000284</c:v>
                </c:pt>
                <c:pt idx="14">
                  <c:v>0.5</c:v>
                </c:pt>
                <c:pt idx="15">
                  <c:v>1.4000000000000057</c:v>
                </c:pt>
                <c:pt idx="16" formatCode="General">
                  <c:v>2.4000000000000057</c:v>
                </c:pt>
              </c:numCache>
            </c:numRef>
          </c:val>
        </c:ser>
        <c:gapWidth val="95"/>
        <c:axId val="124543360"/>
        <c:axId val="124544896"/>
      </c:barChart>
      <c:lineChart>
        <c:grouping val="standard"/>
        <c:ser>
          <c:idx val="1"/>
          <c:order val="1"/>
          <c:tx>
            <c:strRef>
              <c:f>'Ceny 2'!$D$5</c:f>
              <c:strCache>
                <c:ptCount val="1"/>
                <c:pt idx="0">
                  <c:v>Potraviny</c:v>
                </c:pt>
              </c:strCache>
            </c:strRef>
          </c:tx>
          <c:spPr>
            <a:ln w="19050">
              <a:solidFill>
                <a:srgbClr val="0071BC"/>
              </a:solidFill>
            </a:ln>
          </c:spPr>
          <c:marker>
            <c:symbol val="none"/>
          </c:marker>
          <c:cat>
            <c:multiLvlStrRef>
              <c:f>'Ceny 2'!$A$10:$B$26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2'!$D$10:$D$26</c:f>
              <c:numCache>
                <c:formatCode>0.0</c:formatCode>
                <c:ptCount val="17"/>
                <c:pt idx="0">
                  <c:v>4.9000000000000083</c:v>
                </c:pt>
                <c:pt idx="1">
                  <c:v>5.4000000000000083</c:v>
                </c:pt>
                <c:pt idx="2">
                  <c:v>5.2999999999999972</c:v>
                </c:pt>
                <c:pt idx="3">
                  <c:v>4.0999999999999943</c:v>
                </c:pt>
                <c:pt idx="4">
                  <c:v>3.9000000000000057</c:v>
                </c:pt>
                <c:pt idx="5">
                  <c:v>1.5</c:v>
                </c:pt>
                <c:pt idx="6">
                  <c:v>1.4000000000000057</c:v>
                </c:pt>
                <c:pt idx="7">
                  <c:v>1.2000000000000028</c:v>
                </c:pt>
                <c:pt idx="8">
                  <c:v>-1.5999999999999872</c:v>
                </c:pt>
                <c:pt idx="9">
                  <c:v>-9.9999999999994899E-2</c:v>
                </c:pt>
                <c:pt idx="10">
                  <c:v>-0.90000000000000568</c:v>
                </c:pt>
                <c:pt idx="11">
                  <c:v>-1.5999999999999872</c:v>
                </c:pt>
                <c:pt idx="12">
                  <c:v>-1.7000000000000028</c:v>
                </c:pt>
                <c:pt idx="13">
                  <c:v>-2.4000000000000057</c:v>
                </c:pt>
                <c:pt idx="14">
                  <c:v>-0.7999999999999976</c:v>
                </c:pt>
                <c:pt idx="15">
                  <c:v>1.2000000000000028</c:v>
                </c:pt>
                <c:pt idx="16" formatCode="General">
                  <c:v>4.2000000000000028</c:v>
                </c:pt>
              </c:numCache>
            </c:numRef>
          </c:val>
        </c:ser>
        <c:ser>
          <c:idx val="2"/>
          <c:order val="2"/>
          <c:tx>
            <c:strRef>
              <c:f>'Ceny 2'!$E$5</c:f>
              <c:strCache>
                <c:ptCount val="1"/>
                <c:pt idx="0">
                  <c:v>Alkoholické nápoje a tabák</c:v>
                </c:pt>
              </c:strCache>
            </c:strRef>
          </c:tx>
          <c:spPr>
            <a:ln w="19050">
              <a:solidFill>
                <a:srgbClr val="BD1B21"/>
              </a:solidFill>
            </a:ln>
          </c:spPr>
          <c:marker>
            <c:symbol val="none"/>
          </c:marker>
          <c:cat>
            <c:multiLvlStrRef>
              <c:f>'Ceny 2'!$A$10:$B$26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2'!$E$10:$E$26</c:f>
              <c:numCache>
                <c:formatCode>0.0</c:formatCode>
                <c:ptCount val="17"/>
                <c:pt idx="0">
                  <c:v>3.5999999999999943</c:v>
                </c:pt>
                <c:pt idx="1">
                  <c:v>4.2000000000000028</c:v>
                </c:pt>
                <c:pt idx="2">
                  <c:v>3.4000000000000057</c:v>
                </c:pt>
                <c:pt idx="3">
                  <c:v>3.2000000000000042</c:v>
                </c:pt>
                <c:pt idx="4">
                  <c:v>4.0999999999999943</c:v>
                </c:pt>
                <c:pt idx="5">
                  <c:v>2.9000000000000057</c:v>
                </c:pt>
                <c:pt idx="6">
                  <c:v>2.7000000000000042</c:v>
                </c:pt>
                <c:pt idx="7">
                  <c:v>1.4000000000000057</c:v>
                </c:pt>
                <c:pt idx="8">
                  <c:v>3.4000000000000057</c:v>
                </c:pt>
                <c:pt idx="9">
                  <c:v>5.4000000000000083</c:v>
                </c:pt>
                <c:pt idx="10">
                  <c:v>5.2000000000000028</c:v>
                </c:pt>
                <c:pt idx="11">
                  <c:v>4.7000000000000028</c:v>
                </c:pt>
                <c:pt idx="12">
                  <c:v>3.5</c:v>
                </c:pt>
                <c:pt idx="13">
                  <c:v>4.4000000000000083</c:v>
                </c:pt>
                <c:pt idx="14">
                  <c:v>4.5</c:v>
                </c:pt>
                <c:pt idx="15">
                  <c:v>5.2000000000000028</c:v>
                </c:pt>
                <c:pt idx="16" formatCode="General">
                  <c:v>3.4000000000000057</c:v>
                </c:pt>
              </c:numCache>
            </c:numRef>
          </c:val>
        </c:ser>
        <c:ser>
          <c:idx val="3"/>
          <c:order val="3"/>
          <c:tx>
            <c:strRef>
              <c:f>'Ceny 2'!$F$5</c:f>
              <c:strCache>
                <c:ptCount val="1"/>
                <c:pt idx="0">
                  <c:v>Bydlení a energie</c:v>
                </c:pt>
              </c:strCache>
            </c:strRef>
          </c:tx>
          <c:spPr>
            <a:ln w="19050">
              <a:solidFill>
                <a:srgbClr val="7DBB2D"/>
              </a:solidFill>
            </a:ln>
          </c:spPr>
          <c:marker>
            <c:symbol val="none"/>
          </c:marker>
          <c:cat>
            <c:multiLvlStrRef>
              <c:f>'Ceny 2'!$A$10:$B$26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2'!$F$10:$F$26</c:f>
              <c:numCache>
                <c:formatCode>0.0</c:formatCode>
                <c:ptCount val="17"/>
                <c:pt idx="0">
                  <c:v>2.5999999999999943</c:v>
                </c:pt>
                <c:pt idx="1">
                  <c:v>2</c:v>
                </c:pt>
                <c:pt idx="2">
                  <c:v>1.2000000000000028</c:v>
                </c:pt>
                <c:pt idx="3">
                  <c:v>1.2000000000000028</c:v>
                </c:pt>
                <c:pt idx="4">
                  <c:v>-2.4000000000000057</c:v>
                </c:pt>
                <c:pt idx="5">
                  <c:v>-1.7000000000000028</c:v>
                </c:pt>
                <c:pt idx="6">
                  <c:v>-0.70000000000000284</c:v>
                </c:pt>
                <c:pt idx="7">
                  <c:v>-0.59999999999999432</c:v>
                </c:pt>
                <c:pt idx="8">
                  <c:v>1.0999999999999872</c:v>
                </c:pt>
                <c:pt idx="9">
                  <c:v>1.2000000000000028</c:v>
                </c:pt>
                <c:pt idx="10">
                  <c:v>0.7999999999999976</c:v>
                </c:pt>
                <c:pt idx="11">
                  <c:v>0.90000000000000568</c:v>
                </c:pt>
                <c:pt idx="12">
                  <c:v>0.90000000000000568</c:v>
                </c:pt>
                <c:pt idx="13">
                  <c:v>0.5</c:v>
                </c:pt>
                <c:pt idx="14">
                  <c:v>0.40000000000000568</c:v>
                </c:pt>
                <c:pt idx="15">
                  <c:v>0.59999999999999432</c:v>
                </c:pt>
                <c:pt idx="16" formatCode="General">
                  <c:v>0.7999999999999976</c:v>
                </c:pt>
              </c:numCache>
            </c:numRef>
          </c:val>
        </c:ser>
        <c:ser>
          <c:idx val="4"/>
          <c:order val="4"/>
          <c:tx>
            <c:strRef>
              <c:f>'Ceny 2'!$G$5</c:f>
              <c:strCache>
                <c:ptCount val="1"/>
                <c:pt idx="0">
                  <c:v>Doprava</c:v>
                </c:pt>
              </c:strCache>
            </c:strRef>
          </c:tx>
          <c:spPr>
            <a:ln w="19050">
              <a:solidFill>
                <a:srgbClr val="FFC000"/>
              </a:solidFill>
            </a:ln>
          </c:spPr>
          <c:marker>
            <c:symbol val="none"/>
          </c:marker>
          <c:val>
            <c:numRef>
              <c:f>'Ceny 2'!$G$10:$G$26</c:f>
              <c:numCache>
                <c:formatCode>General</c:formatCode>
                <c:ptCount val="17"/>
                <c:pt idx="0">
                  <c:v>-0.7999999999999976</c:v>
                </c:pt>
                <c:pt idx="1">
                  <c:v>-1.2000000000000028</c:v>
                </c:pt>
                <c:pt idx="2">
                  <c:v>-0.40000000000000568</c:v>
                </c:pt>
                <c:pt idx="3">
                  <c:v>-0.20000000000000284</c:v>
                </c:pt>
                <c:pt idx="4">
                  <c:v>9.9999999999994899E-2</c:v>
                </c:pt>
                <c:pt idx="5">
                  <c:v>0.29999999999999966</c:v>
                </c:pt>
                <c:pt idx="6">
                  <c:v>0.5</c:v>
                </c:pt>
                <c:pt idx="7">
                  <c:v>0</c:v>
                </c:pt>
                <c:pt idx="8">
                  <c:v>-4.9000000000000083</c:v>
                </c:pt>
                <c:pt idx="9">
                  <c:v>-3.2999999999999972</c:v>
                </c:pt>
                <c:pt idx="10">
                  <c:v>-3.7999999999999972</c:v>
                </c:pt>
                <c:pt idx="11">
                  <c:v>-4.7000000000000028</c:v>
                </c:pt>
                <c:pt idx="12">
                  <c:v>-2.7000000000000042</c:v>
                </c:pt>
                <c:pt idx="13">
                  <c:v>-2.9000000000000057</c:v>
                </c:pt>
                <c:pt idx="14">
                  <c:v>-2.2999999999999972</c:v>
                </c:pt>
                <c:pt idx="15">
                  <c:v>1.0999999999999872</c:v>
                </c:pt>
                <c:pt idx="16">
                  <c:v>6</c:v>
                </c:pt>
              </c:numCache>
            </c:numRef>
          </c:val>
        </c:ser>
        <c:marker val="1"/>
        <c:axId val="124543360"/>
        <c:axId val="124544896"/>
      </c:lineChart>
      <c:catAx>
        <c:axId val="124543360"/>
        <c:scaling>
          <c:orientation val="minMax"/>
        </c:scaling>
        <c:axPos val="b"/>
        <c:tickLblPos val="low"/>
        <c:spPr>
          <a:ln>
            <a:solidFill>
              <a:schemeClr val="tx1"/>
            </a:solidFill>
          </a:ln>
        </c:spPr>
        <c:txPr>
          <a:bodyPr rot="0" vert="horz"/>
          <a:lstStyle/>
          <a:p>
            <a:pPr>
              <a:defRPr/>
            </a:pPr>
            <a:endParaRPr lang="cs-CZ"/>
          </a:p>
        </c:txPr>
        <c:crossAx val="124544896"/>
        <c:crosses val="autoZero"/>
        <c:auto val="1"/>
        <c:lblAlgn val="ctr"/>
        <c:lblOffset val="100"/>
      </c:catAx>
      <c:valAx>
        <c:axId val="124544896"/>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24543360"/>
        <c:crosses val="autoZero"/>
        <c:crossBetween val="between"/>
        <c:majorUnit val="1"/>
      </c:valAx>
      <c:spPr>
        <a:ln>
          <a:solidFill>
            <a:schemeClr val="tx1"/>
          </a:solidFill>
        </a:ln>
      </c:spPr>
    </c:plotArea>
    <c:legend>
      <c:legendPos val="b"/>
      <c:layout>
        <c:manualLayout>
          <c:xMode val="edge"/>
          <c:yMode val="edge"/>
          <c:x val="5.6562767491901512E-2"/>
          <c:y val="0.87613250028143641"/>
          <c:w val="0.92162152703885458"/>
          <c:h val="0.10193571991444333"/>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9258203189717562E-2"/>
          <c:y val="2.9569886214146503E-2"/>
          <c:w val="0.92637856314472322"/>
          <c:h val="0.73556653157716956"/>
        </c:manualLayout>
      </c:layout>
      <c:barChart>
        <c:barDir val="col"/>
        <c:grouping val="clustered"/>
        <c:ser>
          <c:idx val="0"/>
          <c:order val="0"/>
          <c:tx>
            <c:strRef>
              <c:f>'Ceny 1'!$C$5</c:f>
              <c:strCache>
                <c:ptCount val="1"/>
                <c:pt idx="0">
                  <c:v>Realizované ceny starších bytů ČR</c:v>
                </c:pt>
              </c:strCache>
            </c:strRef>
          </c:tx>
          <c:spPr>
            <a:solidFill>
              <a:schemeClr val="bg1">
                <a:lumMod val="65000"/>
              </a:schemeClr>
            </a:solidFill>
            <a:ln w="19050">
              <a:noFill/>
            </a:ln>
          </c:spPr>
          <c:cat>
            <c:multiLvlStrRef>
              <c:f>'Ceny 1'!$A$6:$B$26</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2012</c:v>
                  </c:pt>
                  <c:pt idx="4">
                    <c:v>2013</c:v>
                  </c:pt>
                  <c:pt idx="8">
                    <c:v>2014</c:v>
                  </c:pt>
                  <c:pt idx="12">
                    <c:v>2015</c:v>
                  </c:pt>
                  <c:pt idx="16">
                    <c:v>2016</c:v>
                  </c:pt>
                  <c:pt idx="20">
                    <c:v>2017</c:v>
                  </c:pt>
                </c:lvl>
              </c:multiLvlStrCache>
            </c:multiLvlStrRef>
          </c:cat>
          <c:val>
            <c:numRef>
              <c:f>'Ceny 1'!$C$6:$C$26</c:f>
              <c:numCache>
                <c:formatCode>General</c:formatCode>
                <c:ptCount val="21"/>
                <c:pt idx="0">
                  <c:v>-5</c:v>
                </c:pt>
                <c:pt idx="1">
                  <c:v>-5.5999999999999943</c:v>
                </c:pt>
                <c:pt idx="2">
                  <c:v>-6.2999999999999972</c:v>
                </c:pt>
                <c:pt idx="3">
                  <c:v>-5.4000000000000083</c:v>
                </c:pt>
                <c:pt idx="4">
                  <c:v>-5.0999999999999943</c:v>
                </c:pt>
                <c:pt idx="5">
                  <c:v>-3.5999999999999943</c:v>
                </c:pt>
                <c:pt idx="6">
                  <c:v>-2.5</c:v>
                </c:pt>
                <c:pt idx="7">
                  <c:v>-1.7000000000000028</c:v>
                </c:pt>
                <c:pt idx="8">
                  <c:v>1.2000000000000028</c:v>
                </c:pt>
                <c:pt idx="9">
                  <c:v>2.5</c:v>
                </c:pt>
                <c:pt idx="10">
                  <c:v>4.5</c:v>
                </c:pt>
                <c:pt idx="11">
                  <c:v>5.7000000000000028</c:v>
                </c:pt>
                <c:pt idx="12">
                  <c:v>4.2999999999999972</c:v>
                </c:pt>
                <c:pt idx="13">
                  <c:v>4.9000000000000083</c:v>
                </c:pt>
                <c:pt idx="14">
                  <c:v>6</c:v>
                </c:pt>
                <c:pt idx="15">
                  <c:v>6.7999999999999972</c:v>
                </c:pt>
                <c:pt idx="16">
                  <c:v>8.9000000000000057</c:v>
                </c:pt>
                <c:pt idx="17">
                  <c:v>10.3</c:v>
                </c:pt>
                <c:pt idx="18">
                  <c:v>12.3</c:v>
                </c:pt>
                <c:pt idx="19">
                  <c:v>14.600000000000001</c:v>
                </c:pt>
                <c:pt idx="20">
                  <c:v>17</c:v>
                </c:pt>
              </c:numCache>
            </c:numRef>
          </c:val>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cat>
            <c:multiLvlStrRef>
              <c:f>'Ceny 1'!$A$6:$B$26</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2012</c:v>
                  </c:pt>
                  <c:pt idx="4">
                    <c:v>2013</c:v>
                  </c:pt>
                  <c:pt idx="8">
                    <c:v>2014</c:v>
                  </c:pt>
                  <c:pt idx="12">
                    <c:v>2015</c:v>
                  </c:pt>
                  <c:pt idx="16">
                    <c:v>2016</c:v>
                  </c:pt>
                  <c:pt idx="20">
                    <c:v>2017</c:v>
                  </c:pt>
                </c:lvl>
              </c:multiLvlStrCache>
            </c:multiLvlStrRef>
          </c:cat>
          <c:val>
            <c:numRef>
              <c:f>'Ceny 1'!$D$6:$D$26</c:f>
              <c:numCache>
                <c:formatCode>General</c:formatCode>
                <c:ptCount val="21"/>
                <c:pt idx="0">
                  <c:v>-3.5999999999999943</c:v>
                </c:pt>
                <c:pt idx="1">
                  <c:v>-4.5</c:v>
                </c:pt>
                <c:pt idx="2">
                  <c:v>-2.2000000000000042</c:v>
                </c:pt>
                <c:pt idx="3">
                  <c:v>0</c:v>
                </c:pt>
                <c:pt idx="4">
                  <c:v>0</c:v>
                </c:pt>
                <c:pt idx="5">
                  <c:v>0.70000000000000284</c:v>
                </c:pt>
                <c:pt idx="6">
                  <c:v>2.0999999999999943</c:v>
                </c:pt>
                <c:pt idx="7">
                  <c:v>0.5</c:v>
                </c:pt>
                <c:pt idx="8">
                  <c:v>2</c:v>
                </c:pt>
                <c:pt idx="9">
                  <c:v>2.0999999999999943</c:v>
                </c:pt>
                <c:pt idx="10">
                  <c:v>3.2000000000000042</c:v>
                </c:pt>
                <c:pt idx="11">
                  <c:v>5.2000000000000028</c:v>
                </c:pt>
                <c:pt idx="12">
                  <c:v>5</c:v>
                </c:pt>
                <c:pt idx="13">
                  <c:v>5.9000000000000083</c:v>
                </c:pt>
                <c:pt idx="14">
                  <c:v>5.5999999999999943</c:v>
                </c:pt>
                <c:pt idx="15">
                  <c:v>4.5999999999999943</c:v>
                </c:pt>
                <c:pt idx="16">
                  <c:v>5.7999999999999972</c:v>
                </c:pt>
                <c:pt idx="17">
                  <c:v>7.5</c:v>
                </c:pt>
                <c:pt idx="18">
                  <c:v>9.4000000000000057</c:v>
                </c:pt>
                <c:pt idx="19">
                  <c:v>13.900000000000006</c:v>
                </c:pt>
                <c:pt idx="20">
                  <c:v>15.200000000000003</c:v>
                </c:pt>
              </c:numCache>
            </c:numRef>
          </c:val>
        </c:ser>
        <c:gapWidth val="95"/>
        <c:axId val="124392960"/>
        <c:axId val="124394496"/>
      </c:barChart>
      <c:lineChart>
        <c:grouping val="standard"/>
        <c:ser>
          <c:idx val="2"/>
          <c:order val="2"/>
          <c:tx>
            <c:strRef>
              <c:f>'Ceny 1'!$E$5</c:f>
              <c:strCache>
                <c:ptCount val="1"/>
                <c:pt idx="0">
                  <c:v>Nabídkové ceny bytů ČR</c:v>
                </c:pt>
              </c:strCache>
            </c:strRef>
          </c:tx>
          <c:spPr>
            <a:ln w="19050">
              <a:solidFill>
                <a:schemeClr val="accent2"/>
              </a:solidFill>
            </a:ln>
          </c:spPr>
          <c:marker>
            <c:symbol val="none"/>
          </c:marker>
          <c:cat>
            <c:multiLvlStrRef>
              <c:f>'Ceny 1'!$A$6:$B$26</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2012</c:v>
                  </c:pt>
                  <c:pt idx="4">
                    <c:v>2013</c:v>
                  </c:pt>
                  <c:pt idx="8">
                    <c:v>2014</c:v>
                  </c:pt>
                  <c:pt idx="12">
                    <c:v>2015</c:v>
                  </c:pt>
                  <c:pt idx="16">
                    <c:v>2016</c:v>
                  </c:pt>
                  <c:pt idx="20">
                    <c:v>2017</c:v>
                  </c:pt>
                </c:lvl>
              </c:multiLvlStrCache>
            </c:multiLvlStrRef>
          </c:cat>
          <c:val>
            <c:numRef>
              <c:f>'Ceny 1'!$E$6:$E$26</c:f>
              <c:numCache>
                <c:formatCode>0.0</c:formatCode>
                <c:ptCount val="21"/>
                <c:pt idx="0">
                  <c:v>-2.2657054582904212</c:v>
                </c:pt>
                <c:pt idx="1">
                  <c:v>1.7875920084122008</c:v>
                </c:pt>
                <c:pt idx="2">
                  <c:v>1.5873015873015872</c:v>
                </c:pt>
                <c:pt idx="3">
                  <c:v>3.094983991462104</c:v>
                </c:pt>
                <c:pt idx="4">
                  <c:v>1.5806111696522716</c:v>
                </c:pt>
                <c:pt idx="5">
                  <c:v>-0.20661157024793683</c:v>
                </c:pt>
                <c:pt idx="6">
                  <c:v>1.4583333333333393</c:v>
                </c:pt>
                <c:pt idx="7">
                  <c:v>1.9668737060041468</c:v>
                </c:pt>
                <c:pt idx="8">
                  <c:v>3.0082987551867202</c:v>
                </c:pt>
                <c:pt idx="9">
                  <c:v>4.1407867494823956</c:v>
                </c:pt>
                <c:pt idx="10">
                  <c:v>4.6201232032853916</c:v>
                </c:pt>
                <c:pt idx="11">
                  <c:v>2.7411167512690562</c:v>
                </c:pt>
                <c:pt idx="12">
                  <c:v>3.6253776435045406</c:v>
                </c:pt>
                <c:pt idx="13">
                  <c:v>4.9701789264413518</c:v>
                </c:pt>
                <c:pt idx="14">
                  <c:v>6.0843964671246233</c:v>
                </c:pt>
                <c:pt idx="15">
                  <c:v>9.5849802371541557</c:v>
                </c:pt>
                <c:pt idx="16">
                  <c:v>10.204081632653049</c:v>
                </c:pt>
                <c:pt idx="17">
                  <c:v>10.321969696969704</c:v>
                </c:pt>
                <c:pt idx="18">
                  <c:v>9.8982423681776162</c:v>
                </c:pt>
                <c:pt idx="19">
                  <c:v>9.9188458070333638</c:v>
                </c:pt>
                <c:pt idx="20">
                  <c:v>9.5238095238095202</c:v>
                </c:pt>
              </c:numCache>
            </c:numRef>
          </c:val>
        </c:ser>
        <c:ser>
          <c:idx val="3"/>
          <c:order val="3"/>
          <c:tx>
            <c:strRef>
              <c:f>'Ceny 1'!$F$5</c:f>
              <c:strCache>
                <c:ptCount val="1"/>
                <c:pt idx="0">
                  <c:v>Nabídkové ceny bytů Praha</c:v>
                </c:pt>
              </c:strCache>
            </c:strRef>
          </c:tx>
          <c:spPr>
            <a:ln>
              <a:solidFill>
                <a:schemeClr val="accent1"/>
              </a:solidFill>
            </a:ln>
          </c:spPr>
          <c:marker>
            <c:symbol val="none"/>
          </c:marker>
          <c:val>
            <c:numRef>
              <c:f>'Ceny 1'!$F$6:$F$26</c:f>
              <c:numCache>
                <c:formatCode>0.0</c:formatCode>
                <c:ptCount val="21"/>
                <c:pt idx="0">
                  <c:v>-0.31185031185031103</c:v>
                </c:pt>
                <c:pt idx="1">
                  <c:v>7.8410311493018394</c:v>
                </c:pt>
                <c:pt idx="2">
                  <c:v>8.6299892125134843</c:v>
                </c:pt>
                <c:pt idx="3">
                  <c:v>9.729729729729728</c:v>
                </c:pt>
                <c:pt idx="4">
                  <c:v>6.1522419186652666</c:v>
                </c:pt>
                <c:pt idx="5">
                  <c:v>1.8924302788844536</c:v>
                </c:pt>
                <c:pt idx="6">
                  <c:v>2.6812313803376506</c:v>
                </c:pt>
                <c:pt idx="7">
                  <c:v>3.4482758620689653</c:v>
                </c:pt>
                <c:pt idx="8">
                  <c:v>3.8310412573674002</c:v>
                </c:pt>
                <c:pt idx="9">
                  <c:v>5.2785923753665784</c:v>
                </c:pt>
                <c:pt idx="10">
                  <c:v>6.6731141199226212</c:v>
                </c:pt>
                <c:pt idx="11">
                  <c:v>5.1428571428571486</c:v>
                </c:pt>
                <c:pt idx="12">
                  <c:v>5.7710501419110907</c:v>
                </c:pt>
                <c:pt idx="13">
                  <c:v>6.4995357474466076</c:v>
                </c:pt>
                <c:pt idx="14">
                  <c:v>6.7089755213055255</c:v>
                </c:pt>
                <c:pt idx="15">
                  <c:v>8.7862318840579601</c:v>
                </c:pt>
                <c:pt idx="16">
                  <c:v>10.196779964221831</c:v>
                </c:pt>
                <c:pt idx="17">
                  <c:v>10.549258936355701</c:v>
                </c:pt>
                <c:pt idx="18">
                  <c:v>9.7706032285471505</c:v>
                </c:pt>
                <c:pt idx="19">
                  <c:v>11.323896752706121</c:v>
                </c:pt>
                <c:pt idx="20">
                  <c:v>13.636363636363633</c:v>
                </c:pt>
              </c:numCache>
            </c:numRef>
          </c:val>
        </c:ser>
        <c:marker val="1"/>
        <c:axId val="124392960"/>
        <c:axId val="124394496"/>
      </c:lineChart>
      <c:catAx>
        <c:axId val="124392960"/>
        <c:scaling>
          <c:orientation val="minMax"/>
        </c:scaling>
        <c:axPos val="b"/>
        <c:tickLblPos val="low"/>
        <c:spPr>
          <a:ln>
            <a:solidFill>
              <a:schemeClr val="tx1"/>
            </a:solidFill>
          </a:ln>
        </c:spPr>
        <c:txPr>
          <a:bodyPr rot="0" vert="horz"/>
          <a:lstStyle/>
          <a:p>
            <a:pPr>
              <a:defRPr/>
            </a:pPr>
            <a:endParaRPr lang="cs-CZ"/>
          </a:p>
        </c:txPr>
        <c:crossAx val="124394496"/>
        <c:crosses val="autoZero"/>
        <c:auto val="1"/>
        <c:lblAlgn val="ctr"/>
        <c:lblOffset val="100"/>
      </c:catAx>
      <c:valAx>
        <c:axId val="124394496"/>
        <c:scaling>
          <c:orientation val="minMax"/>
          <c:max val="18"/>
          <c:min val="-8"/>
        </c:scaling>
        <c:axPos val="l"/>
        <c:majorGridlines>
          <c:spPr>
            <a:ln w="6350">
              <a:solidFill>
                <a:schemeClr val="bg1">
                  <a:lumMod val="75000"/>
                </a:schemeClr>
              </a:solidFill>
            </a:ln>
          </c:spPr>
        </c:majorGridlines>
        <c:numFmt formatCode="0" sourceLinked="0"/>
        <c:tickLblPos val="nextTo"/>
        <c:spPr>
          <a:ln>
            <a:solidFill>
              <a:schemeClr val="tx1"/>
            </a:solidFill>
          </a:ln>
        </c:spPr>
        <c:crossAx val="1243929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02"/>
          <c:h val="9.838061465721031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1707738197712412E-2"/>
          <c:y val="2.1811315924219924E-2"/>
          <c:w val="0.92489973826410543"/>
          <c:h val="0.71663233141956562"/>
        </c:manualLayout>
      </c:layout>
      <c:barChart>
        <c:barDir val="col"/>
        <c:grouping val="clustered"/>
        <c:ser>
          <c:idx val="0"/>
          <c:order val="0"/>
          <c:tx>
            <c:strRef>
              <c:f>'Ceny 4'!$C$5</c:f>
              <c:strCache>
                <c:ptCount val="1"/>
                <c:pt idx="0">
                  <c:v>Celkem</c:v>
                </c:pt>
              </c:strCache>
            </c:strRef>
          </c:tx>
          <c:spPr>
            <a:solidFill>
              <a:schemeClr val="bg1">
                <a:lumMod val="65000"/>
              </a:schemeClr>
            </a:solidFill>
            <a:ln w="19050">
              <a:noFill/>
            </a:ln>
          </c:spPr>
          <c:cat>
            <c:multiLvlStrRef>
              <c:f>'Ceny 4'!$A$6:$B$56</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'Ceny 4'!$C$6:$C$56</c:f>
              <c:numCache>
                <c:formatCode>0.0</c:formatCode>
                <c:ptCount val="51"/>
                <c:pt idx="0">
                  <c:v>1.4000000000000057</c:v>
                </c:pt>
                <c:pt idx="1">
                  <c:v>1.2999999999999889</c:v>
                </c:pt>
                <c:pt idx="2">
                  <c:v>1</c:v>
                </c:pt>
                <c:pt idx="3">
                  <c:v>0.5</c:v>
                </c:pt>
                <c:pt idx="4">
                  <c:v>0.29999999999999966</c:v>
                </c:pt>
                <c:pt idx="5">
                  <c:v>0.70000000000000284</c:v>
                </c:pt>
                <c:pt idx="6">
                  <c:v>1.0999999999999872</c:v>
                </c:pt>
                <c:pt idx="7">
                  <c:v>0.5</c:v>
                </c:pt>
                <c:pt idx="8">
                  <c:v>0.59999999999999432</c:v>
                </c:pt>
                <c:pt idx="9">
                  <c:v>0</c:v>
                </c:pt>
                <c:pt idx="10">
                  <c:v>0.70000000000000284</c:v>
                </c:pt>
                <c:pt idx="11">
                  <c:v>1.7000000000000028</c:v>
                </c:pt>
                <c:pt idx="12">
                  <c:v>-0.70000000000000284</c:v>
                </c:pt>
                <c:pt idx="13">
                  <c:v>-0.70000000000000284</c:v>
                </c:pt>
                <c:pt idx="14">
                  <c:v>-0.7999999999999976</c:v>
                </c:pt>
                <c:pt idx="15">
                  <c:v>-0.29999999999999966</c:v>
                </c:pt>
                <c:pt idx="16">
                  <c:v>-9.9999999999994899E-2</c:v>
                </c:pt>
                <c:pt idx="17">
                  <c:v>-0.20000000000000284</c:v>
                </c:pt>
                <c:pt idx="18">
                  <c:v>-9.9999999999994899E-2</c:v>
                </c:pt>
                <c:pt idx="19">
                  <c:v>0</c:v>
                </c:pt>
                <c:pt idx="20">
                  <c:v>-0.29999999999999966</c:v>
                </c:pt>
                <c:pt idx="21">
                  <c:v>-0.29999999999999966</c:v>
                </c:pt>
                <c:pt idx="22">
                  <c:v>-1.7000000000000028</c:v>
                </c:pt>
                <c:pt idx="23">
                  <c:v>-3.7000000000000042</c:v>
                </c:pt>
                <c:pt idx="24">
                  <c:v>-3.5</c:v>
                </c:pt>
                <c:pt idx="25">
                  <c:v>-3.5999999999999943</c:v>
                </c:pt>
                <c:pt idx="26">
                  <c:v>-2.9000000000000057</c:v>
                </c:pt>
                <c:pt idx="27">
                  <c:v>-2.5999999999999943</c:v>
                </c:pt>
                <c:pt idx="28">
                  <c:v>-2.0999999999999943</c:v>
                </c:pt>
                <c:pt idx="29">
                  <c:v>-2.2999999999999972</c:v>
                </c:pt>
                <c:pt idx="30">
                  <c:v>-3</c:v>
                </c:pt>
                <c:pt idx="31">
                  <c:v>-3.7000000000000042</c:v>
                </c:pt>
                <c:pt idx="32">
                  <c:v>-4.2000000000000028</c:v>
                </c:pt>
                <c:pt idx="33">
                  <c:v>-3.9000000000000057</c:v>
                </c:pt>
                <c:pt idx="34">
                  <c:v>-3.7000000000000042</c:v>
                </c:pt>
                <c:pt idx="35">
                  <c:v>-2.9000000000000057</c:v>
                </c:pt>
                <c:pt idx="36">
                  <c:v>-3.4000000000000057</c:v>
                </c:pt>
                <c:pt idx="37">
                  <c:v>-4</c:v>
                </c:pt>
                <c:pt idx="38">
                  <c:v>-4.5</c:v>
                </c:pt>
                <c:pt idx="39">
                  <c:v>-4.7000000000000028</c:v>
                </c:pt>
                <c:pt idx="40">
                  <c:v>-4.7999999999999972</c:v>
                </c:pt>
                <c:pt idx="41">
                  <c:v>-4.4000000000000083</c:v>
                </c:pt>
                <c:pt idx="42">
                  <c:v>-4</c:v>
                </c:pt>
                <c:pt idx="43">
                  <c:v>-3.4000000000000057</c:v>
                </c:pt>
                <c:pt idx="44">
                  <c:v>-2.4000000000000057</c:v>
                </c:pt>
                <c:pt idx="45">
                  <c:v>-1.7000000000000028</c:v>
                </c:pt>
                <c:pt idx="46">
                  <c:v>-1.2999999999999889</c:v>
                </c:pt>
                <c:pt idx="47">
                  <c:v>-0.40000000000000568</c:v>
                </c:pt>
                <c:pt idx="48" formatCode="General">
                  <c:v>2.0999999999999943</c:v>
                </c:pt>
                <c:pt idx="49" formatCode="General">
                  <c:v>3.0999999999999943</c:v>
                </c:pt>
                <c:pt idx="50">
                  <c:v>3</c:v>
                </c:pt>
              </c:numCache>
            </c:numRef>
          </c:val>
        </c:ser>
        <c:gapWidth val="96"/>
        <c:axId val="124649856"/>
        <c:axId val="124651392"/>
      </c:barChart>
      <c:lineChart>
        <c:grouping val="standard"/>
        <c:ser>
          <c:idx val="1"/>
          <c:order val="1"/>
          <c:tx>
            <c:strRef>
              <c:f>'Ceny 4'!$D$5</c:f>
              <c:strCache>
                <c:ptCount val="1"/>
                <c:pt idx="0">
                  <c:v>Těžba a dobývání</c:v>
                </c:pt>
              </c:strCache>
            </c:strRef>
          </c:tx>
          <c:spPr>
            <a:ln w="19050">
              <a:solidFill>
                <a:srgbClr val="7DBB2D"/>
              </a:solidFill>
            </a:ln>
          </c:spPr>
          <c:marker>
            <c:symbol val="none"/>
          </c:marker>
          <c:val>
            <c:numRef>
              <c:f>'Ceny 4'!$D$6:$D$56</c:f>
              <c:numCache>
                <c:formatCode>0.0</c:formatCode>
                <c:ptCount val="51"/>
                <c:pt idx="0">
                  <c:v>-2.7000000000000042</c:v>
                </c:pt>
                <c:pt idx="1">
                  <c:v>-3.0999999999999943</c:v>
                </c:pt>
                <c:pt idx="2">
                  <c:v>-2.4000000000000057</c:v>
                </c:pt>
                <c:pt idx="3">
                  <c:v>0.5</c:v>
                </c:pt>
                <c:pt idx="4">
                  <c:v>0.5</c:v>
                </c:pt>
                <c:pt idx="5">
                  <c:v>0.20000000000000284</c:v>
                </c:pt>
                <c:pt idx="6">
                  <c:v>-1.2999999999999889</c:v>
                </c:pt>
                <c:pt idx="7">
                  <c:v>-1.2000000000000028</c:v>
                </c:pt>
                <c:pt idx="8">
                  <c:v>-3.5999999999999943</c:v>
                </c:pt>
                <c:pt idx="9">
                  <c:v>-3</c:v>
                </c:pt>
                <c:pt idx="10">
                  <c:v>0.20000000000000284</c:v>
                </c:pt>
                <c:pt idx="11">
                  <c:v>0.29999999999999966</c:v>
                </c:pt>
                <c:pt idx="12">
                  <c:v>-3</c:v>
                </c:pt>
                <c:pt idx="13">
                  <c:v>-3.0999999999999943</c:v>
                </c:pt>
                <c:pt idx="14">
                  <c:v>-4</c:v>
                </c:pt>
                <c:pt idx="15">
                  <c:v>-4.0999999999999943</c:v>
                </c:pt>
                <c:pt idx="16">
                  <c:v>-4.5999999999999943</c:v>
                </c:pt>
                <c:pt idx="17">
                  <c:v>-4.7999999999999972</c:v>
                </c:pt>
                <c:pt idx="18">
                  <c:v>-3</c:v>
                </c:pt>
                <c:pt idx="19">
                  <c:v>-3.5999999999999943</c:v>
                </c:pt>
                <c:pt idx="20">
                  <c:v>-1.9000000000000061</c:v>
                </c:pt>
                <c:pt idx="21">
                  <c:v>-2.0999999999999943</c:v>
                </c:pt>
                <c:pt idx="22">
                  <c:v>-2.2999999999999972</c:v>
                </c:pt>
                <c:pt idx="23">
                  <c:v>-2.7999999999999972</c:v>
                </c:pt>
                <c:pt idx="24">
                  <c:v>-0.90000000000000568</c:v>
                </c:pt>
                <c:pt idx="25">
                  <c:v>-1.5</c:v>
                </c:pt>
                <c:pt idx="26">
                  <c:v>-0.90000000000000568</c:v>
                </c:pt>
                <c:pt idx="27">
                  <c:v>-0.90000000000000568</c:v>
                </c:pt>
                <c:pt idx="28">
                  <c:v>0.29999999999999966</c:v>
                </c:pt>
                <c:pt idx="29">
                  <c:v>0.59999999999999432</c:v>
                </c:pt>
                <c:pt idx="30">
                  <c:v>0.40000000000000568</c:v>
                </c:pt>
                <c:pt idx="31">
                  <c:v>-0.29999999999999966</c:v>
                </c:pt>
                <c:pt idx="32">
                  <c:v>-1.7000000000000028</c:v>
                </c:pt>
                <c:pt idx="33">
                  <c:v>-1.4000000000000057</c:v>
                </c:pt>
                <c:pt idx="34">
                  <c:v>-0.59999999999999432</c:v>
                </c:pt>
                <c:pt idx="35">
                  <c:v>-0.5</c:v>
                </c:pt>
                <c:pt idx="36">
                  <c:v>-6.5999999999999943</c:v>
                </c:pt>
                <c:pt idx="37">
                  <c:v>-6.0999999999999943</c:v>
                </c:pt>
                <c:pt idx="38">
                  <c:v>-6.5</c:v>
                </c:pt>
                <c:pt idx="39">
                  <c:v>-7</c:v>
                </c:pt>
                <c:pt idx="40">
                  <c:v>-7.0999999999999943</c:v>
                </c:pt>
                <c:pt idx="41">
                  <c:v>-7.2999999999999972</c:v>
                </c:pt>
                <c:pt idx="42">
                  <c:v>-6.5999999999999943</c:v>
                </c:pt>
                <c:pt idx="43">
                  <c:v>-6</c:v>
                </c:pt>
                <c:pt idx="44">
                  <c:v>-4.9000000000000083</c:v>
                </c:pt>
                <c:pt idx="45">
                  <c:v>-5.2000000000000028</c:v>
                </c:pt>
                <c:pt idx="46">
                  <c:v>-5.2999999999999972</c:v>
                </c:pt>
                <c:pt idx="47">
                  <c:v>-5.0999999999999943</c:v>
                </c:pt>
                <c:pt idx="48" formatCode="General">
                  <c:v>2.2999999999999972</c:v>
                </c:pt>
                <c:pt idx="49" formatCode="General">
                  <c:v>5.7999999999999972</c:v>
                </c:pt>
                <c:pt idx="50">
                  <c:v>6.2</c:v>
                </c:pt>
              </c:numCache>
            </c:numRef>
          </c:val>
        </c:ser>
        <c:ser>
          <c:idx val="2"/>
          <c:order val="2"/>
          <c:tx>
            <c:strRef>
              <c:f>'Ceny 4'!$E$5</c:f>
              <c:strCache>
                <c:ptCount val="1"/>
                <c:pt idx="0">
                  <c:v>Zpracovatelský průmysl</c:v>
                </c:pt>
              </c:strCache>
            </c:strRef>
          </c:tx>
          <c:spPr>
            <a:ln w="19050">
              <a:solidFill>
                <a:srgbClr val="BD1B21"/>
              </a:solidFill>
            </a:ln>
          </c:spPr>
          <c:marker>
            <c:symbol val="none"/>
          </c:marker>
          <c:cat>
            <c:multiLvlStrRef>
              <c:f>'Ceny 4'!$A$6:$B$56</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'Ceny 4'!$E$6:$E$56</c:f>
              <c:numCache>
                <c:formatCode>0.0</c:formatCode>
                <c:ptCount val="51"/>
                <c:pt idx="0">
                  <c:v>1</c:v>
                </c:pt>
                <c:pt idx="1">
                  <c:v>0.90000000000000568</c:v>
                </c:pt>
                <c:pt idx="2">
                  <c:v>0.5</c:v>
                </c:pt>
                <c:pt idx="3">
                  <c:v>-0.29999999999999966</c:v>
                </c:pt>
                <c:pt idx="4">
                  <c:v>-0.40000000000000568</c:v>
                </c:pt>
                <c:pt idx="5">
                  <c:v>0</c:v>
                </c:pt>
                <c:pt idx="6">
                  <c:v>0.59999999999999432</c:v>
                </c:pt>
                <c:pt idx="7">
                  <c:v>-0.29999999999999966</c:v>
                </c:pt>
                <c:pt idx="8">
                  <c:v>0</c:v>
                </c:pt>
                <c:pt idx="9">
                  <c:v>-0.7999999999999976</c:v>
                </c:pt>
                <c:pt idx="10">
                  <c:v>-0.20000000000000284</c:v>
                </c:pt>
                <c:pt idx="11">
                  <c:v>1.2999999999999889</c:v>
                </c:pt>
                <c:pt idx="12">
                  <c:v>1.0999999999999872</c:v>
                </c:pt>
                <c:pt idx="13">
                  <c:v>1.2000000000000028</c:v>
                </c:pt>
                <c:pt idx="14">
                  <c:v>1</c:v>
                </c:pt>
                <c:pt idx="15">
                  <c:v>1.5999999999999872</c:v>
                </c:pt>
                <c:pt idx="16">
                  <c:v>1.9000000000000061</c:v>
                </c:pt>
                <c:pt idx="17">
                  <c:v>1.9000000000000061</c:v>
                </c:pt>
                <c:pt idx="18">
                  <c:v>1.7999999999999889</c:v>
                </c:pt>
                <c:pt idx="19">
                  <c:v>2.0999999999999943</c:v>
                </c:pt>
                <c:pt idx="20">
                  <c:v>1.5</c:v>
                </c:pt>
                <c:pt idx="21">
                  <c:v>1.5</c:v>
                </c:pt>
                <c:pt idx="22">
                  <c:v>-9.9999999999994899E-2</c:v>
                </c:pt>
                <c:pt idx="23">
                  <c:v>-2.7999999999999972</c:v>
                </c:pt>
                <c:pt idx="24">
                  <c:v>-4.2999999999999972</c:v>
                </c:pt>
                <c:pt idx="25">
                  <c:v>-4.4000000000000083</c:v>
                </c:pt>
                <c:pt idx="26">
                  <c:v>-3.5</c:v>
                </c:pt>
                <c:pt idx="27">
                  <c:v>-3.0999999999999943</c:v>
                </c:pt>
                <c:pt idx="28">
                  <c:v>-2.7000000000000042</c:v>
                </c:pt>
                <c:pt idx="29">
                  <c:v>-2.7999999999999972</c:v>
                </c:pt>
                <c:pt idx="30">
                  <c:v>-3.5999999999999943</c:v>
                </c:pt>
                <c:pt idx="31">
                  <c:v>-4.7000000000000028</c:v>
                </c:pt>
                <c:pt idx="32">
                  <c:v>-5.2000000000000028</c:v>
                </c:pt>
                <c:pt idx="33">
                  <c:v>-4.9000000000000083</c:v>
                </c:pt>
                <c:pt idx="34">
                  <c:v>-4.5999999999999943</c:v>
                </c:pt>
                <c:pt idx="35">
                  <c:v>-3.5</c:v>
                </c:pt>
                <c:pt idx="36">
                  <c:v>-3.2999999999999972</c:v>
                </c:pt>
                <c:pt idx="37">
                  <c:v>-4.0999999999999943</c:v>
                </c:pt>
                <c:pt idx="38">
                  <c:v>-4.5999999999999943</c:v>
                </c:pt>
                <c:pt idx="39">
                  <c:v>-4.9000000000000083</c:v>
                </c:pt>
                <c:pt idx="40">
                  <c:v>-5</c:v>
                </c:pt>
                <c:pt idx="41">
                  <c:v>-4.5</c:v>
                </c:pt>
                <c:pt idx="42">
                  <c:v>-4</c:v>
                </c:pt>
                <c:pt idx="43">
                  <c:v>-3.2000000000000042</c:v>
                </c:pt>
                <c:pt idx="44">
                  <c:v>-2</c:v>
                </c:pt>
                <c:pt idx="45">
                  <c:v>-1.0999999999999872</c:v>
                </c:pt>
                <c:pt idx="46">
                  <c:v>-0.59999999999999432</c:v>
                </c:pt>
                <c:pt idx="47">
                  <c:v>0.59999999999999432</c:v>
                </c:pt>
                <c:pt idx="48" formatCode="General">
                  <c:v>2.5999999999999943</c:v>
                </c:pt>
                <c:pt idx="49" formatCode="General">
                  <c:v>4</c:v>
                </c:pt>
                <c:pt idx="50">
                  <c:v>3.8</c:v>
                </c:pt>
              </c:numCache>
            </c:numRef>
          </c:val>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4'!$A$6:$B$56</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'Ceny 4'!$F$6:$F$56</c:f>
              <c:numCache>
                <c:formatCode>0.0</c:formatCode>
                <c:ptCount val="51"/>
                <c:pt idx="0">
                  <c:v>3.7000000000000042</c:v>
                </c:pt>
                <c:pt idx="1">
                  <c:v>3.7000000000000042</c:v>
                </c:pt>
                <c:pt idx="2">
                  <c:v>3.7000000000000042</c:v>
                </c:pt>
                <c:pt idx="3">
                  <c:v>3.5</c:v>
                </c:pt>
                <c:pt idx="4">
                  <c:v>3.5</c:v>
                </c:pt>
                <c:pt idx="5">
                  <c:v>3.5999999999999943</c:v>
                </c:pt>
                <c:pt idx="6">
                  <c:v>3.5999999999999943</c:v>
                </c:pt>
                <c:pt idx="7">
                  <c:v>3.5999999999999943</c:v>
                </c:pt>
                <c:pt idx="8">
                  <c:v>3.5999999999999943</c:v>
                </c:pt>
                <c:pt idx="9">
                  <c:v>3.7999999999999972</c:v>
                </c:pt>
                <c:pt idx="10">
                  <c:v>3.7999999999999972</c:v>
                </c:pt>
                <c:pt idx="11">
                  <c:v>3.5</c:v>
                </c:pt>
                <c:pt idx="12">
                  <c:v>-8.8000000000000025</c:v>
                </c:pt>
                <c:pt idx="13">
                  <c:v>-8.8000000000000025</c:v>
                </c:pt>
                <c:pt idx="14">
                  <c:v>-8.8000000000000025</c:v>
                </c:pt>
                <c:pt idx="15">
                  <c:v>-8.6000000000000014</c:v>
                </c:pt>
                <c:pt idx="16">
                  <c:v>-8.6000000000000014</c:v>
                </c:pt>
                <c:pt idx="17">
                  <c:v>-8.7000000000000011</c:v>
                </c:pt>
                <c:pt idx="18">
                  <c:v>-8.7000000000000011</c:v>
                </c:pt>
                <c:pt idx="19">
                  <c:v>-8.6000000000000014</c:v>
                </c:pt>
                <c:pt idx="20">
                  <c:v>-8.6000000000000014</c:v>
                </c:pt>
                <c:pt idx="21">
                  <c:v>-8.9000000000000057</c:v>
                </c:pt>
                <c:pt idx="22">
                  <c:v>-8.9000000000000057</c:v>
                </c:pt>
                <c:pt idx="23">
                  <c:v>-8.6000000000000014</c:v>
                </c:pt>
                <c:pt idx="24">
                  <c:v>-0.7999999999999976</c:v>
                </c:pt>
                <c:pt idx="25">
                  <c:v>-0.7999999999999976</c:v>
                </c:pt>
                <c:pt idx="26">
                  <c:v>-0.7999999999999976</c:v>
                </c:pt>
                <c:pt idx="27">
                  <c:v>-0.70000000000000284</c:v>
                </c:pt>
                <c:pt idx="28">
                  <c:v>-0.70000000000000284</c:v>
                </c:pt>
                <c:pt idx="29">
                  <c:v>-0.70000000000000284</c:v>
                </c:pt>
                <c:pt idx="30">
                  <c:v>-0.70000000000000284</c:v>
                </c:pt>
                <c:pt idx="31">
                  <c:v>-0.7999999999999976</c:v>
                </c:pt>
                <c:pt idx="32">
                  <c:v>-0.7999999999999976</c:v>
                </c:pt>
                <c:pt idx="33">
                  <c:v>-0.90000000000000568</c:v>
                </c:pt>
                <c:pt idx="34">
                  <c:v>-0.90000000000000568</c:v>
                </c:pt>
                <c:pt idx="35">
                  <c:v>-0.90000000000000568</c:v>
                </c:pt>
                <c:pt idx="36">
                  <c:v>-4</c:v>
                </c:pt>
                <c:pt idx="37">
                  <c:v>-4.0999999999999943</c:v>
                </c:pt>
                <c:pt idx="38">
                  <c:v>-4.0999999999999943</c:v>
                </c:pt>
                <c:pt idx="39">
                  <c:v>-4</c:v>
                </c:pt>
                <c:pt idx="40">
                  <c:v>-4</c:v>
                </c:pt>
                <c:pt idx="41">
                  <c:v>-4.0999999999999943</c:v>
                </c:pt>
                <c:pt idx="42">
                  <c:v>-4</c:v>
                </c:pt>
                <c:pt idx="43">
                  <c:v>-4</c:v>
                </c:pt>
                <c:pt idx="44">
                  <c:v>-4.0999999999999943</c:v>
                </c:pt>
                <c:pt idx="45">
                  <c:v>-4.0999999999999943</c:v>
                </c:pt>
                <c:pt idx="46">
                  <c:v>-4.0999999999999943</c:v>
                </c:pt>
                <c:pt idx="47">
                  <c:v>-4.0999999999999943</c:v>
                </c:pt>
                <c:pt idx="48" formatCode="General">
                  <c:v>-1.0999999999999872</c:v>
                </c:pt>
                <c:pt idx="49" formatCode="General">
                  <c:v>-1.2000000000000028</c:v>
                </c:pt>
                <c:pt idx="50">
                  <c:v>-1.2</c:v>
                </c:pt>
              </c:numCache>
            </c:numRef>
          </c:val>
        </c:ser>
        <c:ser>
          <c:idx val="4"/>
          <c:order val="4"/>
          <c:tx>
            <c:strRef>
              <c:f>'Ceny 4'!$G$5</c:f>
              <c:strCache>
                <c:ptCount val="1"/>
                <c:pt idx="0">
                  <c:v>Zás. vodou; odpadní vody</c:v>
                </c:pt>
              </c:strCache>
            </c:strRef>
          </c:tx>
          <c:spPr>
            <a:ln w="19050">
              <a:solidFill>
                <a:schemeClr val="accent1"/>
              </a:solidFill>
            </a:ln>
          </c:spPr>
          <c:marker>
            <c:symbol val="none"/>
          </c:marker>
          <c:val>
            <c:numRef>
              <c:f>'Ceny 4'!$G$6:$G$56</c:f>
              <c:numCache>
                <c:formatCode>General</c:formatCode>
                <c:ptCount val="51"/>
                <c:pt idx="0">
                  <c:v>5.9000000000000083</c:v>
                </c:pt>
                <c:pt idx="1">
                  <c:v>5.7999999999999972</c:v>
                </c:pt>
                <c:pt idx="2">
                  <c:v>5.7000000000000028</c:v>
                </c:pt>
                <c:pt idx="3">
                  <c:v>5.7000000000000028</c:v>
                </c:pt>
                <c:pt idx="4">
                  <c:v>5.7000000000000028</c:v>
                </c:pt>
                <c:pt idx="5">
                  <c:v>5.7000000000000028</c:v>
                </c:pt>
                <c:pt idx="6">
                  <c:v>5.7000000000000028</c:v>
                </c:pt>
                <c:pt idx="7">
                  <c:v>5.7000000000000028</c:v>
                </c:pt>
                <c:pt idx="8">
                  <c:v>5.7000000000000028</c:v>
                </c:pt>
                <c:pt idx="9">
                  <c:v>5.7000000000000028</c:v>
                </c:pt>
                <c:pt idx="10">
                  <c:v>5.7000000000000028</c:v>
                </c:pt>
                <c:pt idx="11">
                  <c:v>5.7000000000000028</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3.4000000000000057</c:v>
                </c:pt>
                <c:pt idx="25">
                  <c:v>3.4000000000000057</c:v>
                </c:pt>
                <c:pt idx="26">
                  <c:v>3.4000000000000057</c:v>
                </c:pt>
                <c:pt idx="27">
                  <c:v>3.4000000000000057</c:v>
                </c:pt>
                <c:pt idx="28">
                  <c:v>3.4000000000000057</c:v>
                </c:pt>
                <c:pt idx="29">
                  <c:v>3.4000000000000057</c:v>
                </c:pt>
                <c:pt idx="30">
                  <c:v>3.4000000000000057</c:v>
                </c:pt>
                <c:pt idx="31">
                  <c:v>3.4000000000000057</c:v>
                </c:pt>
                <c:pt idx="32">
                  <c:v>3.4000000000000057</c:v>
                </c:pt>
                <c:pt idx="33">
                  <c:v>3.4000000000000057</c:v>
                </c:pt>
                <c:pt idx="34">
                  <c:v>3.4000000000000057</c:v>
                </c:pt>
                <c:pt idx="35">
                  <c:v>3.4000000000000057</c:v>
                </c:pt>
                <c:pt idx="36">
                  <c:v>0.5</c:v>
                </c:pt>
                <c:pt idx="37">
                  <c:v>0.5</c:v>
                </c:pt>
                <c:pt idx="38">
                  <c:v>0.5</c:v>
                </c:pt>
                <c:pt idx="39">
                  <c:v>1.5999999999999872</c:v>
                </c:pt>
                <c:pt idx="40">
                  <c:v>1.5999999999999872</c:v>
                </c:pt>
                <c:pt idx="41">
                  <c:v>1.5999999999999872</c:v>
                </c:pt>
                <c:pt idx="42">
                  <c:v>1.5999999999999872</c:v>
                </c:pt>
                <c:pt idx="43">
                  <c:v>1.5999999999999872</c:v>
                </c:pt>
                <c:pt idx="44">
                  <c:v>1.5999999999999872</c:v>
                </c:pt>
                <c:pt idx="45">
                  <c:v>1.5999999999999872</c:v>
                </c:pt>
                <c:pt idx="46">
                  <c:v>1.5999999999999872</c:v>
                </c:pt>
                <c:pt idx="47">
                  <c:v>1.5999999999999872</c:v>
                </c:pt>
                <c:pt idx="48">
                  <c:v>2.0999999999999943</c:v>
                </c:pt>
                <c:pt idx="49">
                  <c:v>2.0999999999999943</c:v>
                </c:pt>
                <c:pt idx="50" formatCode="0.0">
                  <c:v>2.1</c:v>
                </c:pt>
              </c:numCache>
            </c:numRef>
          </c:val>
        </c:ser>
        <c:marker val="1"/>
        <c:axId val="124649856"/>
        <c:axId val="124651392"/>
      </c:lineChart>
      <c:catAx>
        <c:axId val="124649856"/>
        <c:scaling>
          <c:orientation val="minMax"/>
        </c:scaling>
        <c:axPos val="b"/>
        <c:tickLblPos val="low"/>
        <c:spPr>
          <a:ln>
            <a:solidFill>
              <a:schemeClr val="tx1"/>
            </a:solidFill>
          </a:ln>
        </c:spPr>
        <c:crossAx val="124651392"/>
        <c:crosses val="autoZero"/>
        <c:auto val="1"/>
        <c:lblAlgn val="ctr"/>
        <c:lblOffset val="100"/>
      </c:catAx>
      <c:valAx>
        <c:axId val="124651392"/>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24649856"/>
        <c:crosses val="autoZero"/>
        <c:crossBetween val="between"/>
      </c:valAx>
      <c:spPr>
        <a:ln>
          <a:solidFill>
            <a:schemeClr val="tx1"/>
          </a:solidFill>
        </a:ln>
      </c:spPr>
    </c:plotArea>
    <c:legend>
      <c:legendPos val="b"/>
      <c:layout>
        <c:manualLayout>
          <c:xMode val="edge"/>
          <c:yMode val="edge"/>
          <c:x val="5.059628213264207E-2"/>
          <c:y val="0.86223931272106069"/>
          <c:w val="0.92777524484971363"/>
          <c:h val="0.1210940242576510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1539175954069446E-2"/>
          <c:y val="3.9316672295395698E-2"/>
          <c:w val="0.94773809523809893"/>
          <c:h val="0.74002926939097513"/>
        </c:manualLayout>
      </c:layout>
      <c:barChart>
        <c:barDir val="col"/>
        <c:grouping val="clustered"/>
        <c:ser>
          <c:idx val="3"/>
          <c:order val="3"/>
          <c:tx>
            <c:strRef>
              <c:f>'Ceny 3'!$H$5</c:f>
              <c:strCache>
                <c:ptCount val="1"/>
                <c:pt idx="0">
                  <c:v>Směnné relace</c:v>
                </c:pt>
              </c:strCache>
            </c:strRef>
          </c:tx>
          <c:spPr>
            <a:solidFill>
              <a:schemeClr val="bg1">
                <a:lumMod val="65000"/>
              </a:schemeClr>
            </a:solidFill>
          </c:spPr>
          <c:val>
            <c:numRef>
              <c:f>'Ceny 3'!$H$10:$H$26</c:f>
              <c:numCache>
                <c:formatCode>0.0</c:formatCode>
                <c:ptCount val="17"/>
                <c:pt idx="0">
                  <c:v>0.80368361081791306</c:v>
                </c:pt>
                <c:pt idx="1">
                  <c:v>0.61721851257161164</c:v>
                </c:pt>
                <c:pt idx="2">
                  <c:v>1.2978008537605632</c:v>
                </c:pt>
                <c:pt idx="3">
                  <c:v>1.2467772767180065</c:v>
                </c:pt>
                <c:pt idx="4">
                  <c:v>1.4407309322816815</c:v>
                </c:pt>
                <c:pt idx="5">
                  <c:v>2.0862443271419142</c:v>
                </c:pt>
                <c:pt idx="6">
                  <c:v>1.7529070954256118</c:v>
                </c:pt>
                <c:pt idx="7">
                  <c:v>0.84994518486674053</c:v>
                </c:pt>
                <c:pt idx="8">
                  <c:v>0.44402054650257128</c:v>
                </c:pt>
                <c:pt idx="9">
                  <c:v>-0.3394671214366714</c:v>
                </c:pt>
                <c:pt idx="10">
                  <c:v>4.2100957712023102E-2</c:v>
                </c:pt>
                <c:pt idx="11">
                  <c:v>0.41340699271970288</c:v>
                </c:pt>
                <c:pt idx="12">
                  <c:v>1.2971983255286539</c:v>
                </c:pt>
                <c:pt idx="13">
                  <c:v>1.5811592960569099</c:v>
                </c:pt>
                <c:pt idx="14">
                  <c:v>1.0989958065638921</c:v>
                </c:pt>
                <c:pt idx="15" formatCode="General">
                  <c:v>-0.25259298451986623</c:v>
                </c:pt>
                <c:pt idx="16" formatCode="General">
                  <c:v>-1.7358000796221078</c:v>
                </c:pt>
              </c:numCache>
            </c:numRef>
          </c:val>
        </c:ser>
        <c:gapWidth val="95"/>
        <c:axId val="124694528"/>
        <c:axId val="124696064"/>
      </c:barChart>
      <c:lineChart>
        <c:grouping val="standard"/>
        <c:ser>
          <c:idx val="1"/>
          <c:order val="0"/>
          <c:tx>
            <c:strRef>
              <c:f>'Ceny 3'!$E$5</c:f>
              <c:strCache>
                <c:ptCount val="1"/>
                <c:pt idx="0">
                  <c:v>HDP</c:v>
                </c:pt>
              </c:strCache>
            </c:strRef>
          </c:tx>
          <c:spPr>
            <a:ln w="19050">
              <a:solidFill>
                <a:sysClr val="windowText" lastClr="000000"/>
              </a:solidFill>
            </a:ln>
          </c:spPr>
          <c:marker>
            <c:symbol val="none"/>
          </c:marker>
          <c:cat>
            <c:multiLvlStrRef>
              <c:f>'Ceny 3'!$A$10:$B$26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3'!$E$10:$E$26</c:f>
              <c:numCache>
                <c:formatCode>#,##0.0</c:formatCode>
                <c:ptCount val="17"/>
                <c:pt idx="0">
                  <c:v>1.3811939105055728</c:v>
                </c:pt>
                <c:pt idx="1">
                  <c:v>1.1680888436857626</c:v>
                </c:pt>
                <c:pt idx="2">
                  <c:v>1.2733058052713346</c:v>
                </c:pt>
                <c:pt idx="3">
                  <c:v>1.8757013004496697</c:v>
                </c:pt>
                <c:pt idx="4">
                  <c:v>2.1162561099535075</c:v>
                </c:pt>
                <c:pt idx="5">
                  <c:v>2.786793624081227</c:v>
                </c:pt>
                <c:pt idx="6">
                  <c:v>2.8841756863783274</c:v>
                </c:pt>
                <c:pt idx="7">
                  <c:v>2.1257198781495816</c:v>
                </c:pt>
                <c:pt idx="8">
                  <c:v>1.5300454459341779</c:v>
                </c:pt>
                <c:pt idx="9">
                  <c:v>1.0802501633382329</c:v>
                </c:pt>
                <c:pt idx="10">
                  <c:v>0.77597446097770761</c:v>
                </c:pt>
                <c:pt idx="11">
                  <c:v>0.64924345488511304</c:v>
                </c:pt>
                <c:pt idx="12">
                  <c:v>1.2195667519866178</c:v>
                </c:pt>
                <c:pt idx="13">
                  <c:v>0.96361512606108901</c:v>
                </c:pt>
                <c:pt idx="14">
                  <c:v>1.269678963030856</c:v>
                </c:pt>
                <c:pt idx="15">
                  <c:v>0.84652587404403645</c:v>
                </c:pt>
                <c:pt idx="16" formatCode="General">
                  <c:v>0.86864016688474799</c:v>
                </c:pt>
              </c:numCache>
            </c:numRef>
          </c:val>
        </c:ser>
        <c:ser>
          <c:idx val="0"/>
          <c:order val="1"/>
          <c:tx>
            <c:strRef>
              <c:f>'Ceny 3'!$C$5</c:f>
              <c:strCache>
                <c:ptCount val="1"/>
                <c:pt idx="0">
                  <c:v>Výdaje na konečnou spotřebu celkem</c:v>
                </c:pt>
              </c:strCache>
            </c:strRef>
          </c:tx>
          <c:spPr>
            <a:ln w="19050">
              <a:solidFill>
                <a:srgbClr val="0071BC"/>
              </a:solidFill>
            </a:ln>
          </c:spPr>
          <c:marker>
            <c:symbol val="none"/>
          </c:marker>
          <c:cat>
            <c:multiLvlStrRef>
              <c:f>'Ceny 3'!$A$10:$B$26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3'!$C$10:$C$26</c:f>
              <c:numCache>
                <c:formatCode>0.0</c:formatCode>
                <c:ptCount val="17"/>
                <c:pt idx="0">
                  <c:v>0.72823631668768485</c:v>
                </c:pt>
                <c:pt idx="1">
                  <c:v>0.76144246757256462</c:v>
                </c:pt>
                <c:pt idx="2">
                  <c:v>0.50712683448152562</c:v>
                </c:pt>
                <c:pt idx="3">
                  <c:v>0.62611160102060004</c:v>
                </c:pt>
                <c:pt idx="4">
                  <c:v>0.68735545834135792</c:v>
                </c:pt>
                <c:pt idx="5">
                  <c:v>0.77945871480152162</c:v>
                </c:pt>
                <c:pt idx="6">
                  <c:v>0.98594493079129109</c:v>
                </c:pt>
                <c:pt idx="7">
                  <c:v>1.2029478190203946</c:v>
                </c:pt>
                <c:pt idx="8">
                  <c:v>1.0459304064826256</c:v>
                </c:pt>
                <c:pt idx="9">
                  <c:v>1.1749741784620227</c:v>
                </c:pt>
                <c:pt idx="10">
                  <c:v>0.86186218959510086</c:v>
                </c:pt>
                <c:pt idx="11">
                  <c:v>0.50021808426192671</c:v>
                </c:pt>
                <c:pt idx="12">
                  <c:v>0.67423139456535364</c:v>
                </c:pt>
                <c:pt idx="13">
                  <c:v>0.41597562117610232</c:v>
                </c:pt>
                <c:pt idx="14">
                  <c:v>1.0542745481585041</c:v>
                </c:pt>
                <c:pt idx="15">
                  <c:v>1.5440464616140201</c:v>
                </c:pt>
                <c:pt idx="16" formatCode="General">
                  <c:v>2.8954481894985924</c:v>
                </c:pt>
              </c:numCache>
            </c:numRef>
          </c:val>
        </c:ser>
        <c:ser>
          <c:idx val="2"/>
          <c:order val="2"/>
          <c:tx>
            <c:strRef>
              <c:f>'Ceny 3'!$D$5</c:f>
              <c:strCache>
                <c:ptCount val="1"/>
                <c:pt idx="0">
                  <c:v>Tvorba hrubého fixního kapitálu</c:v>
                </c:pt>
              </c:strCache>
            </c:strRef>
          </c:tx>
          <c:spPr>
            <a:ln w="19050">
              <a:solidFill>
                <a:srgbClr val="BD1B21"/>
              </a:solidFill>
            </a:ln>
          </c:spPr>
          <c:marker>
            <c:symbol val="none"/>
          </c:marker>
          <c:cat>
            <c:multiLvlStrRef>
              <c:f>'Ceny 3'!$A$10:$B$26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'Ceny 3'!$D$10:$D$26</c:f>
              <c:numCache>
                <c:formatCode>0.0</c:formatCode>
                <c:ptCount val="17"/>
                <c:pt idx="0">
                  <c:v>0.98192723323345199</c:v>
                </c:pt>
                <c:pt idx="1">
                  <c:v>0.54585610819937369</c:v>
                </c:pt>
                <c:pt idx="2">
                  <c:v>-0.18379814631617944</c:v>
                </c:pt>
                <c:pt idx="3">
                  <c:v>1.3557634633114759</c:v>
                </c:pt>
                <c:pt idx="4">
                  <c:v>1.0076191900564682</c:v>
                </c:pt>
                <c:pt idx="5">
                  <c:v>1.6987028589478401</c:v>
                </c:pt>
                <c:pt idx="6">
                  <c:v>2.2997555859345766</c:v>
                </c:pt>
                <c:pt idx="7">
                  <c:v>1.8839285571326545</c:v>
                </c:pt>
                <c:pt idx="8">
                  <c:v>1.8932169699131896</c:v>
                </c:pt>
                <c:pt idx="9">
                  <c:v>2.0626111724742771</c:v>
                </c:pt>
                <c:pt idx="10">
                  <c:v>1.1702381142356215</c:v>
                </c:pt>
                <c:pt idx="11">
                  <c:v>0.76788963337917904</c:v>
                </c:pt>
                <c:pt idx="12">
                  <c:v>0.41296294836152481</c:v>
                </c:pt>
                <c:pt idx="13">
                  <c:v>-0.42320843631935801</c:v>
                </c:pt>
                <c:pt idx="14">
                  <c:v>-4.8745408135062007E-2</c:v>
                </c:pt>
                <c:pt idx="15">
                  <c:v>0.71086209391076238</c:v>
                </c:pt>
                <c:pt idx="16" formatCode="General">
                  <c:v>1.0838129967714707</c:v>
                </c:pt>
              </c:numCache>
            </c:numRef>
          </c:val>
        </c:ser>
        <c:marker val="1"/>
        <c:axId val="124694528"/>
        <c:axId val="124696064"/>
      </c:lineChart>
      <c:catAx>
        <c:axId val="124694528"/>
        <c:scaling>
          <c:orientation val="minMax"/>
        </c:scaling>
        <c:axPos val="b"/>
        <c:tickLblPos val="low"/>
        <c:spPr>
          <a:ln>
            <a:solidFill>
              <a:schemeClr val="tx1"/>
            </a:solidFill>
          </a:ln>
        </c:spPr>
        <c:txPr>
          <a:bodyPr rot="0" vert="horz"/>
          <a:lstStyle/>
          <a:p>
            <a:pPr>
              <a:defRPr/>
            </a:pPr>
            <a:endParaRPr lang="cs-CZ"/>
          </a:p>
        </c:txPr>
        <c:crossAx val="124696064"/>
        <c:crossesAt val="0"/>
        <c:auto val="1"/>
        <c:lblAlgn val="ctr"/>
        <c:lblOffset val="100"/>
      </c:catAx>
      <c:valAx>
        <c:axId val="124696064"/>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24694528"/>
        <c:crosses val="autoZero"/>
        <c:crossBetween val="between"/>
      </c:valAx>
      <c:spPr>
        <a:ln>
          <a:solidFill>
            <a:schemeClr val="tx1"/>
          </a:solidFill>
        </a:ln>
      </c:spPr>
    </c:plotArea>
    <c:legend>
      <c:legendPos val="b"/>
      <c:layout>
        <c:manualLayout>
          <c:xMode val="edge"/>
          <c:yMode val="edge"/>
          <c:x val="4.0534869976359286E-2"/>
          <c:y val="0.90337951426958263"/>
          <c:w val="0.94487863053022991"/>
          <c:h val="7.9300087489063933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06663279993532E-2"/>
          <c:y val="2.6378891901491362E-2"/>
          <c:w val="0.92698007507126057"/>
          <c:h val="0.70633091297984962"/>
        </c:manualLayout>
      </c:layout>
      <c:barChart>
        <c:barDir val="col"/>
        <c:grouping val="clustered"/>
        <c:ser>
          <c:idx val="0"/>
          <c:order val="0"/>
          <c:tx>
            <c:strRef>
              <c:f>'Trh práce 1'!$C$7</c:f>
              <c:strCache>
                <c:ptCount val="1"/>
                <c:pt idx="0">
                  <c:v>Zaměstnanost celkem</c:v>
                </c:pt>
              </c:strCache>
            </c:strRef>
          </c:tx>
          <c:spPr>
            <a:solidFill>
              <a:schemeClr val="bg1">
                <a:lumMod val="50000"/>
              </a:schemeClr>
            </a:solidFill>
          </c:spPr>
          <c:cat>
            <c:multiLvlStrRef>
              <c:f>'Trh práce 1'!$A$8:$B$36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1'!$C$8:$C$36</c:f>
              <c:numCache>
                <c:formatCode>#,##0.0</c:formatCode>
                <c:ptCount val="29"/>
                <c:pt idx="0" formatCode="0.0">
                  <c:v>-2.7242504546555342</c:v>
                </c:pt>
                <c:pt idx="1">
                  <c:v>-1.2287682045795938</c:v>
                </c:pt>
                <c:pt idx="2">
                  <c:v>-0.19874006447520356</c:v>
                </c:pt>
                <c:pt idx="3">
                  <c:v>5.5606183423392963E-2</c:v>
                </c:pt>
                <c:pt idx="4" formatCode="0.0">
                  <c:v>0.12057351208262941</c:v>
                </c:pt>
                <c:pt idx="5">
                  <c:v>-2.5128422065705536E-3</c:v>
                </c:pt>
                <c:pt idx="6">
                  <c:v>-0.44500398587679518</c:v>
                </c:pt>
                <c:pt idx="7">
                  <c:v>-0.76254178753862578</c:v>
                </c:pt>
                <c:pt idx="8" formatCode="0.0">
                  <c:v>-6.2381982040477825E-2</c:v>
                </c:pt>
                <c:pt idx="9">
                  <c:v>0.1562552249139344</c:v>
                </c:pt>
                <c:pt idx="10">
                  <c:v>0.65777230372677364</c:v>
                </c:pt>
                <c:pt idx="11">
                  <c:v>0.9313766726865278</c:v>
                </c:pt>
                <c:pt idx="12" formatCode="0.0">
                  <c:v>0.42826972414944625</c:v>
                </c:pt>
                <c:pt idx="13">
                  <c:v>0.69570003445409634</c:v>
                </c:pt>
                <c:pt idx="14">
                  <c:v>8.5424263329074421E-2</c:v>
                </c:pt>
                <c:pt idx="15">
                  <c:v>7.993779944656898E-2</c:v>
                </c:pt>
                <c:pt idx="16" formatCode="0.0">
                  <c:v>0.56574416236685465</c:v>
                </c:pt>
                <c:pt idx="17">
                  <c:v>7.1590808987906498E-2</c:v>
                </c:pt>
                <c:pt idx="18">
                  <c:v>0.60257976137070568</c:v>
                </c:pt>
                <c:pt idx="19">
                  <c:v>0.96919763595157615</c:v>
                </c:pt>
                <c:pt idx="20" formatCode="0.0">
                  <c:v>1.2348265211432903</c:v>
                </c:pt>
                <c:pt idx="21">
                  <c:v>1.6659569562598904</c:v>
                </c:pt>
                <c:pt idx="22">
                  <c:v>1.3835948095227764</c:v>
                </c:pt>
                <c:pt idx="23">
                  <c:v>1.2504482321373578</c:v>
                </c:pt>
                <c:pt idx="24" formatCode="0.0">
                  <c:v>1.8036937620828397</c:v>
                </c:pt>
                <c:pt idx="25">
                  <c:v>1.6132027498208021</c:v>
                </c:pt>
                <c:pt idx="26">
                  <c:v>1.7041531444000426</c:v>
                </c:pt>
                <c:pt idx="27">
                  <c:v>2.1031234774034817</c:v>
                </c:pt>
                <c:pt idx="28" formatCode="0.0">
                  <c:v>1.4733929222251732</c:v>
                </c:pt>
              </c:numCache>
            </c:numRef>
          </c:val>
        </c:ser>
        <c:ser>
          <c:idx val="1"/>
          <c:order val="1"/>
          <c:tx>
            <c:strRef>
              <c:f>'Trh práce 1'!$D$7</c:f>
              <c:strCache>
                <c:ptCount val="1"/>
                <c:pt idx="0">
                  <c:v>z toho zaměstnanci</c:v>
                </c:pt>
              </c:strCache>
            </c:strRef>
          </c:tx>
          <c:spPr>
            <a:solidFill>
              <a:schemeClr val="bg1">
                <a:lumMod val="65000"/>
              </a:schemeClr>
            </a:solidFill>
          </c:spPr>
          <c:cat>
            <c:multiLvlStrRef>
              <c:f>'Trh práce 1'!$A$8:$B$36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1'!$D$8:$D$36</c:f>
              <c:numCache>
                <c:formatCode>#,##0.0</c:formatCode>
                <c:ptCount val="29"/>
                <c:pt idx="0" formatCode="0.0">
                  <c:v>-3.7288928029196882</c:v>
                </c:pt>
                <c:pt idx="1">
                  <c:v>-2.2071558893732117</c:v>
                </c:pt>
                <c:pt idx="2">
                  <c:v>-0.94150539415765666</c:v>
                </c:pt>
                <c:pt idx="3">
                  <c:v>-0.88609533274490104</c:v>
                </c:pt>
                <c:pt idx="4" formatCode="0.0">
                  <c:v>-0.15080476706044976</c:v>
                </c:pt>
                <c:pt idx="5">
                  <c:v>-0.2053224781759582</c:v>
                </c:pt>
                <c:pt idx="6">
                  <c:v>-0.66149378930569469</c:v>
                </c:pt>
                <c:pt idx="7">
                  <c:v>-0.98064875387154871</c:v>
                </c:pt>
                <c:pt idx="8" formatCode="0.0">
                  <c:v>-0.32437909896582318</c:v>
                </c:pt>
                <c:pt idx="9">
                  <c:v>7.0122093552399192E-2</c:v>
                </c:pt>
                <c:pt idx="10">
                  <c:v>1.1364635914547847</c:v>
                </c:pt>
                <c:pt idx="11">
                  <c:v>1.5071284740223234</c:v>
                </c:pt>
                <c:pt idx="12" formatCode="0.0">
                  <c:v>1.3409984353006619</c:v>
                </c:pt>
                <c:pt idx="13">
                  <c:v>1.6229641379141342</c:v>
                </c:pt>
                <c:pt idx="14">
                  <c:v>0.34379686877153404</c:v>
                </c:pt>
                <c:pt idx="15">
                  <c:v>0.51031163120742917</c:v>
                </c:pt>
                <c:pt idx="16" formatCode="0.0">
                  <c:v>0.61250714844646836</c:v>
                </c:pt>
                <c:pt idx="17">
                  <c:v>0.14126962744744337</c:v>
                </c:pt>
                <c:pt idx="18">
                  <c:v>1.2868772629626619</c:v>
                </c:pt>
                <c:pt idx="19">
                  <c:v>1.5015142934356271</c:v>
                </c:pt>
                <c:pt idx="20" formatCode="0.0">
                  <c:v>1.8242925998037882</c:v>
                </c:pt>
                <c:pt idx="21">
                  <c:v>2.1519188390603428</c:v>
                </c:pt>
                <c:pt idx="22">
                  <c:v>1.9020411430695541</c:v>
                </c:pt>
                <c:pt idx="23">
                  <c:v>2.0205161298903818</c:v>
                </c:pt>
                <c:pt idx="24" formatCode="0.0">
                  <c:v>2.5134532464782477</c:v>
                </c:pt>
                <c:pt idx="25">
                  <c:v>1.8540067170345893</c:v>
                </c:pt>
                <c:pt idx="26">
                  <c:v>1.7274823995447264</c:v>
                </c:pt>
                <c:pt idx="27">
                  <c:v>1.6975166763137295</c:v>
                </c:pt>
                <c:pt idx="28" formatCode="0.0">
                  <c:v>0.84900462523419018</c:v>
                </c:pt>
              </c:numCache>
            </c:numRef>
          </c:val>
        </c:ser>
        <c:gapWidth val="68"/>
        <c:axId val="124736640"/>
        <c:axId val="124738176"/>
      </c:barChart>
      <c:lineChart>
        <c:grouping val="standard"/>
        <c:ser>
          <c:idx val="2"/>
          <c:order val="2"/>
          <c:tx>
            <c:strRef>
              <c:f>'Trh práce 1'!$E$7</c:f>
              <c:strCache>
                <c:ptCount val="1"/>
                <c:pt idx="0">
                  <c:v>Zpracovatelský průmysl</c:v>
                </c:pt>
              </c:strCache>
            </c:strRef>
          </c:tx>
          <c:spPr>
            <a:ln w="19050">
              <a:solidFill>
                <a:srgbClr val="0071BC"/>
              </a:solidFill>
            </a:ln>
          </c:spPr>
          <c:marker>
            <c:symbol val="none"/>
          </c:marker>
          <c:cat>
            <c:multiLvlStrRef>
              <c:f>'Trh práce 1'!$A$8:$B$36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1'!$E$8:$E$36</c:f>
              <c:numCache>
                <c:formatCode>#,##0.0</c:formatCode>
                <c:ptCount val="29"/>
                <c:pt idx="0" formatCode="0.0">
                  <c:v>-7.0663615356078111</c:v>
                </c:pt>
                <c:pt idx="1">
                  <c:v>-3.3052226067039783</c:v>
                </c:pt>
                <c:pt idx="2">
                  <c:v>-1.2664467328150693</c:v>
                </c:pt>
                <c:pt idx="3">
                  <c:v>-0.61650925752389274</c:v>
                </c:pt>
                <c:pt idx="4" formatCode="0.0">
                  <c:v>4.0376203290215784</c:v>
                </c:pt>
                <c:pt idx="5">
                  <c:v>4.3426246490417375</c:v>
                </c:pt>
                <c:pt idx="6">
                  <c:v>3.808534075033208</c:v>
                </c:pt>
                <c:pt idx="7">
                  <c:v>2.2991972105673186</c:v>
                </c:pt>
                <c:pt idx="8" formatCode="0.0">
                  <c:v>0.6622302249733566</c:v>
                </c:pt>
                <c:pt idx="9">
                  <c:v>0.53953959389968986</c:v>
                </c:pt>
                <c:pt idx="10">
                  <c:v>1.1425247272576218</c:v>
                </c:pt>
                <c:pt idx="11">
                  <c:v>1.6184182483716401</c:v>
                </c:pt>
                <c:pt idx="12" formatCode="0.0">
                  <c:v>-0.15606797491277291</c:v>
                </c:pt>
                <c:pt idx="13">
                  <c:v>0.19171297828393108</c:v>
                </c:pt>
                <c:pt idx="14">
                  <c:v>-0.4557122272383653</c:v>
                </c:pt>
                <c:pt idx="15">
                  <c:v>-0.21562331364887655</c:v>
                </c:pt>
                <c:pt idx="16" formatCode="0.0">
                  <c:v>0.83215594702106443</c:v>
                </c:pt>
                <c:pt idx="17">
                  <c:v>0.81671393371982504</c:v>
                </c:pt>
                <c:pt idx="18">
                  <c:v>1.4852847216065621</c:v>
                </c:pt>
                <c:pt idx="19">
                  <c:v>2.0466728238423837</c:v>
                </c:pt>
                <c:pt idx="20" formatCode="0.0">
                  <c:v>3.1445345465438357</c:v>
                </c:pt>
                <c:pt idx="21">
                  <c:v>3.3637584438531194</c:v>
                </c:pt>
                <c:pt idx="22">
                  <c:v>2.9038234164489007</c:v>
                </c:pt>
                <c:pt idx="23">
                  <c:v>3.4387499445617467</c:v>
                </c:pt>
                <c:pt idx="24" formatCode="0.0">
                  <c:v>3.5771727288675654</c:v>
                </c:pt>
                <c:pt idx="25">
                  <c:v>2.7428532289713794</c:v>
                </c:pt>
                <c:pt idx="26">
                  <c:v>2.8707675261576071</c:v>
                </c:pt>
                <c:pt idx="27">
                  <c:v>2.5548397411440802</c:v>
                </c:pt>
                <c:pt idx="28" formatCode="0.0">
                  <c:v>5.2092673720523355E-2</c:v>
                </c:pt>
              </c:numCache>
            </c:numRef>
          </c:val>
        </c:ser>
        <c:ser>
          <c:idx val="3"/>
          <c:order val="3"/>
          <c:tx>
            <c:strRef>
              <c:f>'Trh práce 1'!$F$7</c:f>
              <c:strCache>
                <c:ptCount val="1"/>
                <c:pt idx="0">
                  <c:v>Stavebnictví</c:v>
                </c:pt>
              </c:strCache>
            </c:strRef>
          </c:tx>
          <c:spPr>
            <a:ln w="19050">
              <a:solidFill>
                <a:srgbClr val="BD1B21"/>
              </a:solidFill>
            </a:ln>
          </c:spPr>
          <c:marker>
            <c:symbol val="none"/>
          </c:marker>
          <c:cat>
            <c:multiLvlStrRef>
              <c:f>'Trh práce 1'!$A$8:$B$36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1'!$F$8:$F$36</c:f>
              <c:numCache>
                <c:formatCode>#,##0.0</c:formatCode>
                <c:ptCount val="29"/>
                <c:pt idx="0" formatCode="0.0">
                  <c:v>1.1344933996228406</c:v>
                </c:pt>
                <c:pt idx="1">
                  <c:v>1.6462228822174718</c:v>
                </c:pt>
                <c:pt idx="2">
                  <c:v>2.1427922687345777</c:v>
                </c:pt>
                <c:pt idx="3">
                  <c:v>2.145217744157963</c:v>
                </c:pt>
                <c:pt idx="4" formatCode="0.0">
                  <c:v>-4.95387066835616</c:v>
                </c:pt>
                <c:pt idx="5">
                  <c:v>-4.97865924872064</c:v>
                </c:pt>
                <c:pt idx="6">
                  <c:v>-5.3649572450528318</c:v>
                </c:pt>
                <c:pt idx="7">
                  <c:v>-5.2374528652610337</c:v>
                </c:pt>
                <c:pt idx="8" formatCode="0.0">
                  <c:v>-0.97401656430090855</c:v>
                </c:pt>
                <c:pt idx="9">
                  <c:v>-0.7032653681472395</c:v>
                </c:pt>
                <c:pt idx="10">
                  <c:v>-1.6319837495134237</c:v>
                </c:pt>
                <c:pt idx="11">
                  <c:v>-1.8268392251457755</c:v>
                </c:pt>
                <c:pt idx="12" formatCode="0.0">
                  <c:v>-2.4080002521466297</c:v>
                </c:pt>
                <c:pt idx="13">
                  <c:v>-3.7253255974631982</c:v>
                </c:pt>
                <c:pt idx="14">
                  <c:v>-2.1921415851919481</c:v>
                </c:pt>
                <c:pt idx="15">
                  <c:v>-1.079644320221405</c:v>
                </c:pt>
                <c:pt idx="16" formatCode="0.0">
                  <c:v>-5.0771644097902975</c:v>
                </c:pt>
                <c:pt idx="17">
                  <c:v>-3.6988293157294407</c:v>
                </c:pt>
                <c:pt idx="18">
                  <c:v>-4.269324850953808</c:v>
                </c:pt>
                <c:pt idx="19">
                  <c:v>-5.1863599218825884</c:v>
                </c:pt>
                <c:pt idx="20" formatCode="0.0">
                  <c:v>0.21920817729127928</c:v>
                </c:pt>
                <c:pt idx="21">
                  <c:v>0.23570192324031325</c:v>
                </c:pt>
                <c:pt idx="22">
                  <c:v>-0.15107831540392191</c:v>
                </c:pt>
                <c:pt idx="23">
                  <c:v>-0.5967467441877522</c:v>
                </c:pt>
                <c:pt idx="24" formatCode="0.0">
                  <c:v>-1.1639665068637741</c:v>
                </c:pt>
                <c:pt idx="25">
                  <c:v>-1.6896244417967101</c:v>
                </c:pt>
                <c:pt idx="26">
                  <c:v>-0.29555931255093526</c:v>
                </c:pt>
                <c:pt idx="27">
                  <c:v>3.1841205459045591E-2</c:v>
                </c:pt>
                <c:pt idx="28" formatCode="0.0">
                  <c:v>0.63692548511590985</c:v>
                </c:pt>
              </c:numCache>
            </c:numRef>
          </c:val>
        </c:ser>
        <c:ser>
          <c:idx val="4"/>
          <c:order val="4"/>
          <c:tx>
            <c:strRef>
              <c:f>'Trh práce 1'!$G$7</c:f>
              <c:strCache>
                <c:ptCount val="1"/>
                <c:pt idx="0">
                  <c:v>Obchod, doprava, ubytování a pohost.</c:v>
                </c:pt>
              </c:strCache>
            </c:strRef>
          </c:tx>
          <c:spPr>
            <a:ln w="19050">
              <a:solidFill>
                <a:srgbClr val="7DBB2D"/>
              </a:solidFill>
            </a:ln>
          </c:spPr>
          <c:marker>
            <c:symbol val="none"/>
          </c:marker>
          <c:cat>
            <c:multiLvlStrRef>
              <c:f>'Trh práce 1'!$A$8:$B$36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1'!$G$8:$G$36</c:f>
              <c:numCache>
                <c:formatCode>#,##0.0</c:formatCode>
                <c:ptCount val="29"/>
                <c:pt idx="0" formatCode="0.0">
                  <c:v>-1.8328140439834044</c:v>
                </c:pt>
                <c:pt idx="1">
                  <c:v>-0.89088625682001066</c:v>
                </c:pt>
                <c:pt idx="2">
                  <c:v>0.34195342612117929</c:v>
                </c:pt>
                <c:pt idx="3">
                  <c:v>0.94608007435222419</c:v>
                </c:pt>
                <c:pt idx="4" formatCode="0.0">
                  <c:v>-5.0857149809587554E-2</c:v>
                </c:pt>
                <c:pt idx="5">
                  <c:v>-0.16922456520035212</c:v>
                </c:pt>
                <c:pt idx="6">
                  <c:v>-0.14747884471951522</c:v>
                </c:pt>
                <c:pt idx="7">
                  <c:v>-0.37276804332064939</c:v>
                </c:pt>
                <c:pt idx="8" formatCode="0.0">
                  <c:v>-0.51215755397902252</c:v>
                </c:pt>
                <c:pt idx="9">
                  <c:v>-0.37334606962596906</c:v>
                </c:pt>
                <c:pt idx="10">
                  <c:v>-0.38089768275143882</c:v>
                </c:pt>
                <c:pt idx="11">
                  <c:v>-0.82359286450282809</c:v>
                </c:pt>
                <c:pt idx="12" formatCode="0.0">
                  <c:v>0.72916250315067543</c:v>
                </c:pt>
                <c:pt idx="13">
                  <c:v>0.65133504996737202</c:v>
                </c:pt>
                <c:pt idx="14">
                  <c:v>0.11514347184289875</c:v>
                </c:pt>
                <c:pt idx="15">
                  <c:v>0.13563212606402431</c:v>
                </c:pt>
                <c:pt idx="16" formatCode="0.0">
                  <c:v>-0.32942845620496786</c:v>
                </c:pt>
                <c:pt idx="17">
                  <c:v>-0.99191180566376169</c:v>
                </c:pt>
                <c:pt idx="18">
                  <c:v>-0.36088556886388068</c:v>
                </c:pt>
                <c:pt idx="19">
                  <c:v>0.59602165877699054</c:v>
                </c:pt>
                <c:pt idx="20" formatCode="0.0">
                  <c:v>0.79810009441030161</c:v>
                </c:pt>
                <c:pt idx="21">
                  <c:v>1.9255857642331662</c:v>
                </c:pt>
                <c:pt idx="22">
                  <c:v>1.3525810083437519</c:v>
                </c:pt>
                <c:pt idx="23">
                  <c:v>0.4204561844850333</c:v>
                </c:pt>
                <c:pt idx="24" formatCode="0.0">
                  <c:v>1.3468255010998575</c:v>
                </c:pt>
                <c:pt idx="25">
                  <c:v>2.0348818605365602</c:v>
                </c:pt>
                <c:pt idx="26">
                  <c:v>1.0861730380488981</c:v>
                </c:pt>
                <c:pt idx="27">
                  <c:v>1.3264583137746655</c:v>
                </c:pt>
                <c:pt idx="28" formatCode="0.0">
                  <c:v>2.2309178974493675</c:v>
                </c:pt>
              </c:numCache>
            </c:numRef>
          </c:val>
        </c:ser>
        <c:ser>
          <c:idx val="5"/>
          <c:order val="5"/>
          <c:tx>
            <c:strRef>
              <c:f>'Trh práce 1'!$H$7</c:f>
              <c:strCache>
                <c:ptCount val="1"/>
                <c:pt idx="0">
                  <c:v>Veř.spr.,obrana,vzděl.,zdrav.,soc.péče</c:v>
                </c:pt>
              </c:strCache>
            </c:strRef>
          </c:tx>
          <c:spPr>
            <a:ln w="19050">
              <a:solidFill>
                <a:srgbClr val="F8A124"/>
              </a:solidFill>
            </a:ln>
          </c:spPr>
          <c:marker>
            <c:symbol val="none"/>
          </c:marker>
          <c:cat>
            <c:multiLvlStrRef>
              <c:f>'Trh práce 1'!$A$8:$B$36</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1'!$H$8:$H$36</c:f>
              <c:numCache>
                <c:formatCode>#,##0.0</c:formatCode>
                <c:ptCount val="29"/>
                <c:pt idx="0" formatCode="0.0">
                  <c:v>0.30450810609818291</c:v>
                </c:pt>
                <c:pt idx="1">
                  <c:v>2.5485555230517331E-2</c:v>
                </c:pt>
                <c:pt idx="2">
                  <c:v>-4.6121700986205376E-2</c:v>
                </c:pt>
                <c:pt idx="3">
                  <c:v>-5.2409958341954166E-2</c:v>
                </c:pt>
                <c:pt idx="4" formatCode="0.0">
                  <c:v>-0.8119327685009945</c:v>
                </c:pt>
                <c:pt idx="5">
                  <c:v>-1.1328212411183358</c:v>
                </c:pt>
                <c:pt idx="6">
                  <c:v>-1.4354601561487499</c:v>
                </c:pt>
                <c:pt idx="7">
                  <c:v>-1.1739910293717244</c:v>
                </c:pt>
                <c:pt idx="8" formatCode="0.0">
                  <c:v>-2.5457444502925752</c:v>
                </c:pt>
                <c:pt idx="9">
                  <c:v>-1.9236371622318187</c:v>
                </c:pt>
                <c:pt idx="10">
                  <c:v>-0.31795655387237942</c:v>
                </c:pt>
                <c:pt idx="11">
                  <c:v>0.4061509032217584</c:v>
                </c:pt>
                <c:pt idx="12" formatCode="0.0">
                  <c:v>0.86367602391335663</c:v>
                </c:pt>
                <c:pt idx="13">
                  <c:v>2.1301073450716812</c:v>
                </c:pt>
                <c:pt idx="14">
                  <c:v>1.0556168985127239</c:v>
                </c:pt>
                <c:pt idx="15">
                  <c:v>0.9489551060770367</c:v>
                </c:pt>
                <c:pt idx="16" formatCode="0.0">
                  <c:v>1.5869087620266669</c:v>
                </c:pt>
                <c:pt idx="17">
                  <c:v>0.86503429151196087</c:v>
                </c:pt>
                <c:pt idx="18">
                  <c:v>1.9540348879341558</c:v>
                </c:pt>
                <c:pt idx="19">
                  <c:v>2.0603698128468295</c:v>
                </c:pt>
                <c:pt idx="20" formatCode="0.0">
                  <c:v>1.8221219221586864</c:v>
                </c:pt>
                <c:pt idx="21">
                  <c:v>1.4142395468045519</c:v>
                </c:pt>
                <c:pt idx="22">
                  <c:v>0.84808711324788744</c:v>
                </c:pt>
                <c:pt idx="23">
                  <c:v>0.88000167304882648</c:v>
                </c:pt>
                <c:pt idx="24" formatCode="0.0">
                  <c:v>0.46741625821213972</c:v>
                </c:pt>
                <c:pt idx="25">
                  <c:v>7.5784252185485471E-2</c:v>
                </c:pt>
                <c:pt idx="26">
                  <c:v>0.69802336156581668</c:v>
                </c:pt>
                <c:pt idx="27">
                  <c:v>1.6888957748691666</c:v>
                </c:pt>
                <c:pt idx="28" formatCode="0.0">
                  <c:v>0.71615605187585629</c:v>
                </c:pt>
              </c:numCache>
            </c:numRef>
          </c:val>
        </c:ser>
        <c:marker val="1"/>
        <c:axId val="124736640"/>
        <c:axId val="124738176"/>
      </c:lineChart>
      <c:catAx>
        <c:axId val="124736640"/>
        <c:scaling>
          <c:orientation val="minMax"/>
        </c:scaling>
        <c:axPos val="b"/>
        <c:tickLblPos val="low"/>
        <c:spPr>
          <a:ln>
            <a:solidFill>
              <a:schemeClr val="tx1"/>
            </a:solidFill>
          </a:ln>
        </c:spPr>
        <c:crossAx val="124738176"/>
        <c:crosses val="autoZero"/>
        <c:auto val="1"/>
        <c:lblAlgn val="ctr"/>
        <c:lblOffset val="100"/>
      </c:catAx>
      <c:valAx>
        <c:axId val="124738176"/>
        <c:scaling>
          <c:orientation val="minMax"/>
          <c:max val="5"/>
          <c:min val="-7"/>
        </c:scaling>
        <c:axPos val="l"/>
        <c:majorGridlines>
          <c:spPr>
            <a:ln w="6350">
              <a:solidFill>
                <a:schemeClr val="bg1">
                  <a:lumMod val="75000"/>
                </a:schemeClr>
              </a:solidFill>
            </a:ln>
          </c:spPr>
        </c:majorGridlines>
        <c:numFmt formatCode="0" sourceLinked="0"/>
        <c:tickLblPos val="nextTo"/>
        <c:spPr>
          <a:ln>
            <a:solidFill>
              <a:schemeClr val="tx1"/>
            </a:solidFill>
          </a:ln>
        </c:spPr>
        <c:crossAx val="124736640"/>
        <c:crosses val="autoZero"/>
        <c:crossBetween val="between"/>
        <c:majorUnit val="1"/>
      </c:valAx>
      <c:spPr>
        <a:ln>
          <a:solidFill>
            <a:schemeClr val="tx1"/>
          </a:solidFill>
        </a:ln>
      </c:spPr>
    </c:plotArea>
    <c:legend>
      <c:legendPos val="b"/>
      <c:layout>
        <c:manualLayout>
          <c:xMode val="edge"/>
          <c:yMode val="edge"/>
          <c:x val="5.5392487973751681E-2"/>
          <c:y val="0.8561623325453116"/>
          <c:w val="0.92505743233709126"/>
          <c:h val="0.1330212203084541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2.4094443232317627E-2"/>
          <c:w val="0.94100987714831252"/>
          <c:h val="0.77475149161320089"/>
        </c:manualLayout>
      </c:layout>
      <c:barChart>
        <c:barDir val="col"/>
        <c:grouping val="clustered"/>
        <c:ser>
          <c:idx val="2"/>
          <c:order val="2"/>
          <c:tx>
            <c:strRef>
              <c:f>'Trh práce 2'!$E$8</c:f>
              <c:strCache>
                <c:ptCount val="1"/>
                <c:pt idx="0">
                  <c:v>Průměrná mzda v celém NH (reálně)</c:v>
                </c:pt>
              </c:strCache>
            </c:strRef>
          </c:tx>
          <c:spPr>
            <a:solidFill>
              <a:srgbClr val="A6A6A6"/>
            </a:solidFill>
            <a:ln w="19050">
              <a:noFill/>
            </a:ln>
          </c:spPr>
          <c:cat>
            <c:multiLvlStrRef>
              <c:f>'Trh práce 2'!$A$9:$B$37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2'!$E$9:$E$37</c:f>
              <c:numCache>
                <c:formatCode>#,##0.0</c:formatCode>
                <c:ptCount val="29"/>
                <c:pt idx="0">
                  <c:v>2.0999999999999943</c:v>
                </c:pt>
                <c:pt idx="1">
                  <c:v>1.9000000000000061</c:v>
                </c:pt>
                <c:pt idx="2">
                  <c:v>0.29999999999999905</c:v>
                </c:pt>
                <c:pt idx="3">
                  <c:v>-1.4000000000000057</c:v>
                </c:pt>
                <c:pt idx="4">
                  <c:v>1.099999999999989</c:v>
                </c:pt>
                <c:pt idx="5">
                  <c:v>0.7999999999999976</c:v>
                </c:pt>
                <c:pt idx="6">
                  <c:v>0.29999999999999905</c:v>
                </c:pt>
                <c:pt idx="7">
                  <c:v>0</c:v>
                </c:pt>
                <c:pt idx="8">
                  <c:v>-0.5</c:v>
                </c:pt>
                <c:pt idx="9">
                  <c:v>-1.2999999999999909</c:v>
                </c:pt>
                <c:pt idx="10">
                  <c:v>-1.7999999999999909</c:v>
                </c:pt>
                <c:pt idx="11">
                  <c:v>0.40000000000000568</c:v>
                </c:pt>
                <c:pt idx="12">
                  <c:v>-2.4000000000000057</c:v>
                </c:pt>
                <c:pt idx="13">
                  <c:v>-0.5</c:v>
                </c:pt>
                <c:pt idx="14">
                  <c:v>0</c:v>
                </c:pt>
                <c:pt idx="15">
                  <c:v>-3.0999999999999943</c:v>
                </c:pt>
                <c:pt idx="16">
                  <c:v>3.7000000000000042</c:v>
                </c:pt>
                <c:pt idx="17">
                  <c:v>2.5999999999999943</c:v>
                </c:pt>
                <c:pt idx="18">
                  <c:v>1.599999999999989</c:v>
                </c:pt>
                <c:pt idx="19">
                  <c:v>2.2999999999999972</c:v>
                </c:pt>
                <c:pt idx="20">
                  <c:v>2.2000000000000042</c:v>
                </c:pt>
                <c:pt idx="21">
                  <c:v>2.5999999999999943</c:v>
                </c:pt>
                <c:pt idx="22">
                  <c:v>3.0999999999999943</c:v>
                </c:pt>
                <c:pt idx="23">
                  <c:v>3.5999999999999943</c:v>
                </c:pt>
                <c:pt idx="24">
                  <c:v>3.2999999999999972</c:v>
                </c:pt>
                <c:pt idx="25">
                  <c:v>3.0999999999999943</c:v>
                </c:pt>
                <c:pt idx="26">
                  <c:v>3.5</c:v>
                </c:pt>
                <c:pt idx="27" formatCode="General">
                  <c:v>2.2999999999999972</c:v>
                </c:pt>
                <c:pt idx="28" formatCode="General">
                  <c:v>2.7999999999999972</c:v>
                </c:pt>
              </c:numCache>
            </c:numRef>
          </c:val>
        </c:ser>
        <c:gapWidth val="78"/>
        <c:axId val="124796928"/>
        <c:axId val="124798464"/>
      </c:barChart>
      <c:lineChart>
        <c:grouping val="standard"/>
        <c:ser>
          <c:idx val="0"/>
          <c:order val="0"/>
          <c:tx>
            <c:strRef>
              <c:f>'Trh práce 2'!$C$8</c:f>
              <c:strCache>
                <c:ptCount val="1"/>
                <c:pt idx="0">
                  <c:v>Průměrná mzda v celém NH (nominálně)</c:v>
                </c:pt>
              </c:strCache>
            </c:strRef>
          </c:tx>
          <c:spPr>
            <a:ln w="19050">
              <a:solidFill>
                <a:srgbClr val="0071BC"/>
              </a:solidFill>
            </a:ln>
          </c:spPr>
          <c:marker>
            <c:symbol val="none"/>
          </c:marker>
          <c:cat>
            <c:multiLvlStrRef>
              <c:f>'Trh práce 2'!$A$9:$B$37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2'!$C$9:$C$37</c:f>
              <c:numCache>
                <c:formatCode>0.0</c:formatCode>
                <c:ptCount val="29"/>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3.7999999999999972</c:v>
                </c:pt>
                <c:pt idx="25">
                  <c:v>3.2999999999999972</c:v>
                </c:pt>
                <c:pt idx="26">
                  <c:v>4</c:v>
                </c:pt>
                <c:pt idx="27">
                  <c:v>3.7000000000000042</c:v>
                </c:pt>
                <c:pt idx="28">
                  <c:v>5.2999999999999972</c:v>
                </c:pt>
              </c:numCache>
            </c:numRef>
          </c:val>
        </c:ser>
        <c:ser>
          <c:idx val="1"/>
          <c:order val="1"/>
          <c:tx>
            <c:strRef>
              <c:f>'Trh práce 2'!$D$8</c:f>
              <c:strCache>
                <c:ptCount val="1"/>
                <c:pt idx="0">
                  <c:v>Mediánová mzda v celém NH (nominálně)</c:v>
                </c:pt>
              </c:strCache>
            </c:strRef>
          </c:tx>
          <c:spPr>
            <a:ln w="19050">
              <a:solidFill>
                <a:srgbClr val="BD1B21"/>
              </a:solidFill>
              <a:prstDash val="solid"/>
            </a:ln>
          </c:spPr>
          <c:marker>
            <c:symbol val="none"/>
          </c:marker>
          <c:cat>
            <c:multiLvlStrRef>
              <c:f>'Trh práce 2'!$A$9:$B$37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'Trh práce 2'!$D$9:$D$37</c:f>
              <c:numCache>
                <c:formatCode>0.0</c:formatCode>
                <c:ptCount val="29"/>
                <c:pt idx="0">
                  <c:v>3.2000000000000042</c:v>
                </c:pt>
                <c:pt idx="1">
                  <c:v>2.5999999999999943</c:v>
                </c:pt>
                <c:pt idx="2">
                  <c:v>2.7999999999999972</c:v>
                </c:pt>
                <c:pt idx="3">
                  <c:v>1.7999999999999909</c:v>
                </c:pt>
                <c:pt idx="4">
                  <c:v>2.7999999999999972</c:v>
                </c:pt>
                <c:pt idx="5">
                  <c:v>2.2000000000000042</c:v>
                </c:pt>
                <c:pt idx="6">
                  <c:v>1.7000000000000028</c:v>
                </c:pt>
                <c:pt idx="7">
                  <c:v>2.2000000000000042</c:v>
                </c:pt>
                <c:pt idx="8">
                  <c:v>1.4000000000000057</c:v>
                </c:pt>
                <c:pt idx="9">
                  <c:v>1.2999999999999909</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5.7999999999999972</c:v>
                </c:pt>
                <c:pt idx="25">
                  <c:v>3.9000000000000057</c:v>
                </c:pt>
                <c:pt idx="26">
                  <c:v>4.5999999999999943</c:v>
                </c:pt>
                <c:pt idx="27">
                  <c:v>5.5999999999999943</c:v>
                </c:pt>
                <c:pt idx="28">
                  <c:v>5.2000000000000028</c:v>
                </c:pt>
              </c:numCache>
            </c:numRef>
          </c:val>
        </c:ser>
        <c:marker val="1"/>
        <c:axId val="124796928"/>
        <c:axId val="124798464"/>
      </c:lineChart>
      <c:catAx>
        <c:axId val="124796928"/>
        <c:scaling>
          <c:orientation val="minMax"/>
        </c:scaling>
        <c:axPos val="b"/>
        <c:numFmt formatCode="General" sourceLinked="1"/>
        <c:tickLblPos val="low"/>
        <c:spPr>
          <a:ln>
            <a:solidFill>
              <a:schemeClr val="tx1"/>
            </a:solidFill>
          </a:ln>
        </c:spPr>
        <c:txPr>
          <a:bodyPr rot="0" vert="horz"/>
          <a:lstStyle/>
          <a:p>
            <a:pPr>
              <a:defRPr/>
            </a:pPr>
            <a:endParaRPr lang="cs-CZ"/>
          </a:p>
        </c:txPr>
        <c:crossAx val="124798464"/>
        <c:crosses val="autoZero"/>
        <c:auto val="1"/>
        <c:lblAlgn val="ctr"/>
        <c:lblOffset val="0"/>
        <c:tickMarkSkip val="4"/>
      </c:catAx>
      <c:valAx>
        <c:axId val="124798464"/>
        <c:scaling>
          <c:orientation val="minMax"/>
          <c:max val="7"/>
          <c:min val="-5"/>
        </c:scaling>
        <c:axPos val="l"/>
        <c:majorGridlines>
          <c:spPr>
            <a:ln>
              <a:solidFill>
                <a:schemeClr val="bg1">
                  <a:lumMod val="75000"/>
                </a:schemeClr>
              </a:solidFill>
            </a:ln>
          </c:spPr>
        </c:majorGridlines>
        <c:numFmt formatCode="0" sourceLinked="0"/>
        <c:tickLblPos val="nextTo"/>
        <c:spPr>
          <a:ln>
            <a:solidFill>
              <a:schemeClr val="tx1"/>
            </a:solidFill>
          </a:ln>
        </c:spPr>
        <c:crossAx val="124796928"/>
        <c:crosses val="autoZero"/>
        <c:crossBetween val="between"/>
        <c:majorUnit val="1"/>
      </c:valAx>
      <c:spPr>
        <a:ln>
          <a:solidFill>
            <a:schemeClr val="tx1"/>
          </a:solidFill>
        </a:ln>
      </c:spPr>
    </c:plotArea>
    <c:legend>
      <c:legendPos val="b"/>
      <c:layout>
        <c:manualLayout>
          <c:xMode val="edge"/>
          <c:yMode val="edge"/>
          <c:x val="3.6639920249480401E-2"/>
          <c:y val="0.90458000219214907"/>
          <c:w val="0.94428176235089334"/>
          <c:h val="8.4934011564721731E-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280826290465847E-2"/>
          <c:y val="2.4537128254668878E-2"/>
          <c:w val="0.90735140155353267"/>
          <c:h val="0.78063689069008568"/>
        </c:manualLayout>
      </c:layout>
      <c:barChart>
        <c:barDir val="col"/>
        <c:grouping val="clustered"/>
        <c:ser>
          <c:idx val="2"/>
          <c:order val="2"/>
          <c:tx>
            <c:strRef>
              <c:f>'Měnové podmínky 2'!$E$5</c:f>
              <c:strCache>
                <c:ptCount val="1"/>
                <c:pt idx="0">
                  <c:v>Devizové obchody</c:v>
                </c:pt>
              </c:strCache>
            </c:strRef>
          </c:tx>
          <c:spPr>
            <a:solidFill>
              <a:schemeClr val="bg1">
                <a:lumMod val="65000"/>
              </a:schemeClr>
            </a:solidFill>
            <a:ln w="19050">
              <a:noFill/>
            </a:ln>
          </c:spPr>
          <c:cat>
            <c:multiLvlStrRef>
              <c:f>'Měnové podmínky 2'!$A$6:$B$68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2012</c:v>
                  </c:pt>
                  <c:pt idx="12">
                    <c:v>2013</c:v>
                  </c:pt>
                  <c:pt idx="24">
                    <c:v>2014</c:v>
                  </c:pt>
                  <c:pt idx="36">
                    <c:v>2015</c:v>
                  </c:pt>
                  <c:pt idx="48">
                    <c:v>2016</c:v>
                  </c:pt>
                  <c:pt idx="60">
                    <c:v>2017</c:v>
                  </c:pt>
                </c:lvl>
              </c:multiLvlStrCache>
            </c:multiLvlStrRef>
          </c:cat>
          <c:val>
            <c:numRef>
              <c:f>'Měnové podmínky 2'!$F$6:$F$68</c:f>
              <c:numCache>
                <c:formatCode>0.0</c:formatCode>
                <c:ptCount val="63"/>
                <c:pt idx="0">
                  <c:v>-8.4000000000000047E-2</c:v>
                </c:pt>
                <c:pt idx="1">
                  <c:v>-8.4000000000000047E-2</c:v>
                </c:pt>
                <c:pt idx="2">
                  <c:v>-8.8000000000000064E-2</c:v>
                </c:pt>
                <c:pt idx="3">
                  <c:v>-8.0000000000000043E-2</c:v>
                </c:pt>
                <c:pt idx="4">
                  <c:v>-8.4000000000000047E-2</c:v>
                </c:pt>
                <c:pt idx="5">
                  <c:v>-8.4000000000000047E-2</c:v>
                </c:pt>
                <c:pt idx="6">
                  <c:v>-8.0000000000000043E-2</c:v>
                </c:pt>
                <c:pt idx="7">
                  <c:v>-9.2000000000000026E-2</c:v>
                </c:pt>
                <c:pt idx="8">
                  <c:v>-7.5999999999999998E-2</c:v>
                </c:pt>
                <c:pt idx="9">
                  <c:v>-9.2000000000000026E-2</c:v>
                </c:pt>
                <c:pt idx="10">
                  <c:v>0</c:v>
                </c:pt>
                <c:pt idx="11">
                  <c:v>0</c:v>
                </c:pt>
                <c:pt idx="12">
                  <c:v>0</c:v>
                </c:pt>
                <c:pt idx="13">
                  <c:v>0</c:v>
                </c:pt>
                <c:pt idx="14">
                  <c:v>0</c:v>
                </c:pt>
                <c:pt idx="15">
                  <c:v>0</c:v>
                </c:pt>
                <c:pt idx="16">
                  <c:v>0</c:v>
                </c:pt>
                <c:pt idx="17">
                  <c:v>0</c:v>
                </c:pt>
                <c:pt idx="18">
                  <c:v>0</c:v>
                </c:pt>
                <c:pt idx="19">
                  <c:v>0</c:v>
                </c:pt>
                <c:pt idx="20">
                  <c:v>0</c:v>
                </c:pt>
                <c:pt idx="21">
                  <c:v>0</c:v>
                </c:pt>
                <c:pt idx="22">
                  <c:v>7.4989999999999997</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1.0325</c:v>
                </c:pt>
                <c:pt idx="43">
                  <c:v>3.7345000000000002</c:v>
                </c:pt>
                <c:pt idx="44">
                  <c:v>2.3219999999999987</c:v>
                </c:pt>
                <c:pt idx="45">
                  <c:v>0</c:v>
                </c:pt>
                <c:pt idx="46">
                  <c:v>0.36900000000000038</c:v>
                </c:pt>
                <c:pt idx="47">
                  <c:v>1.54</c:v>
                </c:pt>
                <c:pt idx="48">
                  <c:v>2.1539999999999999</c:v>
                </c:pt>
                <c:pt idx="49">
                  <c:v>0.62300000000000277</c:v>
                </c:pt>
                <c:pt idx="50">
                  <c:v>0</c:v>
                </c:pt>
                <c:pt idx="51">
                  <c:v>0.39300000000000185</c:v>
                </c:pt>
                <c:pt idx="52">
                  <c:v>0.57500000000000062</c:v>
                </c:pt>
                <c:pt idx="53">
                  <c:v>0.31300000000000139</c:v>
                </c:pt>
                <c:pt idx="54">
                  <c:v>0.30700000000000038</c:v>
                </c:pt>
                <c:pt idx="55">
                  <c:v>1.0589999999999944</c:v>
                </c:pt>
                <c:pt idx="56">
                  <c:v>3.6850000000000001</c:v>
                </c:pt>
                <c:pt idx="57">
                  <c:v>3.9609999999999999</c:v>
                </c:pt>
                <c:pt idx="58">
                  <c:v>0.52400000000000002</c:v>
                </c:pt>
                <c:pt idx="59">
                  <c:v>3.2570000000000001</c:v>
                </c:pt>
                <c:pt idx="60">
                  <c:v>14.480500000000006</c:v>
                </c:pt>
                <c:pt idx="61">
                  <c:v>8.1384999999999987</c:v>
                </c:pt>
                <c:pt idx="62">
                  <c:v>19.257999999999999</c:v>
                </c:pt>
              </c:numCache>
            </c:numRef>
          </c:val>
        </c:ser>
        <c:gapWidth val="95"/>
        <c:axId val="124850560"/>
        <c:axId val="124840576"/>
      </c:barChart>
      <c:lineChart>
        <c:grouping val="standard"/>
        <c:ser>
          <c:idx val="0"/>
          <c:order val="0"/>
          <c:tx>
            <c:strRef>
              <c:f>'Měnové podmínky 2'!$C$5</c:f>
              <c:strCache>
                <c:ptCount val="1"/>
                <c:pt idx="0">
                  <c:v>CZK/EUR</c:v>
                </c:pt>
              </c:strCache>
            </c:strRef>
          </c:tx>
          <c:spPr>
            <a:ln w="19050">
              <a:solidFill>
                <a:srgbClr val="0071BC"/>
              </a:solidFill>
            </a:ln>
          </c:spPr>
          <c:marker>
            <c:symbol val="none"/>
          </c:marker>
          <c:cat>
            <c:multiLvlStrRef>
              <c:f>'Měnové podmínky 2'!$A$6:$B$68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2012</c:v>
                  </c:pt>
                  <c:pt idx="12">
                    <c:v>2013</c:v>
                  </c:pt>
                  <c:pt idx="24">
                    <c:v>2014</c:v>
                  </c:pt>
                  <c:pt idx="36">
                    <c:v>2015</c:v>
                  </c:pt>
                  <c:pt idx="48">
                    <c:v>2016</c:v>
                  </c:pt>
                  <c:pt idx="60">
                    <c:v>2017</c:v>
                  </c:pt>
                </c:lvl>
              </c:multiLvlStrCache>
            </c:multiLvlStrRef>
          </c:cat>
          <c:val>
            <c:numRef>
              <c:f>'Měnové podmínky 2'!$C$6:$C$68</c:f>
              <c:numCache>
                <c:formatCode>General</c:formatCode>
                <c:ptCount val="63"/>
                <c:pt idx="0">
                  <c:v>25.532</c:v>
                </c:pt>
                <c:pt idx="1">
                  <c:v>25.041</c:v>
                </c:pt>
                <c:pt idx="2">
                  <c:v>24.675999999999988</c:v>
                </c:pt>
                <c:pt idx="3">
                  <c:v>24.798999999999989</c:v>
                </c:pt>
                <c:pt idx="4">
                  <c:v>25.321999999999999</c:v>
                </c:pt>
                <c:pt idx="5">
                  <c:v>25.640999999999988</c:v>
                </c:pt>
                <c:pt idx="6">
                  <c:v>25.434000000000001</c:v>
                </c:pt>
                <c:pt idx="7">
                  <c:v>25.02</c:v>
                </c:pt>
                <c:pt idx="8">
                  <c:v>24.731000000000005</c:v>
                </c:pt>
                <c:pt idx="9">
                  <c:v>24.937999999999999</c:v>
                </c:pt>
                <c:pt idx="10">
                  <c:v>25.364999999999988</c:v>
                </c:pt>
                <c:pt idx="11">
                  <c:v>25.216000000000001</c:v>
                </c:pt>
                <c:pt idx="12">
                  <c:v>25.562999999999899</c:v>
                </c:pt>
                <c:pt idx="13">
                  <c:v>25.475999999999907</c:v>
                </c:pt>
                <c:pt idx="14">
                  <c:v>25.661999999999999</c:v>
                </c:pt>
                <c:pt idx="15">
                  <c:v>25.84</c:v>
                </c:pt>
                <c:pt idx="16">
                  <c:v>25.888999999999989</c:v>
                </c:pt>
                <c:pt idx="17">
                  <c:v>25.760999999999989</c:v>
                </c:pt>
                <c:pt idx="18">
                  <c:v>25.949000000000002</c:v>
                </c:pt>
                <c:pt idx="19">
                  <c:v>25.818000000000001</c:v>
                </c:pt>
                <c:pt idx="20">
                  <c:v>25.786999999999903</c:v>
                </c:pt>
                <c:pt idx="21">
                  <c:v>25.658000000000001</c:v>
                </c:pt>
                <c:pt idx="22">
                  <c:v>26.924999999999986</c:v>
                </c:pt>
                <c:pt idx="23">
                  <c:v>27.516999999999999</c:v>
                </c:pt>
                <c:pt idx="24">
                  <c:v>27.484000000000002</c:v>
                </c:pt>
                <c:pt idx="25">
                  <c:v>27.442999999999881</c:v>
                </c:pt>
                <c:pt idx="26">
                  <c:v>27.393999999999988</c:v>
                </c:pt>
                <c:pt idx="27">
                  <c:v>27.45</c:v>
                </c:pt>
                <c:pt idx="28">
                  <c:v>27.439999999999987</c:v>
                </c:pt>
                <c:pt idx="29">
                  <c:v>27.451000000000001</c:v>
                </c:pt>
                <c:pt idx="30">
                  <c:v>27.457000000000001</c:v>
                </c:pt>
                <c:pt idx="31">
                  <c:v>27.815999999999999</c:v>
                </c:pt>
                <c:pt idx="32">
                  <c:v>27.597999999999999</c:v>
                </c:pt>
                <c:pt idx="33">
                  <c:v>27.58</c:v>
                </c:pt>
                <c:pt idx="34">
                  <c:v>27.666</c:v>
                </c:pt>
                <c:pt idx="35">
                  <c:v>27.634000000000103</c:v>
                </c:pt>
                <c:pt idx="36" formatCode="0.000">
                  <c:v>27.895</c:v>
                </c:pt>
                <c:pt idx="37" formatCode="0.000">
                  <c:v>27.608000000000001</c:v>
                </c:pt>
                <c:pt idx="38" formatCode="0.000">
                  <c:v>27.379000000000001</c:v>
                </c:pt>
                <c:pt idx="39" formatCode="0.000">
                  <c:v>27.442999999999881</c:v>
                </c:pt>
                <c:pt idx="40" formatCode="0.000">
                  <c:v>27.396000000000001</c:v>
                </c:pt>
                <c:pt idx="41" formatCode="0.000">
                  <c:v>27.306000000000001</c:v>
                </c:pt>
                <c:pt idx="42" formatCode="0.000">
                  <c:v>27.091000000000001</c:v>
                </c:pt>
                <c:pt idx="43" formatCode="0.000">
                  <c:v>27.041</c:v>
                </c:pt>
                <c:pt idx="44" formatCode="0.000">
                  <c:v>27.081999999999987</c:v>
                </c:pt>
                <c:pt idx="45" formatCode="0.000">
                  <c:v>27.103000000000005</c:v>
                </c:pt>
                <c:pt idx="46" formatCode="0.000">
                  <c:v>27.04</c:v>
                </c:pt>
                <c:pt idx="47" formatCode="0.000">
                  <c:v>27.026</c:v>
                </c:pt>
                <c:pt idx="48" formatCode="0.000">
                  <c:v>27.026</c:v>
                </c:pt>
                <c:pt idx="49" formatCode="0.000">
                  <c:v>27.039000000000001</c:v>
                </c:pt>
                <c:pt idx="50" formatCode="0.000">
                  <c:v>27.050999999999988</c:v>
                </c:pt>
                <c:pt idx="51" formatCode="0.000">
                  <c:v>27.030999999999999</c:v>
                </c:pt>
                <c:pt idx="52" formatCode="0.000">
                  <c:v>27.026</c:v>
                </c:pt>
                <c:pt idx="53" formatCode="0.000">
                  <c:v>27.061</c:v>
                </c:pt>
                <c:pt idx="54" formatCode="0.000">
                  <c:v>27.038</c:v>
                </c:pt>
                <c:pt idx="55" formatCode="0.000">
                  <c:v>27.024999999999999</c:v>
                </c:pt>
                <c:pt idx="56" formatCode="0.000">
                  <c:v>27.021000000000001</c:v>
                </c:pt>
                <c:pt idx="57" formatCode="0.000">
                  <c:v>27.021000000000001</c:v>
                </c:pt>
                <c:pt idx="58" formatCode="0.000">
                  <c:v>27.032</c:v>
                </c:pt>
                <c:pt idx="59" formatCode="0.000">
                  <c:v>27.03</c:v>
                </c:pt>
                <c:pt idx="60" formatCode="0.000">
                  <c:v>27.02</c:v>
                </c:pt>
                <c:pt idx="61" formatCode="0.000">
                  <c:v>27.02</c:v>
                </c:pt>
                <c:pt idx="62" formatCode="0.000">
                  <c:v>27.02</c:v>
                </c:pt>
              </c:numCache>
            </c:numRef>
          </c:val>
        </c:ser>
        <c:ser>
          <c:idx val="1"/>
          <c:order val="1"/>
          <c:tx>
            <c:strRef>
              <c:f>'Měnové podmínky 2'!$D$5</c:f>
              <c:strCache>
                <c:ptCount val="1"/>
                <c:pt idx="0">
                  <c:v>CZK/USD</c:v>
                </c:pt>
              </c:strCache>
            </c:strRef>
          </c:tx>
          <c:spPr>
            <a:ln w="19050">
              <a:solidFill>
                <a:srgbClr val="BD1B21"/>
              </a:solidFill>
            </a:ln>
          </c:spPr>
          <c:marker>
            <c:symbol val="none"/>
          </c:marker>
          <c:cat>
            <c:multiLvlStrRef>
              <c:f>'Měnové podmínky 2'!$A$6:$B$68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2012</c:v>
                  </c:pt>
                  <c:pt idx="12">
                    <c:v>2013</c:v>
                  </c:pt>
                  <c:pt idx="24">
                    <c:v>2014</c:v>
                  </c:pt>
                  <c:pt idx="36">
                    <c:v>2015</c:v>
                  </c:pt>
                  <c:pt idx="48">
                    <c:v>2016</c:v>
                  </c:pt>
                  <c:pt idx="60">
                    <c:v>2017</c:v>
                  </c:pt>
                </c:lvl>
              </c:multiLvlStrCache>
            </c:multiLvlStrRef>
          </c:cat>
          <c:val>
            <c:numRef>
              <c:f>'Měnové podmínky 2'!$D$6:$D$68</c:f>
              <c:numCache>
                <c:formatCode>General</c:formatCode>
                <c:ptCount val="63"/>
                <c:pt idx="0">
                  <c:v>19.786999999999903</c:v>
                </c:pt>
                <c:pt idx="1">
                  <c:v>18.937999999999999</c:v>
                </c:pt>
                <c:pt idx="2">
                  <c:v>18.693000000000001</c:v>
                </c:pt>
                <c:pt idx="3">
                  <c:v>18.849</c:v>
                </c:pt>
                <c:pt idx="4">
                  <c:v>19.824000000000005</c:v>
                </c:pt>
                <c:pt idx="5">
                  <c:v>20.47</c:v>
                </c:pt>
                <c:pt idx="6">
                  <c:v>20.718</c:v>
                </c:pt>
                <c:pt idx="7">
                  <c:v>20.178999999999988</c:v>
                </c:pt>
                <c:pt idx="8">
                  <c:v>19.245999999999896</c:v>
                </c:pt>
                <c:pt idx="9">
                  <c:v>19.221</c:v>
                </c:pt>
                <c:pt idx="10">
                  <c:v>19.774999999999999</c:v>
                </c:pt>
                <c:pt idx="11">
                  <c:v>19.23</c:v>
                </c:pt>
                <c:pt idx="12">
                  <c:v>19.238</c:v>
                </c:pt>
                <c:pt idx="13">
                  <c:v>19.073</c:v>
                </c:pt>
                <c:pt idx="14">
                  <c:v>19.806000000000001</c:v>
                </c:pt>
                <c:pt idx="15">
                  <c:v>19.835999999999999</c:v>
                </c:pt>
                <c:pt idx="16">
                  <c:v>19.954999999999988</c:v>
                </c:pt>
                <c:pt idx="17">
                  <c:v>19.532</c:v>
                </c:pt>
                <c:pt idx="18">
                  <c:v>19.827999999999999</c:v>
                </c:pt>
                <c:pt idx="19">
                  <c:v>19.398</c:v>
                </c:pt>
                <c:pt idx="20">
                  <c:v>19.321000000000005</c:v>
                </c:pt>
                <c:pt idx="21">
                  <c:v>18.827000000000005</c:v>
                </c:pt>
                <c:pt idx="22">
                  <c:v>19.954999999999988</c:v>
                </c:pt>
                <c:pt idx="23">
                  <c:v>20.077999999999999</c:v>
                </c:pt>
                <c:pt idx="24">
                  <c:v>20.196000000000005</c:v>
                </c:pt>
                <c:pt idx="25">
                  <c:v>20.094000000000001</c:v>
                </c:pt>
                <c:pt idx="26">
                  <c:v>19.818000000000001</c:v>
                </c:pt>
                <c:pt idx="27">
                  <c:v>19.873999999999999</c:v>
                </c:pt>
                <c:pt idx="28">
                  <c:v>19.998999999999896</c:v>
                </c:pt>
                <c:pt idx="29">
                  <c:v>20.196000000000005</c:v>
                </c:pt>
                <c:pt idx="30">
                  <c:v>20.279999999999987</c:v>
                </c:pt>
                <c:pt idx="31">
                  <c:v>20.888999999999989</c:v>
                </c:pt>
                <c:pt idx="32">
                  <c:v>21.393000000000001</c:v>
                </c:pt>
                <c:pt idx="33">
                  <c:v>21.768999999999888</c:v>
                </c:pt>
                <c:pt idx="34">
                  <c:v>22.181999999999999</c:v>
                </c:pt>
                <c:pt idx="35">
                  <c:v>22.4</c:v>
                </c:pt>
                <c:pt idx="36" formatCode="0.000">
                  <c:v>24.013000000000005</c:v>
                </c:pt>
                <c:pt idx="37" formatCode="0.000">
                  <c:v>24.324000000000005</c:v>
                </c:pt>
                <c:pt idx="38" formatCode="0.000">
                  <c:v>25.268999999999888</c:v>
                </c:pt>
                <c:pt idx="39" formatCode="0.000">
                  <c:v>25.446000000000002</c:v>
                </c:pt>
                <c:pt idx="40" formatCode="0.000">
                  <c:v>24.582999999999888</c:v>
                </c:pt>
                <c:pt idx="41" formatCode="0.000">
                  <c:v>24.356000000000005</c:v>
                </c:pt>
                <c:pt idx="42" formatCode="0.000">
                  <c:v>24.638999999999999</c:v>
                </c:pt>
                <c:pt idx="43" formatCode="0.000">
                  <c:v>24.277000000000001</c:v>
                </c:pt>
                <c:pt idx="44" formatCode="0.000">
                  <c:v>24.128</c:v>
                </c:pt>
                <c:pt idx="45" formatCode="0.000">
                  <c:v>24.113000000000035</c:v>
                </c:pt>
                <c:pt idx="46" formatCode="0.000">
                  <c:v>25.181999999999999</c:v>
                </c:pt>
                <c:pt idx="47" formatCode="0.000">
                  <c:v>24.856000000000005</c:v>
                </c:pt>
                <c:pt idx="48" formatCode="0.000">
                  <c:v>24.888000000000002</c:v>
                </c:pt>
                <c:pt idx="49" formatCode="0.000">
                  <c:v>24.378</c:v>
                </c:pt>
                <c:pt idx="50" formatCode="0.000">
                  <c:v>24.373999999999999</c:v>
                </c:pt>
                <c:pt idx="51" formatCode="0.000">
                  <c:v>23.835999999999999</c:v>
                </c:pt>
                <c:pt idx="52" formatCode="0.000">
                  <c:v>23.895</c:v>
                </c:pt>
                <c:pt idx="53" formatCode="0.000">
                  <c:v>24.1</c:v>
                </c:pt>
                <c:pt idx="54" formatCode="0.000">
                  <c:v>24.434999999999999</c:v>
                </c:pt>
                <c:pt idx="55" formatCode="0.000">
                  <c:v>24.103999999999999</c:v>
                </c:pt>
                <c:pt idx="56" formatCode="0.000">
                  <c:v>24.100999999999999</c:v>
                </c:pt>
                <c:pt idx="57" formatCode="0.000">
                  <c:v>24.494999999999987</c:v>
                </c:pt>
                <c:pt idx="58" formatCode="0.000">
                  <c:v>25.032</c:v>
                </c:pt>
                <c:pt idx="59" formatCode="0.000">
                  <c:v>25.640999999999988</c:v>
                </c:pt>
                <c:pt idx="60" formatCode="0.000">
                  <c:v>25.457000000000001</c:v>
                </c:pt>
                <c:pt idx="61" formatCode="0.000">
                  <c:v>25.39</c:v>
                </c:pt>
                <c:pt idx="62" formatCode="0.000">
                  <c:v>25.292000000000002</c:v>
                </c:pt>
              </c:numCache>
            </c:numRef>
          </c:val>
        </c:ser>
        <c:marker val="1"/>
        <c:axId val="124820864"/>
        <c:axId val="124839040"/>
      </c:lineChart>
      <c:catAx>
        <c:axId val="124820864"/>
        <c:scaling>
          <c:orientation val="minMax"/>
        </c:scaling>
        <c:axPos val="b"/>
        <c:tickLblPos val="low"/>
        <c:spPr>
          <a:ln>
            <a:solidFill>
              <a:schemeClr val="tx1"/>
            </a:solidFill>
          </a:ln>
        </c:spPr>
        <c:txPr>
          <a:bodyPr rot="0" vert="horz"/>
          <a:lstStyle/>
          <a:p>
            <a:pPr>
              <a:defRPr/>
            </a:pPr>
            <a:endParaRPr lang="cs-CZ"/>
          </a:p>
        </c:txPr>
        <c:crossAx val="124839040"/>
        <c:crosses val="autoZero"/>
        <c:auto val="1"/>
        <c:lblAlgn val="ctr"/>
        <c:lblOffset val="100"/>
      </c:catAx>
      <c:valAx>
        <c:axId val="124839040"/>
        <c:scaling>
          <c:orientation val="minMax"/>
          <c:min val="17"/>
        </c:scaling>
        <c:axPos val="l"/>
        <c:majorGridlines>
          <c:spPr>
            <a:ln w="6350">
              <a:solidFill>
                <a:schemeClr val="bg1">
                  <a:lumMod val="75000"/>
                </a:schemeClr>
              </a:solidFill>
            </a:ln>
          </c:spPr>
        </c:majorGridlines>
        <c:numFmt formatCode="0" sourceLinked="0"/>
        <c:tickLblPos val="nextTo"/>
        <c:spPr>
          <a:ln>
            <a:solidFill>
              <a:schemeClr val="tx1"/>
            </a:solidFill>
          </a:ln>
        </c:spPr>
        <c:crossAx val="124820864"/>
        <c:crosses val="autoZero"/>
        <c:crossBetween val="between"/>
        <c:majorUnit val="2"/>
      </c:valAx>
      <c:valAx>
        <c:axId val="124840576"/>
        <c:scaling>
          <c:orientation val="minMax"/>
          <c:max val="20"/>
          <c:min val="0"/>
        </c:scaling>
        <c:axPos val="r"/>
        <c:numFmt formatCode="0" sourceLinked="0"/>
        <c:tickLblPos val="nextTo"/>
        <c:crossAx val="124850560"/>
        <c:crosses val="max"/>
        <c:crossBetween val="between"/>
      </c:valAx>
      <c:catAx>
        <c:axId val="124850560"/>
        <c:scaling>
          <c:orientation val="minMax"/>
        </c:scaling>
        <c:delete val="1"/>
        <c:axPos val="b"/>
        <c:tickLblPos val="none"/>
        <c:crossAx val="124840576"/>
        <c:crosses val="autoZero"/>
        <c:auto val="1"/>
        <c:lblAlgn val="ctr"/>
        <c:lblOffset val="100"/>
      </c:catAx>
      <c:spPr>
        <a:ln>
          <a:solidFill>
            <a:schemeClr val="tx1"/>
          </a:solidFill>
        </a:ln>
      </c:spPr>
    </c:plotArea>
    <c:legend>
      <c:legendPos val="b"/>
      <c:layout>
        <c:manualLayout>
          <c:xMode val="edge"/>
          <c:yMode val="edge"/>
          <c:x val="4.5599248564673775E-2"/>
          <c:y val="0.92676603365701193"/>
          <c:w val="0.90850662782843639"/>
          <c:h val="6.3909245354229885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557159743329959E-2"/>
          <c:y val="2.1711264016309892E-2"/>
          <c:w val="0.93757303275920301"/>
          <c:h val="0.73130361364404384"/>
        </c:manualLayout>
      </c:layout>
      <c:barChart>
        <c:barDir val="col"/>
        <c:grouping val="clustered"/>
        <c:ser>
          <c:idx val="0"/>
          <c:order val="0"/>
          <c:tx>
            <c:strRef>
              <c:f>'Měnové podmínky 1'!$C$5</c:f>
              <c:strCache>
                <c:ptCount val="1"/>
                <c:pt idx="0">
                  <c:v>2T repo sazba</c:v>
                </c:pt>
              </c:strCache>
            </c:strRef>
          </c:tx>
          <c:spPr>
            <a:solidFill>
              <a:schemeClr val="bg1">
                <a:lumMod val="65000"/>
              </a:schemeClr>
            </a:solidFill>
          </c:spPr>
          <c:cat>
            <c:multiLvlStrRef>
              <c:f>'Měnové podmínky 1'!$A$18:$B$68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'Měnové podmínky 1'!$C$18:$C$68</c:f>
              <c:numCache>
                <c:formatCode>0.00</c:formatCode>
                <c:ptCount val="51"/>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c:v>0.05</c:v>
                </c:pt>
                <c:pt idx="37">
                  <c:v>0.05</c:v>
                </c:pt>
                <c:pt idx="38">
                  <c:v>0.05</c:v>
                </c:pt>
                <c:pt idx="39">
                  <c:v>0.05</c:v>
                </c:pt>
                <c:pt idx="40">
                  <c:v>0.05</c:v>
                </c:pt>
                <c:pt idx="41">
                  <c:v>0.05</c:v>
                </c:pt>
                <c:pt idx="42">
                  <c:v>0.05</c:v>
                </c:pt>
                <c:pt idx="43">
                  <c:v>0.05</c:v>
                </c:pt>
                <c:pt idx="44">
                  <c:v>0.05</c:v>
                </c:pt>
                <c:pt idx="45">
                  <c:v>0.05</c:v>
                </c:pt>
                <c:pt idx="46">
                  <c:v>0.05</c:v>
                </c:pt>
                <c:pt idx="47">
                  <c:v>0.05</c:v>
                </c:pt>
                <c:pt idx="48" formatCode="General">
                  <c:v>0.05</c:v>
                </c:pt>
                <c:pt idx="49" formatCode="General">
                  <c:v>0.05</c:v>
                </c:pt>
                <c:pt idx="50" formatCode="General">
                  <c:v>0.05</c:v>
                </c:pt>
              </c:numCache>
            </c:numRef>
          </c:val>
        </c:ser>
        <c:gapWidth val="31"/>
        <c:axId val="124903424"/>
        <c:axId val="124904960"/>
      </c:barChart>
      <c:lineChart>
        <c:grouping val="standard"/>
        <c:ser>
          <c:idx val="1"/>
          <c:order val="1"/>
          <c:tx>
            <c:strRef>
              <c:f>'Měnové podmínky 1'!$D$5</c:f>
              <c:strCache>
                <c:ptCount val="1"/>
                <c:pt idx="0">
                  <c:v>PRIBOR (3M)</c:v>
                </c:pt>
              </c:strCache>
            </c:strRef>
          </c:tx>
          <c:spPr>
            <a:ln w="19050">
              <a:solidFill>
                <a:srgbClr val="0071BC"/>
              </a:solidFill>
            </a:ln>
          </c:spPr>
          <c:marker>
            <c:symbol val="none"/>
          </c:marker>
          <c:val>
            <c:numRef>
              <c:f>'Měnové podmínky 1'!$D$18:$D$68</c:f>
              <c:numCache>
                <c:formatCode>0.00</c:formatCode>
                <c:ptCount val="51"/>
                <c:pt idx="0">
                  <c:v>0.5</c:v>
                </c:pt>
                <c:pt idx="1">
                  <c:v>0.5</c:v>
                </c:pt>
                <c:pt idx="2">
                  <c:v>0.49000000000000032</c:v>
                </c:pt>
                <c:pt idx="3">
                  <c:v>0.47000000000000008</c:v>
                </c:pt>
                <c:pt idx="4">
                  <c:v>0.46</c:v>
                </c:pt>
                <c:pt idx="5">
                  <c:v>0.46</c:v>
                </c:pt>
                <c:pt idx="6">
                  <c:v>0.46</c:v>
                </c:pt>
                <c:pt idx="7">
                  <c:v>0.46</c:v>
                </c:pt>
                <c:pt idx="8">
                  <c:v>0.45</c:v>
                </c:pt>
                <c:pt idx="9">
                  <c:v>0.45</c:v>
                </c:pt>
                <c:pt idx="10">
                  <c:v>0.4</c:v>
                </c:pt>
                <c:pt idx="11">
                  <c:v>0.38000000000000156</c:v>
                </c:pt>
                <c:pt idx="12">
                  <c:v>0.37000000000000038</c:v>
                </c:pt>
                <c:pt idx="13">
                  <c:v>0.37000000000000038</c:v>
                </c:pt>
                <c:pt idx="14">
                  <c:v>0.37000000000000038</c:v>
                </c:pt>
                <c:pt idx="15">
                  <c:v>0.37000000000000038</c:v>
                </c:pt>
                <c:pt idx="16">
                  <c:v>0.37000000000000038</c:v>
                </c:pt>
                <c:pt idx="17">
                  <c:v>0.35000000000000031</c:v>
                </c:pt>
                <c:pt idx="18">
                  <c:v>0.35000000000000031</c:v>
                </c:pt>
                <c:pt idx="19">
                  <c:v>0.35000000000000031</c:v>
                </c:pt>
                <c:pt idx="20">
                  <c:v>0.35000000000000031</c:v>
                </c:pt>
                <c:pt idx="21">
                  <c:v>0.35000000000000031</c:v>
                </c:pt>
                <c:pt idx="22">
                  <c:v>0.34</c:v>
                </c:pt>
                <c:pt idx="23">
                  <c:v>0.34</c:v>
                </c:pt>
                <c:pt idx="24">
                  <c:v>0.33000000000000185</c:v>
                </c:pt>
                <c:pt idx="25">
                  <c:v>0.33000000000000185</c:v>
                </c:pt>
                <c:pt idx="26">
                  <c:v>0.32000000000000156</c:v>
                </c:pt>
                <c:pt idx="27">
                  <c:v>0.31000000000000139</c:v>
                </c:pt>
                <c:pt idx="28">
                  <c:v>0.31000000000000139</c:v>
                </c:pt>
                <c:pt idx="29">
                  <c:v>0.31000000000000139</c:v>
                </c:pt>
                <c:pt idx="30">
                  <c:v>0.31000000000000139</c:v>
                </c:pt>
                <c:pt idx="31">
                  <c:v>0.31000000000000139</c:v>
                </c:pt>
                <c:pt idx="32">
                  <c:v>0.30000000000000032</c:v>
                </c:pt>
                <c:pt idx="33">
                  <c:v>0.29000000000000031</c:v>
                </c:pt>
                <c:pt idx="34">
                  <c:v>0.29000000000000031</c:v>
                </c:pt>
                <c:pt idx="35">
                  <c:v>0.29000000000000031</c:v>
                </c:pt>
                <c:pt idx="36">
                  <c:v>0.29000000000000031</c:v>
                </c:pt>
                <c:pt idx="37">
                  <c:v>0.28000000000000008</c:v>
                </c:pt>
                <c:pt idx="38">
                  <c:v>0.29000000000000031</c:v>
                </c:pt>
                <c:pt idx="39">
                  <c:v>0.29000000000000031</c:v>
                </c:pt>
                <c:pt idx="40">
                  <c:v>0.29000000000000031</c:v>
                </c:pt>
                <c:pt idx="41">
                  <c:v>0.29000000000000031</c:v>
                </c:pt>
                <c:pt idx="42">
                  <c:v>0.29000000000000031</c:v>
                </c:pt>
                <c:pt idx="43">
                  <c:v>0.29000000000000031</c:v>
                </c:pt>
                <c:pt idx="44">
                  <c:v>0.29000000000000031</c:v>
                </c:pt>
                <c:pt idx="45">
                  <c:v>0.29000000000000031</c:v>
                </c:pt>
                <c:pt idx="46">
                  <c:v>0.29000000000000031</c:v>
                </c:pt>
                <c:pt idx="47">
                  <c:v>0.29000000000000031</c:v>
                </c:pt>
                <c:pt idx="48" formatCode="General">
                  <c:v>0.28000000000000008</c:v>
                </c:pt>
                <c:pt idx="49" formatCode="General">
                  <c:v>0.28000000000000008</c:v>
                </c:pt>
                <c:pt idx="50" formatCode="General">
                  <c:v>0.29000000000000031</c:v>
                </c:pt>
              </c:numCache>
            </c:numRef>
          </c:val>
        </c:ser>
        <c:ser>
          <c:idx val="2"/>
          <c:order val="2"/>
          <c:tx>
            <c:strRef>
              <c:f>'Měnové podmínky 1'!$E$5</c:f>
              <c:strCache>
                <c:ptCount val="1"/>
                <c:pt idx="0">
                  <c:v>PRIBOR (1Y)</c:v>
                </c:pt>
              </c:strCache>
            </c:strRef>
          </c:tx>
          <c:spPr>
            <a:ln w="19050">
              <a:solidFill>
                <a:srgbClr val="BD1B21"/>
              </a:solidFill>
            </a:ln>
          </c:spPr>
          <c:marker>
            <c:symbol val="none"/>
          </c:marker>
          <c:val>
            <c:numRef>
              <c:f>'Měnové podmínky 1'!$E$18:$E$68</c:f>
              <c:numCache>
                <c:formatCode>0.00</c:formatCode>
                <c:ptCount val="51"/>
                <c:pt idx="0">
                  <c:v>0.86000000000000065</c:v>
                </c:pt>
                <c:pt idx="1">
                  <c:v>0.83000000000000063</c:v>
                </c:pt>
                <c:pt idx="2">
                  <c:v>0.78</c:v>
                </c:pt>
                <c:pt idx="3">
                  <c:v>0.76000000000000312</c:v>
                </c:pt>
                <c:pt idx="4">
                  <c:v>0.76000000000000312</c:v>
                </c:pt>
                <c:pt idx="5">
                  <c:v>0.76000000000000312</c:v>
                </c:pt>
                <c:pt idx="6">
                  <c:v>0.75000000000000289</c:v>
                </c:pt>
                <c:pt idx="7">
                  <c:v>0.75000000000000289</c:v>
                </c:pt>
                <c:pt idx="8">
                  <c:v>0.74000000000000277</c:v>
                </c:pt>
                <c:pt idx="9">
                  <c:v>0.73000000000000065</c:v>
                </c:pt>
                <c:pt idx="10">
                  <c:v>0.65000000000000324</c:v>
                </c:pt>
                <c:pt idx="11">
                  <c:v>0.61000000000000065</c:v>
                </c:pt>
                <c:pt idx="12">
                  <c:v>0.58000000000000007</c:v>
                </c:pt>
                <c:pt idx="13">
                  <c:v>0.55000000000000004</c:v>
                </c:pt>
                <c:pt idx="14">
                  <c:v>0.55000000000000004</c:v>
                </c:pt>
                <c:pt idx="15">
                  <c:v>0.55000000000000004</c:v>
                </c:pt>
                <c:pt idx="16">
                  <c:v>0.54</c:v>
                </c:pt>
                <c:pt idx="17">
                  <c:v>0.53</c:v>
                </c:pt>
                <c:pt idx="18">
                  <c:v>0.52</c:v>
                </c:pt>
                <c:pt idx="19">
                  <c:v>0.52</c:v>
                </c:pt>
                <c:pt idx="20">
                  <c:v>0.52</c:v>
                </c:pt>
                <c:pt idx="21">
                  <c:v>0.52</c:v>
                </c:pt>
                <c:pt idx="22">
                  <c:v>0.51</c:v>
                </c:pt>
                <c:pt idx="23">
                  <c:v>0.51</c:v>
                </c:pt>
                <c:pt idx="24">
                  <c:v>0.51</c:v>
                </c:pt>
                <c:pt idx="25">
                  <c:v>0.51</c:v>
                </c:pt>
                <c:pt idx="26">
                  <c:v>0.49000000000000032</c:v>
                </c:pt>
                <c:pt idx="27">
                  <c:v>0.48000000000000032</c:v>
                </c:pt>
                <c:pt idx="28">
                  <c:v>0.48000000000000032</c:v>
                </c:pt>
                <c:pt idx="29">
                  <c:v>0.48000000000000032</c:v>
                </c:pt>
                <c:pt idx="30">
                  <c:v>0.48000000000000032</c:v>
                </c:pt>
                <c:pt idx="31">
                  <c:v>0.48000000000000032</c:v>
                </c:pt>
                <c:pt idx="32">
                  <c:v>0.47000000000000008</c:v>
                </c:pt>
                <c:pt idx="33">
                  <c:v>0.46</c:v>
                </c:pt>
                <c:pt idx="34">
                  <c:v>0.46</c:v>
                </c:pt>
                <c:pt idx="35">
                  <c:v>0.46</c:v>
                </c:pt>
                <c:pt idx="36">
                  <c:v>0.45</c:v>
                </c:pt>
                <c:pt idx="37">
                  <c:v>0.45</c:v>
                </c:pt>
                <c:pt idx="38">
                  <c:v>0.45</c:v>
                </c:pt>
                <c:pt idx="39">
                  <c:v>0.45</c:v>
                </c:pt>
                <c:pt idx="40">
                  <c:v>0.45</c:v>
                </c:pt>
                <c:pt idx="41">
                  <c:v>0.45</c:v>
                </c:pt>
                <c:pt idx="42">
                  <c:v>0.45</c:v>
                </c:pt>
                <c:pt idx="43">
                  <c:v>0.45</c:v>
                </c:pt>
                <c:pt idx="44">
                  <c:v>0.45</c:v>
                </c:pt>
                <c:pt idx="45">
                  <c:v>0.45</c:v>
                </c:pt>
                <c:pt idx="46">
                  <c:v>0.45</c:v>
                </c:pt>
                <c:pt idx="47">
                  <c:v>0.45</c:v>
                </c:pt>
                <c:pt idx="48" formatCode="General">
                  <c:v>0.44</c:v>
                </c:pt>
                <c:pt idx="49" formatCode="General">
                  <c:v>0.44</c:v>
                </c:pt>
                <c:pt idx="50" formatCode="General">
                  <c:v>0.45</c:v>
                </c:pt>
              </c:numCache>
            </c:numRef>
          </c:val>
        </c:ser>
        <c:ser>
          <c:idx val="3"/>
          <c:order val="3"/>
          <c:tx>
            <c:strRef>
              <c:f>'Měnové podmínky 1'!$F$5</c:f>
              <c:strCache>
                <c:ptCount val="1"/>
                <c:pt idx="0">
                  <c:v>Průměrný výnos státních dluhopisů (2Y)</c:v>
                </c:pt>
              </c:strCache>
            </c:strRef>
          </c:tx>
          <c:spPr>
            <a:ln w="19050">
              <a:solidFill>
                <a:srgbClr val="7DBB2D"/>
              </a:solidFill>
            </a:ln>
          </c:spPr>
          <c:marker>
            <c:symbol val="none"/>
          </c:marker>
          <c:val>
            <c:numRef>
              <c:f>'Měnové podmínky 1'!$F$18:$F$68</c:f>
              <c:numCache>
                <c:formatCode>0.00</c:formatCode>
                <c:ptCount val="51"/>
                <c:pt idx="0">
                  <c:v>0.30000000000000032</c:v>
                </c:pt>
                <c:pt idx="1">
                  <c:v>0.36000000000000032</c:v>
                </c:pt>
                <c:pt idx="2">
                  <c:v>0.31000000000000139</c:v>
                </c:pt>
                <c:pt idx="3">
                  <c:v>0.30000000000000032</c:v>
                </c:pt>
                <c:pt idx="4">
                  <c:v>0.29000000000000031</c:v>
                </c:pt>
                <c:pt idx="5">
                  <c:v>0.43000000000000038</c:v>
                </c:pt>
                <c:pt idx="6">
                  <c:v>0.41000000000000031</c:v>
                </c:pt>
                <c:pt idx="7">
                  <c:v>0.4</c:v>
                </c:pt>
                <c:pt idx="8">
                  <c:v>0.37000000000000038</c:v>
                </c:pt>
                <c:pt idx="9">
                  <c:v>0.33000000000000185</c:v>
                </c:pt>
                <c:pt idx="10">
                  <c:v>0.2</c:v>
                </c:pt>
                <c:pt idx="11">
                  <c:v>0.19</c:v>
                </c:pt>
                <c:pt idx="12">
                  <c:v>0.23</c:v>
                </c:pt>
                <c:pt idx="13">
                  <c:v>0.28000000000000008</c:v>
                </c:pt>
                <c:pt idx="14">
                  <c:v>0.26</c:v>
                </c:pt>
                <c:pt idx="15">
                  <c:v>0.23</c:v>
                </c:pt>
                <c:pt idx="16">
                  <c:v>0.21000000000000021</c:v>
                </c:pt>
                <c:pt idx="17">
                  <c:v>0.24000000000000021</c:v>
                </c:pt>
                <c:pt idx="18">
                  <c:v>0.23</c:v>
                </c:pt>
                <c:pt idx="19">
                  <c:v>0.18000000000000024</c:v>
                </c:pt>
                <c:pt idx="20">
                  <c:v>0.14000000000000001</c:v>
                </c:pt>
                <c:pt idx="21">
                  <c:v>0.1</c:v>
                </c:pt>
                <c:pt idx="22">
                  <c:v>0.12000000000000002</c:v>
                </c:pt>
                <c:pt idx="23">
                  <c:v>0.13</c:v>
                </c:pt>
                <c:pt idx="24">
                  <c:v>9.0000000000000024E-2</c:v>
                </c:pt>
                <c:pt idx="25">
                  <c:v>6.0000000000000032E-2</c:v>
                </c:pt>
                <c:pt idx="26">
                  <c:v>4.0000000000000022E-2</c:v>
                </c:pt>
                <c:pt idx="27">
                  <c:v>-3.0000000000000002E-2</c:v>
                </c:pt>
                <c:pt idx="28">
                  <c:v>4.0000000000000022E-2</c:v>
                </c:pt>
                <c:pt idx="29">
                  <c:v>0.11</c:v>
                </c:pt>
                <c:pt idx="30">
                  <c:v>2.0000000000000011E-2</c:v>
                </c:pt>
                <c:pt idx="31">
                  <c:v>-7.0000000000000021E-2</c:v>
                </c:pt>
                <c:pt idx="32">
                  <c:v>-0.30000000000000032</c:v>
                </c:pt>
                <c:pt idx="33">
                  <c:v>-0.28000000000000008</c:v>
                </c:pt>
                <c:pt idx="34">
                  <c:v>-0.33000000000000185</c:v>
                </c:pt>
                <c:pt idx="35">
                  <c:v>-0.38000000000000156</c:v>
                </c:pt>
                <c:pt idx="36" formatCode="General">
                  <c:v>-0.21000000000000021</c:v>
                </c:pt>
                <c:pt idx="37" formatCode="General">
                  <c:v>-0.18000000000000024</c:v>
                </c:pt>
                <c:pt idx="38" formatCode="General">
                  <c:v>-0.17</c:v>
                </c:pt>
                <c:pt idx="39" formatCode="General">
                  <c:v>-8.0000000000000043E-2</c:v>
                </c:pt>
                <c:pt idx="40" formatCode="General">
                  <c:v>-4.0000000000000022E-2</c:v>
                </c:pt>
                <c:pt idx="41" formatCode="General">
                  <c:v>-0.05</c:v>
                </c:pt>
                <c:pt idx="42" formatCode="General">
                  <c:v>-0.13</c:v>
                </c:pt>
                <c:pt idx="43" formatCode="General">
                  <c:v>-0.22</c:v>
                </c:pt>
                <c:pt idx="44" formatCode="General">
                  <c:v>-0.5</c:v>
                </c:pt>
                <c:pt idx="45" formatCode="General">
                  <c:v>-0.74000000000000277</c:v>
                </c:pt>
                <c:pt idx="46" formatCode="General">
                  <c:v>-0.73000000000000065</c:v>
                </c:pt>
                <c:pt idx="47" formatCode="General">
                  <c:v>-0.81</c:v>
                </c:pt>
                <c:pt idx="48" formatCode="General">
                  <c:v>-0.53</c:v>
                </c:pt>
                <c:pt idx="49" formatCode="General">
                  <c:v>-0.44</c:v>
                </c:pt>
                <c:pt idx="50" formatCode="General">
                  <c:v>-0.23</c:v>
                </c:pt>
              </c:numCache>
            </c:numRef>
          </c:val>
        </c:ser>
        <c:ser>
          <c:idx val="4"/>
          <c:order val="4"/>
          <c:tx>
            <c:strRef>
              <c:f>'Měnové podmínky 1'!$G$5</c:f>
              <c:strCache>
                <c:ptCount val="1"/>
                <c:pt idx="0">
                  <c:v>Průměrný výnos státních dluhopisů (5Y)</c:v>
                </c:pt>
              </c:strCache>
            </c:strRef>
          </c:tx>
          <c:spPr>
            <a:ln w="19050">
              <a:solidFill>
                <a:srgbClr val="F8A124"/>
              </a:solidFill>
            </a:ln>
          </c:spPr>
          <c:marker>
            <c:symbol val="none"/>
          </c:marker>
          <c:val>
            <c:numRef>
              <c:f>'Měnové podmínky 1'!$G$18:$G$68</c:f>
              <c:numCache>
                <c:formatCode>0.00</c:formatCode>
                <c:ptCount val="51"/>
                <c:pt idx="0">
                  <c:v>0.98</c:v>
                </c:pt>
                <c:pt idx="1">
                  <c:v>0.99</c:v>
                </c:pt>
                <c:pt idx="2">
                  <c:v>1.08</c:v>
                </c:pt>
                <c:pt idx="3">
                  <c:v>0.98</c:v>
                </c:pt>
                <c:pt idx="4">
                  <c:v>0.9</c:v>
                </c:pt>
                <c:pt idx="5">
                  <c:v>1.23</c:v>
                </c:pt>
                <c:pt idx="6">
                  <c:v>1.3900000000000001</c:v>
                </c:pt>
                <c:pt idx="7">
                  <c:v>1.3900000000000001</c:v>
                </c:pt>
                <c:pt idx="8">
                  <c:v>1.23</c:v>
                </c:pt>
                <c:pt idx="9">
                  <c:v>1.25</c:v>
                </c:pt>
                <c:pt idx="10">
                  <c:v>1.03</c:v>
                </c:pt>
                <c:pt idx="11">
                  <c:v>0.97000000000000064</c:v>
                </c:pt>
                <c:pt idx="12">
                  <c:v>1.0900000000000001</c:v>
                </c:pt>
                <c:pt idx="13">
                  <c:v>1.2</c:v>
                </c:pt>
                <c:pt idx="14">
                  <c:v>1.1399999999999937</c:v>
                </c:pt>
                <c:pt idx="15">
                  <c:v>0.99</c:v>
                </c:pt>
                <c:pt idx="16">
                  <c:v>0.8</c:v>
                </c:pt>
                <c:pt idx="17">
                  <c:v>0.68</c:v>
                </c:pt>
                <c:pt idx="18">
                  <c:v>0.65000000000000324</c:v>
                </c:pt>
                <c:pt idx="19">
                  <c:v>0.62000000000000277</c:v>
                </c:pt>
                <c:pt idx="20">
                  <c:v>0.51</c:v>
                </c:pt>
                <c:pt idx="21">
                  <c:v>0.37000000000000038</c:v>
                </c:pt>
                <c:pt idx="22">
                  <c:v>0.24000000000000021</c:v>
                </c:pt>
                <c:pt idx="23">
                  <c:v>0.22</c:v>
                </c:pt>
                <c:pt idx="24">
                  <c:v>0.13</c:v>
                </c:pt>
                <c:pt idx="25">
                  <c:v>0.17</c:v>
                </c:pt>
                <c:pt idx="26">
                  <c:v>0.14000000000000001</c:v>
                </c:pt>
                <c:pt idx="27">
                  <c:v>0.05</c:v>
                </c:pt>
                <c:pt idx="28">
                  <c:v>0.22</c:v>
                </c:pt>
                <c:pt idx="29">
                  <c:v>0.43000000000000038</c:v>
                </c:pt>
                <c:pt idx="30">
                  <c:v>0.35000000000000031</c:v>
                </c:pt>
                <c:pt idx="31">
                  <c:v>0.2</c:v>
                </c:pt>
                <c:pt idx="32">
                  <c:v>6.0000000000000032E-2</c:v>
                </c:pt>
                <c:pt idx="33">
                  <c:v>-0.05</c:v>
                </c:pt>
                <c:pt idx="34">
                  <c:v>-0.05</c:v>
                </c:pt>
                <c:pt idx="35">
                  <c:v>-0.11</c:v>
                </c:pt>
                <c:pt idx="36" formatCode="General">
                  <c:v>4.0000000000000022E-2</c:v>
                </c:pt>
                <c:pt idx="37" formatCode="General">
                  <c:v>-8.0000000000000043E-2</c:v>
                </c:pt>
                <c:pt idx="38" formatCode="General">
                  <c:v>-0.1</c:v>
                </c:pt>
                <c:pt idx="39" formatCode="General">
                  <c:v>4.0000000000000022E-2</c:v>
                </c:pt>
                <c:pt idx="40" formatCode="General">
                  <c:v>7.0000000000000021E-2</c:v>
                </c:pt>
                <c:pt idx="41" formatCode="General">
                  <c:v>0.05</c:v>
                </c:pt>
                <c:pt idx="42" formatCode="General">
                  <c:v>-2.0000000000000011E-2</c:v>
                </c:pt>
                <c:pt idx="43" formatCode="General">
                  <c:v>-9.0000000000000024E-2</c:v>
                </c:pt>
                <c:pt idx="44" formatCode="General">
                  <c:v>-0.19</c:v>
                </c:pt>
                <c:pt idx="45" formatCode="General">
                  <c:v>-0.17</c:v>
                </c:pt>
                <c:pt idx="46" formatCode="General">
                  <c:v>-0.17</c:v>
                </c:pt>
                <c:pt idx="47" formatCode="General">
                  <c:v>-0.21000000000000021</c:v>
                </c:pt>
                <c:pt idx="48" formatCode="General">
                  <c:v>9.0000000000000024E-2</c:v>
                </c:pt>
                <c:pt idx="49" formatCode="General">
                  <c:v>0.1</c:v>
                </c:pt>
                <c:pt idx="50" formatCode="General">
                  <c:v>0.16</c:v>
                </c:pt>
              </c:numCache>
            </c:numRef>
          </c:val>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val>
            <c:numRef>
              <c:f>'Měnové podmínky 1'!$H$18:$H$68</c:f>
              <c:numCache>
                <c:formatCode>0.00</c:formatCode>
                <c:ptCount val="51"/>
                <c:pt idx="0">
                  <c:v>1.9600000000000055</c:v>
                </c:pt>
                <c:pt idx="1">
                  <c:v>2.0099999999999998</c:v>
                </c:pt>
                <c:pt idx="2">
                  <c:v>1.9800000000000062</c:v>
                </c:pt>
                <c:pt idx="3">
                  <c:v>1.82</c:v>
                </c:pt>
                <c:pt idx="4">
                  <c:v>1.6700000000000021</c:v>
                </c:pt>
                <c:pt idx="5">
                  <c:v>2.14</c:v>
                </c:pt>
                <c:pt idx="6">
                  <c:v>2.23</c:v>
                </c:pt>
                <c:pt idx="7">
                  <c:v>2.4</c:v>
                </c:pt>
                <c:pt idx="8">
                  <c:v>2.42</c:v>
                </c:pt>
                <c:pt idx="9">
                  <c:v>2.3299999999999987</c:v>
                </c:pt>
                <c:pt idx="10">
                  <c:v>2.1800000000000002</c:v>
                </c:pt>
                <c:pt idx="11">
                  <c:v>2.2000000000000002</c:v>
                </c:pt>
                <c:pt idx="12">
                  <c:v>2.4299999999999997</c:v>
                </c:pt>
                <c:pt idx="13">
                  <c:v>2.2799999999999998</c:v>
                </c:pt>
                <c:pt idx="14">
                  <c:v>2.2000000000000002</c:v>
                </c:pt>
                <c:pt idx="15">
                  <c:v>2</c:v>
                </c:pt>
                <c:pt idx="16">
                  <c:v>1.73</c:v>
                </c:pt>
                <c:pt idx="17">
                  <c:v>1.55</c:v>
                </c:pt>
                <c:pt idx="18">
                  <c:v>1.49</c:v>
                </c:pt>
                <c:pt idx="19">
                  <c:v>1.3800000000000001</c:v>
                </c:pt>
                <c:pt idx="20">
                  <c:v>1.21</c:v>
                </c:pt>
                <c:pt idx="21">
                  <c:v>1.1000000000000001</c:v>
                </c:pt>
                <c:pt idx="22">
                  <c:v>0.87000000000000277</c:v>
                </c:pt>
                <c:pt idx="23">
                  <c:v>0.6700000000000037</c:v>
                </c:pt>
                <c:pt idx="24">
                  <c:v>0.35000000000000031</c:v>
                </c:pt>
                <c:pt idx="25">
                  <c:v>0.4</c:v>
                </c:pt>
                <c:pt idx="26">
                  <c:v>0.35000000000000031</c:v>
                </c:pt>
                <c:pt idx="27">
                  <c:v>0.26</c:v>
                </c:pt>
                <c:pt idx="28">
                  <c:v>0.60000000000000064</c:v>
                </c:pt>
                <c:pt idx="29">
                  <c:v>1.01</c:v>
                </c:pt>
                <c:pt idx="30">
                  <c:v>0.97000000000000064</c:v>
                </c:pt>
                <c:pt idx="31">
                  <c:v>0.74000000000000277</c:v>
                </c:pt>
                <c:pt idx="32">
                  <c:v>0.68</c:v>
                </c:pt>
                <c:pt idx="33">
                  <c:v>0.56000000000000005</c:v>
                </c:pt>
                <c:pt idx="34">
                  <c:v>0.49000000000000032</c:v>
                </c:pt>
                <c:pt idx="35">
                  <c:v>0.49000000000000032</c:v>
                </c:pt>
                <c:pt idx="36" formatCode="General">
                  <c:v>0.62000000000000277</c:v>
                </c:pt>
                <c:pt idx="37" formatCode="General">
                  <c:v>0.46</c:v>
                </c:pt>
                <c:pt idx="38" formatCode="General">
                  <c:v>0.35000000000000031</c:v>
                </c:pt>
                <c:pt idx="39" formatCode="General">
                  <c:v>0.43000000000000038</c:v>
                </c:pt>
                <c:pt idx="40" formatCode="General">
                  <c:v>0.46</c:v>
                </c:pt>
                <c:pt idx="41" formatCode="General">
                  <c:v>0.45</c:v>
                </c:pt>
                <c:pt idx="42" formatCode="General">
                  <c:v>0.37000000000000038</c:v>
                </c:pt>
                <c:pt idx="43" formatCode="General">
                  <c:v>0.29000000000000031</c:v>
                </c:pt>
                <c:pt idx="44" formatCode="General">
                  <c:v>0.25</c:v>
                </c:pt>
                <c:pt idx="45" formatCode="General">
                  <c:v>0.37000000000000038</c:v>
                </c:pt>
                <c:pt idx="46" formatCode="General">
                  <c:v>0.55000000000000004</c:v>
                </c:pt>
                <c:pt idx="47" formatCode="General">
                  <c:v>0.53</c:v>
                </c:pt>
                <c:pt idx="48" formatCode="General">
                  <c:v>0.63000000000000311</c:v>
                </c:pt>
                <c:pt idx="49" formatCode="General">
                  <c:v>0.87000000000000277</c:v>
                </c:pt>
                <c:pt idx="50" formatCode="General">
                  <c:v>0.96000000000000063</c:v>
                </c:pt>
              </c:numCache>
            </c:numRef>
          </c:val>
        </c:ser>
        <c:marker val="1"/>
        <c:axId val="124903424"/>
        <c:axId val="124904960"/>
      </c:lineChart>
      <c:catAx>
        <c:axId val="124903424"/>
        <c:scaling>
          <c:orientation val="minMax"/>
        </c:scaling>
        <c:axPos val="b"/>
        <c:tickLblPos val="low"/>
        <c:spPr>
          <a:ln>
            <a:solidFill>
              <a:schemeClr val="tx1"/>
            </a:solidFill>
          </a:ln>
        </c:spPr>
        <c:crossAx val="124904960"/>
        <c:crosses val="autoZero"/>
        <c:auto val="1"/>
        <c:lblAlgn val="ctr"/>
        <c:lblOffset val="100"/>
      </c:catAx>
      <c:valAx>
        <c:axId val="124904960"/>
        <c:scaling>
          <c:orientation val="minMax"/>
          <c:min val="-1"/>
        </c:scaling>
        <c:axPos val="l"/>
        <c:majorGridlines>
          <c:spPr>
            <a:ln w="6350">
              <a:solidFill>
                <a:schemeClr val="bg1">
                  <a:lumMod val="75000"/>
                </a:schemeClr>
              </a:solidFill>
            </a:ln>
          </c:spPr>
        </c:majorGridlines>
        <c:numFmt formatCode="0" sourceLinked="0"/>
        <c:tickLblPos val="nextTo"/>
        <c:spPr>
          <a:ln>
            <a:solidFill>
              <a:schemeClr val="tx1"/>
            </a:solidFill>
          </a:ln>
        </c:spPr>
        <c:crossAx val="124903424"/>
        <c:crosses val="autoZero"/>
        <c:crossBetween val="between"/>
        <c:majorUnit val="1"/>
      </c:valAx>
      <c:spPr>
        <a:ln>
          <a:solidFill>
            <a:schemeClr val="tx1"/>
          </a:solidFill>
        </a:ln>
      </c:spPr>
    </c:plotArea>
    <c:legend>
      <c:legendPos val="b"/>
      <c:layout>
        <c:manualLayout>
          <c:xMode val="edge"/>
          <c:yMode val="edge"/>
          <c:x val="4.2139690982776465E-2"/>
          <c:y val="0.87558269120103249"/>
          <c:w val="0.93886651469098281"/>
          <c:h val="0.1101570592445996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5577477727787412E-2"/>
          <c:y val="1.7107238390107405E-2"/>
          <c:w val="0.90191712370542332"/>
          <c:h val="0.80441995947315093"/>
        </c:manualLayout>
      </c:layout>
      <c:barChart>
        <c:barDir val="col"/>
        <c:grouping val="clustered"/>
        <c:ser>
          <c:idx val="4"/>
          <c:order val="4"/>
          <c:tx>
            <c:strRef>
              <c:f>'Státní rozpočet 1'!$A$37</c:f>
              <c:strCache>
                <c:ptCount val="1"/>
                <c:pt idx="0">
                  <c:v>Saldo státního rozpočtu (pravá osa)</c:v>
                </c:pt>
              </c:strCache>
            </c:strRef>
          </c:tx>
          <c:spPr>
            <a:solidFill>
              <a:srgbClr val="BFBFBF"/>
            </a:solidFill>
          </c:spPr>
          <c:cat>
            <c:numRef>
              <c:f>'Státní rozpočet 1'!$B$32:$N$32</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1'!$B$37:$N$37</c:f>
              <c:numCache>
                <c:formatCode>#,##0.0</c:formatCode>
                <c:ptCount val="13"/>
                <c:pt idx="0">
                  <c:v>8.25</c:v>
                </c:pt>
                <c:pt idx="1">
                  <c:v>15.75</c:v>
                </c:pt>
                <c:pt idx="2">
                  <c:v>11.26</c:v>
                </c:pt>
                <c:pt idx="3">
                  <c:v>-13.347</c:v>
                </c:pt>
                <c:pt idx="4">
                  <c:v>-2.3459999999999988</c:v>
                </c:pt>
                <c:pt idx="5">
                  <c:v>-45.942</c:v>
                </c:pt>
                <c:pt idx="6">
                  <c:v>-25.202000000000002</c:v>
                </c:pt>
                <c:pt idx="7">
                  <c:v>-22.69</c:v>
                </c:pt>
                <c:pt idx="8">
                  <c:v>13.97</c:v>
                </c:pt>
                <c:pt idx="9">
                  <c:v>43.59</c:v>
                </c:pt>
                <c:pt idx="10">
                  <c:v>19.91</c:v>
                </c:pt>
                <c:pt idx="11">
                  <c:v>43.6</c:v>
                </c:pt>
                <c:pt idx="12">
                  <c:v>4.68</c:v>
                </c:pt>
              </c:numCache>
            </c:numRef>
          </c:val>
        </c:ser>
        <c:gapWidth val="43"/>
        <c:axId val="124958592"/>
        <c:axId val="124957056"/>
      </c:barChart>
      <c:lineChart>
        <c:grouping val="standard"/>
        <c:ser>
          <c:idx val="0"/>
          <c:order val="0"/>
          <c:tx>
            <c:strRef>
              <c:f>'Státní rozpočet 1'!$A$33</c:f>
              <c:strCache>
                <c:ptCount val="1"/>
                <c:pt idx="0">
                  <c:v>DPH</c:v>
                </c:pt>
              </c:strCache>
            </c:strRef>
          </c:tx>
          <c:spPr>
            <a:ln w="19050">
              <a:solidFill>
                <a:srgbClr val="BD1B21"/>
              </a:solidFill>
            </a:ln>
          </c:spPr>
          <c:marker>
            <c:symbol val="none"/>
          </c:marker>
          <c:cat>
            <c:numRef>
              <c:f>'Státní rozpočet 1'!$B$32:$N$32</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1'!$B$33:$N$33</c:f>
              <c:numCache>
                <c:formatCode>0.0</c:formatCode>
                <c:ptCount val="13"/>
                <c:pt idx="0">
                  <c:v>-5.6</c:v>
                </c:pt>
                <c:pt idx="1">
                  <c:v>27.9</c:v>
                </c:pt>
                <c:pt idx="2">
                  <c:v>4.2</c:v>
                </c:pt>
                <c:pt idx="3">
                  <c:v>4.3689320388349362</c:v>
                </c:pt>
                <c:pt idx="4">
                  <c:v>-6.4254952627045565</c:v>
                </c:pt>
                <c:pt idx="5">
                  <c:v>11.616347569955821</c:v>
                </c:pt>
                <c:pt idx="6">
                  <c:v>-6.6138875144318066</c:v>
                </c:pt>
                <c:pt idx="7">
                  <c:v>3.2144118685976899</c:v>
                </c:pt>
                <c:pt idx="8">
                  <c:v>25.496235455167689</c:v>
                </c:pt>
                <c:pt idx="9">
                  <c:v>15.121352604308711</c:v>
                </c:pt>
                <c:pt idx="10">
                  <c:v>-14.307710529432686</c:v>
                </c:pt>
                <c:pt idx="11">
                  <c:v>4.1879751209398677</c:v>
                </c:pt>
                <c:pt idx="12">
                  <c:v>8.6229769169541015</c:v>
                </c:pt>
              </c:numCache>
            </c:numRef>
          </c:val>
        </c:ser>
        <c:ser>
          <c:idx val="1"/>
          <c:order val="1"/>
          <c:tx>
            <c:strRef>
              <c:f>'Státní rozpočet 1'!$A$34</c:f>
              <c:strCache>
                <c:ptCount val="1"/>
                <c:pt idx="0">
                  <c:v>Spotřební daň</c:v>
                </c:pt>
              </c:strCache>
            </c:strRef>
          </c:tx>
          <c:spPr>
            <a:ln w="19050">
              <a:noFill/>
              <a:prstDash val="solid"/>
            </a:ln>
          </c:spPr>
          <c:marker>
            <c:symbol val="diamond"/>
            <c:size val="5"/>
            <c:spPr>
              <a:solidFill>
                <a:schemeClr val="tx1">
                  <a:lumMod val="95000"/>
                  <a:lumOff val="5000"/>
                </a:schemeClr>
              </a:solidFill>
              <a:ln>
                <a:noFill/>
              </a:ln>
            </c:spPr>
          </c:marker>
          <c:cat>
            <c:numRef>
              <c:f>'Státní rozpočet 1'!$B$32:$N$32</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1'!$B$34:$N$34</c:f>
              <c:numCache>
                <c:formatCode>0.0</c:formatCode>
                <c:ptCount val="13"/>
                <c:pt idx="0">
                  <c:v>19.899999999999999</c:v>
                </c:pt>
                <c:pt idx="1">
                  <c:v>5</c:v>
                </c:pt>
                <c:pt idx="2">
                  <c:v>4.3</c:v>
                </c:pt>
                <c:pt idx="3">
                  <c:v>-0.9807023093957502</c:v>
                </c:pt>
                <c:pt idx="4">
                  <c:v>-13.322683706070302</c:v>
                </c:pt>
                <c:pt idx="5">
                  <c:v>28.603022484334673</c:v>
                </c:pt>
                <c:pt idx="6">
                  <c:v>-3.6113499570077332</c:v>
                </c:pt>
                <c:pt idx="7">
                  <c:v>9.5450490633363074</c:v>
                </c:pt>
                <c:pt idx="8">
                  <c:v>9.9077090119435525</c:v>
                </c:pt>
                <c:pt idx="9">
                  <c:v>13.879970363052593</c:v>
                </c:pt>
                <c:pt idx="10">
                  <c:v>-27.998265018434193</c:v>
                </c:pt>
                <c:pt idx="11">
                  <c:v>8.162650602409661</c:v>
                </c:pt>
                <c:pt idx="12">
                  <c:v>2.339181286549703</c:v>
                </c:pt>
              </c:numCache>
            </c:numRef>
          </c:val>
        </c:ser>
        <c:ser>
          <c:idx val="3"/>
          <c:order val="2"/>
          <c:tx>
            <c:strRef>
              <c:f>'Státní rozpočet 1'!$A$35</c:f>
              <c:strCache>
                <c:ptCount val="1"/>
                <c:pt idx="0">
                  <c:v>Daně z příjmů právnických osob</c:v>
                </c:pt>
              </c:strCache>
            </c:strRef>
          </c:tx>
          <c:spPr>
            <a:ln w="19050">
              <a:solidFill>
                <a:srgbClr val="0071BC"/>
              </a:solidFill>
              <a:prstDash val="solid"/>
            </a:ln>
          </c:spPr>
          <c:marker>
            <c:symbol val="none"/>
          </c:marker>
          <c:cat>
            <c:numRef>
              <c:f>'Státní rozpočet 1'!$B$32:$N$32</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1'!$B$35:$N$35</c:f>
              <c:numCache>
                <c:formatCode>0.0</c:formatCode>
                <c:ptCount val="13"/>
                <c:pt idx="0">
                  <c:v>17.3</c:v>
                </c:pt>
                <c:pt idx="1">
                  <c:v>18.100000000000001</c:v>
                </c:pt>
                <c:pt idx="2">
                  <c:v>2.1</c:v>
                </c:pt>
                <c:pt idx="3">
                  <c:v>18.382591750568302</c:v>
                </c:pt>
                <c:pt idx="4">
                  <c:v>-14.074074074074073</c:v>
                </c:pt>
                <c:pt idx="5">
                  <c:v>-3.1928480204342587E-2</c:v>
                </c:pt>
                <c:pt idx="6">
                  <c:v>-8.6234429894602567</c:v>
                </c:pt>
                <c:pt idx="7">
                  <c:v>-0.66410346032855061</c:v>
                </c:pt>
                <c:pt idx="8">
                  <c:v>-0.49261083743842032</c:v>
                </c:pt>
                <c:pt idx="9">
                  <c:v>2.5813295615276095</c:v>
                </c:pt>
                <c:pt idx="10">
                  <c:v>7.2388831437435446</c:v>
                </c:pt>
                <c:pt idx="11">
                  <c:v>12.600450016072022</c:v>
                </c:pt>
                <c:pt idx="12">
                  <c:v>10.248358549814366</c:v>
                </c:pt>
              </c:numCache>
            </c:numRef>
          </c:val>
        </c:ser>
        <c:ser>
          <c:idx val="2"/>
          <c:order val="3"/>
          <c:tx>
            <c:strRef>
              <c:f>'Státní rozpočet 1'!$A$36</c:f>
              <c:strCache>
                <c:ptCount val="1"/>
                <c:pt idx="0">
                  <c:v>Daně z příjmů FO ze závislé činnosti</c:v>
                </c:pt>
              </c:strCache>
            </c:strRef>
          </c:tx>
          <c:spPr>
            <a:ln w="19050"/>
          </c:spPr>
          <c:marker>
            <c:symbol val="none"/>
          </c:marker>
          <c:cat>
            <c:numRef>
              <c:f>'Státní rozpočet 1'!$B$32:$N$32</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1'!$B$36:$N$36</c:f>
              <c:numCache>
                <c:formatCode>0.0</c:formatCode>
                <c:ptCount val="13"/>
                <c:pt idx="0">
                  <c:v>6.9</c:v>
                </c:pt>
                <c:pt idx="1">
                  <c:v>4</c:v>
                </c:pt>
                <c:pt idx="2">
                  <c:v>9.1</c:v>
                </c:pt>
                <c:pt idx="3">
                  <c:v>1.2636612021857665</c:v>
                </c:pt>
                <c:pt idx="4">
                  <c:v>-4.5531197301854798</c:v>
                </c:pt>
                <c:pt idx="5">
                  <c:v>-1.7314487632508815</c:v>
                </c:pt>
                <c:pt idx="6">
                  <c:v>3.8475368572455997</c:v>
                </c:pt>
                <c:pt idx="7">
                  <c:v>3.8781163434903192</c:v>
                </c:pt>
                <c:pt idx="8">
                  <c:v>4.5000000000000142</c:v>
                </c:pt>
                <c:pt idx="9">
                  <c:v>0.76555023923444365</c:v>
                </c:pt>
                <c:pt idx="10">
                  <c:v>1.7727128838239861</c:v>
                </c:pt>
                <c:pt idx="11">
                  <c:v>8.2426127527216249</c:v>
                </c:pt>
                <c:pt idx="12">
                  <c:v>10.287356321839098</c:v>
                </c:pt>
              </c:numCache>
            </c:numRef>
          </c:val>
        </c:ser>
        <c:marker val="1"/>
        <c:axId val="124945536"/>
        <c:axId val="124947072"/>
      </c:lineChart>
      <c:catAx>
        <c:axId val="124945536"/>
        <c:scaling>
          <c:orientation val="minMax"/>
        </c:scaling>
        <c:axPos val="b"/>
        <c:numFmt formatCode="General" sourceLinked="1"/>
        <c:tickLblPos val="low"/>
        <c:spPr>
          <a:ln>
            <a:solidFill>
              <a:schemeClr val="tx1"/>
            </a:solidFill>
          </a:ln>
        </c:spPr>
        <c:crossAx val="124947072"/>
        <c:crosses val="autoZero"/>
        <c:auto val="1"/>
        <c:lblAlgn val="ctr"/>
        <c:lblOffset val="0"/>
      </c:catAx>
      <c:valAx>
        <c:axId val="124947072"/>
        <c:scaling>
          <c:orientation val="minMax"/>
          <c:max val="30"/>
          <c:min val="-30"/>
        </c:scaling>
        <c:axPos val="l"/>
        <c:majorGridlines>
          <c:spPr>
            <a:ln w="6350">
              <a:solidFill>
                <a:schemeClr val="bg1">
                  <a:lumMod val="75000"/>
                </a:schemeClr>
              </a:solidFill>
            </a:ln>
          </c:spPr>
        </c:majorGridlines>
        <c:numFmt formatCode="0" sourceLinked="0"/>
        <c:tickLblPos val="nextTo"/>
        <c:spPr>
          <a:ln>
            <a:solidFill>
              <a:schemeClr val="tx1"/>
            </a:solidFill>
          </a:ln>
        </c:spPr>
        <c:crossAx val="124945536"/>
        <c:crosses val="autoZero"/>
        <c:crossBetween val="between"/>
        <c:majorUnit val="5"/>
      </c:valAx>
      <c:valAx>
        <c:axId val="124957056"/>
        <c:scaling>
          <c:orientation val="minMax"/>
          <c:max val="60"/>
          <c:min val="-60"/>
        </c:scaling>
        <c:axPos val="r"/>
        <c:numFmt formatCode="#,##0" sourceLinked="0"/>
        <c:tickLblPos val="nextTo"/>
        <c:crossAx val="124958592"/>
        <c:crosses val="max"/>
        <c:crossBetween val="between"/>
        <c:majorUnit val="10"/>
      </c:valAx>
      <c:catAx>
        <c:axId val="124958592"/>
        <c:scaling>
          <c:orientation val="minMax"/>
        </c:scaling>
        <c:delete val="1"/>
        <c:axPos val="b"/>
        <c:numFmt formatCode="General" sourceLinked="1"/>
        <c:tickLblPos val="none"/>
        <c:crossAx val="124957056"/>
        <c:crosses val="autoZero"/>
        <c:auto val="1"/>
        <c:lblAlgn val="ctr"/>
        <c:lblOffset val="100"/>
      </c:catAx>
      <c:spPr>
        <a:ln>
          <a:solidFill>
            <a:schemeClr val="tx1"/>
          </a:solidFill>
        </a:ln>
      </c:spPr>
    </c:plotArea>
    <c:legend>
      <c:legendPos val="b"/>
      <c:layout>
        <c:manualLayout>
          <c:xMode val="edge"/>
          <c:yMode val="edge"/>
          <c:x val="5.1890408645727804E-2"/>
          <c:y val="0.87244427558257798"/>
          <c:w val="0.89314342209894193"/>
          <c:h val="0.1132587526736463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398E-2"/>
          <c:w val="0.87770649039240889"/>
          <c:h val="0.76009512552065761"/>
        </c:manualLayout>
      </c:layout>
      <c:barChart>
        <c:barDir val="col"/>
        <c:grouping val="clustered"/>
        <c:ser>
          <c:idx val="0"/>
          <c:order val="0"/>
          <c:tx>
            <c:strRef>
              <c:f>'souhrnná výkonnost 2'!$C$5</c:f>
              <c:strCache>
                <c:ptCount val="1"/>
                <c:pt idx="0">
                  <c:v>HDP (pravá osa)</c:v>
                </c:pt>
              </c:strCache>
            </c:strRef>
          </c:tx>
          <c:spPr>
            <a:solidFill>
              <a:schemeClr val="bg1">
                <a:lumMod val="65000"/>
              </a:schemeClr>
            </a:solidFill>
            <a:ln>
              <a:noFill/>
            </a:ln>
          </c:spPr>
          <c:val>
            <c:numRef>
              <c:f>'souhrnná výkonnost 2'!$C$18:$C$68</c:f>
              <c:numCache>
                <c:formatCode>0.0</c:formatCode>
                <c:ptCount val="51"/>
                <c:pt idx="0">
                  <c:v>-1.8</c:v>
                </c:pt>
                <c:pt idx="1">
                  <c:v>-1.8</c:v>
                </c:pt>
                <c:pt idx="2">
                  <c:v>-1.8</c:v>
                </c:pt>
                <c:pt idx="3">
                  <c:v>-1.1000000000000001</c:v>
                </c:pt>
                <c:pt idx="4">
                  <c:v>-1.1000000000000001</c:v>
                </c:pt>
                <c:pt idx="5">
                  <c:v>-1.1000000000000001</c:v>
                </c:pt>
                <c:pt idx="6">
                  <c:v>-0.27686934380389538</c:v>
                </c:pt>
                <c:pt idx="7">
                  <c:v>-0.27686934380389538</c:v>
                </c:pt>
                <c:pt idx="8">
                  <c:v>-0.27686934380389538</c:v>
                </c:pt>
                <c:pt idx="9">
                  <c:v>1.3</c:v>
                </c:pt>
                <c:pt idx="10">
                  <c:v>1.3</c:v>
                </c:pt>
                <c:pt idx="11">
                  <c:v>1.3</c:v>
                </c:pt>
                <c:pt idx="12">
                  <c:v>1.9000000000000001</c:v>
                </c:pt>
                <c:pt idx="13">
                  <c:v>1.9000000000000001</c:v>
                </c:pt>
                <c:pt idx="14">
                  <c:v>1.9000000000000001</c:v>
                </c:pt>
                <c:pt idx="15">
                  <c:v>2.6</c:v>
                </c:pt>
                <c:pt idx="16">
                  <c:v>2.6</c:v>
                </c:pt>
                <c:pt idx="17">
                  <c:v>2.6</c:v>
                </c:pt>
                <c:pt idx="18">
                  <c:v>3.4</c:v>
                </c:pt>
                <c:pt idx="19">
                  <c:v>3.4</c:v>
                </c:pt>
                <c:pt idx="20">
                  <c:v>3.4</c:v>
                </c:pt>
                <c:pt idx="21">
                  <c:v>3</c:v>
                </c:pt>
                <c:pt idx="22">
                  <c:v>3</c:v>
                </c:pt>
                <c:pt idx="23">
                  <c:v>3</c:v>
                </c:pt>
                <c:pt idx="24">
                  <c:v>4.5999999999999996</c:v>
                </c:pt>
                <c:pt idx="25">
                  <c:v>4.5999999999999996</c:v>
                </c:pt>
                <c:pt idx="26">
                  <c:v>4.5999999999999996</c:v>
                </c:pt>
                <c:pt idx="27">
                  <c:v>5</c:v>
                </c:pt>
                <c:pt idx="28">
                  <c:v>5</c:v>
                </c:pt>
                <c:pt idx="29">
                  <c:v>5</c:v>
                </c:pt>
                <c:pt idx="30">
                  <c:v>4.8</c:v>
                </c:pt>
                <c:pt idx="31">
                  <c:v>4.8</c:v>
                </c:pt>
                <c:pt idx="32">
                  <c:v>4.8</c:v>
                </c:pt>
                <c:pt idx="33">
                  <c:v>4.0041137240462445</c:v>
                </c:pt>
                <c:pt idx="34">
                  <c:v>4.0041137240462445</c:v>
                </c:pt>
                <c:pt idx="35">
                  <c:v>4.0041137240462445</c:v>
                </c:pt>
                <c:pt idx="36">
                  <c:v>2.9952314567299112</c:v>
                </c:pt>
                <c:pt idx="37">
                  <c:v>2.9952314567299112</c:v>
                </c:pt>
                <c:pt idx="38">
                  <c:v>2.9952314567299112</c:v>
                </c:pt>
                <c:pt idx="39">
                  <c:v>2.6</c:v>
                </c:pt>
                <c:pt idx="40">
                  <c:v>2.6</c:v>
                </c:pt>
                <c:pt idx="41" formatCode="General">
                  <c:v>2.6</c:v>
                </c:pt>
                <c:pt idx="42" formatCode="General">
                  <c:v>1.8</c:v>
                </c:pt>
                <c:pt idx="43" formatCode="General">
                  <c:v>1.8</c:v>
                </c:pt>
                <c:pt idx="44" formatCode="General">
                  <c:v>1.8</c:v>
                </c:pt>
                <c:pt idx="45" formatCode="General">
                  <c:v>1.9000000000000001</c:v>
                </c:pt>
                <c:pt idx="46" formatCode="General">
                  <c:v>1.9000000000000001</c:v>
                </c:pt>
                <c:pt idx="47" formatCode="General">
                  <c:v>1.9000000000000001</c:v>
                </c:pt>
                <c:pt idx="48" formatCode="General">
                  <c:v>2.9</c:v>
                </c:pt>
                <c:pt idx="49" formatCode="General">
                  <c:v>2.9</c:v>
                </c:pt>
                <c:pt idx="50" formatCode="General">
                  <c:v>2.9</c:v>
                </c:pt>
              </c:numCache>
            </c:numRef>
          </c:val>
        </c:ser>
        <c:gapWidth val="0"/>
        <c:axId val="123914112"/>
        <c:axId val="123912576"/>
      </c:barChart>
      <c:lineChart>
        <c:grouping val="standard"/>
        <c:ser>
          <c:idx val="3"/>
          <c:order val="1"/>
          <c:tx>
            <c:strRef>
              <c:f>'souhrnná výkonnost 2'!$D$5</c:f>
              <c:strCache>
                <c:ptCount val="1"/>
                <c:pt idx="0">
                  <c:v>Důvěra podnikatelů</c:v>
                </c:pt>
              </c:strCache>
            </c:strRef>
          </c:tx>
          <c:spPr>
            <a:ln w="19050">
              <a:solidFill>
                <a:srgbClr val="0071BC"/>
              </a:solidFill>
            </a:ln>
          </c:spPr>
          <c:marker>
            <c:symbol val="none"/>
          </c:marker>
          <c:cat>
            <c:multiLvlStrRef>
              <c:f>'souhrnná výkonnost 2'!$A$18:$B$68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'souhrnná výkonnost 2'!$D$18:$D$68</c:f>
              <c:numCache>
                <c:formatCode>###,###,##0.0</c:formatCode>
                <c:ptCount val="51"/>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General">
                  <c:v>97</c:v>
                </c:pt>
                <c:pt idx="49" formatCode="General">
                  <c:v>95.9</c:v>
                </c:pt>
                <c:pt idx="50" formatCode="General">
                  <c:v>94.1</c:v>
                </c:pt>
              </c:numCache>
            </c:numRef>
          </c:val>
        </c:ser>
        <c:ser>
          <c:idx val="2"/>
          <c:order val="2"/>
          <c:tx>
            <c:strRef>
              <c:f>'souhrnná výkonnost 2'!$E$5</c:f>
              <c:strCache>
                <c:ptCount val="1"/>
                <c:pt idx="0">
                  <c:v>Důvěra spotřebitelů</c:v>
                </c:pt>
              </c:strCache>
            </c:strRef>
          </c:tx>
          <c:spPr>
            <a:ln w="19050">
              <a:solidFill>
                <a:srgbClr val="BD1B21"/>
              </a:solidFill>
            </a:ln>
          </c:spPr>
          <c:marker>
            <c:symbol val="none"/>
          </c:marker>
          <c:cat>
            <c:multiLvlStrRef>
              <c:f>'souhrnná výkonnost 2'!$A$18:$B$68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'souhrnná výkonnost 2'!$E$18:$E$68</c:f>
              <c:numCache>
                <c:formatCode>###,###,##0.0</c:formatCode>
                <c:ptCount val="51"/>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General">
                  <c:v>110</c:v>
                </c:pt>
                <c:pt idx="49" formatCode="General">
                  <c:v>108.2</c:v>
                </c:pt>
                <c:pt idx="50" formatCode="General">
                  <c:v>108.7</c:v>
                </c:pt>
              </c:numCache>
            </c:numRef>
          </c:val>
        </c:ser>
        <c:ser>
          <c:idx val="1"/>
          <c:order val="3"/>
          <c:tx>
            <c:strRef>
              <c:f>'souhrnná výkonnost 2'!$F$5</c:f>
              <c:strCache>
                <c:ptCount val="1"/>
                <c:pt idx="0">
                  <c:v>Souhrnný indikátor</c:v>
                </c:pt>
              </c:strCache>
            </c:strRef>
          </c:tx>
          <c:spPr>
            <a:ln w="19050">
              <a:solidFill>
                <a:schemeClr val="tx1"/>
              </a:solidFill>
            </a:ln>
          </c:spPr>
          <c:marker>
            <c:symbol val="none"/>
          </c:marker>
          <c:cat>
            <c:multiLvlStrRef>
              <c:f>'souhrnná výkonnost 2'!$A$18:$B$68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2013</c:v>
                  </c:pt>
                  <c:pt idx="12">
                    <c:v>2014</c:v>
                  </c:pt>
                  <c:pt idx="24">
                    <c:v>2015</c:v>
                  </c:pt>
                  <c:pt idx="36">
                    <c:v>2016</c:v>
                  </c:pt>
                  <c:pt idx="48">
                    <c:v>2017</c:v>
                  </c:pt>
                </c:lvl>
              </c:multiLvlStrCache>
            </c:multiLvlStrRef>
          </c:cat>
          <c:val>
            <c:numRef>
              <c:f>'souhrnná výkonnost 2'!$F$18:$F$68</c:f>
              <c:numCache>
                <c:formatCode>###,###,##0.0</c:formatCode>
                <c:ptCount val="51"/>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General">
                  <c:v>99.2</c:v>
                </c:pt>
                <c:pt idx="49" formatCode="General">
                  <c:v>98</c:v>
                </c:pt>
                <c:pt idx="50" formatCode="General">
                  <c:v>96.6</c:v>
                </c:pt>
              </c:numCache>
            </c:numRef>
          </c:val>
        </c:ser>
        <c:marker val="1"/>
        <c:axId val="123896960"/>
        <c:axId val="123898496"/>
      </c:lineChart>
      <c:catAx>
        <c:axId val="123896960"/>
        <c:scaling>
          <c:orientation val="minMax"/>
        </c:scaling>
        <c:axPos val="b"/>
        <c:tickLblPos val="low"/>
        <c:spPr>
          <a:ln>
            <a:solidFill>
              <a:schemeClr val="tx1"/>
            </a:solidFill>
          </a:ln>
        </c:spPr>
        <c:crossAx val="123898496"/>
        <c:crossesAt val="100"/>
        <c:auto val="1"/>
        <c:lblAlgn val="ctr"/>
        <c:lblOffset val="100"/>
      </c:catAx>
      <c:valAx>
        <c:axId val="123898496"/>
        <c:scaling>
          <c:orientation val="minMax"/>
          <c:max val="130"/>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123896960"/>
        <c:crosses val="autoZero"/>
        <c:crossBetween val="between"/>
        <c:majorUnit val="5"/>
      </c:valAx>
      <c:valAx>
        <c:axId val="123912576"/>
        <c:scaling>
          <c:orientation val="minMax"/>
          <c:min val="-6"/>
        </c:scaling>
        <c:axPos val="r"/>
        <c:numFmt formatCode="0" sourceLinked="0"/>
        <c:tickLblPos val="nextTo"/>
        <c:spPr>
          <a:ln>
            <a:solidFill>
              <a:schemeClr val="tx1"/>
            </a:solidFill>
          </a:ln>
        </c:spPr>
        <c:crossAx val="123914112"/>
        <c:crosses val="max"/>
        <c:crossBetween val="between"/>
        <c:majorUnit val="1"/>
      </c:valAx>
      <c:catAx>
        <c:axId val="123914112"/>
        <c:scaling>
          <c:orientation val="minMax"/>
        </c:scaling>
        <c:delete val="1"/>
        <c:axPos val="b"/>
        <c:tickLblPos val="none"/>
        <c:crossAx val="123912576"/>
        <c:crossesAt val="0"/>
        <c:auto val="1"/>
        <c:lblAlgn val="ctr"/>
        <c:lblOffset val="100"/>
      </c:catAx>
      <c:spPr>
        <a:ln>
          <a:solidFill>
            <a:schemeClr val="tx1"/>
          </a:solidFill>
        </a:ln>
      </c:spPr>
    </c:plotArea>
    <c:legend>
      <c:legendPos val="b"/>
      <c:layout>
        <c:manualLayout>
          <c:xMode val="edge"/>
          <c:yMode val="edge"/>
          <c:x val="6.2295583422442583E-2"/>
          <c:y val="0.9022883597883562"/>
          <c:w val="0.88075331324325201"/>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654503640965086E-2"/>
          <c:y val="3.2774670270864031E-2"/>
          <c:w val="0.88351164495084356"/>
          <c:h val="0.71015836476683059"/>
        </c:manualLayout>
      </c:layout>
      <c:barChart>
        <c:barDir val="col"/>
        <c:grouping val="clustered"/>
        <c:ser>
          <c:idx val="0"/>
          <c:order val="0"/>
          <c:tx>
            <c:strRef>
              <c:f>'Státní rozpočet 2'!$B$21</c:f>
              <c:strCache>
                <c:ptCount val="1"/>
                <c:pt idx="0">
                  <c:v>Běžné výdaje (pravá osa)</c:v>
                </c:pt>
              </c:strCache>
            </c:strRef>
          </c:tx>
          <c:spPr>
            <a:solidFill>
              <a:schemeClr val="bg1">
                <a:lumMod val="75000"/>
              </a:schemeClr>
            </a:solidFill>
            <a:ln>
              <a:noFill/>
            </a:ln>
          </c:spP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2'!$B$22:$B$34</c:f>
              <c:numCache>
                <c:formatCode>General</c:formatCode>
                <c:ptCount val="13"/>
                <c:pt idx="0">
                  <c:v>192.453</c:v>
                </c:pt>
                <c:pt idx="1">
                  <c:v>210.25</c:v>
                </c:pt>
                <c:pt idx="2">
                  <c:v>220.65</c:v>
                </c:pt>
                <c:pt idx="3">
                  <c:v>251.64</c:v>
                </c:pt>
                <c:pt idx="4" formatCode="#,##0.00">
                  <c:v>242.03</c:v>
                </c:pt>
                <c:pt idx="5" formatCode="#,##0.00">
                  <c:v>262.01</c:v>
                </c:pt>
                <c:pt idx="6" formatCode="#,##0.00">
                  <c:v>252.45000000000007</c:v>
                </c:pt>
                <c:pt idx="7" formatCode="#,##0.00">
                  <c:v>258.94</c:v>
                </c:pt>
                <c:pt idx="8" formatCode="#,##0.00">
                  <c:v>261.20999999999964</c:v>
                </c:pt>
                <c:pt idx="9" formatCode="#,##0.00">
                  <c:v>265.72000000000003</c:v>
                </c:pt>
                <c:pt idx="10" formatCode="#,##0.00">
                  <c:v>274.76</c:v>
                </c:pt>
                <c:pt idx="11" formatCode="#,##0.00">
                  <c:v>278.33</c:v>
                </c:pt>
                <c:pt idx="12" formatCode="#,##0.00">
                  <c:v>296.74</c:v>
                </c:pt>
              </c:numCache>
            </c:numRef>
          </c:val>
        </c:ser>
        <c:gapWidth val="70"/>
        <c:axId val="124506880"/>
        <c:axId val="124500992"/>
      </c:barChart>
      <c:lineChart>
        <c:grouping val="standard"/>
        <c:ser>
          <c:idx val="1"/>
          <c:order val="1"/>
          <c:tx>
            <c:strRef>
              <c:f>'Státní rozpočet 2'!$C$21</c:f>
              <c:strCache>
                <c:ptCount val="1"/>
                <c:pt idx="0">
                  <c:v>Platy státních zaměstnanců</c:v>
                </c:pt>
              </c:strCache>
            </c:strRef>
          </c:tx>
          <c:spPr>
            <a:ln w="19050">
              <a:solidFill>
                <a:srgbClr val="0071BC"/>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2'!$C$22:$C$34</c:f>
              <c:numCache>
                <c:formatCode>0.00</c:formatCode>
                <c:ptCount val="13"/>
                <c:pt idx="0">
                  <c:v>13.223999999999998</c:v>
                </c:pt>
                <c:pt idx="1">
                  <c:v>13.83</c:v>
                </c:pt>
                <c:pt idx="2" formatCode="General">
                  <c:v>14.850000000000026</c:v>
                </c:pt>
                <c:pt idx="3" formatCode="General">
                  <c:v>14.729999999999999</c:v>
                </c:pt>
                <c:pt idx="4" formatCode="General">
                  <c:v>15.139999999999999</c:v>
                </c:pt>
                <c:pt idx="5" formatCode="General">
                  <c:v>15.42</c:v>
                </c:pt>
                <c:pt idx="6" formatCode="General">
                  <c:v>14.05</c:v>
                </c:pt>
                <c:pt idx="7" formatCode="General">
                  <c:v>14.350000000000026</c:v>
                </c:pt>
                <c:pt idx="8" formatCode="General">
                  <c:v>14.46</c:v>
                </c:pt>
                <c:pt idx="9" formatCode="General">
                  <c:v>14.8</c:v>
                </c:pt>
                <c:pt idx="10" formatCode="General">
                  <c:v>15.8</c:v>
                </c:pt>
                <c:pt idx="11" formatCode="General">
                  <c:v>16.75</c:v>
                </c:pt>
                <c:pt idx="12" formatCode="General">
                  <c:v>17.75</c:v>
                </c:pt>
              </c:numCache>
            </c:numRef>
          </c:val>
        </c:ser>
        <c:ser>
          <c:idx val="2"/>
          <c:order val="2"/>
          <c:tx>
            <c:strRef>
              <c:f>'Státní rozpočet 2'!$D$21</c:f>
              <c:strCache>
                <c:ptCount val="1"/>
                <c:pt idx="0">
                  <c:v>Podpora v nezaměstn.</c:v>
                </c:pt>
              </c:strCache>
            </c:strRef>
          </c:tx>
          <c:spPr>
            <a:ln w="19050">
              <a:solidFill>
                <a:srgbClr val="984807"/>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2'!$D$22:$D$34</c:f>
              <c:numCache>
                <c:formatCode>General</c:formatCode>
                <c:ptCount val="13"/>
                <c:pt idx="0">
                  <c:v>1.903</c:v>
                </c:pt>
                <c:pt idx="1">
                  <c:v>2.0099999999999998</c:v>
                </c:pt>
                <c:pt idx="2">
                  <c:v>2.0099999999999998</c:v>
                </c:pt>
                <c:pt idx="3">
                  <c:v>1.87</c:v>
                </c:pt>
                <c:pt idx="4">
                  <c:v>3.07</c:v>
                </c:pt>
                <c:pt idx="5">
                  <c:v>4.21</c:v>
                </c:pt>
                <c:pt idx="6">
                  <c:v>3.62</c:v>
                </c:pt>
                <c:pt idx="7">
                  <c:v>2.63</c:v>
                </c:pt>
                <c:pt idx="8">
                  <c:v>2.82</c:v>
                </c:pt>
                <c:pt idx="9">
                  <c:v>2.86</c:v>
                </c:pt>
                <c:pt idx="10">
                  <c:v>2.56</c:v>
                </c:pt>
                <c:pt idx="11">
                  <c:v>2.4499999999999997</c:v>
                </c:pt>
                <c:pt idx="12">
                  <c:v>2.42</c:v>
                </c:pt>
              </c:numCache>
            </c:numRef>
          </c:val>
        </c:ser>
        <c:ser>
          <c:idx val="3"/>
          <c:order val="3"/>
          <c:tx>
            <c:strRef>
              <c:f>'Státní rozpočet 2'!$E$21</c:f>
              <c:strCache>
                <c:ptCount val="1"/>
                <c:pt idx="0">
                  <c:v>Státní sociální podpora*</c:v>
                </c:pt>
              </c:strCache>
            </c:strRef>
          </c:tx>
          <c:spPr>
            <a:ln w="19050">
              <a:solidFill>
                <a:srgbClr val="7DBB2D"/>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2'!$E$22:$E$34</c:f>
              <c:numCache>
                <c:formatCode>General</c:formatCode>
                <c:ptCount val="13"/>
                <c:pt idx="0">
                  <c:v>8.2420000000000009</c:v>
                </c:pt>
                <c:pt idx="1">
                  <c:v>8.39</c:v>
                </c:pt>
                <c:pt idx="2">
                  <c:v>11.18</c:v>
                </c:pt>
                <c:pt idx="3">
                  <c:v>11.07</c:v>
                </c:pt>
                <c:pt idx="4">
                  <c:v>10.200000000000001</c:v>
                </c:pt>
                <c:pt idx="5">
                  <c:v>10.3</c:v>
                </c:pt>
                <c:pt idx="6">
                  <c:v>9.3800000000000008</c:v>
                </c:pt>
                <c:pt idx="7">
                  <c:v>8.89</c:v>
                </c:pt>
                <c:pt idx="8">
                  <c:v>9.2199999999999989</c:v>
                </c:pt>
                <c:pt idx="9">
                  <c:v>9.3700000000000028</c:v>
                </c:pt>
                <c:pt idx="10">
                  <c:v>9.33</c:v>
                </c:pt>
                <c:pt idx="11">
                  <c:v>9.3800000000000008</c:v>
                </c:pt>
                <c:pt idx="12">
                  <c:v>9.32</c:v>
                </c:pt>
              </c:numCache>
            </c:numRef>
          </c:val>
        </c:ser>
        <c:ser>
          <c:idx val="4"/>
          <c:order val="4"/>
          <c:tx>
            <c:strRef>
              <c:f>'Státní rozpočet 2'!$F$21</c:f>
              <c:strCache>
                <c:ptCount val="1"/>
                <c:pt idx="0">
                  <c:v>Dávky nemocens.pojištění</c:v>
                </c:pt>
              </c:strCache>
            </c:strRef>
          </c:tx>
          <c:spPr>
            <a:ln w="19050">
              <a:solidFill>
                <a:srgbClr val="48AEE7"/>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2'!$F$22:$F$34</c:f>
              <c:numCache>
                <c:formatCode>0.00</c:formatCode>
                <c:ptCount val="13"/>
                <c:pt idx="0">
                  <c:v>8.9</c:v>
                </c:pt>
                <c:pt idx="1">
                  <c:v>9.6</c:v>
                </c:pt>
                <c:pt idx="2">
                  <c:v>9.6079999999999988</c:v>
                </c:pt>
                <c:pt idx="3" formatCode="General">
                  <c:v>9.09</c:v>
                </c:pt>
                <c:pt idx="4">
                  <c:v>7.2700000000000014</c:v>
                </c:pt>
                <c:pt idx="5">
                  <c:v>6.07</c:v>
                </c:pt>
                <c:pt idx="6">
                  <c:v>6.07</c:v>
                </c:pt>
                <c:pt idx="7">
                  <c:v>5.21</c:v>
                </c:pt>
                <c:pt idx="8">
                  <c:v>5.3</c:v>
                </c:pt>
                <c:pt idx="9">
                  <c:v>5.4700000000000024</c:v>
                </c:pt>
                <c:pt idx="10">
                  <c:v>6.21</c:v>
                </c:pt>
                <c:pt idx="11">
                  <c:v>6.67</c:v>
                </c:pt>
                <c:pt idx="12">
                  <c:v>7.4700000000000024</c:v>
                </c:pt>
              </c:numCache>
            </c:numRef>
          </c:val>
        </c:ser>
        <c:ser>
          <c:idx val="5"/>
          <c:order val="5"/>
          <c:tx>
            <c:strRef>
              <c:f>'Státní rozpočet 2'!$G$21</c:f>
              <c:strCache>
                <c:ptCount val="1"/>
                <c:pt idx="0">
                  <c:v>Dávky sociální péče***</c:v>
                </c:pt>
              </c:strCache>
            </c:strRef>
          </c:tx>
          <c:spPr>
            <a:ln w="19050">
              <a:solidFill>
                <a:srgbClr val="F8A124"/>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2'!$G$22:$G$34</c:f>
              <c:numCache>
                <c:formatCode>General</c:formatCode>
                <c:ptCount val="13"/>
                <c:pt idx="2">
                  <c:v>8.8000000000000007</c:v>
                </c:pt>
                <c:pt idx="3">
                  <c:v>7.8000000000000007</c:v>
                </c:pt>
                <c:pt idx="4">
                  <c:v>7.1</c:v>
                </c:pt>
                <c:pt idx="5">
                  <c:v>7.1999999999999975</c:v>
                </c:pt>
                <c:pt idx="6" formatCode="0.00">
                  <c:v>6.68</c:v>
                </c:pt>
                <c:pt idx="7" formatCode="0.00">
                  <c:v>6.37</c:v>
                </c:pt>
                <c:pt idx="8" formatCode="0.00">
                  <c:v>7.64</c:v>
                </c:pt>
                <c:pt idx="9" formatCode="0.00">
                  <c:v>8.2100000000000009</c:v>
                </c:pt>
                <c:pt idx="10" formatCode="0.00">
                  <c:v>8.44</c:v>
                </c:pt>
                <c:pt idx="11" formatCode="0.00">
                  <c:v>8.34</c:v>
                </c:pt>
                <c:pt idx="12" formatCode="0.00">
                  <c:v>8.8500000000000068</c:v>
                </c:pt>
              </c:numCache>
            </c:numRef>
          </c:val>
        </c:ser>
        <c:ser>
          <c:idx val="6"/>
          <c:order val="6"/>
          <c:tx>
            <c:strRef>
              <c:f>'Státní rozpočet 2'!$H$21</c:f>
              <c:strCache>
                <c:ptCount val="1"/>
                <c:pt idx="0">
                  <c:v>Státní dluh**</c:v>
                </c:pt>
              </c:strCache>
            </c:strRef>
          </c:tx>
          <c:spPr>
            <a:ln w="19050">
              <a:solidFill>
                <a:srgbClr val="7030A0"/>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2'!$H$22:$H$34</c:f>
              <c:numCache>
                <c:formatCode>0.0</c:formatCode>
                <c:ptCount val="13"/>
                <c:pt idx="0">
                  <c:v>9.4450000000000003</c:v>
                </c:pt>
                <c:pt idx="1">
                  <c:v>9.6399999999999988</c:v>
                </c:pt>
                <c:pt idx="2">
                  <c:v>8.620000000000001</c:v>
                </c:pt>
                <c:pt idx="3">
                  <c:v>6.4700000000000024</c:v>
                </c:pt>
                <c:pt idx="4">
                  <c:v>7.31</c:v>
                </c:pt>
                <c:pt idx="5">
                  <c:v>2.6399999999999997</c:v>
                </c:pt>
                <c:pt idx="6">
                  <c:v>3.4000000000000004</c:v>
                </c:pt>
                <c:pt idx="7">
                  <c:v>1.54</c:v>
                </c:pt>
                <c:pt idx="8">
                  <c:v>2.2599999999999998</c:v>
                </c:pt>
                <c:pt idx="9">
                  <c:v>2.13</c:v>
                </c:pt>
                <c:pt idx="10">
                  <c:v>0.96999999999999975</c:v>
                </c:pt>
                <c:pt idx="11">
                  <c:v>3.13</c:v>
                </c:pt>
                <c:pt idx="12">
                  <c:v>-0.31000000000000105</c:v>
                </c:pt>
              </c:numCache>
            </c:numRef>
          </c:val>
        </c:ser>
        <c:ser>
          <c:idx val="7"/>
          <c:order val="7"/>
          <c:tx>
            <c:strRef>
              <c:f>'Státní rozpočet 2'!$I$21</c:f>
              <c:strCache>
                <c:ptCount val="1"/>
                <c:pt idx="0">
                  <c:v>Kapitálové výdaje</c:v>
                </c:pt>
              </c:strCache>
            </c:strRef>
          </c:tx>
          <c:spPr>
            <a:ln w="19050">
              <a:solidFill>
                <a:srgbClr val="BD1B21"/>
              </a:solidFill>
            </a:ln>
          </c:spPr>
          <c:marker>
            <c:symbol val="none"/>
          </c:marker>
          <c:cat>
            <c:numRef>
              <c:f>'Státní rozpočet 2'!$A$22:$A$34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2'!$I$22:$I$34</c:f>
              <c:numCache>
                <c:formatCode>General</c:formatCode>
                <c:ptCount val="13"/>
                <c:pt idx="0" formatCode="0.00">
                  <c:v>6.1209999999999845</c:v>
                </c:pt>
                <c:pt idx="1">
                  <c:v>9.93</c:v>
                </c:pt>
                <c:pt idx="2">
                  <c:v>10.07</c:v>
                </c:pt>
                <c:pt idx="3">
                  <c:v>31.85</c:v>
                </c:pt>
                <c:pt idx="4">
                  <c:v>31.88</c:v>
                </c:pt>
                <c:pt idx="5">
                  <c:v>33.1</c:v>
                </c:pt>
                <c:pt idx="6">
                  <c:v>26.12</c:v>
                </c:pt>
                <c:pt idx="7">
                  <c:v>22.19</c:v>
                </c:pt>
                <c:pt idx="8">
                  <c:v>17.690000000000001</c:v>
                </c:pt>
                <c:pt idx="9">
                  <c:v>14.93</c:v>
                </c:pt>
                <c:pt idx="10">
                  <c:v>19.779999999999987</c:v>
                </c:pt>
                <c:pt idx="11">
                  <c:v>20.02</c:v>
                </c:pt>
                <c:pt idx="12">
                  <c:v>6.24</c:v>
                </c:pt>
              </c:numCache>
            </c:numRef>
          </c:val>
        </c:ser>
        <c:marker val="1"/>
        <c:axId val="124497920"/>
        <c:axId val="124499456"/>
      </c:lineChart>
      <c:catAx>
        <c:axId val="124497920"/>
        <c:scaling>
          <c:orientation val="minMax"/>
        </c:scaling>
        <c:axPos val="b"/>
        <c:numFmt formatCode="General" sourceLinked="1"/>
        <c:tickLblPos val="nextTo"/>
        <c:spPr>
          <a:ln>
            <a:solidFill>
              <a:schemeClr val="bg1">
                <a:lumMod val="50000"/>
              </a:schemeClr>
            </a:solidFill>
          </a:ln>
        </c:spPr>
        <c:crossAx val="124499456"/>
        <c:crosses val="autoZero"/>
        <c:auto val="1"/>
        <c:lblAlgn val="ctr"/>
        <c:lblOffset val="100"/>
      </c:catAx>
      <c:valAx>
        <c:axId val="124499456"/>
        <c:scaling>
          <c:orientation val="minMax"/>
          <c:max val="35"/>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124497920"/>
        <c:crosses val="autoZero"/>
        <c:crossBetween val="between"/>
        <c:majorUnit val="5"/>
      </c:valAx>
      <c:valAx>
        <c:axId val="124500992"/>
        <c:scaling>
          <c:orientation val="minMax"/>
          <c:max val="300"/>
          <c:min val="0"/>
        </c:scaling>
        <c:axPos val="r"/>
        <c:numFmt formatCode="General" sourceLinked="1"/>
        <c:tickLblPos val="nextTo"/>
        <c:spPr>
          <a:ln>
            <a:solidFill>
              <a:schemeClr val="tx1"/>
            </a:solidFill>
          </a:ln>
        </c:spPr>
        <c:crossAx val="124506880"/>
        <c:crosses val="max"/>
        <c:crossBetween val="between"/>
        <c:majorUnit val="30"/>
      </c:valAx>
      <c:catAx>
        <c:axId val="124506880"/>
        <c:scaling>
          <c:orientation val="minMax"/>
        </c:scaling>
        <c:delete val="1"/>
        <c:axPos val="b"/>
        <c:numFmt formatCode="General" sourceLinked="1"/>
        <c:tickLblPos val="none"/>
        <c:crossAx val="124500992"/>
        <c:crosses val="autoZero"/>
        <c:auto val="1"/>
        <c:lblAlgn val="ctr"/>
        <c:lblOffset val="100"/>
      </c:catAx>
      <c:spPr>
        <a:ln>
          <a:solidFill>
            <a:schemeClr val="tx1"/>
          </a:solidFill>
        </a:ln>
      </c:spPr>
    </c:plotArea>
    <c:legend>
      <c:legendPos val="b"/>
      <c:layout>
        <c:manualLayout>
          <c:xMode val="edge"/>
          <c:yMode val="edge"/>
          <c:x val="5.3073638025823308E-2"/>
          <c:y val="0.81289114673821405"/>
          <c:w val="0.88356227363294515"/>
          <c:h val="0.17817011575143141"/>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1857900718404552E-2"/>
          <c:y val="2.8528331508315932E-2"/>
          <c:w val="0.86855180193698733"/>
          <c:h val="0.76828858493752106"/>
        </c:manualLayout>
      </c:layout>
      <c:barChart>
        <c:barDir val="col"/>
        <c:grouping val="clustered"/>
        <c:ser>
          <c:idx val="4"/>
          <c:order val="4"/>
          <c:tx>
            <c:strRef>
              <c:f>'Státní rozpočet 4'!$F$22</c:f>
              <c:strCache>
                <c:ptCount val="1"/>
                <c:pt idx="0">
                  <c:v>Saldo příjmů a výdajů (pravá osa)</c:v>
                </c:pt>
              </c:strCache>
            </c:strRef>
          </c:tx>
          <c:spPr>
            <a:solidFill>
              <a:schemeClr val="bg1">
                <a:lumMod val="65000"/>
              </a:schemeClr>
            </a:solidFill>
            <a:ln>
              <a:noFill/>
            </a:ln>
          </c:spP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4'!$F$23:$F$35</c:f>
              <c:numCache>
                <c:formatCode>0.0</c:formatCode>
                <c:ptCount val="13"/>
                <c:pt idx="0">
                  <c:v>-2.9710000000000027</c:v>
                </c:pt>
                <c:pt idx="1">
                  <c:v>-6.6470000000000056</c:v>
                </c:pt>
                <c:pt idx="2">
                  <c:v>-0.47000000000000008</c:v>
                </c:pt>
                <c:pt idx="3">
                  <c:v>3.039999999999992</c:v>
                </c:pt>
                <c:pt idx="4">
                  <c:v>-1.9699999999999978</c:v>
                </c:pt>
                <c:pt idx="5">
                  <c:v>-10.360000000000024</c:v>
                </c:pt>
                <c:pt idx="6">
                  <c:v>-13.05</c:v>
                </c:pt>
                <c:pt idx="7">
                  <c:v>-13.510000000000005</c:v>
                </c:pt>
                <c:pt idx="8">
                  <c:v>-7.9300000000000104</c:v>
                </c:pt>
                <c:pt idx="9">
                  <c:v>-5.0800000000000125</c:v>
                </c:pt>
                <c:pt idx="10">
                  <c:v>-3.6500000000000057</c:v>
                </c:pt>
                <c:pt idx="11">
                  <c:v>-5.3399999999999892</c:v>
                </c:pt>
                <c:pt idx="12">
                  <c:v>-4.6099999999999985</c:v>
                </c:pt>
              </c:numCache>
            </c:numRef>
          </c:val>
        </c:ser>
        <c:gapWidth val="43"/>
        <c:axId val="125011072"/>
        <c:axId val="125001088"/>
      </c:barChart>
      <c:lineChart>
        <c:grouping val="standard"/>
        <c:ser>
          <c:idx val="0"/>
          <c:order val="0"/>
          <c:tx>
            <c:strRef>
              <c:f>'Státní rozpočet 4'!$B$22</c:f>
              <c:strCache>
                <c:ptCount val="1"/>
                <c:pt idx="0">
                  <c:v>Příjemci důchodů celkem</c:v>
                </c:pt>
              </c:strCache>
            </c:strRef>
          </c:tx>
          <c:spPr>
            <a:ln w="19050">
              <a:solidFill>
                <a:srgbClr val="F8A124"/>
              </a:solidFill>
              <a:prstDash val="solid"/>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4'!$B$23:$B$35</c:f>
              <c:numCache>
                <c:formatCode>0.0</c:formatCode>
                <c:ptCount val="13"/>
                <c:pt idx="0">
                  <c:v>1.361891009431716</c:v>
                </c:pt>
                <c:pt idx="1">
                  <c:v>0.83226902558557725</c:v>
                </c:pt>
                <c:pt idx="2">
                  <c:v>1.3029945698195888</c:v>
                </c:pt>
                <c:pt idx="3">
                  <c:v>1.4568773673978086</c:v>
                </c:pt>
                <c:pt idx="4">
                  <c:v>1.193990994558618</c:v>
                </c:pt>
                <c:pt idx="5">
                  <c:v>1.3818377616083424</c:v>
                </c:pt>
                <c:pt idx="6">
                  <c:v>0.91653177571062061</c:v>
                </c:pt>
                <c:pt idx="7">
                  <c:v>1.6953636567439219</c:v>
                </c:pt>
                <c:pt idx="8">
                  <c:v>-0.29319651061673824</c:v>
                </c:pt>
                <c:pt idx="9">
                  <c:v>-0.14718651612241729</c:v>
                </c:pt>
                <c:pt idx="10">
                  <c:v>9.7627692544464323E-2</c:v>
                </c:pt>
                <c:pt idx="11">
                  <c:v>0.71823179321019648</c:v>
                </c:pt>
                <c:pt idx="12">
                  <c:v>0.19207789702457487</c:v>
                </c:pt>
              </c:numCache>
            </c:numRef>
          </c:val>
        </c:ser>
        <c:ser>
          <c:idx val="1"/>
          <c:order val="1"/>
          <c:tx>
            <c:strRef>
              <c:f>'Státní rozpočet 4'!$C$22</c:f>
              <c:strCache>
                <c:ptCount val="1"/>
                <c:pt idx="0">
                  <c:v>  z toho starob. trvale krácených</c:v>
                </c:pt>
              </c:strCache>
            </c:strRef>
          </c:tx>
          <c:spPr>
            <a:ln w="19050">
              <a:noFill/>
            </a:ln>
          </c:spPr>
          <c:marker>
            <c:symbol val="diamond"/>
            <c:size val="5"/>
            <c:spPr>
              <a:solidFill>
                <a:srgbClr val="F8A124"/>
              </a:solidFill>
              <a:ln>
                <a:noFill/>
              </a:ln>
            </c:spPr>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4'!$C$23:$C$35</c:f>
              <c:numCache>
                <c:formatCode>0.0</c:formatCode>
                <c:ptCount val="13"/>
                <c:pt idx="0">
                  <c:v>4.9826926232793278</c:v>
                </c:pt>
                <c:pt idx="1">
                  <c:v>5.4332692314683477</c:v>
                </c:pt>
                <c:pt idx="2">
                  <c:v>9.2825200238597034</c:v>
                </c:pt>
                <c:pt idx="3">
                  <c:v>7.5172503005196214</c:v>
                </c:pt>
                <c:pt idx="4">
                  <c:v>7.4811386918718448</c:v>
                </c:pt>
                <c:pt idx="5">
                  <c:v>11.54800680370545</c:v>
                </c:pt>
                <c:pt idx="6">
                  <c:v>7.1493606939359093</c:v>
                </c:pt>
                <c:pt idx="7">
                  <c:v>16.525499225634849</c:v>
                </c:pt>
                <c:pt idx="8">
                  <c:v>3.5838415440981919</c:v>
                </c:pt>
                <c:pt idx="9">
                  <c:v>3.8474276359988977</c:v>
                </c:pt>
                <c:pt idx="10">
                  <c:v>4.1152833334851806</c:v>
                </c:pt>
                <c:pt idx="11">
                  <c:v>3.5115356273312397</c:v>
                </c:pt>
                <c:pt idx="12">
                  <c:v>2.7339489565912913</c:v>
                </c:pt>
              </c:numCache>
            </c:numRef>
          </c:val>
        </c:ser>
        <c:ser>
          <c:idx val="2"/>
          <c:order val="2"/>
          <c:tx>
            <c:strRef>
              <c:f>'Státní rozpočet 4'!$D$22</c:f>
              <c:strCache>
                <c:ptCount val="1"/>
                <c:pt idx="0">
                  <c:v>Příjmy na důchody</c:v>
                </c:pt>
              </c:strCache>
            </c:strRef>
          </c:tx>
          <c:spPr>
            <a:ln w="22225">
              <a:solidFill>
                <a:srgbClr val="BD1B21"/>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4'!$D$23:$D$35</c:f>
              <c:numCache>
                <c:formatCode>0.0</c:formatCode>
                <c:ptCount val="13"/>
                <c:pt idx="0">
                  <c:v>13.205080313784126</c:v>
                </c:pt>
                <c:pt idx="1">
                  <c:v>7.3750206236594664</c:v>
                </c:pt>
                <c:pt idx="2">
                  <c:v>9.7111247695143987</c:v>
                </c:pt>
                <c:pt idx="3">
                  <c:v>9.4677871148459847</c:v>
                </c:pt>
                <c:pt idx="4">
                  <c:v>3.1090071647901847</c:v>
                </c:pt>
                <c:pt idx="5">
                  <c:v>-5.8443975679364533</c:v>
                </c:pt>
                <c:pt idx="6">
                  <c:v>3.8218239325250347</c:v>
                </c:pt>
                <c:pt idx="7">
                  <c:v>3.6938309215536833</c:v>
                </c:pt>
                <c:pt idx="8">
                  <c:v>-0.55086301872934451</c:v>
                </c:pt>
                <c:pt idx="9">
                  <c:v>1.1939931068439193</c:v>
                </c:pt>
                <c:pt idx="10">
                  <c:v>5.7535579613185766</c:v>
                </c:pt>
                <c:pt idx="11">
                  <c:v>5.5440533701403467</c:v>
                </c:pt>
                <c:pt idx="12">
                  <c:v>6.5714908456844094</c:v>
                </c:pt>
              </c:numCache>
            </c:numRef>
          </c:val>
        </c:ser>
        <c:ser>
          <c:idx val="3"/>
          <c:order val="3"/>
          <c:tx>
            <c:strRef>
              <c:f>'Státní rozpočet 4'!$E$22</c:f>
              <c:strCache>
                <c:ptCount val="1"/>
                <c:pt idx="0">
                  <c:v>Výdaje na důchody</c:v>
                </c:pt>
              </c:strCache>
            </c:strRef>
          </c:tx>
          <c:spPr>
            <a:ln w="22225">
              <a:solidFill>
                <a:srgbClr val="0071BC"/>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4'!$E$23:$E$35</c:f>
              <c:numCache>
                <c:formatCode>0.0</c:formatCode>
                <c:ptCount val="13"/>
                <c:pt idx="0">
                  <c:v>11.655310480472018</c:v>
                </c:pt>
                <c:pt idx="1">
                  <c:v>12.812003585976974</c:v>
                </c:pt>
                <c:pt idx="2">
                  <c:v>0.19936704448812803</c:v>
                </c:pt>
                <c:pt idx="3">
                  <c:v>4.5220537080840444</c:v>
                </c:pt>
                <c:pt idx="4">
                  <c:v>9.9041533546325979</c:v>
                </c:pt>
                <c:pt idx="5">
                  <c:v>4.4573643410852455</c:v>
                </c:pt>
                <c:pt idx="6">
                  <c:v>6.4819109461966455</c:v>
                </c:pt>
                <c:pt idx="7">
                  <c:v>3.6698246760318085</c:v>
                </c:pt>
                <c:pt idx="8">
                  <c:v>-6.3340336134453707</c:v>
                </c:pt>
                <c:pt idx="9">
                  <c:v>-2.1083323987888352</c:v>
                </c:pt>
                <c:pt idx="10">
                  <c:v>3.7805017756902402</c:v>
                </c:pt>
                <c:pt idx="11">
                  <c:v>7.1862236449939498</c:v>
                </c:pt>
                <c:pt idx="12">
                  <c:v>5.458290422245148</c:v>
                </c:pt>
              </c:numCache>
            </c:numRef>
          </c:val>
        </c:ser>
        <c:marker val="1"/>
        <c:axId val="124998016"/>
        <c:axId val="124999552"/>
      </c:lineChart>
      <c:catAx>
        <c:axId val="124998016"/>
        <c:scaling>
          <c:orientation val="minMax"/>
        </c:scaling>
        <c:axPos val="b"/>
        <c:numFmt formatCode="General" sourceLinked="1"/>
        <c:tickLblPos val="low"/>
        <c:spPr>
          <a:ln>
            <a:solidFill>
              <a:schemeClr val="bg1">
                <a:lumMod val="50000"/>
              </a:schemeClr>
            </a:solidFill>
          </a:ln>
        </c:spPr>
        <c:crossAx val="124999552"/>
        <c:crossesAt val="0"/>
        <c:auto val="1"/>
        <c:lblAlgn val="ctr"/>
        <c:lblOffset val="0"/>
      </c:catAx>
      <c:valAx>
        <c:axId val="124999552"/>
        <c:scaling>
          <c:orientation val="minMax"/>
          <c:max val="18"/>
          <c:min val="-9"/>
        </c:scaling>
        <c:axPos val="l"/>
        <c:majorGridlines>
          <c:spPr>
            <a:ln w="6350">
              <a:solidFill>
                <a:schemeClr val="bg1">
                  <a:lumMod val="75000"/>
                </a:schemeClr>
              </a:solidFill>
            </a:ln>
          </c:spPr>
        </c:majorGridlines>
        <c:numFmt formatCode="0" sourceLinked="0"/>
        <c:tickLblPos val="nextTo"/>
        <c:spPr>
          <a:ln>
            <a:solidFill>
              <a:schemeClr val="tx1"/>
            </a:solidFill>
          </a:ln>
        </c:spPr>
        <c:crossAx val="124998016"/>
        <c:crosses val="autoZero"/>
        <c:crossBetween val="between"/>
        <c:majorUnit val="3"/>
      </c:valAx>
      <c:valAx>
        <c:axId val="125001088"/>
        <c:scaling>
          <c:orientation val="minMax"/>
          <c:max val="30"/>
          <c:min val="-15"/>
        </c:scaling>
        <c:axPos val="r"/>
        <c:numFmt formatCode="0" sourceLinked="0"/>
        <c:tickLblPos val="nextTo"/>
        <c:spPr>
          <a:ln>
            <a:solidFill>
              <a:schemeClr val="tx1"/>
            </a:solidFill>
          </a:ln>
        </c:spPr>
        <c:crossAx val="125011072"/>
        <c:crosses val="max"/>
        <c:crossBetween val="between"/>
        <c:majorUnit val="5"/>
      </c:valAx>
      <c:catAx>
        <c:axId val="125011072"/>
        <c:scaling>
          <c:orientation val="minMax"/>
        </c:scaling>
        <c:delete val="1"/>
        <c:axPos val="b"/>
        <c:numFmt formatCode="General" sourceLinked="1"/>
        <c:tickLblPos val="none"/>
        <c:crossAx val="125001088"/>
        <c:crosses val="autoZero"/>
        <c:auto val="1"/>
        <c:lblAlgn val="ctr"/>
        <c:lblOffset val="100"/>
      </c:catAx>
      <c:spPr>
        <a:ln>
          <a:solidFill>
            <a:schemeClr val="tx1"/>
          </a:solidFill>
        </a:ln>
      </c:spPr>
    </c:plotArea>
    <c:legend>
      <c:legendPos val="b"/>
      <c:layout>
        <c:manualLayout>
          <c:xMode val="edge"/>
          <c:yMode val="edge"/>
          <c:x val="6.0289876774241975E-2"/>
          <c:y val="0.84849656647528993"/>
          <c:w val="0.86388685022497624"/>
          <c:h val="0.13952690532477766"/>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1717285298701194E-2"/>
          <c:y val="2.6167115147669277E-2"/>
          <c:w val="0.87842537233566564"/>
          <c:h val="0.69593999774851134"/>
        </c:manualLayout>
      </c:layout>
      <c:barChart>
        <c:barDir val="col"/>
        <c:grouping val="stacked"/>
        <c:ser>
          <c:idx val="0"/>
          <c:order val="0"/>
          <c:tx>
            <c:strRef>
              <c:f>'Státní rozpočet 3'!$B$28</c:f>
              <c:strCache>
                <c:ptCount val="1"/>
                <c:pt idx="0">
                  <c:v>Státní pokladniční poukázky</c:v>
                </c:pt>
              </c:strCache>
            </c:strRef>
          </c:tx>
          <c:spPr>
            <a:solidFill>
              <a:srgbClr val="BD1B21"/>
            </a:solidFill>
          </c:spP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3'!$C$28:$AY$28</c:f>
              <c:numCache>
                <c:formatCode>#,##0</c:formatCode>
                <c:ptCount val="49"/>
                <c:pt idx="0">
                  <c:v>126.545</c:v>
                </c:pt>
                <c:pt idx="1">
                  <c:v>109</c:v>
                </c:pt>
                <c:pt idx="2">
                  <c:v>98.034000000000006</c:v>
                </c:pt>
                <c:pt idx="3">
                  <c:v>94.248999999999995</c:v>
                </c:pt>
                <c:pt idx="4">
                  <c:v>86.825999999999979</c:v>
                </c:pt>
                <c:pt idx="5">
                  <c:v>79.324999999999989</c:v>
                </c:pt>
                <c:pt idx="6">
                  <c:v>71.884</c:v>
                </c:pt>
                <c:pt idx="7">
                  <c:v>89.568000000000012</c:v>
                </c:pt>
                <c:pt idx="8">
                  <c:v>78.144000000000005</c:v>
                </c:pt>
                <c:pt idx="9">
                  <c:v>66.144999999999996</c:v>
                </c:pt>
                <c:pt idx="10">
                  <c:v>54.649000000000001</c:v>
                </c:pt>
                <c:pt idx="11">
                  <c:v>82.167999999999992</c:v>
                </c:pt>
                <c:pt idx="12">
                  <c:v>46.833999999999996</c:v>
                </c:pt>
                <c:pt idx="13">
                  <c:v>32.875</c:v>
                </c:pt>
                <c:pt idx="14">
                  <c:v>45.340999999999994</c:v>
                </c:pt>
                <c:pt idx="15">
                  <c:v>78.748999999999995</c:v>
                </c:pt>
                <c:pt idx="16">
                  <c:v>60.950999999999993</c:v>
                </c:pt>
                <c:pt idx="17">
                  <c:v>79.837000000000003</c:v>
                </c:pt>
                <c:pt idx="18">
                  <c:v>79.491000000000227</c:v>
                </c:pt>
                <c:pt idx="19">
                  <c:v>88.183999999999983</c:v>
                </c:pt>
                <c:pt idx="20">
                  <c:v>87.545000000000002</c:v>
                </c:pt>
                <c:pt idx="21">
                  <c:v>89.194999999999993</c:v>
                </c:pt>
                <c:pt idx="22">
                  <c:v>128.47800000000001</c:v>
                </c:pt>
                <c:pt idx="23">
                  <c:v>113.331</c:v>
                </c:pt>
                <c:pt idx="24">
                  <c:v>137.54399999999998</c:v>
                </c:pt>
                <c:pt idx="25">
                  <c:v>141.077</c:v>
                </c:pt>
                <c:pt idx="26">
                  <c:v>143.268</c:v>
                </c:pt>
                <c:pt idx="27">
                  <c:v>162.60899999999998</c:v>
                </c:pt>
                <c:pt idx="28">
                  <c:v>177.10899999999998</c:v>
                </c:pt>
                <c:pt idx="29">
                  <c:v>163.38200000000066</c:v>
                </c:pt>
                <c:pt idx="30">
                  <c:v>172.06700000000001</c:v>
                </c:pt>
                <c:pt idx="31">
                  <c:v>189.13499999999999</c:v>
                </c:pt>
                <c:pt idx="32">
                  <c:v>185.86600000000001</c:v>
                </c:pt>
                <c:pt idx="33">
                  <c:v>161.66499999999999</c:v>
                </c:pt>
                <c:pt idx="34">
                  <c:v>137.51599999999999</c:v>
                </c:pt>
                <c:pt idx="35">
                  <c:v>120.89100000000002</c:v>
                </c:pt>
                <c:pt idx="36">
                  <c:v>97.57</c:v>
                </c:pt>
                <c:pt idx="37">
                  <c:v>98.149000000000001</c:v>
                </c:pt>
                <c:pt idx="38">
                  <c:v>90.838999999999999</c:v>
                </c:pt>
                <c:pt idx="39">
                  <c:v>107.627</c:v>
                </c:pt>
                <c:pt idx="40">
                  <c:v>81.661000000000001</c:v>
                </c:pt>
                <c:pt idx="41">
                  <c:v>88.458000000000013</c:v>
                </c:pt>
                <c:pt idx="42">
                  <c:v>104.687</c:v>
                </c:pt>
                <c:pt idx="43">
                  <c:v>84.432000000000002</c:v>
                </c:pt>
                <c:pt idx="44">
                  <c:v>79.186999999999998</c:v>
                </c:pt>
                <c:pt idx="45">
                  <c:v>58</c:v>
                </c:pt>
                <c:pt idx="46">
                  <c:v>17.7</c:v>
                </c:pt>
                <c:pt idx="47">
                  <c:v>4.22</c:v>
                </c:pt>
                <c:pt idx="48">
                  <c:v>70.343999999999994</c:v>
                </c:pt>
              </c:numCache>
            </c:numRef>
          </c:val>
        </c:ser>
        <c:ser>
          <c:idx val="1"/>
          <c:order val="1"/>
          <c:tx>
            <c:strRef>
              <c:f>'Státní rozpočet 3'!$B$29</c:f>
              <c:strCache>
                <c:ptCount val="1"/>
                <c:pt idx="0">
                  <c:v>Spořící státní dluhopisy</c:v>
                </c:pt>
              </c:strCache>
            </c:strRef>
          </c:tx>
          <c:spPr>
            <a:solidFill>
              <a:srgbClr val="E8AFB2"/>
            </a:solidFill>
          </c:spP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3'!$C$29:$AY$29</c:f>
              <c:numCache>
                <c:formatCode>#,##0</c:formatCode>
                <c:ptCount val="4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20.428999999999913</c:v>
                </c:pt>
                <c:pt idx="28">
                  <c:v>20.428999999999913</c:v>
                </c:pt>
                <c:pt idx="29">
                  <c:v>35.714000000000006</c:v>
                </c:pt>
                <c:pt idx="30">
                  <c:v>35.708000000000013</c:v>
                </c:pt>
                <c:pt idx="31">
                  <c:v>56.206000000000003</c:v>
                </c:pt>
                <c:pt idx="32">
                  <c:v>56.206000000000003</c:v>
                </c:pt>
                <c:pt idx="33">
                  <c:v>73.781999999999996</c:v>
                </c:pt>
                <c:pt idx="34">
                  <c:v>73.738</c:v>
                </c:pt>
                <c:pt idx="35">
                  <c:v>87.578999999999979</c:v>
                </c:pt>
                <c:pt idx="36">
                  <c:v>87.55</c:v>
                </c:pt>
                <c:pt idx="37">
                  <c:v>80.653999999999982</c:v>
                </c:pt>
                <c:pt idx="38">
                  <c:v>80.60899999999998</c:v>
                </c:pt>
                <c:pt idx="39">
                  <c:v>77.828999999999979</c:v>
                </c:pt>
                <c:pt idx="40">
                  <c:v>77.793000000000006</c:v>
                </c:pt>
                <c:pt idx="41">
                  <c:v>77.828999999999979</c:v>
                </c:pt>
                <c:pt idx="42">
                  <c:v>77.801000000000002</c:v>
                </c:pt>
                <c:pt idx="43">
                  <c:v>66.921999999999997</c:v>
                </c:pt>
                <c:pt idx="44">
                  <c:v>66.9110000000003</c:v>
                </c:pt>
                <c:pt idx="45">
                  <c:v>59.9</c:v>
                </c:pt>
                <c:pt idx="46">
                  <c:v>59.9</c:v>
                </c:pt>
                <c:pt idx="47">
                  <c:v>37.757373000000001</c:v>
                </c:pt>
                <c:pt idx="48">
                  <c:v>37.751000000000005</c:v>
                </c:pt>
              </c:numCache>
            </c:numRef>
          </c:val>
        </c:ser>
        <c:ser>
          <c:idx val="2"/>
          <c:order val="2"/>
          <c:tx>
            <c:strRef>
              <c:f>'Státní rozpočet 3'!$B$30</c:f>
              <c:strCache>
                <c:ptCount val="1"/>
                <c:pt idx="0">
                  <c:v>Dlouho(-středně)dobé st.dluhopisy</c:v>
                </c:pt>
              </c:strCache>
            </c:strRef>
          </c:tx>
          <c:spPr>
            <a:solidFill>
              <a:srgbClr val="A6CDE8"/>
            </a:solidFill>
          </c:spP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3'!$C$30:$AY$30</c:f>
              <c:numCache>
                <c:formatCode>#,##0</c:formatCode>
                <c:ptCount val="49"/>
                <c:pt idx="0">
                  <c:v>391.274</c:v>
                </c:pt>
                <c:pt idx="1">
                  <c:v>428.77099999999899</c:v>
                </c:pt>
                <c:pt idx="2">
                  <c:v>456.56</c:v>
                </c:pt>
                <c:pt idx="3">
                  <c:v>487.50299999999999</c:v>
                </c:pt>
                <c:pt idx="4">
                  <c:v>495.72099999999881</c:v>
                </c:pt>
                <c:pt idx="5">
                  <c:v>532.05399999999997</c:v>
                </c:pt>
                <c:pt idx="6">
                  <c:v>554.81699999999796</c:v>
                </c:pt>
                <c:pt idx="7">
                  <c:v>588.93499999999949</c:v>
                </c:pt>
                <c:pt idx="8">
                  <c:v>612.06099999999947</c:v>
                </c:pt>
                <c:pt idx="9">
                  <c:v>666.81999999999948</c:v>
                </c:pt>
                <c:pt idx="10">
                  <c:v>664.79500000000053</c:v>
                </c:pt>
                <c:pt idx="11">
                  <c:v>692.19400000000053</c:v>
                </c:pt>
                <c:pt idx="12">
                  <c:v>693.11500000000001</c:v>
                </c:pt>
                <c:pt idx="13">
                  <c:v>728.61800000000005</c:v>
                </c:pt>
                <c:pt idx="14">
                  <c:v>700.70399999999995</c:v>
                </c:pt>
                <c:pt idx="15">
                  <c:v>735.55099999999948</c:v>
                </c:pt>
                <c:pt idx="16">
                  <c:v>753.09699999999998</c:v>
                </c:pt>
                <c:pt idx="17">
                  <c:v>830.01</c:v>
                </c:pt>
                <c:pt idx="18">
                  <c:v>861.48699999999997</c:v>
                </c:pt>
                <c:pt idx="19">
                  <c:v>838.56699999999796</c:v>
                </c:pt>
                <c:pt idx="20">
                  <c:v>878.78000000000054</c:v>
                </c:pt>
                <c:pt idx="21">
                  <c:v>903.13300000000004</c:v>
                </c:pt>
                <c:pt idx="22">
                  <c:v>956.30699999999797</c:v>
                </c:pt>
                <c:pt idx="23">
                  <c:v>922.95099999999798</c:v>
                </c:pt>
                <c:pt idx="24">
                  <c:v>962.34499999999946</c:v>
                </c:pt>
                <c:pt idx="25">
                  <c:v>967.24099999999999</c:v>
                </c:pt>
                <c:pt idx="26">
                  <c:v>1003.614</c:v>
                </c:pt>
                <c:pt idx="27">
                  <c:v>999.13199999999949</c:v>
                </c:pt>
                <c:pt idx="28">
                  <c:v>1055.951</c:v>
                </c:pt>
                <c:pt idx="29">
                  <c:v>1063.3779999999999</c:v>
                </c:pt>
                <c:pt idx="30">
                  <c:v>1085.259</c:v>
                </c:pt>
                <c:pt idx="31">
                  <c:v>1042.0029999999999</c:v>
                </c:pt>
                <c:pt idx="32">
                  <c:v>1090.1229999999998</c:v>
                </c:pt>
                <c:pt idx="33">
                  <c:v>1060.3129999999999</c:v>
                </c:pt>
                <c:pt idx="34">
                  <c:v>1059.616</c:v>
                </c:pt>
                <c:pt idx="35">
                  <c:v>1079.675</c:v>
                </c:pt>
                <c:pt idx="36">
                  <c:v>1100.798</c:v>
                </c:pt>
                <c:pt idx="37">
                  <c:v>1150.5329999999999</c:v>
                </c:pt>
                <c:pt idx="38">
                  <c:v>1159.375</c:v>
                </c:pt>
                <c:pt idx="39">
                  <c:v>1175.655</c:v>
                </c:pt>
                <c:pt idx="40">
                  <c:v>1200.799</c:v>
                </c:pt>
                <c:pt idx="41">
                  <c:v>1189.82</c:v>
                </c:pt>
                <c:pt idx="42">
                  <c:v>1177.1919999999998</c:v>
                </c:pt>
                <c:pt idx="43">
                  <c:v>1235.1969999999999</c:v>
                </c:pt>
                <c:pt idx="44">
                  <c:v>1263.7760000000001</c:v>
                </c:pt>
                <c:pt idx="45">
                  <c:v>1288.8</c:v>
                </c:pt>
                <c:pt idx="46">
                  <c:v>1298.0999999999999</c:v>
                </c:pt>
                <c:pt idx="47">
                  <c:v>1301.5999999999999</c:v>
                </c:pt>
                <c:pt idx="48">
                  <c:v>1410.3129999999999</c:v>
                </c:pt>
              </c:numCache>
            </c:numRef>
          </c:val>
        </c:ser>
        <c:ser>
          <c:idx val="3"/>
          <c:order val="3"/>
          <c:tx>
            <c:strRef>
              <c:f>'Státní rozpočet 3'!$B$31</c:f>
              <c:strCache>
                <c:ptCount val="1"/>
                <c:pt idx="0">
                  <c:v>Krátkodobé zápůjčky a směnky</c:v>
                </c:pt>
              </c:strCache>
            </c:strRef>
          </c:tx>
          <c:spPr>
            <a:solidFill>
              <a:srgbClr val="0071BC"/>
            </a:solidFill>
          </c:spP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3'!$C$31:$AY$31</c:f>
              <c:numCache>
                <c:formatCode>#,##0</c:formatCode>
                <c:ptCount val="49"/>
                <c:pt idx="0">
                  <c:v>0</c:v>
                </c:pt>
                <c:pt idx="1">
                  <c:v>0</c:v>
                </c:pt>
                <c:pt idx="2">
                  <c:v>0</c:v>
                </c:pt>
                <c:pt idx="3">
                  <c:v>0</c:v>
                </c:pt>
                <c:pt idx="4">
                  <c:v>0</c:v>
                </c:pt>
                <c:pt idx="5">
                  <c:v>0</c:v>
                </c:pt>
                <c:pt idx="6">
                  <c:v>0</c:v>
                </c:pt>
                <c:pt idx="7">
                  <c:v>2.4</c:v>
                </c:pt>
                <c:pt idx="8">
                  <c:v>0</c:v>
                </c:pt>
                <c:pt idx="9">
                  <c:v>0</c:v>
                </c:pt>
                <c:pt idx="10">
                  <c:v>0</c:v>
                </c:pt>
                <c:pt idx="11">
                  <c:v>3.9000000000000014E-2</c:v>
                </c:pt>
                <c:pt idx="12">
                  <c:v>1.4E-2</c:v>
                </c:pt>
                <c:pt idx="13">
                  <c:v>0.79500000000000004</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8.1</c:v>
                </c:pt>
                <c:pt idx="30">
                  <c:v>0</c:v>
                </c:pt>
                <c:pt idx="31">
                  <c:v>0</c:v>
                </c:pt>
                <c:pt idx="32">
                  <c:v>0</c:v>
                </c:pt>
                <c:pt idx="33">
                  <c:v>0</c:v>
                </c:pt>
                <c:pt idx="34">
                  <c:v>1.585</c:v>
                </c:pt>
                <c:pt idx="35">
                  <c:v>0</c:v>
                </c:pt>
                <c:pt idx="36">
                  <c:v>3.2600000000000002</c:v>
                </c:pt>
                <c:pt idx="37">
                  <c:v>11.620999999999999</c:v>
                </c:pt>
                <c:pt idx="38">
                  <c:v>12.352000000000045</c:v>
                </c:pt>
                <c:pt idx="39">
                  <c:v>2.5449999999999999</c:v>
                </c:pt>
                <c:pt idx="40">
                  <c:v>4.9930000000000003</c:v>
                </c:pt>
                <c:pt idx="41">
                  <c:v>11.764000000000001</c:v>
                </c:pt>
                <c:pt idx="42">
                  <c:v>10.553000000000004</c:v>
                </c:pt>
                <c:pt idx="43">
                  <c:v>2.8549999999999978</c:v>
                </c:pt>
                <c:pt idx="44">
                  <c:v>1.357</c:v>
                </c:pt>
                <c:pt idx="45">
                  <c:v>0</c:v>
                </c:pt>
                <c:pt idx="46">
                  <c:v>1.5</c:v>
                </c:pt>
                <c:pt idx="47">
                  <c:v>0</c:v>
                </c:pt>
                <c:pt idx="48">
                  <c:v>2.0000000000000052E-3</c:v>
                </c:pt>
              </c:numCache>
            </c:numRef>
          </c:val>
        </c:ser>
        <c:ser>
          <c:idx val="4"/>
          <c:order val="4"/>
          <c:tx>
            <c:strRef>
              <c:f>'Státní rozpočet 3'!$B$32</c:f>
              <c:strCache>
                <c:ptCount val="1"/>
                <c:pt idx="0">
                  <c:v>Zahraniční emise dluhopisů</c:v>
                </c:pt>
              </c:strCache>
            </c:strRef>
          </c:tx>
          <c:spPr>
            <a:solidFill>
              <a:srgbClr val="7DBB2D"/>
            </a:solidFill>
          </c:spP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3'!$C$32:$AY$32</c:f>
              <c:numCache>
                <c:formatCode>#,##0</c:formatCode>
                <c:ptCount val="49"/>
                <c:pt idx="0">
                  <c:v>78.884999999999991</c:v>
                </c:pt>
                <c:pt idx="1">
                  <c:v>78.885999999999981</c:v>
                </c:pt>
                <c:pt idx="2">
                  <c:v>78.88</c:v>
                </c:pt>
                <c:pt idx="3">
                  <c:v>78.873999999999981</c:v>
                </c:pt>
                <c:pt idx="4">
                  <c:v>84.891000000000005</c:v>
                </c:pt>
                <c:pt idx="5">
                  <c:v>84.733000000000004</c:v>
                </c:pt>
                <c:pt idx="6">
                  <c:v>84.557999999999993</c:v>
                </c:pt>
                <c:pt idx="7">
                  <c:v>84.111999999999995</c:v>
                </c:pt>
                <c:pt idx="8">
                  <c:v>84.200999999999993</c:v>
                </c:pt>
                <c:pt idx="9">
                  <c:v>84.04</c:v>
                </c:pt>
                <c:pt idx="10">
                  <c:v>83.929000000000002</c:v>
                </c:pt>
                <c:pt idx="11">
                  <c:v>83.685999999999979</c:v>
                </c:pt>
                <c:pt idx="12">
                  <c:v>83.658999999999978</c:v>
                </c:pt>
                <c:pt idx="13">
                  <c:v>131.55800000000053</c:v>
                </c:pt>
                <c:pt idx="14">
                  <c:v>133.07299999999998</c:v>
                </c:pt>
                <c:pt idx="15">
                  <c:v>137.87</c:v>
                </c:pt>
                <c:pt idx="16">
                  <c:v>138.38500000000047</c:v>
                </c:pt>
                <c:pt idx="17">
                  <c:v>175.62700000000001</c:v>
                </c:pt>
                <c:pt idx="18">
                  <c:v>173.05600000000001</c:v>
                </c:pt>
                <c:pt idx="19">
                  <c:v>193.018</c:v>
                </c:pt>
                <c:pt idx="20">
                  <c:v>189.80800000000053</c:v>
                </c:pt>
                <c:pt idx="21">
                  <c:v>192.506</c:v>
                </c:pt>
                <c:pt idx="22">
                  <c:v>237.06300000000002</c:v>
                </c:pt>
                <c:pt idx="23">
                  <c:v>240.29599999999999</c:v>
                </c:pt>
                <c:pt idx="24">
                  <c:v>237.41399999999999</c:v>
                </c:pt>
                <c:pt idx="25">
                  <c:v>237.08600000000001</c:v>
                </c:pt>
                <c:pt idx="26">
                  <c:v>240.11599999999999</c:v>
                </c:pt>
                <c:pt idx="27">
                  <c:v>245.74599999999998</c:v>
                </c:pt>
                <c:pt idx="28">
                  <c:v>288.46499999999969</c:v>
                </c:pt>
                <c:pt idx="29">
                  <c:v>295.37599999999969</c:v>
                </c:pt>
                <c:pt idx="30">
                  <c:v>290.82499999999999</c:v>
                </c:pt>
                <c:pt idx="31">
                  <c:v>310.28599999999881</c:v>
                </c:pt>
                <c:pt idx="32">
                  <c:v>313.73399999999845</c:v>
                </c:pt>
                <c:pt idx="33">
                  <c:v>314.565</c:v>
                </c:pt>
                <c:pt idx="34">
                  <c:v>313.14100000000002</c:v>
                </c:pt>
                <c:pt idx="35">
                  <c:v>323.68200000000002</c:v>
                </c:pt>
                <c:pt idx="36">
                  <c:v>323.94499999999999</c:v>
                </c:pt>
                <c:pt idx="37">
                  <c:v>275.38900000000001</c:v>
                </c:pt>
                <c:pt idx="38">
                  <c:v>275.81900000000002</c:v>
                </c:pt>
                <c:pt idx="39">
                  <c:v>239.57599999999999</c:v>
                </c:pt>
                <c:pt idx="40">
                  <c:v>238.19399999999999</c:v>
                </c:pt>
                <c:pt idx="41">
                  <c:v>235.67399999999998</c:v>
                </c:pt>
                <c:pt idx="42">
                  <c:v>234.67299999999997</c:v>
                </c:pt>
                <c:pt idx="43">
                  <c:v>225.61899999999997</c:v>
                </c:pt>
                <c:pt idx="44">
                  <c:v>225.89400000000001</c:v>
                </c:pt>
                <c:pt idx="45">
                  <c:v>227.3</c:v>
                </c:pt>
                <c:pt idx="46">
                  <c:v>226.5</c:v>
                </c:pt>
                <c:pt idx="47">
                  <c:v>213.524</c:v>
                </c:pt>
                <c:pt idx="48">
                  <c:v>213.786</c:v>
                </c:pt>
              </c:numCache>
            </c:numRef>
          </c:val>
        </c:ser>
        <c:ser>
          <c:idx val="5"/>
          <c:order val="5"/>
          <c:tx>
            <c:strRef>
              <c:f>'Státní rozpočet 3'!$B$33</c:f>
              <c:strCache>
                <c:ptCount val="1"/>
                <c:pt idx="0">
                  <c:v>Úvěry od EIB</c:v>
                </c:pt>
              </c:strCache>
            </c:strRef>
          </c:tx>
          <c:spPr>
            <a:solidFill>
              <a:srgbClr val="D2E7B6"/>
            </a:solidFill>
          </c:spP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3'!$C$33:$AY$33</c:f>
              <c:numCache>
                <c:formatCode>#,##0</c:formatCode>
                <c:ptCount val="49"/>
                <c:pt idx="0">
                  <c:v>20.655000000000001</c:v>
                </c:pt>
                <c:pt idx="1">
                  <c:v>26.164000000000001</c:v>
                </c:pt>
                <c:pt idx="2">
                  <c:v>28.332000000000001</c:v>
                </c:pt>
                <c:pt idx="3">
                  <c:v>29.731999999999999</c:v>
                </c:pt>
                <c:pt idx="4">
                  <c:v>29.901999999999987</c:v>
                </c:pt>
                <c:pt idx="5">
                  <c:v>32.028000000000013</c:v>
                </c:pt>
                <c:pt idx="6">
                  <c:v>34.298000000000158</c:v>
                </c:pt>
                <c:pt idx="7">
                  <c:v>36.704000000000001</c:v>
                </c:pt>
                <c:pt idx="8">
                  <c:v>36.704000000000001</c:v>
                </c:pt>
                <c:pt idx="9">
                  <c:v>38.434000000000005</c:v>
                </c:pt>
                <c:pt idx="10">
                  <c:v>38.743000000000002</c:v>
                </c:pt>
                <c:pt idx="11">
                  <c:v>38.743000000000002</c:v>
                </c:pt>
                <c:pt idx="12">
                  <c:v>35.907000000000004</c:v>
                </c:pt>
                <c:pt idx="13">
                  <c:v>38.913999999999994</c:v>
                </c:pt>
                <c:pt idx="14">
                  <c:v>45.838000000000001</c:v>
                </c:pt>
                <c:pt idx="15">
                  <c:v>46.811999999999998</c:v>
                </c:pt>
                <c:pt idx="16">
                  <c:v>47.237000000000002</c:v>
                </c:pt>
                <c:pt idx="17">
                  <c:v>51.226000000000013</c:v>
                </c:pt>
                <c:pt idx="18">
                  <c:v>53.134</c:v>
                </c:pt>
                <c:pt idx="19">
                  <c:v>57.911999999999999</c:v>
                </c:pt>
                <c:pt idx="20">
                  <c:v>60.056999999999995</c:v>
                </c:pt>
                <c:pt idx="21">
                  <c:v>60.694000000000003</c:v>
                </c:pt>
                <c:pt idx="22">
                  <c:v>62.394000000000005</c:v>
                </c:pt>
                <c:pt idx="23">
                  <c:v>67.184999999999988</c:v>
                </c:pt>
                <c:pt idx="24">
                  <c:v>66.826999999999998</c:v>
                </c:pt>
                <c:pt idx="25">
                  <c:v>67.218000000000004</c:v>
                </c:pt>
                <c:pt idx="26">
                  <c:v>69.516000000000005</c:v>
                </c:pt>
                <c:pt idx="27">
                  <c:v>71.322999999999979</c:v>
                </c:pt>
                <c:pt idx="28">
                  <c:v>70.965000000000003</c:v>
                </c:pt>
                <c:pt idx="29">
                  <c:v>69.756</c:v>
                </c:pt>
                <c:pt idx="30">
                  <c:v>68.459000000000003</c:v>
                </c:pt>
                <c:pt idx="31">
                  <c:v>70.003</c:v>
                </c:pt>
                <c:pt idx="32">
                  <c:v>69.644999999999996</c:v>
                </c:pt>
                <c:pt idx="33">
                  <c:v>67.778999999999982</c:v>
                </c:pt>
                <c:pt idx="34">
                  <c:v>67.870999999999981</c:v>
                </c:pt>
                <c:pt idx="35">
                  <c:v>71.512</c:v>
                </c:pt>
                <c:pt idx="36">
                  <c:v>70.260999999999996</c:v>
                </c:pt>
                <c:pt idx="37">
                  <c:v>66.956999999999994</c:v>
                </c:pt>
                <c:pt idx="38">
                  <c:v>64.012</c:v>
                </c:pt>
                <c:pt idx="39">
                  <c:v>60.432000000000002</c:v>
                </c:pt>
                <c:pt idx="40">
                  <c:v>59.674000000000007</c:v>
                </c:pt>
                <c:pt idx="41">
                  <c:v>59.491</c:v>
                </c:pt>
                <c:pt idx="42">
                  <c:v>58.134</c:v>
                </c:pt>
                <c:pt idx="43">
                  <c:v>57.950999999999993</c:v>
                </c:pt>
                <c:pt idx="44">
                  <c:v>57.593000000000011</c:v>
                </c:pt>
                <c:pt idx="45">
                  <c:v>57.4</c:v>
                </c:pt>
                <c:pt idx="46">
                  <c:v>56.5</c:v>
                </c:pt>
                <c:pt idx="47">
                  <c:v>56.3</c:v>
                </c:pt>
                <c:pt idx="48">
                  <c:v>55.911999999999999</c:v>
                </c:pt>
              </c:numCache>
            </c:numRef>
          </c:val>
        </c:ser>
        <c:gapWidth val="53"/>
        <c:overlap val="100"/>
        <c:axId val="124619008"/>
        <c:axId val="124624896"/>
      </c:barChart>
      <c:lineChart>
        <c:grouping val="standard"/>
        <c:ser>
          <c:idx val="6"/>
          <c:order val="6"/>
          <c:tx>
            <c:strRef>
              <c:f>'Státní rozpočet 3'!$B$34</c:f>
              <c:strCache>
                <c:ptCount val="1"/>
                <c:pt idx="0">
                  <c:v>% dluhopisů v držbě nerezidentů</c:v>
                </c:pt>
              </c:strCache>
            </c:strRef>
          </c:tx>
          <c:spPr>
            <a:ln w="19050">
              <a:solidFill>
                <a:schemeClr val="tx1"/>
              </a:solidFill>
            </a:ln>
          </c:spPr>
          <c:marker>
            <c:symbol val="none"/>
          </c:marker>
          <c:cat>
            <c:multiLvlStrRef>
              <c:f>'Státní rozpočet 3'!$C$26:$AY$27</c:f>
              <c:multiLvlStrCache>
                <c:ptCount val="4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c:v>
                  </c:pt>
                </c:lvl>
              </c:multiLvlStrCache>
            </c:multiLvlStrRef>
          </c:cat>
          <c:val>
            <c:numRef>
              <c:f>'Státní rozpočet 3'!$C$34:$AY$34</c:f>
              <c:numCache>
                <c:formatCode>0.0</c:formatCode>
                <c:ptCount val="49"/>
                <c:pt idx="0">
                  <c:v>10.265992704390317</c:v>
                </c:pt>
                <c:pt idx="1">
                  <c:v>10.923088048331014</c:v>
                </c:pt>
                <c:pt idx="2">
                  <c:v>13.145252386172798</c:v>
                </c:pt>
                <c:pt idx="3">
                  <c:v>13.001503685169766</c:v>
                </c:pt>
                <c:pt idx="4">
                  <c:v>13.304825460196497</c:v>
                </c:pt>
                <c:pt idx="5">
                  <c:v>13.130686728399851</c:v>
                </c:pt>
                <c:pt idx="6">
                  <c:v>12.754669045605075</c:v>
                </c:pt>
                <c:pt idx="7">
                  <c:v>14.023012638423275</c:v>
                </c:pt>
                <c:pt idx="8">
                  <c:v>14.540668674784499</c:v>
                </c:pt>
                <c:pt idx="9">
                  <c:v>16.0174856396286</c:v>
                </c:pt>
                <c:pt idx="10">
                  <c:v>14.915904603224822</c:v>
                </c:pt>
                <c:pt idx="11">
                  <c:v>15.636328283334789</c:v>
                </c:pt>
                <c:pt idx="12">
                  <c:v>18.071642557457089</c:v>
                </c:pt>
                <c:pt idx="13">
                  <c:v>17.908165316315252</c:v>
                </c:pt>
                <c:pt idx="14">
                  <c:v>16.786365018341076</c:v>
                </c:pt>
                <c:pt idx="15">
                  <c:v>11.3672591269615</c:v>
                </c:pt>
                <c:pt idx="16">
                  <c:v>9.6178712100545489</c:v>
                </c:pt>
                <c:pt idx="17">
                  <c:v>9.4410888328706157</c:v>
                </c:pt>
                <c:pt idx="18">
                  <c:v>10.794621127623005</c:v>
                </c:pt>
                <c:pt idx="19">
                  <c:v>10.410776619638721</c:v>
                </c:pt>
                <c:pt idx="20">
                  <c:v>11.225493284964054</c:v>
                </c:pt>
                <c:pt idx="21">
                  <c:v>11.79232663254435</c:v>
                </c:pt>
                <c:pt idx="22">
                  <c:v>12.641224199198549</c:v>
                </c:pt>
                <c:pt idx="23">
                  <c:v>12.83741347982785</c:v>
                </c:pt>
                <c:pt idx="24">
                  <c:v>13.318501834003582</c:v>
                </c:pt>
                <c:pt idx="25">
                  <c:v>14.830507060003551</c:v>
                </c:pt>
                <c:pt idx="26">
                  <c:v>14.66050980041847</c:v>
                </c:pt>
                <c:pt idx="27">
                  <c:v>14.171926415445183</c:v>
                </c:pt>
                <c:pt idx="28">
                  <c:v>12.926745930684422</c:v>
                </c:pt>
                <c:pt idx="29">
                  <c:v>12.792771834252662</c:v>
                </c:pt>
                <c:pt idx="30">
                  <c:v>12.77686883709845</c:v>
                </c:pt>
                <c:pt idx="31">
                  <c:v>12.215676084031044</c:v>
                </c:pt>
                <c:pt idx="32">
                  <c:v>13.255297631418404</c:v>
                </c:pt>
                <c:pt idx="33">
                  <c:v>13.350273439240414</c:v>
                </c:pt>
                <c:pt idx="34">
                  <c:v>13.057915258672836</c:v>
                </c:pt>
                <c:pt idx="35">
                  <c:v>14.997789266625279</c:v>
                </c:pt>
                <c:pt idx="36">
                  <c:v>14.974431008283176</c:v>
                </c:pt>
                <c:pt idx="37">
                  <c:v>14.162303131717232</c:v>
                </c:pt>
                <c:pt idx="38">
                  <c:v>14.499025313524356</c:v>
                </c:pt>
                <c:pt idx="39">
                  <c:v>14.49378333679272</c:v>
                </c:pt>
                <c:pt idx="40">
                  <c:v>17.111328570972969</c:v>
                </c:pt>
                <c:pt idx="41">
                  <c:v>17.385520699212726</c:v>
                </c:pt>
                <c:pt idx="42">
                  <c:v>18.843809422995431</c:v>
                </c:pt>
                <c:pt idx="43">
                  <c:v>21.274294138798233</c:v>
                </c:pt>
                <c:pt idx="44">
                  <c:v>24.684449907953049</c:v>
                </c:pt>
                <c:pt idx="45">
                  <c:v>26.121406197883733</c:v>
                </c:pt>
                <c:pt idx="46">
                  <c:v>28.36</c:v>
                </c:pt>
                <c:pt idx="47">
                  <c:v>31.557426806363559</c:v>
                </c:pt>
                <c:pt idx="48">
                  <c:v>47.262759844202428</c:v>
                </c:pt>
              </c:numCache>
            </c:numRef>
          </c:val>
        </c:ser>
        <c:marker val="1"/>
        <c:axId val="124627968"/>
        <c:axId val="124626432"/>
      </c:lineChart>
      <c:catAx>
        <c:axId val="124619008"/>
        <c:scaling>
          <c:orientation val="minMax"/>
        </c:scaling>
        <c:axPos val="b"/>
        <c:tickLblPos val="nextTo"/>
        <c:spPr>
          <a:ln>
            <a:solidFill>
              <a:schemeClr val="tx1"/>
            </a:solidFill>
          </a:ln>
        </c:spPr>
        <c:crossAx val="124624896"/>
        <c:crosses val="autoZero"/>
        <c:auto val="1"/>
        <c:lblAlgn val="ctr"/>
        <c:lblOffset val="100"/>
      </c:catAx>
      <c:valAx>
        <c:axId val="124624896"/>
        <c:scaling>
          <c:orientation val="minMax"/>
          <c:max val="2000"/>
        </c:scaling>
        <c:axPos val="l"/>
        <c:majorGridlines>
          <c:spPr>
            <a:ln w="6350">
              <a:solidFill>
                <a:schemeClr val="bg1">
                  <a:lumMod val="75000"/>
                </a:schemeClr>
              </a:solidFill>
            </a:ln>
          </c:spPr>
        </c:majorGridlines>
        <c:numFmt formatCode="#,##0" sourceLinked="1"/>
        <c:tickLblPos val="nextTo"/>
        <c:spPr>
          <a:ln>
            <a:solidFill>
              <a:schemeClr val="tx1"/>
            </a:solidFill>
          </a:ln>
        </c:spPr>
        <c:crossAx val="124619008"/>
        <c:crosses val="autoZero"/>
        <c:crossBetween val="between"/>
      </c:valAx>
      <c:valAx>
        <c:axId val="124626432"/>
        <c:scaling>
          <c:orientation val="minMax"/>
          <c:max val="50"/>
          <c:min val="0"/>
        </c:scaling>
        <c:axPos val="r"/>
        <c:numFmt formatCode="0" sourceLinked="0"/>
        <c:tickLblPos val="nextTo"/>
        <c:spPr>
          <a:ln>
            <a:solidFill>
              <a:schemeClr val="tx1"/>
            </a:solidFill>
          </a:ln>
        </c:spPr>
        <c:crossAx val="124627968"/>
        <c:crosses val="max"/>
        <c:crossBetween val="between"/>
        <c:majorUnit val="5"/>
      </c:valAx>
      <c:catAx>
        <c:axId val="124627968"/>
        <c:scaling>
          <c:orientation val="minMax"/>
        </c:scaling>
        <c:delete val="1"/>
        <c:axPos val="b"/>
        <c:tickLblPos val="none"/>
        <c:crossAx val="124626432"/>
        <c:crosses val="autoZero"/>
        <c:auto val="1"/>
        <c:lblAlgn val="ctr"/>
        <c:lblOffset val="100"/>
      </c:catAx>
      <c:spPr>
        <a:ln w="9525">
          <a:solidFill>
            <a:schemeClr val="tx1"/>
          </a:solidFill>
        </a:ln>
      </c:spPr>
    </c:plotArea>
    <c:legend>
      <c:legendPos val="b"/>
      <c:layout>
        <c:manualLayout>
          <c:xMode val="edge"/>
          <c:yMode val="edge"/>
          <c:x val="7.2101206564957457E-2"/>
          <c:y val="0.84535545423843705"/>
          <c:w val="0.88024441441740275"/>
          <c:h val="0.15204625428542545"/>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948352704928253E-2"/>
          <c:y val="2.8458510079622041E-2"/>
          <c:w val="0.93956464282120555"/>
          <c:h val="0.6497469886299676"/>
        </c:manualLayout>
      </c:layout>
      <c:barChart>
        <c:barDir val="col"/>
        <c:grouping val="stacked"/>
        <c:ser>
          <c:idx val="5"/>
          <c:order val="1"/>
          <c:tx>
            <c:strRef>
              <c:f>'souhrnná výkonnost 3'!$D$5</c:f>
              <c:strCache>
                <c:ptCount val="1"/>
                <c:pt idx="0">
                  <c:v>Výdaje na konečnou spotřebu domácností (vč. nezisk. inst.)</c:v>
                </c:pt>
              </c:strCache>
            </c:strRef>
          </c:tx>
          <c:spPr>
            <a:solidFill>
              <a:srgbClr val="0071BC"/>
            </a:solidFill>
            <a:ln>
              <a:noFill/>
            </a:ln>
          </c:spPr>
          <c:val>
            <c:numRef>
              <c:f>'souhrnná výkonnost 3'!$D$10:$D$26</c:f>
              <c:numCache>
                <c:formatCode>#,##0.0</c:formatCode>
                <c:ptCount val="17"/>
                <c:pt idx="0">
                  <c:v>0.38460868319953651</c:v>
                </c:pt>
                <c:pt idx="1">
                  <c:v>0.38080674988057717</c:v>
                </c:pt>
                <c:pt idx="2">
                  <c:v>0.11936440701875382</c:v>
                </c:pt>
                <c:pt idx="3">
                  <c:v>-0.12248235332147196</c:v>
                </c:pt>
                <c:pt idx="4">
                  <c:v>-0.3138860069439745</c:v>
                </c:pt>
                <c:pt idx="5">
                  <c:v>9.8222633430611866E-3</c:v>
                </c:pt>
                <c:pt idx="6">
                  <c:v>0.70194277673633287</c:v>
                </c:pt>
                <c:pt idx="7">
                  <c:v>1.0375254911027258</c:v>
                </c:pt>
                <c:pt idx="8">
                  <c:v>1.1302492839383664</c:v>
                </c:pt>
                <c:pt idx="9">
                  <c:v>1.0400225755827188</c:v>
                </c:pt>
                <c:pt idx="10">
                  <c:v>0.86676052684576854</c:v>
                </c:pt>
                <c:pt idx="11">
                  <c:v>0.84272560509746475</c:v>
                </c:pt>
                <c:pt idx="12">
                  <c:v>0.86255692826867814</c:v>
                </c:pt>
                <c:pt idx="13">
                  <c:v>0.97031889433542562</c:v>
                </c:pt>
                <c:pt idx="14">
                  <c:v>1.3404861994837043</c:v>
                </c:pt>
                <c:pt idx="15">
                  <c:v>1.3754442514033616</c:v>
                </c:pt>
                <c:pt idx="16">
                  <c:v>1.0369631408933844</c:v>
                </c:pt>
              </c:numCache>
            </c:numRef>
          </c:val>
        </c:ser>
        <c:ser>
          <c:idx val="4"/>
          <c:order val="2"/>
          <c:tx>
            <c:strRef>
              <c:f>'souhrnná výkonnost 3'!$E$5</c:f>
              <c:strCache>
                <c:ptCount val="1"/>
                <c:pt idx="0">
                  <c:v>Výdaje na konečnou spotřebu vládních institucí</c:v>
                </c:pt>
              </c:strCache>
            </c:strRef>
          </c:tx>
          <c:spPr>
            <a:solidFill>
              <a:srgbClr val="A6CDE8"/>
            </a:solidFill>
            <a:ln>
              <a:noFill/>
            </a:ln>
          </c:spPr>
          <c:val>
            <c:numRef>
              <c:f>'souhrnná výkonnost 3'!$E$10:$E$26</c:f>
              <c:numCache>
                <c:formatCode>#,##0.0</c:formatCode>
                <c:ptCount val="17"/>
                <c:pt idx="0">
                  <c:v>0.27776891808534832</c:v>
                </c:pt>
                <c:pt idx="1">
                  <c:v>0.3591825540732575</c:v>
                </c:pt>
                <c:pt idx="2">
                  <c:v>0.64798994002997234</c:v>
                </c:pt>
                <c:pt idx="3">
                  <c:v>0.52415599235557686</c:v>
                </c:pt>
                <c:pt idx="4">
                  <c:v>0.18121000209187962</c:v>
                </c:pt>
                <c:pt idx="5">
                  <c:v>0.37093971201964954</c:v>
                </c:pt>
                <c:pt idx="6">
                  <c:v>2.0076043475000634E-2</c:v>
                </c:pt>
                <c:pt idx="7">
                  <c:v>0.38826780572518332</c:v>
                </c:pt>
                <c:pt idx="8">
                  <c:v>0.25320168679198329</c:v>
                </c:pt>
                <c:pt idx="9">
                  <c:v>0.27764778498652776</c:v>
                </c:pt>
                <c:pt idx="10">
                  <c:v>0.61351947275851493</c:v>
                </c:pt>
                <c:pt idx="11">
                  <c:v>0.32875983120567925</c:v>
                </c:pt>
                <c:pt idx="12">
                  <c:v>0.26798154787803341</c:v>
                </c:pt>
                <c:pt idx="13">
                  <c:v>0.45238764628414746</c:v>
                </c:pt>
                <c:pt idx="14">
                  <c:v>0.16227358832720143</c:v>
                </c:pt>
                <c:pt idx="15">
                  <c:v>4.1112034604368415E-2</c:v>
                </c:pt>
                <c:pt idx="16">
                  <c:v>0.46051328757759308</c:v>
                </c:pt>
              </c:numCache>
            </c:numRef>
          </c:val>
        </c:ser>
        <c:ser>
          <c:idx val="3"/>
          <c:order val="3"/>
          <c:tx>
            <c:strRef>
              <c:f>'souhrnná výkonnost 3'!$J$5</c:f>
              <c:strCache>
                <c:ptCount val="1"/>
                <c:pt idx="0">
                  <c:v>Tvorba hrubého kapitálu</c:v>
                </c:pt>
              </c:strCache>
            </c:strRef>
          </c:tx>
          <c:spPr>
            <a:solidFill>
              <a:srgbClr val="BD1B21"/>
            </a:solidFill>
            <a:ln>
              <a:noFill/>
            </a:ln>
          </c:spPr>
          <c:val>
            <c:numRef>
              <c:f>'souhrnná výkonnost 3'!$J$10:$J$26</c:f>
              <c:numCache>
                <c:formatCode>#,##0.0</c:formatCode>
                <c:ptCount val="17"/>
                <c:pt idx="0">
                  <c:v>-1.3967940821530818</c:v>
                </c:pt>
                <c:pt idx="1">
                  <c:v>-2.851040772583596</c:v>
                </c:pt>
                <c:pt idx="2">
                  <c:v>-4.5717511214794337E-2</c:v>
                </c:pt>
                <c:pt idx="3">
                  <c:v>0.36338941104248118</c:v>
                </c:pt>
                <c:pt idx="4">
                  <c:v>-1.2469862138961322E-2</c:v>
                </c:pt>
                <c:pt idx="5">
                  <c:v>1.8028822674776512</c:v>
                </c:pt>
                <c:pt idx="6">
                  <c:v>1.2422047187129563</c:v>
                </c:pt>
                <c:pt idx="7">
                  <c:v>0.30938723391783218</c:v>
                </c:pt>
                <c:pt idx="8">
                  <c:v>2.8557966981085237</c:v>
                </c:pt>
                <c:pt idx="9">
                  <c:v>3.1967309061710671</c:v>
                </c:pt>
                <c:pt idx="10">
                  <c:v>2.2330600355021435</c:v>
                </c:pt>
                <c:pt idx="11">
                  <c:v>1.0746260409745054</c:v>
                </c:pt>
                <c:pt idx="12">
                  <c:v>0.65007119542772562</c:v>
                </c:pt>
                <c:pt idx="13">
                  <c:v>-0.85849017879551204</c:v>
                </c:pt>
                <c:pt idx="14">
                  <c:v>-0.21600138953353226</c:v>
                </c:pt>
                <c:pt idx="15">
                  <c:v>-0.39013249651246823</c:v>
                </c:pt>
                <c:pt idx="16">
                  <c:v>-0.37603361865842483</c:v>
                </c:pt>
              </c:numCache>
            </c:numRef>
          </c:val>
        </c:ser>
        <c:ser>
          <c:idx val="1"/>
          <c:order val="4"/>
          <c:tx>
            <c:strRef>
              <c:f>'souhrnná výkonnost 3'!$H$5</c:f>
              <c:strCache>
                <c:ptCount val="1"/>
                <c:pt idx="0">
                  <c:v>Bilance zahraničního obchodu</c:v>
                </c:pt>
              </c:strCache>
            </c:strRef>
          </c:tx>
          <c:spPr>
            <a:solidFill>
              <a:srgbClr val="7DBB2D"/>
            </a:solidFill>
            <a:ln>
              <a:noFill/>
            </a:ln>
          </c:spPr>
          <c:val>
            <c:numRef>
              <c:f>'souhrnná výkonnost 3'!$H$10:$H$26</c:f>
              <c:numCache>
                <c:formatCode>#,##0.0</c:formatCode>
                <c:ptCount val="17"/>
                <c:pt idx="0">
                  <c:v>-1.1059209427183077</c:v>
                </c:pt>
                <c:pt idx="1">
                  <c:v>0.96606258298063219</c:v>
                </c:pt>
                <c:pt idx="2">
                  <c:v>-1.0909221346050695</c:v>
                </c:pt>
                <c:pt idx="3">
                  <c:v>0.5543292070322301</c:v>
                </c:pt>
                <c:pt idx="4">
                  <c:v>2.0663995630788179</c:v>
                </c:pt>
                <c:pt idx="5">
                  <c:v>0.36457773242542491</c:v>
                </c:pt>
                <c:pt idx="6">
                  <c:v>1.408763729171798</c:v>
                </c:pt>
                <c:pt idx="7">
                  <c:v>1.1776227551161738</c:v>
                </c:pt>
                <c:pt idx="8">
                  <c:v>0.35515708845923383</c:v>
                </c:pt>
                <c:pt idx="9">
                  <c:v>0.48377943831943782</c:v>
                </c:pt>
                <c:pt idx="10">
                  <c:v>1.1107492623644266</c:v>
                </c:pt>
                <c:pt idx="11">
                  <c:v>1.777328936880288</c:v>
                </c:pt>
                <c:pt idx="12">
                  <c:v>1.214548986870758</c:v>
                </c:pt>
                <c:pt idx="13">
                  <c:v>1.9844679009086597</c:v>
                </c:pt>
                <c:pt idx="14">
                  <c:v>0.52872381664171009</c:v>
                </c:pt>
                <c:pt idx="15">
                  <c:v>0.89756452052311453</c:v>
                </c:pt>
                <c:pt idx="16">
                  <c:v>1.7410043828028889</c:v>
                </c:pt>
              </c:numCache>
            </c:numRef>
          </c:val>
        </c:ser>
        <c:gapWidth val="40"/>
        <c:overlap val="100"/>
        <c:axId val="123945728"/>
        <c:axId val="123947264"/>
      </c:barChart>
      <c:lineChart>
        <c:grouping val="standard"/>
        <c:ser>
          <c:idx val="0"/>
          <c:order val="0"/>
          <c:tx>
            <c:strRef>
              <c:f>'souhrnná výkonnost 3'!$C$5</c:f>
              <c:strCache>
                <c:ptCount val="1"/>
                <c:pt idx="0">
                  <c:v>HDP</c:v>
                </c:pt>
              </c:strCache>
            </c:strRef>
          </c:tx>
          <c:spPr>
            <a:ln>
              <a:solidFill>
                <a:prstClr val="black"/>
              </a:solidFill>
            </a:ln>
          </c:spPr>
          <c:marker>
            <c:symbol val="none"/>
          </c:marker>
          <c:cat>
            <c:multiLvlStrRef>
              <c:f>'souhrnná výkonnost 3'!$A$10:$B$26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'souhrnná výkonnost 3'!$C$10:$C$26</c:f>
              <c:numCache>
                <c:formatCode>#,##0.0</c:formatCode>
                <c:ptCount val="17"/>
                <c:pt idx="0">
                  <c:v>-1.8183240994123744</c:v>
                </c:pt>
                <c:pt idx="1">
                  <c:v>-1.1346359154058603</c:v>
                </c:pt>
                <c:pt idx="2">
                  <c:v>-0.31855910189885767</c:v>
                </c:pt>
                <c:pt idx="3">
                  <c:v>1.3442938337462169</c:v>
                </c:pt>
                <c:pt idx="4">
                  <c:v>1.9118657875327358</c:v>
                </c:pt>
                <c:pt idx="5">
                  <c:v>2.5704618333533729</c:v>
                </c:pt>
                <c:pt idx="6">
                  <c:v>3.4094329084640731</c:v>
                </c:pt>
                <c:pt idx="7">
                  <c:v>2.9599504950552333</c:v>
                </c:pt>
                <c:pt idx="8">
                  <c:v>4.6183316957481404</c:v>
                </c:pt>
                <c:pt idx="9">
                  <c:v>5.004471084473459</c:v>
                </c:pt>
                <c:pt idx="10">
                  <c:v>4.8146133276957999</c:v>
                </c:pt>
                <c:pt idx="11">
                  <c:v>4.0266999877712824</c:v>
                </c:pt>
                <c:pt idx="12">
                  <c:v>3.012100436980099</c:v>
                </c:pt>
                <c:pt idx="13">
                  <c:v>2.5615225459731992</c:v>
                </c:pt>
                <c:pt idx="14">
                  <c:v>1.795953840723248</c:v>
                </c:pt>
                <c:pt idx="15">
                  <c:v>1.8904504619906437</c:v>
                </c:pt>
                <c:pt idx="16">
                  <c:v>2.9</c:v>
                </c:pt>
              </c:numCache>
            </c:numRef>
          </c:val>
        </c:ser>
        <c:marker val="1"/>
        <c:axId val="123945728"/>
        <c:axId val="123947264"/>
      </c:lineChart>
      <c:catAx>
        <c:axId val="123945728"/>
        <c:scaling>
          <c:orientation val="minMax"/>
        </c:scaling>
        <c:axPos val="b"/>
        <c:tickLblPos val="low"/>
        <c:spPr>
          <a:ln>
            <a:solidFill>
              <a:schemeClr val="tx1"/>
            </a:solidFill>
          </a:ln>
        </c:spPr>
        <c:txPr>
          <a:bodyPr rot="0" vert="horz"/>
          <a:lstStyle/>
          <a:p>
            <a:pPr>
              <a:defRPr/>
            </a:pPr>
            <a:endParaRPr lang="cs-CZ"/>
          </a:p>
        </c:txPr>
        <c:crossAx val="123947264"/>
        <c:crosses val="autoZero"/>
        <c:auto val="1"/>
        <c:lblAlgn val="ctr"/>
        <c:lblOffset val="100"/>
      </c:catAx>
      <c:valAx>
        <c:axId val="123947264"/>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23945728"/>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404035346808465E-2"/>
          <c:y val="3.7154479717354444E-2"/>
          <c:w val="0.93674937195830155"/>
          <c:h val="0.63445260610154264"/>
        </c:manualLayout>
      </c:layout>
      <c:barChart>
        <c:barDir val="col"/>
        <c:grouping val="stacked"/>
        <c:ser>
          <c:idx val="4"/>
          <c:order val="0"/>
          <c:tx>
            <c:strRef>
              <c:f>'souhrnná výkonnost 4'!$C$5</c:f>
              <c:strCache>
                <c:ptCount val="1"/>
                <c:pt idx="0">
                  <c:v>Zemědělství, lesnictví a rybářství</c:v>
                </c:pt>
              </c:strCache>
            </c:strRef>
          </c:tx>
          <c:spPr>
            <a:solidFill>
              <a:srgbClr val="0071BC"/>
            </a:solidFill>
            <a:ln>
              <a:noFill/>
            </a:ln>
          </c:spPr>
          <c:val>
            <c:numRef>
              <c:f>'souhrnná výkonnost 4'!$C$10:$C$26</c:f>
              <c:numCache>
                <c:formatCode>#,##0.0</c:formatCode>
                <c:ptCount val="17"/>
                <c:pt idx="0">
                  <c:v>-2.8700725413310851E-2</c:v>
                </c:pt>
                <c:pt idx="1">
                  <c:v>-0.1237163377572455</c:v>
                </c:pt>
                <c:pt idx="2">
                  <c:v>-0.10582435265615225</c:v>
                </c:pt>
                <c:pt idx="3">
                  <c:v>2.7509486087323523E-3</c:v>
                </c:pt>
                <c:pt idx="4">
                  <c:v>8.0382098390950646E-2</c:v>
                </c:pt>
                <c:pt idx="5">
                  <c:v>0.25121214663618885</c:v>
                </c:pt>
                <c:pt idx="6">
                  <c:v>0.29927249906963255</c:v>
                </c:pt>
                <c:pt idx="7">
                  <c:v>0.2353786105602019</c:v>
                </c:pt>
                <c:pt idx="8">
                  <c:v>0.22856317142925814</c:v>
                </c:pt>
                <c:pt idx="9">
                  <c:v>0.15562648472275906</c:v>
                </c:pt>
                <c:pt idx="10">
                  <c:v>0.11374116426824316</c:v>
                </c:pt>
                <c:pt idx="11">
                  <c:v>0.15356050157168771</c:v>
                </c:pt>
                <c:pt idx="12">
                  <c:v>0.14341882490106458</c:v>
                </c:pt>
                <c:pt idx="13">
                  <c:v>0.257050473172586</c:v>
                </c:pt>
                <c:pt idx="14">
                  <c:v>0.28822537234001189</c:v>
                </c:pt>
                <c:pt idx="15">
                  <c:v>0.26878386996612491</c:v>
                </c:pt>
                <c:pt idx="16" formatCode="General">
                  <c:v>0.19140262680022541</c:v>
                </c:pt>
              </c:numCache>
            </c:numRef>
          </c:val>
        </c:ser>
        <c:ser>
          <c:idx val="3"/>
          <c:order val="1"/>
          <c:tx>
            <c:strRef>
              <c:f>'souhrnná výkonnost 4'!$D$5</c:f>
              <c:strCache>
                <c:ptCount val="1"/>
                <c:pt idx="0">
                  <c:v>Zpracovatelský průmysl (CZ-NACE C)</c:v>
                </c:pt>
              </c:strCache>
            </c:strRef>
          </c:tx>
          <c:spPr>
            <a:solidFill>
              <a:srgbClr val="A6CDE8"/>
            </a:solidFill>
            <a:ln>
              <a:noFill/>
            </a:ln>
          </c:spPr>
          <c:val>
            <c:numRef>
              <c:f>'souhrnná výkonnost 4'!$D$10:$D$26</c:f>
              <c:numCache>
                <c:formatCode>#,##0.0</c:formatCode>
                <c:ptCount val="17"/>
                <c:pt idx="0">
                  <c:v>-0.80203056756092628</c:v>
                </c:pt>
                <c:pt idx="1">
                  <c:v>-0.60008536509500754</c:v>
                </c:pt>
                <c:pt idx="2">
                  <c:v>-0.65042066820085764</c:v>
                </c:pt>
                <c:pt idx="3">
                  <c:v>-0.63017240400350516</c:v>
                </c:pt>
                <c:pt idx="4">
                  <c:v>0.37445370777845588</c:v>
                </c:pt>
                <c:pt idx="5">
                  <c:v>1.2191643868116901</c:v>
                </c:pt>
                <c:pt idx="6">
                  <c:v>2.0095549347101627</c:v>
                </c:pt>
                <c:pt idx="7">
                  <c:v>2.5236605530640381</c:v>
                </c:pt>
                <c:pt idx="8">
                  <c:v>2.6326704919697108</c:v>
                </c:pt>
                <c:pt idx="9">
                  <c:v>2.3316334191272547</c:v>
                </c:pt>
                <c:pt idx="10">
                  <c:v>2.2098862852042473</c:v>
                </c:pt>
                <c:pt idx="11">
                  <c:v>1.6203938852719117</c:v>
                </c:pt>
                <c:pt idx="12">
                  <c:v>1.3135634789283182</c:v>
                </c:pt>
                <c:pt idx="13">
                  <c:v>1.4161130384453027</c:v>
                </c:pt>
                <c:pt idx="14">
                  <c:v>1.1873096187132854</c:v>
                </c:pt>
                <c:pt idx="15">
                  <c:v>1.2268196751141847</c:v>
                </c:pt>
                <c:pt idx="16" formatCode="General">
                  <c:v>1.0535109257772723</c:v>
                </c:pt>
              </c:numCache>
            </c:numRef>
          </c:val>
        </c:ser>
        <c:ser>
          <c:idx val="2"/>
          <c:order val="2"/>
          <c:tx>
            <c:strRef>
              <c:f>'souhrnná výkonnost 4'!$E$5</c:f>
              <c:strCache>
                <c:ptCount val="1"/>
                <c:pt idx="0">
                  <c:v>Ostatní průmyslová odvětví (CZ-NACE B,D,E)</c:v>
                </c:pt>
              </c:strCache>
            </c:strRef>
          </c:tx>
          <c:spPr>
            <a:solidFill>
              <a:srgbClr val="BD1B21"/>
            </a:solidFill>
            <a:ln>
              <a:noFill/>
            </a:ln>
          </c:spPr>
          <c:val>
            <c:numRef>
              <c:f>'souhrnná výkonnost 4'!$E$10:$E$26</c:f>
              <c:numCache>
                <c:formatCode>0.0</c:formatCode>
                <c:ptCount val="17"/>
                <c:pt idx="0">
                  <c:v>-1.0013754449946373</c:v>
                </c:pt>
                <c:pt idx="1">
                  <c:v>-1.0044387873592557</c:v>
                </c:pt>
                <c:pt idx="2">
                  <c:v>-0.64389184848237591</c:v>
                </c:pt>
                <c:pt idx="3">
                  <c:v>-0.22385209429771069</c:v>
                </c:pt>
                <c:pt idx="4">
                  <c:v>0.39772389846935863</c:v>
                </c:pt>
                <c:pt idx="5">
                  <c:v>0.10233498780850736</c:v>
                </c:pt>
                <c:pt idx="6">
                  <c:v>-0.16914497604049344</c:v>
                </c:pt>
                <c:pt idx="7">
                  <c:v>-0.12019447582220563</c:v>
                </c:pt>
                <c:pt idx="8">
                  <c:v>-0.75799273610034024</c:v>
                </c:pt>
                <c:pt idx="9">
                  <c:v>-0.80490656715140052</c:v>
                </c:pt>
                <c:pt idx="10">
                  <c:v>-0.73844302514351978</c:v>
                </c:pt>
                <c:pt idx="11">
                  <c:v>-0.9023080141014006</c:v>
                </c:pt>
                <c:pt idx="12">
                  <c:v>-0.29809199631484279</c:v>
                </c:pt>
                <c:pt idx="13">
                  <c:v>-1.9698036334538961E-3</c:v>
                </c:pt>
                <c:pt idx="14">
                  <c:v>-0.17212952521188588</c:v>
                </c:pt>
                <c:pt idx="15">
                  <c:v>1.1952763198069385E-2</c:v>
                </c:pt>
                <c:pt idx="16" formatCode="General">
                  <c:v>0.1</c:v>
                </c:pt>
              </c:numCache>
            </c:numRef>
          </c:val>
        </c:ser>
        <c:ser>
          <c:idx val="1"/>
          <c:order val="3"/>
          <c:tx>
            <c:strRef>
              <c:f>'souhrnná výkonnost 4'!$F$5</c:f>
              <c:strCache>
                <c:ptCount val="1"/>
                <c:pt idx="0">
                  <c:v>Stavebnictví</c:v>
                </c:pt>
              </c:strCache>
            </c:strRef>
          </c:tx>
          <c:spPr>
            <a:solidFill>
              <a:srgbClr val="E8AFB2"/>
            </a:solidFill>
            <a:ln>
              <a:noFill/>
            </a:ln>
          </c:spPr>
          <c:val>
            <c:numRef>
              <c:f>'souhrnná výkonnost 4'!$F$10:$F$26</c:f>
              <c:numCache>
                <c:formatCode>#,##0.0</c:formatCode>
                <c:ptCount val="17"/>
                <c:pt idx="0">
                  <c:v>-9.9771821790355528E-2</c:v>
                </c:pt>
                <c:pt idx="1">
                  <c:v>7.3842176134935988E-2</c:v>
                </c:pt>
                <c:pt idx="2">
                  <c:v>0.11916034314920022</c:v>
                </c:pt>
                <c:pt idx="3">
                  <c:v>0.18254440566292879</c:v>
                </c:pt>
                <c:pt idx="4">
                  <c:v>0.22381930964876293</c:v>
                </c:pt>
                <c:pt idx="5">
                  <c:v>8.1881275845914619E-2</c:v>
                </c:pt>
                <c:pt idx="6">
                  <c:v>2.6373359235819602E-2</c:v>
                </c:pt>
                <c:pt idx="7">
                  <c:v>0.12395276606307516</c:v>
                </c:pt>
                <c:pt idx="8">
                  <c:v>0.11827423199702113</c:v>
                </c:pt>
                <c:pt idx="9">
                  <c:v>0.31780862711797497</c:v>
                </c:pt>
                <c:pt idx="10">
                  <c:v>0.46394857820558738</c:v>
                </c:pt>
                <c:pt idx="11">
                  <c:v>0.28530854264097688</c:v>
                </c:pt>
                <c:pt idx="12">
                  <c:v>5.5551306087525405E-2</c:v>
                </c:pt>
                <c:pt idx="13">
                  <c:v>-0.31275153711130299</c:v>
                </c:pt>
                <c:pt idx="14">
                  <c:v>-0.44387064699451056</c:v>
                </c:pt>
                <c:pt idx="15">
                  <c:v>-0.61071167027267392</c:v>
                </c:pt>
                <c:pt idx="16" formatCode="General">
                  <c:v>-0.30000000000000032</c:v>
                </c:pt>
              </c:numCache>
            </c:numRef>
          </c:val>
        </c:ser>
        <c:ser>
          <c:idx val="0"/>
          <c:order val="4"/>
          <c:tx>
            <c:strRef>
              <c:f>'souhrnná výkonnost 4'!$G$5</c:f>
              <c:strCache>
                <c:ptCount val="1"/>
                <c:pt idx="0">
                  <c:v>Služby (CZ-NACE G až U)</c:v>
                </c:pt>
              </c:strCache>
            </c:strRef>
          </c:tx>
          <c:spPr>
            <a:solidFill>
              <a:srgbClr val="7DBB2D"/>
            </a:solidFill>
            <a:ln>
              <a:noFill/>
            </a:ln>
          </c:spPr>
          <c:val>
            <c:numRef>
              <c:f>'souhrnná výkonnost 4'!$G$10:$G$26</c:f>
              <c:numCache>
                <c:formatCode>0.0</c:formatCode>
                <c:ptCount val="17"/>
                <c:pt idx="0">
                  <c:v>0.36492478191537386</c:v>
                </c:pt>
                <c:pt idx="1">
                  <c:v>0.8122929996681667</c:v>
                </c:pt>
                <c:pt idx="2">
                  <c:v>1.0694635160230557</c:v>
                </c:pt>
                <c:pt idx="3">
                  <c:v>1.3281961400675659</c:v>
                </c:pt>
                <c:pt idx="4">
                  <c:v>1.2739049182135358</c:v>
                </c:pt>
                <c:pt idx="5">
                  <c:v>1.4222099657074918</c:v>
                </c:pt>
                <c:pt idx="6">
                  <c:v>1.662721814229271</c:v>
                </c:pt>
                <c:pt idx="7">
                  <c:v>1.5747281575603338</c:v>
                </c:pt>
                <c:pt idx="8">
                  <c:v>1.8977579549156014</c:v>
                </c:pt>
                <c:pt idx="9">
                  <c:v>2.206578398975247</c:v>
                </c:pt>
                <c:pt idx="10">
                  <c:v>2.2758646047511397</c:v>
                </c:pt>
                <c:pt idx="11">
                  <c:v>2.3433047114185404</c:v>
                </c:pt>
                <c:pt idx="12">
                  <c:v>1.5370017387888215</c:v>
                </c:pt>
                <c:pt idx="13">
                  <c:v>1.1614442253390058</c:v>
                </c:pt>
                <c:pt idx="14">
                  <c:v>0.74843578258601873</c:v>
                </c:pt>
                <c:pt idx="15">
                  <c:v>0.72017816936202039</c:v>
                </c:pt>
                <c:pt idx="16" formatCode="General">
                  <c:v>1.2995870674811181</c:v>
                </c:pt>
              </c:numCache>
            </c:numRef>
          </c:val>
        </c:ser>
        <c:gapWidth val="70"/>
        <c:overlap val="100"/>
        <c:axId val="123987840"/>
        <c:axId val="123989376"/>
      </c:barChart>
      <c:lineChart>
        <c:grouping val="standard"/>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4'!$A$10:$B$26</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2013</c:v>
                  </c:pt>
                  <c:pt idx="4">
                    <c:v>2014</c:v>
                  </c:pt>
                  <c:pt idx="8">
                    <c:v>2015</c:v>
                  </c:pt>
                  <c:pt idx="12">
                    <c:v>2016</c:v>
                  </c:pt>
                  <c:pt idx="16">
                    <c:v>2017</c:v>
                  </c:pt>
                </c:lvl>
              </c:multiLvlStrCache>
            </c:multiLvlStrRef>
          </c:cat>
          <c:val>
            <c:numRef>
              <c:f>'souhrnná výkonnost 4'!$H$10:$H$26</c:f>
              <c:numCache>
                <c:formatCode>#,##0.0</c:formatCode>
                <c:ptCount val="17"/>
                <c:pt idx="0">
                  <c:v>-1.5563523203955774</c:v>
                </c:pt>
                <c:pt idx="1">
                  <c:v>-0.83647174665812785</c:v>
                </c:pt>
                <c:pt idx="2">
                  <c:v>-0.21945827566005274</c:v>
                </c:pt>
                <c:pt idx="3">
                  <c:v>0.65102313488762031</c:v>
                </c:pt>
                <c:pt idx="4">
                  <c:v>2.3722512676579641</c:v>
                </c:pt>
                <c:pt idx="5">
                  <c:v>3.0768768516544531</c:v>
                </c:pt>
                <c:pt idx="6">
                  <c:v>3.8160772862928569</c:v>
                </c:pt>
                <c:pt idx="7">
                  <c:v>4.3283212684131067</c:v>
                </c:pt>
                <c:pt idx="8">
                  <c:v>4.1166069549586979</c:v>
                </c:pt>
                <c:pt idx="9">
                  <c:v>4.2037092225432104</c:v>
                </c:pt>
                <c:pt idx="10">
                  <c:v>4.3207255655193055</c:v>
                </c:pt>
                <c:pt idx="11">
                  <c:v>3.5100508493434024</c:v>
                </c:pt>
                <c:pt idx="12">
                  <c:v>2.7603406515470001</c:v>
                </c:pt>
                <c:pt idx="13">
                  <c:v>2.5189462661930175</c:v>
                </c:pt>
                <c:pt idx="14">
                  <c:v>1.5920487558210621</c:v>
                </c:pt>
                <c:pt idx="15">
                  <c:v>1.6014370872980599</c:v>
                </c:pt>
                <c:pt idx="16" formatCode="General">
                  <c:v>2.4667814220602193</c:v>
                </c:pt>
              </c:numCache>
            </c:numRef>
          </c:val>
        </c:ser>
        <c:marker val="1"/>
        <c:axId val="123987840"/>
        <c:axId val="123989376"/>
      </c:lineChart>
      <c:catAx>
        <c:axId val="123987840"/>
        <c:scaling>
          <c:orientation val="minMax"/>
        </c:scaling>
        <c:axPos val="b"/>
        <c:tickLblPos val="low"/>
        <c:spPr>
          <a:ln>
            <a:solidFill>
              <a:schemeClr val="tx1"/>
            </a:solidFill>
          </a:ln>
        </c:spPr>
        <c:txPr>
          <a:bodyPr rot="0" vert="horz"/>
          <a:lstStyle/>
          <a:p>
            <a:pPr>
              <a:defRPr/>
            </a:pPr>
            <a:endParaRPr lang="cs-CZ"/>
          </a:p>
        </c:txPr>
        <c:crossAx val="123989376"/>
        <c:crosses val="autoZero"/>
        <c:auto val="1"/>
        <c:lblAlgn val="ctr"/>
        <c:lblOffset val="100"/>
      </c:catAx>
      <c:valAx>
        <c:axId val="123989376"/>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23987840"/>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510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2040029038385493E-2"/>
          <c:y val="1.9513175616352504E-2"/>
          <c:w val="0.92433548575003055"/>
          <c:h val="0.75083417764269123"/>
        </c:manualLayout>
      </c:layout>
      <c:barChart>
        <c:barDir val="col"/>
        <c:grouping val="clustered"/>
        <c:ser>
          <c:idx val="0"/>
          <c:order val="0"/>
          <c:tx>
            <c:strRef>
              <c:f>'výkonnost odvětví 1'!$B$30</c:f>
              <c:strCache>
                <c:ptCount val="1"/>
                <c:pt idx="0">
                  <c:v>Průmysl celkem (B+C+D)</c:v>
                </c:pt>
              </c:strCache>
            </c:strRef>
          </c:tx>
          <c:spPr>
            <a:solidFill>
              <a:schemeClr val="bg1">
                <a:lumMod val="65000"/>
              </a:schemeClr>
            </a:solidFill>
            <a:ln w="12700">
              <a:noFill/>
              <a:prstDash val="solid"/>
            </a:ln>
          </c:spP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1'!$C$30:$AE$30</c:f>
              <c:numCache>
                <c:formatCode>#,##0.0</c:formatCode>
                <c:ptCount val="29"/>
                <c:pt idx="0">
                  <c:v>4.8</c:v>
                </c:pt>
                <c:pt idx="1">
                  <c:v>7.8</c:v>
                </c:pt>
                <c:pt idx="2">
                  <c:v>10.5</c:v>
                </c:pt>
                <c:pt idx="3">
                  <c:v>9.5</c:v>
                </c:pt>
                <c:pt idx="4">
                  <c:v>9.9</c:v>
                </c:pt>
                <c:pt idx="5">
                  <c:v>8.3000000000000007</c:v>
                </c:pt>
                <c:pt idx="6">
                  <c:v>2.2999999999999998</c:v>
                </c:pt>
                <c:pt idx="7">
                  <c:v>3.4</c:v>
                </c:pt>
                <c:pt idx="8">
                  <c:v>1.4</c:v>
                </c:pt>
                <c:pt idx="9">
                  <c:v>0.8</c:v>
                </c:pt>
                <c:pt idx="10">
                  <c:v>0</c:v>
                </c:pt>
                <c:pt idx="11">
                  <c:v>-5.2</c:v>
                </c:pt>
                <c:pt idx="12">
                  <c:v>-3.5</c:v>
                </c:pt>
                <c:pt idx="13">
                  <c:v>-3.1</c:v>
                </c:pt>
                <c:pt idx="14">
                  <c:v>1.2</c:v>
                </c:pt>
                <c:pt idx="15">
                  <c:v>6</c:v>
                </c:pt>
                <c:pt idx="16">
                  <c:v>6.5</c:v>
                </c:pt>
                <c:pt idx="17">
                  <c:v>6.4</c:v>
                </c:pt>
                <c:pt idx="18">
                  <c:v>3</c:v>
                </c:pt>
                <c:pt idx="19">
                  <c:v>4</c:v>
                </c:pt>
                <c:pt idx="20">
                  <c:v>5.0999999999999996</c:v>
                </c:pt>
                <c:pt idx="21">
                  <c:v>5.5</c:v>
                </c:pt>
                <c:pt idx="22">
                  <c:v>5.8</c:v>
                </c:pt>
                <c:pt idx="23">
                  <c:v>2.9</c:v>
                </c:pt>
                <c:pt idx="24">
                  <c:v>4</c:v>
                </c:pt>
                <c:pt idx="25">
                  <c:v>2.9</c:v>
                </c:pt>
                <c:pt idx="26">
                  <c:v>1.4</c:v>
                </c:pt>
                <c:pt idx="27">
                  <c:v>3.3</c:v>
                </c:pt>
                <c:pt idx="28">
                  <c:v>4.9000000000000004</c:v>
                </c:pt>
              </c:numCache>
            </c:numRef>
          </c:val>
        </c:ser>
        <c:gapWidth val="30"/>
        <c:axId val="124119680"/>
        <c:axId val="124191488"/>
      </c:barChart>
      <c:lineChart>
        <c:grouping val="standard"/>
        <c:ser>
          <c:idx val="3"/>
          <c:order val="1"/>
          <c:tx>
            <c:strRef>
              <c:f>'výkonnost odvětví 1'!$B$31</c:f>
              <c:strCache>
                <c:ptCount val="1"/>
                <c:pt idx="0">
                  <c:v>Potravinářství a výroba nápojů</c:v>
                </c:pt>
              </c:strCache>
            </c:strRef>
          </c:tx>
          <c:spPr>
            <a:ln w="19050">
              <a:solidFill>
                <a:srgbClr val="7DBB2D"/>
              </a:solidFill>
              <a:prstDash val="solid"/>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1'!$C$31:$AE$31</c:f>
              <c:numCache>
                <c:formatCode>#,##0.0</c:formatCode>
                <c:ptCount val="29"/>
                <c:pt idx="0">
                  <c:v>-1.4</c:v>
                </c:pt>
                <c:pt idx="1">
                  <c:v>-4.7</c:v>
                </c:pt>
                <c:pt idx="2">
                  <c:v>-3.1</c:v>
                </c:pt>
                <c:pt idx="3">
                  <c:v>-4.0999999999999996</c:v>
                </c:pt>
                <c:pt idx="4">
                  <c:v>-0.30000000000000032</c:v>
                </c:pt>
                <c:pt idx="5">
                  <c:v>0</c:v>
                </c:pt>
                <c:pt idx="6">
                  <c:v>-4.0999999999999996</c:v>
                </c:pt>
                <c:pt idx="7">
                  <c:v>-1.7</c:v>
                </c:pt>
                <c:pt idx="8">
                  <c:v>-4.3</c:v>
                </c:pt>
                <c:pt idx="9">
                  <c:v>-1.3</c:v>
                </c:pt>
                <c:pt idx="10">
                  <c:v>0</c:v>
                </c:pt>
                <c:pt idx="11">
                  <c:v>-1.8</c:v>
                </c:pt>
                <c:pt idx="12">
                  <c:v>1</c:v>
                </c:pt>
                <c:pt idx="13">
                  <c:v>-1.4</c:v>
                </c:pt>
                <c:pt idx="14">
                  <c:v>-1</c:v>
                </c:pt>
                <c:pt idx="15">
                  <c:v>0.8</c:v>
                </c:pt>
                <c:pt idx="16">
                  <c:v>2.4</c:v>
                </c:pt>
                <c:pt idx="17">
                  <c:v>4.2</c:v>
                </c:pt>
                <c:pt idx="18">
                  <c:v>0.60000000000000064</c:v>
                </c:pt>
                <c:pt idx="19">
                  <c:v>5.7</c:v>
                </c:pt>
                <c:pt idx="20">
                  <c:v>4.4000000000000004</c:v>
                </c:pt>
                <c:pt idx="21">
                  <c:v>1.1000000000000001</c:v>
                </c:pt>
                <c:pt idx="22">
                  <c:v>8.2000000000000011</c:v>
                </c:pt>
                <c:pt idx="23">
                  <c:v>3.8</c:v>
                </c:pt>
                <c:pt idx="24">
                  <c:v>-0.8</c:v>
                </c:pt>
                <c:pt idx="25">
                  <c:v>0.8</c:v>
                </c:pt>
                <c:pt idx="26">
                  <c:v>0.5</c:v>
                </c:pt>
                <c:pt idx="27">
                  <c:v>-1.9000000000000001</c:v>
                </c:pt>
                <c:pt idx="28">
                  <c:v>2.6</c:v>
                </c:pt>
              </c:numCache>
            </c:numRef>
          </c:val>
        </c:ser>
        <c:ser>
          <c:idx val="1"/>
          <c:order val="2"/>
          <c:tx>
            <c:strRef>
              <c:f>'výkonnost odvětví 1'!$B$32</c:f>
              <c:strCache>
                <c:ptCount val="1"/>
                <c:pt idx="0">
                  <c:v>Chemický průmysl</c:v>
                </c:pt>
              </c:strCache>
            </c:strRef>
          </c:tx>
          <c:spPr>
            <a:ln w="19050">
              <a:solidFill>
                <a:srgbClr val="F8A124"/>
              </a:solidFill>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1'!$C$32:$AE$32</c:f>
              <c:numCache>
                <c:formatCode>#,##0.0</c:formatCode>
                <c:ptCount val="29"/>
                <c:pt idx="0">
                  <c:v>0</c:v>
                </c:pt>
                <c:pt idx="1">
                  <c:v>-1.3</c:v>
                </c:pt>
                <c:pt idx="2">
                  <c:v>13.8</c:v>
                </c:pt>
                <c:pt idx="3">
                  <c:v>12.1</c:v>
                </c:pt>
                <c:pt idx="4">
                  <c:v>2.6</c:v>
                </c:pt>
                <c:pt idx="5">
                  <c:v>-4.7</c:v>
                </c:pt>
                <c:pt idx="6">
                  <c:v>-8.5</c:v>
                </c:pt>
                <c:pt idx="7">
                  <c:v>-8</c:v>
                </c:pt>
                <c:pt idx="8">
                  <c:v>3.1</c:v>
                </c:pt>
                <c:pt idx="9">
                  <c:v>0.60000000000000064</c:v>
                </c:pt>
                <c:pt idx="10">
                  <c:v>10.1</c:v>
                </c:pt>
                <c:pt idx="11">
                  <c:v>6.8</c:v>
                </c:pt>
                <c:pt idx="12">
                  <c:v>-5.0999999999999996</c:v>
                </c:pt>
                <c:pt idx="13">
                  <c:v>-0.9</c:v>
                </c:pt>
                <c:pt idx="14">
                  <c:v>-9.9</c:v>
                </c:pt>
                <c:pt idx="15">
                  <c:v>4</c:v>
                </c:pt>
                <c:pt idx="16">
                  <c:v>9</c:v>
                </c:pt>
                <c:pt idx="17">
                  <c:v>9.7000000000000011</c:v>
                </c:pt>
                <c:pt idx="18">
                  <c:v>15.8</c:v>
                </c:pt>
                <c:pt idx="19">
                  <c:v>4.0999999999999996</c:v>
                </c:pt>
                <c:pt idx="20">
                  <c:v>2.9</c:v>
                </c:pt>
                <c:pt idx="21">
                  <c:v>3.5</c:v>
                </c:pt>
                <c:pt idx="22">
                  <c:v>-7.9</c:v>
                </c:pt>
                <c:pt idx="23">
                  <c:v>-15.9</c:v>
                </c:pt>
                <c:pt idx="24">
                  <c:v>-13.8</c:v>
                </c:pt>
                <c:pt idx="25">
                  <c:v>-16.399999999999999</c:v>
                </c:pt>
                <c:pt idx="26">
                  <c:v>-5.9</c:v>
                </c:pt>
                <c:pt idx="27">
                  <c:v>10.8</c:v>
                </c:pt>
                <c:pt idx="28">
                  <c:v>17.7</c:v>
                </c:pt>
              </c:numCache>
            </c:numRef>
          </c:val>
        </c:ser>
        <c:ser>
          <c:idx val="7"/>
          <c:order val="3"/>
          <c:tx>
            <c:strRef>
              <c:f>'výkonnost odvětví 1'!$B$33</c:f>
              <c:strCache>
                <c:ptCount val="1"/>
                <c:pt idx="0">
                  <c:v>Výroba PC, elektronic.a optic.přístr.</c:v>
                </c:pt>
              </c:strCache>
            </c:strRef>
          </c:tx>
          <c:spPr>
            <a:ln w="19050">
              <a:solidFill>
                <a:srgbClr val="48AEE7"/>
              </a:solidFill>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1'!$C$33:$AE$33</c:f>
              <c:numCache>
                <c:formatCode>#,##0.0</c:formatCode>
                <c:ptCount val="29"/>
                <c:pt idx="0">
                  <c:v>13.6</c:v>
                </c:pt>
                <c:pt idx="1">
                  <c:v>36.9</c:v>
                </c:pt>
                <c:pt idx="2">
                  <c:v>39.1</c:v>
                </c:pt>
                <c:pt idx="3">
                  <c:v>27.2</c:v>
                </c:pt>
                <c:pt idx="4">
                  <c:v>12.5</c:v>
                </c:pt>
                <c:pt idx="5">
                  <c:v>6</c:v>
                </c:pt>
                <c:pt idx="6">
                  <c:v>-5.9</c:v>
                </c:pt>
                <c:pt idx="7">
                  <c:v>-18.399999999999999</c:v>
                </c:pt>
                <c:pt idx="8">
                  <c:v>-19</c:v>
                </c:pt>
                <c:pt idx="9">
                  <c:v>-22.7</c:v>
                </c:pt>
                <c:pt idx="10">
                  <c:v>-19.2</c:v>
                </c:pt>
                <c:pt idx="11">
                  <c:v>-13.5</c:v>
                </c:pt>
                <c:pt idx="12">
                  <c:v>10.6</c:v>
                </c:pt>
                <c:pt idx="13">
                  <c:v>13</c:v>
                </c:pt>
                <c:pt idx="14">
                  <c:v>18.100000000000001</c:v>
                </c:pt>
                <c:pt idx="15">
                  <c:v>22.1</c:v>
                </c:pt>
                <c:pt idx="16">
                  <c:v>18.3</c:v>
                </c:pt>
                <c:pt idx="17">
                  <c:v>19.2</c:v>
                </c:pt>
                <c:pt idx="18">
                  <c:v>14.5</c:v>
                </c:pt>
                <c:pt idx="19">
                  <c:v>21.4</c:v>
                </c:pt>
                <c:pt idx="20">
                  <c:v>7</c:v>
                </c:pt>
                <c:pt idx="21">
                  <c:v>3.5</c:v>
                </c:pt>
                <c:pt idx="22">
                  <c:v>3.1</c:v>
                </c:pt>
                <c:pt idx="23">
                  <c:v>-1.3</c:v>
                </c:pt>
                <c:pt idx="24">
                  <c:v>0.5</c:v>
                </c:pt>
                <c:pt idx="25">
                  <c:v>3.5</c:v>
                </c:pt>
                <c:pt idx="26">
                  <c:v>2.5</c:v>
                </c:pt>
                <c:pt idx="27">
                  <c:v>8.9</c:v>
                </c:pt>
                <c:pt idx="28">
                  <c:v>7.5</c:v>
                </c:pt>
              </c:numCache>
            </c:numRef>
          </c:val>
        </c:ser>
        <c:ser>
          <c:idx val="2"/>
          <c:order val="4"/>
          <c:tx>
            <c:strRef>
              <c:f>'výkonnost odvětví 1'!$B$34</c:f>
              <c:strCache>
                <c:ptCount val="1"/>
                <c:pt idx="0">
                  <c:v>Výroba motor. voz.</c:v>
                </c:pt>
              </c:strCache>
            </c:strRef>
          </c:tx>
          <c:spPr>
            <a:ln w="19050">
              <a:solidFill>
                <a:srgbClr val="BD1B21"/>
              </a:solidFill>
              <a:prstDash val="solid"/>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1'!$C$34:$AE$34</c:f>
              <c:numCache>
                <c:formatCode>#,##0.0</c:formatCode>
                <c:ptCount val="29"/>
                <c:pt idx="0">
                  <c:v>36.200000000000003</c:v>
                </c:pt>
                <c:pt idx="1">
                  <c:v>18.399999999999999</c:v>
                </c:pt>
                <c:pt idx="2">
                  <c:v>13.3</c:v>
                </c:pt>
                <c:pt idx="3">
                  <c:v>21.4</c:v>
                </c:pt>
                <c:pt idx="4">
                  <c:v>27.1</c:v>
                </c:pt>
                <c:pt idx="5">
                  <c:v>21.6</c:v>
                </c:pt>
                <c:pt idx="6">
                  <c:v>20.8</c:v>
                </c:pt>
                <c:pt idx="7">
                  <c:v>16</c:v>
                </c:pt>
                <c:pt idx="8">
                  <c:v>9.9</c:v>
                </c:pt>
                <c:pt idx="9">
                  <c:v>4.3</c:v>
                </c:pt>
                <c:pt idx="10">
                  <c:v>-2.9</c:v>
                </c:pt>
                <c:pt idx="11">
                  <c:v>-6.9</c:v>
                </c:pt>
                <c:pt idx="12">
                  <c:v>-15</c:v>
                </c:pt>
                <c:pt idx="13">
                  <c:v>-6.6</c:v>
                </c:pt>
                <c:pt idx="14">
                  <c:v>3.9</c:v>
                </c:pt>
                <c:pt idx="15">
                  <c:v>8.3000000000000007</c:v>
                </c:pt>
                <c:pt idx="16">
                  <c:v>20.7</c:v>
                </c:pt>
                <c:pt idx="17">
                  <c:v>13.6</c:v>
                </c:pt>
                <c:pt idx="18">
                  <c:v>10.6</c:v>
                </c:pt>
                <c:pt idx="19">
                  <c:v>9.1</c:v>
                </c:pt>
                <c:pt idx="20">
                  <c:v>7.6</c:v>
                </c:pt>
                <c:pt idx="21">
                  <c:v>12.2</c:v>
                </c:pt>
                <c:pt idx="22">
                  <c:v>14.1</c:v>
                </c:pt>
                <c:pt idx="23">
                  <c:v>16.100000000000001</c:v>
                </c:pt>
                <c:pt idx="24">
                  <c:v>15.7</c:v>
                </c:pt>
                <c:pt idx="25">
                  <c:v>14.8</c:v>
                </c:pt>
                <c:pt idx="26">
                  <c:v>6.4</c:v>
                </c:pt>
                <c:pt idx="27">
                  <c:v>7</c:v>
                </c:pt>
                <c:pt idx="28">
                  <c:v>10.7</c:v>
                </c:pt>
              </c:numCache>
            </c:numRef>
          </c:val>
        </c:ser>
        <c:ser>
          <c:idx val="5"/>
          <c:order val="5"/>
          <c:tx>
            <c:strRef>
              <c:f>'výkonnost odvětví 1'!$B$35</c:f>
              <c:strCache>
                <c:ptCount val="1"/>
                <c:pt idx="0">
                  <c:v>Energetika</c:v>
                </c:pt>
              </c:strCache>
            </c:strRef>
          </c:tx>
          <c:spPr>
            <a:ln w="19050">
              <a:noFill/>
            </a:ln>
          </c:spPr>
          <c:marker>
            <c:symbol val="diamond"/>
            <c:size val="5"/>
            <c:spPr>
              <a:solidFill>
                <a:schemeClr val="tx1">
                  <a:lumMod val="95000"/>
                  <a:lumOff val="5000"/>
                </a:schemeClr>
              </a:solidFill>
              <a:ln>
                <a:noFill/>
              </a:ln>
            </c:spPr>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1'!$C$35:$AE$35</c:f>
              <c:numCache>
                <c:formatCode>#,##0.0</c:formatCode>
                <c:ptCount val="29"/>
                <c:pt idx="0">
                  <c:v>3.3</c:v>
                </c:pt>
                <c:pt idx="1">
                  <c:v>5</c:v>
                </c:pt>
                <c:pt idx="2">
                  <c:v>8.5</c:v>
                </c:pt>
                <c:pt idx="3">
                  <c:v>2.6</c:v>
                </c:pt>
                <c:pt idx="4">
                  <c:v>-4</c:v>
                </c:pt>
                <c:pt idx="5">
                  <c:v>0.30000000000000032</c:v>
                </c:pt>
                <c:pt idx="6">
                  <c:v>-5.2</c:v>
                </c:pt>
                <c:pt idx="7">
                  <c:v>2.5</c:v>
                </c:pt>
                <c:pt idx="8">
                  <c:v>1.9000000000000001</c:v>
                </c:pt>
                <c:pt idx="9">
                  <c:v>4.5</c:v>
                </c:pt>
                <c:pt idx="10">
                  <c:v>1.1000000000000001</c:v>
                </c:pt>
                <c:pt idx="11">
                  <c:v>-7.9</c:v>
                </c:pt>
                <c:pt idx="12">
                  <c:v>-3.4</c:v>
                </c:pt>
                <c:pt idx="13">
                  <c:v>-4</c:v>
                </c:pt>
                <c:pt idx="14">
                  <c:v>-3.4</c:v>
                </c:pt>
                <c:pt idx="15">
                  <c:v>4.2</c:v>
                </c:pt>
                <c:pt idx="16">
                  <c:v>-3.4</c:v>
                </c:pt>
                <c:pt idx="17">
                  <c:v>-2.5</c:v>
                </c:pt>
                <c:pt idx="18">
                  <c:v>-2</c:v>
                </c:pt>
                <c:pt idx="19">
                  <c:v>-3.8</c:v>
                </c:pt>
                <c:pt idx="20">
                  <c:v>2.7</c:v>
                </c:pt>
                <c:pt idx="21">
                  <c:v>-1.4</c:v>
                </c:pt>
                <c:pt idx="22">
                  <c:v>-4.2</c:v>
                </c:pt>
                <c:pt idx="23">
                  <c:v>-7.9</c:v>
                </c:pt>
                <c:pt idx="24">
                  <c:v>-3.8</c:v>
                </c:pt>
                <c:pt idx="25">
                  <c:v>2.7</c:v>
                </c:pt>
                <c:pt idx="26">
                  <c:v>-2</c:v>
                </c:pt>
                <c:pt idx="27">
                  <c:v>7.3</c:v>
                </c:pt>
                <c:pt idx="28">
                  <c:v>4.3</c:v>
                </c:pt>
              </c:numCache>
            </c:numRef>
          </c:val>
        </c:ser>
        <c:marker val="1"/>
        <c:axId val="124119680"/>
        <c:axId val="124191488"/>
      </c:lineChart>
      <c:catAx>
        <c:axId val="12411968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4191488"/>
        <c:crossesAt val="0"/>
        <c:lblAlgn val="ctr"/>
        <c:lblOffset val="0"/>
        <c:tickLblSkip val="1"/>
        <c:tickMarkSkip val="4"/>
      </c:catAx>
      <c:valAx>
        <c:axId val="124191488"/>
        <c:scaling>
          <c:orientation val="minMax"/>
          <c:max val="40"/>
          <c:min val="-2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4119680"/>
        <c:crosses val="autoZero"/>
        <c:crossBetween val="between"/>
        <c:majorUnit val="5"/>
      </c:valAx>
      <c:spPr>
        <a:noFill/>
        <a:ln w="9525">
          <a:solidFill>
            <a:schemeClr val="tx1"/>
          </a:solidFill>
        </a:ln>
      </c:spPr>
    </c:plotArea>
    <c:legend>
      <c:legendPos val="b"/>
      <c:layout>
        <c:manualLayout>
          <c:xMode val="edge"/>
          <c:yMode val="edge"/>
          <c:x val="6.3500827784744224E-2"/>
          <c:y val="0.86141626459042009"/>
          <c:w val="0.92419477116179871"/>
          <c:h val="0.12544744414662912"/>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2277854581154255E-2"/>
          <c:y val="1.9008475080329108E-2"/>
          <c:w val="0.92988062751698064"/>
          <c:h val="0.74907069683665461"/>
        </c:manualLayout>
      </c:layout>
      <c:barChart>
        <c:barDir val="col"/>
        <c:grouping val="clustered"/>
        <c:ser>
          <c:idx val="0"/>
          <c:order val="0"/>
          <c:tx>
            <c:strRef>
              <c:f>'výkonnost odvětví 2'!$B$31</c:f>
              <c:strCache>
                <c:ptCount val="1"/>
                <c:pt idx="0">
                  <c:v>Průmyslové zakázky celkem</c:v>
                </c:pt>
              </c:strCache>
            </c:strRef>
          </c:tx>
          <c:spPr>
            <a:solidFill>
              <a:schemeClr val="bg1">
                <a:lumMod val="65000"/>
              </a:schemeClr>
            </a:solidFill>
            <a:ln w="12700">
              <a:noFill/>
              <a:prstDash val="solid"/>
            </a:ln>
          </c:spP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2'!$C$31:$AE$31</c:f>
              <c:numCache>
                <c:formatCode>#,##0__</c:formatCode>
                <c:ptCount val="29"/>
                <c:pt idx="0">
                  <c:v>12.055392746813197</c:v>
                </c:pt>
                <c:pt idx="1">
                  <c:v>18.791785748936761</c:v>
                </c:pt>
                <c:pt idx="2">
                  <c:v>17.444096590215729</c:v>
                </c:pt>
                <c:pt idx="3">
                  <c:v>13.260899648585324</c:v>
                </c:pt>
                <c:pt idx="4" formatCode="#,##0.0__">
                  <c:v>12.043109882578847</c:v>
                </c:pt>
                <c:pt idx="5" formatCode="#,##0.0__">
                  <c:v>5.329288738434343</c:v>
                </c:pt>
                <c:pt idx="6" formatCode="#,##0.0__">
                  <c:v>-1.5038252425140872</c:v>
                </c:pt>
                <c:pt idx="7" formatCode="#,##0.0__">
                  <c:v>0.49985212637597176</c:v>
                </c:pt>
                <c:pt idx="8" formatCode="#,##0.0__">
                  <c:v>7.8919813268950998</c:v>
                </c:pt>
                <c:pt idx="9" formatCode="#,##0.0__">
                  <c:v>0.24365995359797044</c:v>
                </c:pt>
                <c:pt idx="10" formatCode="#,##0.0__">
                  <c:v>2.6780171683964751</c:v>
                </c:pt>
                <c:pt idx="11" formatCode="#,##0.0__">
                  <c:v>-2.2928067612426872</c:v>
                </c:pt>
                <c:pt idx="12" formatCode="#,##0.0__">
                  <c:v>-6.7566807507372015</c:v>
                </c:pt>
                <c:pt idx="13" formatCode="#,##0.0__">
                  <c:v>-0.77743655462338046</c:v>
                </c:pt>
                <c:pt idx="14" formatCode="#,##0.0__">
                  <c:v>12.110633355214674</c:v>
                </c:pt>
                <c:pt idx="15" formatCode="#,##0.0__">
                  <c:v>12.61158784734172</c:v>
                </c:pt>
                <c:pt idx="16" formatCode="#,##0.0__">
                  <c:v>18.162563874667054</c:v>
                </c:pt>
                <c:pt idx="17" formatCode="#,##0.0__">
                  <c:v>13.48212630490808</c:v>
                </c:pt>
                <c:pt idx="18" formatCode="#,##0.0__">
                  <c:v>11.650462908552004</c:v>
                </c:pt>
                <c:pt idx="19" formatCode="#,##0.0__">
                  <c:v>7.4466461221971558</c:v>
                </c:pt>
                <c:pt idx="20" formatCode="#,##0.0__">
                  <c:v>8.6601281679304094</c:v>
                </c:pt>
                <c:pt idx="21" formatCode="#,##0.0__">
                  <c:v>7.0703444338271924</c:v>
                </c:pt>
                <c:pt idx="22" formatCode="#,##0.0__">
                  <c:v>3.8319900533634268</c:v>
                </c:pt>
                <c:pt idx="23" formatCode="#,##0.0__">
                  <c:v>6.2462982413050714</c:v>
                </c:pt>
                <c:pt idx="24" formatCode="#,##0.0__">
                  <c:v>1.7408408111983675</c:v>
                </c:pt>
                <c:pt idx="25" formatCode="#,##0.0__">
                  <c:v>10.948509388317888</c:v>
                </c:pt>
                <c:pt idx="26" formatCode="#,##0.0__">
                  <c:v>1.6291665033355542</c:v>
                </c:pt>
                <c:pt idx="27" formatCode="#,##0.0__">
                  <c:v>6.4782911884818484</c:v>
                </c:pt>
                <c:pt idx="28" formatCode="#,##0.0__">
                  <c:v>9.9432376163981502</c:v>
                </c:pt>
              </c:numCache>
            </c:numRef>
          </c:val>
        </c:ser>
        <c:gapWidth val="34"/>
        <c:overlap val="28"/>
        <c:axId val="124236160"/>
        <c:axId val="124238080"/>
      </c:barChart>
      <c:lineChart>
        <c:grouping val="standard"/>
        <c:ser>
          <c:idx val="2"/>
          <c:order val="1"/>
          <c:tx>
            <c:strRef>
              <c:f>'výkonnost odvětví 2'!$B$32</c:f>
              <c:strCache>
                <c:ptCount val="1"/>
                <c:pt idx="0">
                  <c:v>Průmyslové zakázky z tuzemska</c:v>
                </c:pt>
              </c:strCache>
            </c:strRef>
          </c:tx>
          <c:spPr>
            <a:ln w="19050">
              <a:solidFill>
                <a:srgbClr val="0071BC"/>
              </a:solidFill>
              <a:prstDash val="solid"/>
            </a:ln>
          </c:spPr>
          <c:marker>
            <c:symbol val="none"/>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2'!$C$32:$AE$32</c:f>
              <c:numCache>
                <c:formatCode>#,##0__</c:formatCode>
                <c:ptCount val="29"/>
                <c:pt idx="0">
                  <c:v>9.3690276852933057</c:v>
                </c:pt>
                <c:pt idx="1">
                  <c:v>20.682181592692444</c:v>
                </c:pt>
                <c:pt idx="2">
                  <c:v>16.573478131898714</c:v>
                </c:pt>
                <c:pt idx="3">
                  <c:v>7.6006939720973321</c:v>
                </c:pt>
                <c:pt idx="4" formatCode="#,##0.0__">
                  <c:v>2.8145828625014992</c:v>
                </c:pt>
                <c:pt idx="5" formatCode="#,##0.0__">
                  <c:v>-0.65160236646085201</c:v>
                </c:pt>
                <c:pt idx="6" formatCode="#,##0.0__">
                  <c:v>-11.671779874966376</c:v>
                </c:pt>
                <c:pt idx="7" formatCode="#,##0.0__">
                  <c:v>-10.696553928195002</c:v>
                </c:pt>
                <c:pt idx="8" formatCode="#,##0.0__">
                  <c:v>2.6214089523072488</c:v>
                </c:pt>
                <c:pt idx="9" formatCode="#,##0.0__">
                  <c:v>-9.2467358771092982</c:v>
                </c:pt>
                <c:pt idx="10" formatCode="#,##0.0__">
                  <c:v>-2.8571327008706082</c:v>
                </c:pt>
                <c:pt idx="11" formatCode="#,##0.0__">
                  <c:v>-4.0487131301687915</c:v>
                </c:pt>
                <c:pt idx="12" formatCode="#,##0.0__">
                  <c:v>-7.1126687487238414</c:v>
                </c:pt>
                <c:pt idx="13" formatCode="#,##0.0__">
                  <c:v>-0.59564647244366165</c:v>
                </c:pt>
                <c:pt idx="14" formatCode="#,##0.0__">
                  <c:v>9.3846900381038747</c:v>
                </c:pt>
                <c:pt idx="15" formatCode="#,##0.0__">
                  <c:v>7.0781764130708815</c:v>
                </c:pt>
                <c:pt idx="16" formatCode="#,##0.0__">
                  <c:v>13.320088621608226</c:v>
                </c:pt>
                <c:pt idx="17" formatCode="#,##0.0__">
                  <c:v>7.6021800914440689</c:v>
                </c:pt>
                <c:pt idx="18" formatCode="#,##0.0__">
                  <c:v>17.491767655905477</c:v>
                </c:pt>
                <c:pt idx="19" formatCode="#,##0.0__">
                  <c:v>10.07772805392962</c:v>
                </c:pt>
                <c:pt idx="20" formatCode="#,##0.0__">
                  <c:v>5.7894297437900146</c:v>
                </c:pt>
                <c:pt idx="21" formatCode="#,##0.0__">
                  <c:v>11.162593735327277</c:v>
                </c:pt>
                <c:pt idx="22" formatCode="#,##0.0__">
                  <c:v>-4.0508483479998176</c:v>
                </c:pt>
                <c:pt idx="23" formatCode="#,##0.0__">
                  <c:v>1.8219061224914839</c:v>
                </c:pt>
                <c:pt idx="24" formatCode="#,##0.0__">
                  <c:v>1.3670231871965086</c:v>
                </c:pt>
                <c:pt idx="25" formatCode="#,##0.0__">
                  <c:v>6.1144874584533255</c:v>
                </c:pt>
                <c:pt idx="26" formatCode="#,##0.0__">
                  <c:v>-0.208282602941253</c:v>
                </c:pt>
                <c:pt idx="27" formatCode="#,##0.0__">
                  <c:v>3.0760686001194322</c:v>
                </c:pt>
                <c:pt idx="28" formatCode="#,##0.0__">
                  <c:v>10.978389781409588</c:v>
                </c:pt>
              </c:numCache>
            </c:numRef>
          </c:val>
        </c:ser>
        <c:ser>
          <c:idx val="5"/>
          <c:order val="2"/>
          <c:tx>
            <c:strRef>
              <c:f>'výkonnost odvětví 2'!$B$33</c:f>
              <c:strCache>
                <c:ptCount val="1"/>
                <c:pt idx="0">
                  <c:v>Průmyslové zakázky ze zahraničí</c:v>
                </c:pt>
              </c:strCache>
            </c:strRef>
          </c:tx>
          <c:spPr>
            <a:ln w="19050">
              <a:solidFill>
                <a:srgbClr val="BD1B21"/>
              </a:solidFill>
              <a:prstDash val="solid"/>
            </a:ln>
          </c:spPr>
          <c:marker>
            <c:symbol val="none"/>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2'!$C$33:$AE$33</c:f>
              <c:numCache>
                <c:formatCode>#,##0__</c:formatCode>
                <c:ptCount val="29"/>
                <c:pt idx="0">
                  <c:v>13.967994717912196</c:v>
                </c:pt>
                <c:pt idx="1">
                  <c:v>17.501951580886207</c:v>
                </c:pt>
                <c:pt idx="2">
                  <c:v>18.066389248755808</c:v>
                </c:pt>
                <c:pt idx="3">
                  <c:v>17.763791144855006</c:v>
                </c:pt>
                <c:pt idx="4" formatCode="#,##0.0__">
                  <c:v>18.348359830124419</c:v>
                </c:pt>
                <c:pt idx="5" formatCode="#,##0.0__">
                  <c:v>9.5205485847743709</c:v>
                </c:pt>
                <c:pt idx="6" formatCode="#,##0.0__">
                  <c:v>5.6719989098307195</c:v>
                </c:pt>
                <c:pt idx="7" formatCode="#,##0.0__">
                  <c:v>8.6383086882355524</c:v>
                </c:pt>
                <c:pt idx="8" formatCode="#,##0.0__">
                  <c:v>11.020367044503203</c:v>
                </c:pt>
                <c:pt idx="9" formatCode="#,##0.0__">
                  <c:v>6.2765550752876891</c:v>
                </c:pt>
                <c:pt idx="10" formatCode="#,##0.0__">
                  <c:v>5.9432809771147106</c:v>
                </c:pt>
                <c:pt idx="11" formatCode="#,##0.0__">
                  <c:v>-1.243570707773453</c:v>
                </c:pt>
                <c:pt idx="12" formatCode="#,##0.0__">
                  <c:v>-6.5613810568299265</c:v>
                </c:pt>
                <c:pt idx="13" formatCode="#,##0.0__">
                  <c:v>-0.87612893265552327</c:v>
                </c:pt>
                <c:pt idx="14" formatCode="#,##0.0__">
                  <c:v>13.585017236629103</c:v>
                </c:pt>
                <c:pt idx="15" formatCode="#,##0.0__">
                  <c:v>15.823868051866199</c:v>
                </c:pt>
                <c:pt idx="16" formatCode="#,##0.0__">
                  <c:v>20.803737843093884</c:v>
                </c:pt>
                <c:pt idx="17" formatCode="#,##0.0__">
                  <c:v>16.683085155498308</c:v>
                </c:pt>
                <c:pt idx="18" formatCode="#,##0.0__">
                  <c:v>8.6077426037905482</c:v>
                </c:pt>
                <c:pt idx="19" formatCode="#,##0.0__">
                  <c:v>6.0345642153573777</c:v>
                </c:pt>
                <c:pt idx="20" formatCode="#,##0.0__">
                  <c:v>10.128880629251858</c:v>
                </c:pt>
                <c:pt idx="21" formatCode="#,##0.0__">
                  <c:v>5.0159759230793242</c:v>
                </c:pt>
                <c:pt idx="22" formatCode="#,##0.0__">
                  <c:v>8.2739940886640966</c:v>
                </c:pt>
                <c:pt idx="23" formatCode="#,##0.0__">
                  <c:v>8.7114357834965919</c:v>
                </c:pt>
                <c:pt idx="24" formatCode="#,##0.0__">
                  <c:v>1.9245605566923001</c:v>
                </c:pt>
                <c:pt idx="25" formatCode="#,##0.0__">
                  <c:v>13.517252250841864</c:v>
                </c:pt>
                <c:pt idx="26" formatCode="#,##0.0__">
                  <c:v>2.5467160757470992</c:v>
                </c:pt>
                <c:pt idx="27" formatCode="#,##0.0__">
                  <c:v>8.2537778544595994</c:v>
                </c:pt>
                <c:pt idx="28" formatCode="#,##0.0__">
                  <c:v>9.437275387357472</c:v>
                </c:pt>
              </c:numCache>
            </c:numRef>
          </c:val>
        </c:ser>
        <c:ser>
          <c:idx val="3"/>
          <c:order val="3"/>
          <c:tx>
            <c:strRef>
              <c:f>'výkonnost odvětví 2'!$B$34</c:f>
              <c:strCache>
                <c:ptCount val="1"/>
                <c:pt idx="0">
                  <c:v>Zahraniční zakázky ve výrobě motor. voz.</c:v>
                </c:pt>
              </c:strCache>
            </c:strRef>
          </c:tx>
          <c:spPr>
            <a:ln w="19050">
              <a:solidFill>
                <a:srgbClr val="7DBB2D"/>
              </a:solidFill>
              <a:prstDash val="solid"/>
            </a:ln>
          </c:spPr>
          <c:marker>
            <c:symbol val="none"/>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2'!$C$34:$AE$34</c:f>
              <c:numCache>
                <c:formatCode>#,##0__</c:formatCode>
                <c:ptCount val="29"/>
                <c:pt idx="0">
                  <c:v>24.008427520841689</c:v>
                </c:pt>
                <c:pt idx="1">
                  <c:v>14.674010935341046</c:v>
                </c:pt>
                <c:pt idx="2">
                  <c:v>9.7391351049218109</c:v>
                </c:pt>
                <c:pt idx="3">
                  <c:v>16.783125711775629</c:v>
                </c:pt>
                <c:pt idx="4" formatCode="#,##0.0__">
                  <c:v>15.478617181437468</c:v>
                </c:pt>
                <c:pt idx="5" formatCode="#,##0.0__">
                  <c:v>11.728214688051828</c:v>
                </c:pt>
                <c:pt idx="6" formatCode="#,##0.0__">
                  <c:v>6.5426798807743207</c:v>
                </c:pt>
                <c:pt idx="7" formatCode="#,##0.0__">
                  <c:v>6.6356960264430711</c:v>
                </c:pt>
                <c:pt idx="8" formatCode="#,##0.0__">
                  <c:v>22.670301977911127</c:v>
                </c:pt>
                <c:pt idx="9" formatCode="#,##0.0__">
                  <c:v>13.96015573008407</c:v>
                </c:pt>
                <c:pt idx="10" formatCode="#,##0.0__">
                  <c:v>3.8554465624995227</c:v>
                </c:pt>
                <c:pt idx="11" formatCode="#,##0.0__">
                  <c:v>-0.92548587727675624</c:v>
                </c:pt>
                <c:pt idx="12" formatCode="#,##0.0__">
                  <c:v>-14.839347610315926</c:v>
                </c:pt>
                <c:pt idx="13" formatCode="#,##0.0__">
                  <c:v>-5.2962975041670894</c:v>
                </c:pt>
                <c:pt idx="14" formatCode="#,##0.0__">
                  <c:v>28.544914199445543</c:v>
                </c:pt>
                <c:pt idx="15" formatCode="#,##0.0__">
                  <c:v>21.31669103822853</c:v>
                </c:pt>
                <c:pt idx="16" formatCode="#,##0.0__">
                  <c:v>35.957495888821171</c:v>
                </c:pt>
                <c:pt idx="17" formatCode="#,##0.0__">
                  <c:v>27.239841408344233</c:v>
                </c:pt>
                <c:pt idx="18" formatCode="#,##0.0__">
                  <c:v>9.2341155229135996</c:v>
                </c:pt>
                <c:pt idx="19" formatCode="#,##0.0__">
                  <c:v>6.1688216646606095</c:v>
                </c:pt>
                <c:pt idx="20" formatCode="#,##0.0__">
                  <c:v>15.591394938767356</c:v>
                </c:pt>
                <c:pt idx="21" formatCode="#,##0.0__">
                  <c:v>0.51541703808817374</c:v>
                </c:pt>
                <c:pt idx="22" formatCode="#,##0.0__">
                  <c:v>19.552829007204693</c:v>
                </c:pt>
                <c:pt idx="23" formatCode="#,##0.0__">
                  <c:v>21.966377727772329</c:v>
                </c:pt>
                <c:pt idx="24" formatCode="#,##0.0__">
                  <c:v>10.330511045843863</c:v>
                </c:pt>
                <c:pt idx="25" formatCode="#,##0.0__">
                  <c:v>38.766358848039467</c:v>
                </c:pt>
                <c:pt idx="26" formatCode="#,##0.0__">
                  <c:v>7.3137068574776265</c:v>
                </c:pt>
                <c:pt idx="27" formatCode="#,##0.0__">
                  <c:v>13.932436847203556</c:v>
                </c:pt>
                <c:pt idx="28" formatCode="#,##0.0__">
                  <c:v>7.8154936779983055</c:v>
                </c:pt>
              </c:numCache>
            </c:numRef>
          </c:val>
        </c:ser>
        <c:marker val="1"/>
        <c:axId val="124236160"/>
        <c:axId val="124238080"/>
      </c:lineChart>
      <c:lineChart>
        <c:grouping val="standard"/>
        <c:ser>
          <c:idx val="4"/>
          <c:order val="4"/>
          <c:tx>
            <c:strRef>
              <c:f>'výkonnost odvětví 2'!$B$35</c:f>
              <c:strCache>
                <c:ptCount val="1"/>
                <c:pt idx="0">
                  <c:v>Saldo souhr.indikátoru důvěry v průmyslu</c:v>
                </c:pt>
              </c:strCache>
            </c:strRef>
          </c:tx>
          <c:spPr>
            <a:ln w="19050">
              <a:noFill/>
            </a:ln>
          </c:spPr>
          <c:marker>
            <c:symbol val="dash"/>
            <c:size val="9"/>
            <c:spPr>
              <a:solidFill>
                <a:srgbClr val="984807"/>
              </a:solidFill>
              <a:ln>
                <a:noFill/>
              </a:ln>
            </c:spPr>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2'!$C$35:$AE$35</c:f>
              <c:numCache>
                <c:formatCode>0.0</c:formatCode>
                <c:ptCount val="29"/>
                <c:pt idx="0">
                  <c:v>-5.4444444444444464</c:v>
                </c:pt>
                <c:pt idx="1">
                  <c:v>2.4333333333333331</c:v>
                </c:pt>
                <c:pt idx="2">
                  <c:v>5.5666666666666664</c:v>
                </c:pt>
                <c:pt idx="3">
                  <c:v>10</c:v>
                </c:pt>
                <c:pt idx="4">
                  <c:v>12.200000000000001</c:v>
                </c:pt>
                <c:pt idx="5">
                  <c:v>5.8999999999999995</c:v>
                </c:pt>
                <c:pt idx="6">
                  <c:v>2.4333333333333331</c:v>
                </c:pt>
                <c:pt idx="7">
                  <c:v>1.8</c:v>
                </c:pt>
                <c:pt idx="8">
                  <c:v>1.5666666666666667</c:v>
                </c:pt>
                <c:pt idx="9">
                  <c:v>-2.5666666666666669</c:v>
                </c:pt>
                <c:pt idx="10">
                  <c:v>-8.9</c:v>
                </c:pt>
                <c:pt idx="11">
                  <c:v>-10.200000000000001</c:v>
                </c:pt>
                <c:pt idx="12">
                  <c:v>-8.9</c:v>
                </c:pt>
                <c:pt idx="13">
                  <c:v>-10</c:v>
                </c:pt>
                <c:pt idx="14">
                  <c:v>-6.2333333333333583</c:v>
                </c:pt>
                <c:pt idx="15">
                  <c:v>1.7000000000000002</c:v>
                </c:pt>
                <c:pt idx="16">
                  <c:v>2.3333333333333335</c:v>
                </c:pt>
                <c:pt idx="17">
                  <c:v>3.6333333333333342</c:v>
                </c:pt>
                <c:pt idx="18">
                  <c:v>2.5333333333333332</c:v>
                </c:pt>
                <c:pt idx="19">
                  <c:v>2.6666666666666665</c:v>
                </c:pt>
                <c:pt idx="20">
                  <c:v>3</c:v>
                </c:pt>
                <c:pt idx="21">
                  <c:v>3.7666666666666671</c:v>
                </c:pt>
                <c:pt idx="22">
                  <c:v>3.7666666666666671</c:v>
                </c:pt>
                <c:pt idx="23">
                  <c:v>0.76666666666666661</c:v>
                </c:pt>
                <c:pt idx="24">
                  <c:v>3.5666666666666664</c:v>
                </c:pt>
                <c:pt idx="25">
                  <c:v>1.9000000000000001</c:v>
                </c:pt>
                <c:pt idx="26">
                  <c:v>3.7666666666666671</c:v>
                </c:pt>
                <c:pt idx="27">
                  <c:v>5.3333333333333526</c:v>
                </c:pt>
                <c:pt idx="28">
                  <c:v>3.3333333333333335</c:v>
                </c:pt>
              </c:numCache>
            </c:numRef>
          </c:val>
        </c:ser>
        <c:marker val="1"/>
        <c:axId val="124239872"/>
        <c:axId val="124241408"/>
      </c:lineChart>
      <c:catAx>
        <c:axId val="12423616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4238080"/>
        <c:crossesAt val="0"/>
        <c:lblAlgn val="ctr"/>
        <c:lblOffset val="0"/>
        <c:tickLblSkip val="1"/>
        <c:tickMarkSkip val="4"/>
      </c:catAx>
      <c:valAx>
        <c:axId val="124238080"/>
        <c:scaling>
          <c:orientation val="minMax"/>
          <c:max val="40"/>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4236160"/>
        <c:crosses val="autoZero"/>
        <c:crossBetween val="between"/>
        <c:majorUnit val="5"/>
      </c:valAx>
      <c:catAx>
        <c:axId val="124239872"/>
        <c:scaling>
          <c:orientation val="minMax"/>
        </c:scaling>
        <c:delete val="1"/>
        <c:axPos val="b"/>
        <c:numFmt formatCode="General" sourceLinked="1"/>
        <c:tickLblPos val="none"/>
        <c:crossAx val="124241408"/>
        <c:crosses val="autoZero"/>
        <c:auto val="1"/>
        <c:lblAlgn val="ctr"/>
        <c:lblOffset val="100"/>
      </c:catAx>
      <c:valAx>
        <c:axId val="124241408"/>
        <c:scaling>
          <c:orientation val="minMax"/>
          <c:max val="40"/>
          <c:min val="-30"/>
        </c:scaling>
        <c:delete val="1"/>
        <c:axPos val="r"/>
        <c:numFmt formatCode="0" sourceLinked="0"/>
        <c:majorTickMark val="in"/>
        <c:tickLblPos val="none"/>
        <c:crossAx val="124239872"/>
        <c:crosses val="max"/>
        <c:crossBetween val="between"/>
        <c:majorUnit val="10"/>
      </c:valAx>
      <c:spPr>
        <a:solidFill>
          <a:srgbClr val="FFFFFF"/>
        </a:solidFill>
        <a:ln w="9525">
          <a:solidFill>
            <a:schemeClr val="tx1"/>
          </a:solidFill>
        </a:ln>
      </c:spPr>
    </c:plotArea>
    <c:legend>
      <c:legendPos val="b"/>
      <c:layout>
        <c:manualLayout>
          <c:xMode val="edge"/>
          <c:yMode val="edge"/>
          <c:x val="4.9759612109554999E-2"/>
          <c:y val="0.86466408652853433"/>
          <c:w val="0.92803398048525987"/>
          <c:h val="0.12117661880503022"/>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6155778692800765E-2"/>
          <c:y val="2.7301010403762031E-2"/>
          <c:w val="0.92847707700101312"/>
          <c:h val="0.72816897444557371"/>
        </c:manualLayout>
      </c:layout>
      <c:barChart>
        <c:barDir val="col"/>
        <c:grouping val="clustered"/>
        <c:ser>
          <c:idx val="0"/>
          <c:order val="0"/>
          <c:tx>
            <c:strRef>
              <c:f>'výkonnost odvětví 3'!$C$10</c:f>
              <c:strCache>
                <c:ptCount val="1"/>
                <c:pt idx="0">
                  <c:v>Index stavební produkce*</c:v>
                </c:pt>
              </c:strCache>
            </c:strRef>
          </c:tx>
          <c:spPr>
            <a:solidFill>
              <a:schemeClr val="bg1">
                <a:lumMod val="65000"/>
              </a:schemeClr>
            </a:solidFill>
            <a:ln w="12700">
              <a:noFill/>
              <a:prstDash val="solid"/>
            </a:ln>
          </c:spPr>
          <c:cat>
            <c:multiLvlStrRef>
              <c:f>'výkonnost odvětví 3'!$A$11:$B$39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3'!$C$11:$C$39</c:f>
              <c:numCache>
                <c:formatCode>0.0</c:formatCode>
                <c:ptCount val="29"/>
                <c:pt idx="0">
                  <c:v>-22.649593434953729</c:v>
                </c:pt>
                <c:pt idx="1">
                  <c:v>-9.2053906224925459</c:v>
                </c:pt>
                <c:pt idx="2">
                  <c:v>-2.5857270294683752</c:v>
                </c:pt>
                <c:pt idx="3">
                  <c:v>-2.6458417001777152</c:v>
                </c:pt>
                <c:pt idx="4">
                  <c:v>4.8326567560768385</c:v>
                </c:pt>
                <c:pt idx="5">
                  <c:v>-5.2939362981300455</c:v>
                </c:pt>
                <c:pt idx="6">
                  <c:v>-9.1135283984783371</c:v>
                </c:pt>
                <c:pt idx="7">
                  <c:v>-0.5310761869749262</c:v>
                </c:pt>
                <c:pt idx="8">
                  <c:v>-10.313869673497654</c:v>
                </c:pt>
                <c:pt idx="9">
                  <c:v>-5.0418309453283294</c:v>
                </c:pt>
                <c:pt idx="10">
                  <c:v>-5.7589032503271369</c:v>
                </c:pt>
                <c:pt idx="11">
                  <c:v>-9.3321396912562733</c:v>
                </c:pt>
                <c:pt idx="12">
                  <c:v>-10.163714253523766</c:v>
                </c:pt>
                <c:pt idx="13">
                  <c:v>-11.698885661815398</c:v>
                </c:pt>
                <c:pt idx="14">
                  <c:v>-5.1453216072558785</c:v>
                </c:pt>
                <c:pt idx="15">
                  <c:v>-2.7444034120383551</c:v>
                </c:pt>
                <c:pt idx="16">
                  <c:v>13.259836737491025</c:v>
                </c:pt>
                <c:pt idx="17">
                  <c:v>5.5887096159495728</c:v>
                </c:pt>
                <c:pt idx="18">
                  <c:v>2.4141487680891629</c:v>
                </c:pt>
                <c:pt idx="19">
                  <c:v>1.0775910546881278</c:v>
                </c:pt>
                <c:pt idx="20">
                  <c:v>9.4925086462955193</c:v>
                </c:pt>
                <c:pt idx="21">
                  <c:v>12.221129672649255</c:v>
                </c:pt>
                <c:pt idx="22">
                  <c:v>8.3289457126413282</c:v>
                </c:pt>
                <c:pt idx="23">
                  <c:v>1.0775855534479746</c:v>
                </c:pt>
                <c:pt idx="24">
                  <c:v>-6.3839361190831596</c:v>
                </c:pt>
                <c:pt idx="25">
                  <c:v>-10.583910930698551</c:v>
                </c:pt>
                <c:pt idx="26">
                  <c:v>-6.2287021007878884</c:v>
                </c:pt>
                <c:pt idx="27">
                  <c:v>-2.0138997730674082</c:v>
                </c:pt>
                <c:pt idx="28">
                  <c:v>-2.2969901448868626</c:v>
                </c:pt>
              </c:numCache>
            </c:numRef>
          </c:val>
        </c:ser>
        <c:gapWidth val="31"/>
        <c:axId val="124354560"/>
        <c:axId val="124356480"/>
      </c:barChart>
      <c:lineChart>
        <c:grouping val="standard"/>
        <c:ser>
          <c:idx val="1"/>
          <c:order val="1"/>
          <c:tx>
            <c:strRef>
              <c:f>'výkonnost odvětví 3'!$D$10</c:f>
              <c:strCache>
                <c:ptCount val="1"/>
                <c:pt idx="0">
                  <c:v>v tom: pozemní stavitelství*</c:v>
                </c:pt>
              </c:strCache>
            </c:strRef>
          </c:tx>
          <c:spPr>
            <a:ln w="19050">
              <a:solidFill>
                <a:srgbClr val="0071BC"/>
              </a:solidFill>
              <a:prstDash val="solid"/>
            </a:ln>
          </c:spPr>
          <c:marker>
            <c:symbol val="none"/>
          </c:marker>
          <c:cat>
            <c:multiLvlStrRef>
              <c:f>'výkonnost odvětví 3'!$A$11:$B$39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3'!$D$11:$D$39</c:f>
              <c:numCache>
                <c:formatCode>0.0</c:formatCode>
                <c:ptCount val="29"/>
                <c:pt idx="0">
                  <c:v>-27.131266574539922</c:v>
                </c:pt>
                <c:pt idx="1">
                  <c:v>-10.252619047585423</c:v>
                </c:pt>
                <c:pt idx="2">
                  <c:v>-0.59082139228969865</c:v>
                </c:pt>
                <c:pt idx="3">
                  <c:v>0.2395719363505151</c:v>
                </c:pt>
                <c:pt idx="4">
                  <c:v>8.1425598761810267</c:v>
                </c:pt>
                <c:pt idx="5">
                  <c:v>-1.6999185102964987</c:v>
                </c:pt>
                <c:pt idx="6">
                  <c:v>-6.3341277897500419</c:v>
                </c:pt>
                <c:pt idx="7">
                  <c:v>2.1871143728147326</c:v>
                </c:pt>
                <c:pt idx="8">
                  <c:v>-7.4922508268678945</c:v>
                </c:pt>
                <c:pt idx="9">
                  <c:v>-2.3117142060276032</c:v>
                </c:pt>
                <c:pt idx="10">
                  <c:v>-5.2546862532761445</c:v>
                </c:pt>
                <c:pt idx="11">
                  <c:v>-9.601655447416098</c:v>
                </c:pt>
                <c:pt idx="12">
                  <c:v>-9.3758045375607733</c:v>
                </c:pt>
                <c:pt idx="13">
                  <c:v>-11.121811858071393</c:v>
                </c:pt>
                <c:pt idx="14">
                  <c:v>-1.5438662166399326</c:v>
                </c:pt>
                <c:pt idx="15">
                  <c:v>-2.9791299002777687</c:v>
                </c:pt>
                <c:pt idx="16">
                  <c:v>16.806355856790205</c:v>
                </c:pt>
                <c:pt idx="17">
                  <c:v>5.0883856818808084</c:v>
                </c:pt>
                <c:pt idx="18">
                  <c:v>-1.0630069594621148</c:v>
                </c:pt>
                <c:pt idx="19">
                  <c:v>-0.33516798362349404</c:v>
                </c:pt>
                <c:pt idx="20">
                  <c:v>7.928440506833681</c:v>
                </c:pt>
                <c:pt idx="21">
                  <c:v>7.3319576143083234</c:v>
                </c:pt>
                <c:pt idx="22">
                  <c:v>1.3078163374722598</c:v>
                </c:pt>
                <c:pt idx="23">
                  <c:v>-2.6438551955895377</c:v>
                </c:pt>
                <c:pt idx="24">
                  <c:v>-6.6497174865349109</c:v>
                </c:pt>
                <c:pt idx="25">
                  <c:v>-7.7448071258120414</c:v>
                </c:pt>
                <c:pt idx="26">
                  <c:v>1.3190425659515137</c:v>
                </c:pt>
                <c:pt idx="27">
                  <c:v>6.0909880538835779</c:v>
                </c:pt>
                <c:pt idx="28">
                  <c:v>1.646609668878398</c:v>
                </c:pt>
              </c:numCache>
            </c:numRef>
          </c:val>
        </c:ser>
        <c:ser>
          <c:idx val="2"/>
          <c:order val="2"/>
          <c:tx>
            <c:strRef>
              <c:f>'výkonnost odvětví 3'!$E$10</c:f>
              <c:strCache>
                <c:ptCount val="1"/>
                <c:pt idx="0">
                  <c:v>v tom: inženýrské stavitelství*</c:v>
                </c:pt>
              </c:strCache>
            </c:strRef>
          </c:tx>
          <c:spPr>
            <a:ln w="19050">
              <a:solidFill>
                <a:srgbClr val="BD1B21"/>
              </a:solidFill>
              <a:prstDash val="solid"/>
            </a:ln>
          </c:spPr>
          <c:marker>
            <c:symbol val="none"/>
          </c:marker>
          <c:cat>
            <c:multiLvlStrRef>
              <c:f>'výkonnost odvětví 3'!$A$11:$B$39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3'!$E$11:$E$39</c:f>
              <c:numCache>
                <c:formatCode>0.0</c:formatCode>
                <c:ptCount val="29"/>
                <c:pt idx="0">
                  <c:v>-9.2200554563093107</c:v>
                </c:pt>
                <c:pt idx="1">
                  <c:v>-7.2569035906914374</c:v>
                </c:pt>
                <c:pt idx="2">
                  <c:v>-6.1039541913801294</c:v>
                </c:pt>
                <c:pt idx="3">
                  <c:v>-7.7848817278233176</c:v>
                </c:pt>
                <c:pt idx="4">
                  <c:v>-3.1287072809070899</c:v>
                </c:pt>
                <c:pt idx="5">
                  <c:v>-11.765012472728452</c:v>
                </c:pt>
                <c:pt idx="6">
                  <c:v>-14.303104080129884</c:v>
                </c:pt>
                <c:pt idx="7">
                  <c:v>-5.7935614912549038</c:v>
                </c:pt>
                <c:pt idx="8">
                  <c:v>-17.890430221653659</c:v>
                </c:pt>
                <c:pt idx="9">
                  <c:v>-10.518172879318271</c:v>
                </c:pt>
                <c:pt idx="10">
                  <c:v>-6.7879011145072639</c:v>
                </c:pt>
                <c:pt idx="11">
                  <c:v>-8.7661471530578829</c:v>
                </c:pt>
                <c:pt idx="12">
                  <c:v>-12.547320661363841</c:v>
                </c:pt>
                <c:pt idx="13">
                  <c:v>-12.962598345900076</c:v>
                </c:pt>
                <c:pt idx="14">
                  <c:v>-12.616007600250498</c:v>
                </c:pt>
                <c:pt idx="15">
                  <c:v>-2.2559837833539405</c:v>
                </c:pt>
                <c:pt idx="16">
                  <c:v>2.1417146651736516</c:v>
                </c:pt>
                <c:pt idx="17">
                  <c:v>6.7075227048733765</c:v>
                </c:pt>
                <c:pt idx="18">
                  <c:v>10.540909604826922</c:v>
                </c:pt>
                <c:pt idx="19">
                  <c:v>3.9955158033946012</c:v>
                </c:pt>
                <c:pt idx="20">
                  <c:v>15.099735577238365</c:v>
                </c:pt>
                <c:pt idx="21">
                  <c:v>22.988292082921205</c:v>
                </c:pt>
                <c:pt idx="22">
                  <c:v>23.01604349364073</c:v>
                </c:pt>
                <c:pt idx="23">
                  <c:v>8.4438011822430834</c:v>
                </c:pt>
                <c:pt idx="24">
                  <c:v>-5.4904690072542124</c:v>
                </c:pt>
                <c:pt idx="25">
                  <c:v>-16.040390010646327</c:v>
                </c:pt>
                <c:pt idx="26">
                  <c:v>-19.231218494116735</c:v>
                </c:pt>
                <c:pt idx="27">
                  <c:v>-16.416435569169529</c:v>
                </c:pt>
                <c:pt idx="28">
                  <c:v>-15.391429404872895</c:v>
                </c:pt>
              </c:numCache>
            </c:numRef>
          </c:val>
        </c:ser>
        <c:ser>
          <c:idx val="3"/>
          <c:order val="3"/>
          <c:tx>
            <c:strRef>
              <c:f>'výkonnost odvětví 3'!$F$10</c:f>
              <c:strCache>
                <c:ptCount val="1"/>
                <c:pt idx="0">
                  <c:v>Nové zakázky ve stavebnictví celkem</c:v>
                </c:pt>
              </c:strCache>
            </c:strRef>
          </c:tx>
          <c:spPr>
            <a:ln w="19050">
              <a:solidFill>
                <a:srgbClr val="7DBB2D"/>
              </a:solidFill>
              <a:prstDash val="solid"/>
            </a:ln>
          </c:spPr>
          <c:marker>
            <c:symbol val="none"/>
          </c:marker>
          <c:cat>
            <c:multiLvlStrRef>
              <c:f>'výkonnost odvětví 3'!$A$11:$B$39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3'!$F$11:$F$39</c:f>
              <c:numCache>
                <c:formatCode>0.0</c:formatCode>
                <c:ptCount val="29"/>
                <c:pt idx="0">
                  <c:v>0.82757088505651666</c:v>
                </c:pt>
                <c:pt idx="1">
                  <c:v>8.7687755178484537</c:v>
                </c:pt>
                <c:pt idx="2">
                  <c:v>30.894711890703729</c:v>
                </c:pt>
                <c:pt idx="3">
                  <c:v>-13.415413805192964</c:v>
                </c:pt>
                <c:pt idx="4">
                  <c:v>37.795405718063279</c:v>
                </c:pt>
                <c:pt idx="5">
                  <c:v>-23.565672566981071</c:v>
                </c:pt>
                <c:pt idx="6">
                  <c:v>-23.360716461156017</c:v>
                </c:pt>
                <c:pt idx="7">
                  <c:v>-9.1653963414634205</c:v>
                </c:pt>
                <c:pt idx="8">
                  <c:v>-46.322059646598035</c:v>
                </c:pt>
                <c:pt idx="9">
                  <c:v>-13.714800630772698</c:v>
                </c:pt>
                <c:pt idx="10">
                  <c:v>-7.6729748888363645</c:v>
                </c:pt>
                <c:pt idx="11">
                  <c:v>7.5624082232011753</c:v>
                </c:pt>
                <c:pt idx="12">
                  <c:v>-17.695687793252475</c:v>
                </c:pt>
                <c:pt idx="13">
                  <c:v>-1.584773641063137</c:v>
                </c:pt>
                <c:pt idx="14">
                  <c:v>-1.3308205951467045</c:v>
                </c:pt>
                <c:pt idx="15">
                  <c:v>16.153096050706978</c:v>
                </c:pt>
                <c:pt idx="16">
                  <c:v>67.509727626458783</c:v>
                </c:pt>
                <c:pt idx="17">
                  <c:v>18.978644382543994</c:v>
                </c:pt>
                <c:pt idx="18">
                  <c:v>34.050931384107542</c:v>
                </c:pt>
                <c:pt idx="19">
                  <c:v>-1</c:v>
                </c:pt>
                <c:pt idx="20">
                  <c:v>-3.1547956675580053</c:v>
                </c:pt>
                <c:pt idx="21">
                  <c:v>9.7504961091663684</c:v>
                </c:pt>
                <c:pt idx="22">
                  <c:v>-1.0976060227612561</c:v>
                </c:pt>
                <c:pt idx="23">
                  <c:v>-2.3987783410040464</c:v>
                </c:pt>
                <c:pt idx="24">
                  <c:v>-6.6406358945753805</c:v>
                </c:pt>
                <c:pt idx="25">
                  <c:v>-0.49977652269311085</c:v>
                </c:pt>
                <c:pt idx="26">
                  <c:v>-7.0322087253454839</c:v>
                </c:pt>
                <c:pt idx="27">
                  <c:v>10.122126124559955</c:v>
                </c:pt>
                <c:pt idx="28">
                  <c:v>16.613389896334329</c:v>
                </c:pt>
              </c:numCache>
            </c:numRef>
          </c:val>
        </c:ser>
        <c:ser>
          <c:idx val="4"/>
          <c:order val="4"/>
          <c:tx>
            <c:strRef>
              <c:f>'výkonnost odvětví 3'!$G$10</c:f>
              <c:strCache>
                <c:ptCount val="1"/>
                <c:pt idx="0">
                  <c:v>Saldo souhr.indik.důvěry ve stavebnictví</c:v>
                </c:pt>
              </c:strCache>
            </c:strRef>
          </c:tx>
          <c:spPr>
            <a:ln w="19050">
              <a:noFill/>
              <a:prstDash val="solid"/>
            </a:ln>
          </c:spPr>
          <c:marker>
            <c:symbol val="dash"/>
            <c:size val="9"/>
            <c:spPr>
              <a:solidFill>
                <a:srgbClr val="984807"/>
              </a:solidFill>
              <a:ln>
                <a:noFill/>
              </a:ln>
            </c:spPr>
          </c:marker>
          <c:cat>
            <c:multiLvlStrRef>
              <c:f>'výkonnost odvětví 3'!$A$11:$B$39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3'!$G$11:$G$39</c:f>
              <c:numCache>
                <c:formatCode>0.0</c:formatCode>
                <c:ptCount val="29"/>
                <c:pt idx="0">
                  <c:v>-32.166666666666409</c:v>
                </c:pt>
                <c:pt idx="1">
                  <c:v>-32.5</c:v>
                </c:pt>
                <c:pt idx="2">
                  <c:v>-37</c:v>
                </c:pt>
                <c:pt idx="3">
                  <c:v>-42.5</c:v>
                </c:pt>
                <c:pt idx="4">
                  <c:v>-40</c:v>
                </c:pt>
                <c:pt idx="5">
                  <c:v>-40.333333333333336</c:v>
                </c:pt>
                <c:pt idx="6">
                  <c:v>-39.166666666666409</c:v>
                </c:pt>
                <c:pt idx="7">
                  <c:v>-39.333333333333336</c:v>
                </c:pt>
                <c:pt idx="8">
                  <c:v>-46</c:v>
                </c:pt>
                <c:pt idx="9">
                  <c:v>-45.333333333333336</c:v>
                </c:pt>
                <c:pt idx="10">
                  <c:v>-43.5</c:v>
                </c:pt>
                <c:pt idx="11">
                  <c:v>-44.666666666666409</c:v>
                </c:pt>
                <c:pt idx="12">
                  <c:v>-46</c:v>
                </c:pt>
                <c:pt idx="13">
                  <c:v>-53.333333333333336</c:v>
                </c:pt>
                <c:pt idx="14">
                  <c:v>-49.5</c:v>
                </c:pt>
                <c:pt idx="15">
                  <c:v>-50.833333333333336</c:v>
                </c:pt>
                <c:pt idx="16">
                  <c:v>-45.166666666666409</c:v>
                </c:pt>
                <c:pt idx="17">
                  <c:v>-38.333333333333336</c:v>
                </c:pt>
                <c:pt idx="18">
                  <c:v>-32</c:v>
                </c:pt>
                <c:pt idx="19">
                  <c:v>-25.166666666666668</c:v>
                </c:pt>
                <c:pt idx="20">
                  <c:v>-20.833333333333211</c:v>
                </c:pt>
                <c:pt idx="21">
                  <c:v>-16.333333333333211</c:v>
                </c:pt>
                <c:pt idx="22">
                  <c:v>-18.666666666666668</c:v>
                </c:pt>
                <c:pt idx="23">
                  <c:v>-15.666666666666705</c:v>
                </c:pt>
                <c:pt idx="24">
                  <c:v>-17.166666666666668</c:v>
                </c:pt>
                <c:pt idx="25">
                  <c:v>-24</c:v>
                </c:pt>
                <c:pt idx="26">
                  <c:v>-26.666666666666668</c:v>
                </c:pt>
                <c:pt idx="27">
                  <c:v>-25.833333333333211</c:v>
                </c:pt>
                <c:pt idx="28">
                  <c:v>-24.5</c:v>
                </c:pt>
              </c:numCache>
            </c:numRef>
          </c:val>
        </c:ser>
        <c:marker val="1"/>
        <c:axId val="124354560"/>
        <c:axId val="124356480"/>
      </c:lineChart>
      <c:catAx>
        <c:axId val="12435456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4356480"/>
        <c:crossesAt val="0"/>
        <c:lblAlgn val="ctr"/>
        <c:lblOffset val="0"/>
        <c:tickLblSkip val="1"/>
        <c:tickMarkSkip val="4"/>
      </c:catAx>
      <c:valAx>
        <c:axId val="124356480"/>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4354560"/>
        <c:crosses val="autoZero"/>
        <c:crossBetween val="between"/>
        <c:majorUnit val="10"/>
      </c:valAx>
      <c:spPr>
        <a:solidFill>
          <a:srgbClr val="FFFFFF"/>
        </a:solidFill>
        <a:ln w="9525">
          <a:solidFill>
            <a:schemeClr val="tx1"/>
          </a:solidFill>
        </a:ln>
      </c:spPr>
    </c:plotArea>
    <c:legend>
      <c:legendPos val="b"/>
      <c:layout>
        <c:manualLayout>
          <c:xMode val="edge"/>
          <c:yMode val="edge"/>
          <c:x val="5.4756708056613347E-2"/>
          <c:y val="0.85572196258724964"/>
          <c:w val="0.92610625633232013"/>
          <c:h val="0.12897050545986719"/>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337294494629933E-2"/>
          <c:y val="2.5454073336495381E-2"/>
          <c:w val="0.91372590696101663"/>
          <c:h val="0.72225502843009715"/>
        </c:manualLayout>
      </c:layout>
      <c:barChart>
        <c:barDir val="col"/>
        <c:grouping val="clustered"/>
        <c:ser>
          <c:idx val="0"/>
          <c:order val="0"/>
          <c:tx>
            <c:strRef>
              <c:f>'výkonnost odvětví 4'!$C$10</c:f>
              <c:strCache>
                <c:ptCount val="1"/>
                <c:pt idx="0">
                  <c:v>Maloobchod, bez motor. Segmentu</c:v>
                </c:pt>
              </c:strCache>
            </c:strRef>
          </c:tx>
          <c:spPr>
            <a:solidFill>
              <a:schemeClr val="bg1">
                <a:lumMod val="65000"/>
              </a:schemeClr>
            </a:solidFill>
            <a:ln w="12700">
              <a:noFill/>
              <a:prstDash val="solid"/>
            </a:ln>
          </c:spPr>
          <c:cat>
            <c:multiLvlStrRef>
              <c:f>'výkonnost odvětví 4'!$A$11:$B$39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4'!$C$11:$C$39</c:f>
              <c:numCache>
                <c:formatCode>#,##0.0</c:formatCode>
                <c:ptCount val="29"/>
                <c:pt idx="0">
                  <c:v>-1.1000000000000001</c:v>
                </c:pt>
                <c:pt idx="1">
                  <c:v>-1.2</c:v>
                </c:pt>
                <c:pt idx="2">
                  <c:v>0.4</c:v>
                </c:pt>
                <c:pt idx="3">
                  <c:v>-1.2</c:v>
                </c:pt>
                <c:pt idx="4">
                  <c:v>1.7</c:v>
                </c:pt>
                <c:pt idx="5">
                  <c:v>0.9</c:v>
                </c:pt>
                <c:pt idx="6">
                  <c:v>-1.1000000000000001</c:v>
                </c:pt>
                <c:pt idx="7">
                  <c:v>0</c:v>
                </c:pt>
                <c:pt idx="8">
                  <c:v>-1</c:v>
                </c:pt>
                <c:pt idx="9">
                  <c:v>-1.1000000000000001</c:v>
                </c:pt>
                <c:pt idx="10">
                  <c:v>-0.30000000000000032</c:v>
                </c:pt>
                <c:pt idx="11">
                  <c:v>-1</c:v>
                </c:pt>
                <c:pt idx="12">
                  <c:v>0.60000000000000064</c:v>
                </c:pt>
                <c:pt idx="13">
                  <c:v>-0.70000000000000062</c:v>
                </c:pt>
                <c:pt idx="14">
                  <c:v>-0.60000000000000064</c:v>
                </c:pt>
                <c:pt idx="15">
                  <c:v>1.4</c:v>
                </c:pt>
                <c:pt idx="16">
                  <c:v>2.8</c:v>
                </c:pt>
                <c:pt idx="17">
                  <c:v>2.7</c:v>
                </c:pt>
                <c:pt idx="18">
                  <c:v>2</c:v>
                </c:pt>
                <c:pt idx="19">
                  <c:v>3.7</c:v>
                </c:pt>
                <c:pt idx="20">
                  <c:v>6.6</c:v>
                </c:pt>
                <c:pt idx="21">
                  <c:v>6.2</c:v>
                </c:pt>
                <c:pt idx="22">
                  <c:v>6</c:v>
                </c:pt>
                <c:pt idx="23">
                  <c:v>6.8</c:v>
                </c:pt>
                <c:pt idx="24">
                  <c:v>5.6</c:v>
                </c:pt>
                <c:pt idx="25">
                  <c:v>5.7</c:v>
                </c:pt>
                <c:pt idx="26">
                  <c:v>5.3</c:v>
                </c:pt>
                <c:pt idx="27">
                  <c:v>4.4000000000000004</c:v>
                </c:pt>
                <c:pt idx="28">
                  <c:v>5.7</c:v>
                </c:pt>
              </c:numCache>
            </c:numRef>
          </c:val>
        </c:ser>
        <c:gapWidth val="31"/>
        <c:axId val="124135680"/>
        <c:axId val="124371328"/>
      </c:barChart>
      <c:lineChart>
        <c:grouping val="standard"/>
        <c:ser>
          <c:idx val="1"/>
          <c:order val="1"/>
          <c:tx>
            <c:strRef>
              <c:f>'výkonnost odvětví 4'!$D$10</c:f>
              <c:strCache>
                <c:ptCount val="1"/>
                <c:pt idx="0">
                  <c:v>Maloobchod s potravinami celkem </c:v>
                </c:pt>
              </c:strCache>
            </c:strRef>
          </c:tx>
          <c:spPr>
            <a:ln w="19050">
              <a:solidFill>
                <a:srgbClr val="0071BC"/>
              </a:solidFill>
              <a:prstDash val="solid"/>
            </a:ln>
          </c:spPr>
          <c:marker>
            <c:symbol val="none"/>
          </c:marker>
          <c:cat>
            <c:multiLvlStrRef>
              <c:f>'výkonnost odvětví 4'!$A$11:$B$39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4'!$D$11:$D$39</c:f>
              <c:numCache>
                <c:formatCode>#,##0.0</c:formatCode>
                <c:ptCount val="29"/>
                <c:pt idx="0">
                  <c:v>2.2000000000000002</c:v>
                </c:pt>
                <c:pt idx="1">
                  <c:v>-0.70000000000000062</c:v>
                </c:pt>
                <c:pt idx="2">
                  <c:v>1.8</c:v>
                </c:pt>
                <c:pt idx="3">
                  <c:v>-0.1</c:v>
                </c:pt>
                <c:pt idx="4">
                  <c:v>1</c:v>
                </c:pt>
                <c:pt idx="5">
                  <c:v>-0.60000000000000064</c:v>
                </c:pt>
                <c:pt idx="6">
                  <c:v>-2.2000000000000002</c:v>
                </c:pt>
                <c:pt idx="7">
                  <c:v>-2.6</c:v>
                </c:pt>
                <c:pt idx="8">
                  <c:v>-4.2</c:v>
                </c:pt>
                <c:pt idx="9">
                  <c:v>-2.5</c:v>
                </c:pt>
                <c:pt idx="10">
                  <c:v>-1.6</c:v>
                </c:pt>
                <c:pt idx="11">
                  <c:v>-2.1</c:v>
                </c:pt>
                <c:pt idx="12">
                  <c:v>-1</c:v>
                </c:pt>
                <c:pt idx="13">
                  <c:v>-2.2000000000000002</c:v>
                </c:pt>
                <c:pt idx="14">
                  <c:v>-0.70000000000000062</c:v>
                </c:pt>
                <c:pt idx="15">
                  <c:v>-0.2</c:v>
                </c:pt>
                <c:pt idx="16">
                  <c:v>0.5</c:v>
                </c:pt>
                <c:pt idx="17">
                  <c:v>2.2000000000000002</c:v>
                </c:pt>
                <c:pt idx="18">
                  <c:v>-0.9</c:v>
                </c:pt>
                <c:pt idx="19">
                  <c:v>2.9</c:v>
                </c:pt>
                <c:pt idx="20">
                  <c:v>4.7</c:v>
                </c:pt>
                <c:pt idx="21">
                  <c:v>3.4</c:v>
                </c:pt>
                <c:pt idx="22">
                  <c:v>5.2</c:v>
                </c:pt>
                <c:pt idx="23">
                  <c:v>4.4000000000000004</c:v>
                </c:pt>
                <c:pt idx="24">
                  <c:v>5.3</c:v>
                </c:pt>
                <c:pt idx="25">
                  <c:v>4.0999999999999996</c:v>
                </c:pt>
                <c:pt idx="26">
                  <c:v>2.9</c:v>
                </c:pt>
                <c:pt idx="27">
                  <c:v>-0.30000000000000032</c:v>
                </c:pt>
                <c:pt idx="28">
                  <c:v>1.5</c:v>
                </c:pt>
              </c:numCache>
            </c:numRef>
          </c:val>
        </c:ser>
        <c:ser>
          <c:idx val="2"/>
          <c:order val="2"/>
          <c:tx>
            <c:strRef>
              <c:f>'výkonnost odvětví 4'!$E$10</c:f>
              <c:strCache>
                <c:ptCount val="1"/>
                <c:pt idx="0">
                  <c:v>Mal. s potravinami ve specializ. prodej.</c:v>
                </c:pt>
              </c:strCache>
            </c:strRef>
          </c:tx>
          <c:spPr>
            <a:ln w="19050">
              <a:solidFill>
                <a:srgbClr val="48AEE7"/>
              </a:solidFill>
              <a:prstDash val="solid"/>
            </a:ln>
          </c:spPr>
          <c:marker>
            <c:symbol val="none"/>
          </c:marker>
          <c:cat>
            <c:multiLvlStrRef>
              <c:f>'výkonnost odvětví 4'!$A$11:$B$39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4'!$E$11:$E$39</c:f>
              <c:numCache>
                <c:formatCode>#,##0.0</c:formatCode>
                <c:ptCount val="29"/>
                <c:pt idx="0">
                  <c:v>-4.0999999999999996</c:v>
                </c:pt>
                <c:pt idx="1">
                  <c:v>-5.6</c:v>
                </c:pt>
                <c:pt idx="2">
                  <c:v>-4.5</c:v>
                </c:pt>
                <c:pt idx="3">
                  <c:v>-3.7</c:v>
                </c:pt>
                <c:pt idx="4">
                  <c:v>-2</c:v>
                </c:pt>
                <c:pt idx="5">
                  <c:v>-1.3</c:v>
                </c:pt>
                <c:pt idx="6">
                  <c:v>-1.2</c:v>
                </c:pt>
                <c:pt idx="7">
                  <c:v>-1.8</c:v>
                </c:pt>
                <c:pt idx="8">
                  <c:v>-3.5</c:v>
                </c:pt>
                <c:pt idx="9">
                  <c:v>-1.3</c:v>
                </c:pt>
                <c:pt idx="10">
                  <c:v>-4.8</c:v>
                </c:pt>
                <c:pt idx="11">
                  <c:v>-6.5</c:v>
                </c:pt>
                <c:pt idx="12">
                  <c:v>-2.1</c:v>
                </c:pt>
                <c:pt idx="13">
                  <c:v>-7.7</c:v>
                </c:pt>
                <c:pt idx="14">
                  <c:v>-5.5</c:v>
                </c:pt>
                <c:pt idx="15">
                  <c:v>-1.3</c:v>
                </c:pt>
                <c:pt idx="16">
                  <c:v>-1.9000000000000001</c:v>
                </c:pt>
                <c:pt idx="17">
                  <c:v>-0.30000000000000032</c:v>
                </c:pt>
                <c:pt idx="18">
                  <c:v>-0.2</c:v>
                </c:pt>
                <c:pt idx="19">
                  <c:v>0.70000000000000062</c:v>
                </c:pt>
                <c:pt idx="20">
                  <c:v>3.7</c:v>
                </c:pt>
                <c:pt idx="21">
                  <c:v>2.9</c:v>
                </c:pt>
                <c:pt idx="22">
                  <c:v>3.5</c:v>
                </c:pt>
                <c:pt idx="23">
                  <c:v>3</c:v>
                </c:pt>
                <c:pt idx="24">
                  <c:v>4.4000000000000004</c:v>
                </c:pt>
                <c:pt idx="25">
                  <c:v>3</c:v>
                </c:pt>
                <c:pt idx="26">
                  <c:v>4.5999999999999996</c:v>
                </c:pt>
                <c:pt idx="27">
                  <c:v>2.7</c:v>
                </c:pt>
                <c:pt idx="28">
                  <c:v>3</c:v>
                </c:pt>
              </c:numCache>
            </c:numRef>
          </c:val>
        </c:ser>
        <c:ser>
          <c:idx val="3"/>
          <c:order val="3"/>
          <c:tx>
            <c:strRef>
              <c:f>'výkonnost odvětví 4'!$F$10</c:f>
              <c:strCache>
                <c:ptCount val="1"/>
                <c:pt idx="0">
                  <c:v>Maloobchod s nepotravinářs. zbožím</c:v>
                </c:pt>
              </c:strCache>
            </c:strRef>
          </c:tx>
          <c:spPr>
            <a:ln w="19050">
              <a:solidFill>
                <a:srgbClr val="BD1B21"/>
              </a:solidFill>
            </a:ln>
          </c:spPr>
          <c:marker>
            <c:symbol val="none"/>
          </c:marker>
          <c:cat>
            <c:multiLvlStrRef>
              <c:f>'výkonnost odvětví 4'!$A$11:$B$39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4'!$F$11:$F$39</c:f>
              <c:numCache>
                <c:formatCode>#,##0.0</c:formatCode>
                <c:ptCount val="29"/>
                <c:pt idx="0">
                  <c:v>-3.2</c:v>
                </c:pt>
                <c:pt idx="1">
                  <c:v>-1.7</c:v>
                </c:pt>
                <c:pt idx="2">
                  <c:v>1.9000000000000001</c:v>
                </c:pt>
                <c:pt idx="3">
                  <c:v>0.1</c:v>
                </c:pt>
                <c:pt idx="4">
                  <c:v>4.5999999999999996</c:v>
                </c:pt>
                <c:pt idx="5">
                  <c:v>3.1</c:v>
                </c:pt>
                <c:pt idx="6">
                  <c:v>0.30000000000000032</c:v>
                </c:pt>
                <c:pt idx="7">
                  <c:v>2.6</c:v>
                </c:pt>
                <c:pt idx="8">
                  <c:v>1.5</c:v>
                </c:pt>
                <c:pt idx="9">
                  <c:v>1</c:v>
                </c:pt>
                <c:pt idx="10">
                  <c:v>1.4</c:v>
                </c:pt>
                <c:pt idx="11">
                  <c:v>0.1</c:v>
                </c:pt>
                <c:pt idx="12">
                  <c:v>1.5</c:v>
                </c:pt>
                <c:pt idx="13">
                  <c:v>0.70000000000000062</c:v>
                </c:pt>
                <c:pt idx="14">
                  <c:v>0.70000000000000062</c:v>
                </c:pt>
                <c:pt idx="15">
                  <c:v>3</c:v>
                </c:pt>
                <c:pt idx="16">
                  <c:v>5.4</c:v>
                </c:pt>
                <c:pt idx="17">
                  <c:v>3.3</c:v>
                </c:pt>
                <c:pt idx="18">
                  <c:v>4.0999999999999996</c:v>
                </c:pt>
                <c:pt idx="19">
                  <c:v>5</c:v>
                </c:pt>
                <c:pt idx="20">
                  <c:v>7.6</c:v>
                </c:pt>
                <c:pt idx="21">
                  <c:v>8.6</c:v>
                </c:pt>
                <c:pt idx="22">
                  <c:v>5.9</c:v>
                </c:pt>
                <c:pt idx="23">
                  <c:v>7.5</c:v>
                </c:pt>
                <c:pt idx="24">
                  <c:v>5.7</c:v>
                </c:pt>
                <c:pt idx="25">
                  <c:v>5.5</c:v>
                </c:pt>
                <c:pt idx="26">
                  <c:v>6.9</c:v>
                </c:pt>
                <c:pt idx="27">
                  <c:v>7.1</c:v>
                </c:pt>
                <c:pt idx="28">
                  <c:v>8.8000000000000007</c:v>
                </c:pt>
              </c:numCache>
            </c:numRef>
          </c:val>
        </c:ser>
        <c:ser>
          <c:idx val="4"/>
          <c:order val="4"/>
          <c:tx>
            <c:strRef>
              <c:f>'výkonnost odvětví 4'!$G$10</c:f>
              <c:strCache>
                <c:ptCount val="1"/>
                <c:pt idx="0">
                  <c:v>Maloobchodní prodej PHM</c:v>
                </c:pt>
              </c:strCache>
            </c:strRef>
          </c:tx>
          <c:spPr>
            <a:ln w="19050">
              <a:solidFill>
                <a:srgbClr val="7DBB2D"/>
              </a:solidFill>
            </a:ln>
          </c:spPr>
          <c:marker>
            <c:symbol val="none"/>
          </c:marker>
          <c:cat>
            <c:multiLvlStrRef>
              <c:f>'výkonnost odvětví 4'!$A$11:$B$39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4'!$G$11:$G$39</c:f>
              <c:numCache>
                <c:formatCode>#,##0.0</c:formatCode>
                <c:ptCount val="29"/>
                <c:pt idx="0">
                  <c:v>-3.6</c:v>
                </c:pt>
                <c:pt idx="1">
                  <c:v>-1.4</c:v>
                </c:pt>
                <c:pt idx="2">
                  <c:v>-8.6</c:v>
                </c:pt>
                <c:pt idx="3">
                  <c:v>-9.8000000000000007</c:v>
                </c:pt>
                <c:pt idx="4">
                  <c:v>-4.5999999999999996</c:v>
                </c:pt>
                <c:pt idx="5">
                  <c:v>-3.8</c:v>
                </c:pt>
                <c:pt idx="6">
                  <c:v>-2.2000000000000002</c:v>
                </c:pt>
                <c:pt idx="7">
                  <c:v>-3</c:v>
                </c:pt>
                <c:pt idx="8">
                  <c:v>-1.9000000000000001</c:v>
                </c:pt>
                <c:pt idx="9">
                  <c:v>-3.5</c:v>
                </c:pt>
                <c:pt idx="10">
                  <c:v>0.8</c:v>
                </c:pt>
                <c:pt idx="11">
                  <c:v>-2.1</c:v>
                </c:pt>
                <c:pt idx="12">
                  <c:v>0.5</c:v>
                </c:pt>
                <c:pt idx="13">
                  <c:v>-0.5</c:v>
                </c:pt>
                <c:pt idx="14">
                  <c:v>-5.2</c:v>
                </c:pt>
                <c:pt idx="15">
                  <c:v>-0.9</c:v>
                </c:pt>
                <c:pt idx="16">
                  <c:v>2.1</c:v>
                </c:pt>
                <c:pt idx="17">
                  <c:v>1.5</c:v>
                </c:pt>
                <c:pt idx="18">
                  <c:v>1.3</c:v>
                </c:pt>
                <c:pt idx="19">
                  <c:v>1.8</c:v>
                </c:pt>
                <c:pt idx="20">
                  <c:v>8</c:v>
                </c:pt>
                <c:pt idx="21">
                  <c:v>6.1</c:v>
                </c:pt>
                <c:pt idx="22">
                  <c:v>8</c:v>
                </c:pt>
                <c:pt idx="23">
                  <c:v>11.4</c:v>
                </c:pt>
                <c:pt idx="24">
                  <c:v>7</c:v>
                </c:pt>
                <c:pt idx="25">
                  <c:v>7.5</c:v>
                </c:pt>
                <c:pt idx="26">
                  <c:v>6.1</c:v>
                </c:pt>
                <c:pt idx="27">
                  <c:v>5.7</c:v>
                </c:pt>
                <c:pt idx="28">
                  <c:v>3.7</c:v>
                </c:pt>
              </c:numCache>
            </c:numRef>
          </c:val>
        </c:ser>
        <c:marker val="1"/>
        <c:axId val="124135680"/>
        <c:axId val="124371328"/>
      </c:lineChart>
      <c:lineChart>
        <c:grouping val="standard"/>
        <c:ser>
          <c:idx val="6"/>
          <c:order val="5"/>
          <c:tx>
            <c:strRef>
              <c:f>'výkonnost odvětví 4'!$H$10</c:f>
              <c:strCache>
                <c:ptCount val="1"/>
                <c:pt idx="0">
                  <c:v>Saldo souhr.indik.důvěry spotřebitelů</c:v>
                </c:pt>
              </c:strCache>
            </c:strRef>
          </c:tx>
          <c:spPr>
            <a:ln w="19050">
              <a:noFill/>
            </a:ln>
          </c:spPr>
          <c:marker>
            <c:symbol val="dash"/>
            <c:size val="9"/>
            <c:spPr>
              <a:solidFill>
                <a:srgbClr val="984807"/>
              </a:solidFill>
              <a:ln>
                <a:noFill/>
              </a:ln>
            </c:spPr>
          </c:marker>
          <c:cat>
            <c:multiLvlStrRef>
              <c:f>'výkonnost odvětví 4'!$A$11:$B$39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2010</c:v>
                  </c:pt>
                  <c:pt idx="4">
                    <c:v>2011</c:v>
                  </c:pt>
                  <c:pt idx="8">
                    <c:v>2012</c:v>
                  </c:pt>
                  <c:pt idx="12">
                    <c:v>2013</c:v>
                  </c:pt>
                  <c:pt idx="16">
                    <c:v>2014</c:v>
                  </c:pt>
                  <c:pt idx="20">
                    <c:v>2015</c:v>
                  </c:pt>
                  <c:pt idx="24">
                    <c:v>2016</c:v>
                  </c:pt>
                  <c:pt idx="28">
                    <c:v>2017</c:v>
                  </c:pt>
                </c:lvl>
              </c:multiLvlStrCache>
            </c:multiLvlStrRef>
          </c:cat>
          <c:val>
            <c:numRef>
              <c:f>'výkonnost odvětví 4'!$H$11:$H$39</c:f>
              <c:numCache>
                <c:formatCode>0.0</c:formatCode>
                <c:ptCount val="29"/>
                <c:pt idx="0">
                  <c:v>-10.766666666666676</c:v>
                </c:pt>
                <c:pt idx="1">
                  <c:v>-8.1</c:v>
                </c:pt>
                <c:pt idx="2">
                  <c:v>-10.633333333333335</c:v>
                </c:pt>
                <c:pt idx="3">
                  <c:v>-11.700000000000001</c:v>
                </c:pt>
                <c:pt idx="4">
                  <c:v>-13.433333333333332</c:v>
                </c:pt>
                <c:pt idx="5">
                  <c:v>-20.099999999999987</c:v>
                </c:pt>
                <c:pt idx="6">
                  <c:v>-22.433333333333177</c:v>
                </c:pt>
                <c:pt idx="7">
                  <c:v>-26.7</c:v>
                </c:pt>
                <c:pt idx="8">
                  <c:v>-26.766666666666666</c:v>
                </c:pt>
                <c:pt idx="9">
                  <c:v>-29.5</c:v>
                </c:pt>
                <c:pt idx="10">
                  <c:v>-28.466666666666669</c:v>
                </c:pt>
                <c:pt idx="11">
                  <c:v>-26.433333333333177</c:v>
                </c:pt>
                <c:pt idx="12">
                  <c:v>-23.633333333333237</c:v>
                </c:pt>
                <c:pt idx="13">
                  <c:v>-20.866666666666667</c:v>
                </c:pt>
                <c:pt idx="14">
                  <c:v>-17.266666666666666</c:v>
                </c:pt>
                <c:pt idx="15">
                  <c:v>-10.766666666666676</c:v>
                </c:pt>
                <c:pt idx="16">
                  <c:v>-6.6000000000000005</c:v>
                </c:pt>
                <c:pt idx="17">
                  <c:v>-3.5333333333333332</c:v>
                </c:pt>
                <c:pt idx="18">
                  <c:v>-4.1333333333333506</c:v>
                </c:pt>
                <c:pt idx="19">
                  <c:v>0.69999999999999984</c:v>
                </c:pt>
                <c:pt idx="20">
                  <c:v>3.6333333333333342</c:v>
                </c:pt>
                <c:pt idx="21">
                  <c:v>1.7666666666666666</c:v>
                </c:pt>
                <c:pt idx="22">
                  <c:v>1.2</c:v>
                </c:pt>
                <c:pt idx="23">
                  <c:v>3.5</c:v>
                </c:pt>
                <c:pt idx="24">
                  <c:v>4.6000000000000005</c:v>
                </c:pt>
                <c:pt idx="25">
                  <c:v>1.8333333333333333</c:v>
                </c:pt>
                <c:pt idx="26">
                  <c:v>2</c:v>
                </c:pt>
                <c:pt idx="27">
                  <c:v>6.1000000000000005</c:v>
                </c:pt>
                <c:pt idx="28">
                  <c:v>6.5333333333333563</c:v>
                </c:pt>
              </c:numCache>
            </c:numRef>
          </c:val>
        </c:ser>
        <c:marker val="1"/>
        <c:axId val="124374400"/>
        <c:axId val="124372864"/>
      </c:lineChart>
      <c:catAx>
        <c:axId val="12413568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4371328"/>
        <c:crosses val="autoZero"/>
        <c:lblAlgn val="ctr"/>
        <c:lblOffset val="0"/>
        <c:tickLblSkip val="1"/>
        <c:tickMarkSkip val="4"/>
      </c:catAx>
      <c:valAx>
        <c:axId val="124371328"/>
        <c:scaling>
          <c:orientation val="minMax"/>
          <c:max val="1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4135680"/>
        <c:crosses val="autoZero"/>
        <c:crossBetween val="between"/>
        <c:majorUnit val="5"/>
      </c:valAx>
      <c:valAx>
        <c:axId val="124372864"/>
        <c:scaling>
          <c:orientation val="minMax"/>
          <c:max val="30"/>
          <c:min val="-30"/>
        </c:scaling>
        <c:axPos val="r"/>
        <c:numFmt formatCode="0" sourceLinked="0"/>
        <c:tickLblPos val="nextTo"/>
        <c:spPr>
          <a:ln w="9525">
            <a:solidFill>
              <a:schemeClr val="tx1"/>
            </a:solidFill>
          </a:ln>
        </c:spPr>
        <c:crossAx val="124374400"/>
        <c:crosses val="max"/>
        <c:crossBetween val="between"/>
      </c:valAx>
      <c:catAx>
        <c:axId val="124374400"/>
        <c:scaling>
          <c:orientation val="minMax"/>
        </c:scaling>
        <c:delete val="1"/>
        <c:axPos val="b"/>
        <c:numFmt formatCode="General" sourceLinked="1"/>
        <c:tickLblPos val="none"/>
        <c:crossAx val="124372864"/>
        <c:crosses val="autoZero"/>
        <c:auto val="1"/>
        <c:lblAlgn val="ctr"/>
        <c:lblOffset val="100"/>
      </c:catAx>
      <c:spPr>
        <a:solidFill>
          <a:srgbClr val="FFFFFF"/>
        </a:solidFill>
        <a:ln w="9525">
          <a:solidFill>
            <a:schemeClr val="tx1"/>
          </a:solidFill>
        </a:ln>
      </c:spPr>
    </c:plotArea>
    <c:legend>
      <c:legendPos val="b"/>
      <c:layout>
        <c:manualLayout>
          <c:xMode val="edge"/>
          <c:yMode val="edge"/>
          <c:x val="5.3159200603222566E-2"/>
          <c:y val="0.85483926715618652"/>
          <c:w val="0.89381333170940258"/>
          <c:h val="0.13079630039707327"/>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9865404755440813E-2"/>
          <c:y val="3.3960026067356604E-2"/>
          <c:w val="0.90126857480580858"/>
          <c:h val="0.76523595142862644"/>
        </c:manualLayout>
      </c:layout>
      <c:barChart>
        <c:barDir val="col"/>
        <c:grouping val="stacked"/>
        <c:ser>
          <c:idx val="1"/>
          <c:order val="1"/>
          <c:tx>
            <c:strRef>
              <c:f>'Vnější vztahy 1'!$C$5</c:f>
              <c:strCache>
                <c:ptCount val="1"/>
                <c:pt idx="0">
                  <c:v>Saldo druhotných důchodů</c:v>
                </c:pt>
              </c:strCache>
            </c:strRef>
          </c:tx>
          <c:spPr>
            <a:solidFill>
              <a:srgbClr val="0071BC"/>
            </a:solidFill>
            <a:ln>
              <a:noFill/>
            </a:ln>
          </c:spPr>
          <c:val>
            <c:numRef>
              <c:f>'Vnější vztahy 1'!$C$6:$C$15</c:f>
              <c:numCache>
                <c:formatCode>0.0</c:formatCode>
                <c:ptCount val="10"/>
                <c:pt idx="0">
                  <c:v>-6.8124999999999956</c:v>
                </c:pt>
                <c:pt idx="1">
                  <c:v>-3.661</c:v>
                </c:pt>
                <c:pt idx="2">
                  <c:v>-11.331300000000001</c:v>
                </c:pt>
                <c:pt idx="3">
                  <c:v>-13.369500000000059</c:v>
                </c:pt>
                <c:pt idx="4">
                  <c:v>-18.2575</c:v>
                </c:pt>
                <c:pt idx="5">
                  <c:v>-11.2797</c:v>
                </c:pt>
                <c:pt idx="6">
                  <c:v>-16.092599999999873</c:v>
                </c:pt>
                <c:pt idx="7">
                  <c:v>14.4039</c:v>
                </c:pt>
                <c:pt idx="8">
                  <c:v>6.8327</c:v>
                </c:pt>
                <c:pt idx="9" formatCode="General">
                  <c:v>-15.028899999999998</c:v>
                </c:pt>
              </c:numCache>
            </c:numRef>
          </c:val>
        </c:ser>
        <c:ser>
          <c:idx val="2"/>
          <c:order val="2"/>
          <c:tx>
            <c:strRef>
              <c:f>'Vnější vztahy 1'!$D$5</c:f>
              <c:strCache>
                <c:ptCount val="1"/>
                <c:pt idx="0">
                  <c:v>Saldo prvotních důchodů</c:v>
                </c:pt>
              </c:strCache>
            </c:strRef>
          </c:tx>
          <c:spPr>
            <a:solidFill>
              <a:srgbClr val="A6CDE8"/>
            </a:solidFill>
            <a:ln>
              <a:noFill/>
            </a:ln>
          </c:spPr>
          <c:val>
            <c:numRef>
              <c:f>'Vnější vztahy 1'!$D$6:$D$15</c:f>
              <c:numCache>
                <c:formatCode>0.0</c:formatCode>
                <c:ptCount val="10"/>
                <c:pt idx="0">
                  <c:v>4.7927</c:v>
                </c:pt>
                <c:pt idx="1">
                  <c:v>-23.289299999999873</c:v>
                </c:pt>
                <c:pt idx="2">
                  <c:v>-11.908800000000001</c:v>
                </c:pt>
                <c:pt idx="3">
                  <c:v>2.7157999999999998</c:v>
                </c:pt>
                <c:pt idx="4">
                  <c:v>-23.082599999999832</c:v>
                </c:pt>
                <c:pt idx="5">
                  <c:v>-42.281400000000005</c:v>
                </c:pt>
                <c:pt idx="6">
                  <c:v>6.7054</c:v>
                </c:pt>
                <c:pt idx="7">
                  <c:v>-14.589</c:v>
                </c:pt>
                <c:pt idx="8">
                  <c:v>-5.1442999999999985</c:v>
                </c:pt>
                <c:pt idx="9" formatCode="General">
                  <c:v>-2.2536</c:v>
                </c:pt>
              </c:numCache>
            </c:numRef>
          </c:val>
        </c:ser>
        <c:ser>
          <c:idx val="3"/>
          <c:order val="3"/>
          <c:tx>
            <c:strRef>
              <c:f>'Vnější vztahy 1'!$E$5</c:f>
              <c:strCache>
                <c:ptCount val="1"/>
                <c:pt idx="0">
                  <c:v>Bilance zboží</c:v>
                </c:pt>
              </c:strCache>
            </c:strRef>
          </c:tx>
          <c:spPr>
            <a:solidFill>
              <a:srgbClr val="BD1B21"/>
            </a:solidFill>
            <a:ln>
              <a:noFill/>
            </a:ln>
          </c:spPr>
          <c:val>
            <c:numRef>
              <c:f>'Vnější vztahy 1'!$E$6:$E$15</c:f>
              <c:numCache>
                <c:formatCode>0.0</c:formatCode>
                <c:ptCount val="10"/>
                <c:pt idx="0">
                  <c:v>9.2260999999999989</c:v>
                </c:pt>
                <c:pt idx="1">
                  <c:v>19.101900000000107</c:v>
                </c:pt>
                <c:pt idx="2">
                  <c:v>31.462399999999825</c:v>
                </c:pt>
                <c:pt idx="3">
                  <c:v>28.994</c:v>
                </c:pt>
                <c:pt idx="4">
                  <c:v>43.281300000000002</c:v>
                </c:pt>
                <c:pt idx="5">
                  <c:v>48.3553</c:v>
                </c:pt>
                <c:pt idx="6">
                  <c:v>71.628599999999949</c:v>
                </c:pt>
                <c:pt idx="7">
                  <c:v>74.35939999999998</c:v>
                </c:pt>
                <c:pt idx="8">
                  <c:v>83.718800000000002</c:v>
                </c:pt>
                <c:pt idx="9" formatCode="General">
                  <c:v>83.789199999999994</c:v>
                </c:pt>
              </c:numCache>
            </c:numRef>
          </c:val>
        </c:ser>
        <c:ser>
          <c:idx val="4"/>
          <c:order val="4"/>
          <c:tx>
            <c:strRef>
              <c:f>'Vnější vztahy 1'!$F$5</c:f>
              <c:strCache>
                <c:ptCount val="1"/>
                <c:pt idx="0">
                  <c:v>Bilance služeb</c:v>
                </c:pt>
              </c:strCache>
            </c:strRef>
          </c:tx>
          <c:spPr>
            <a:solidFill>
              <a:srgbClr val="E8AFB2"/>
            </a:solidFill>
            <a:ln>
              <a:noFill/>
            </a:ln>
          </c:spPr>
          <c:val>
            <c:numRef>
              <c:f>'Vnější vztahy 1'!$F$6:$F$15</c:f>
              <c:numCache>
                <c:formatCode>0.0</c:formatCode>
                <c:ptCount val="10"/>
                <c:pt idx="0">
                  <c:v>21.84559999999987</c:v>
                </c:pt>
                <c:pt idx="1">
                  <c:v>19.572299999999888</c:v>
                </c:pt>
                <c:pt idx="2">
                  <c:v>18.783499999999858</c:v>
                </c:pt>
                <c:pt idx="3">
                  <c:v>17.2395</c:v>
                </c:pt>
                <c:pt idx="4">
                  <c:v>23.478399999999869</c:v>
                </c:pt>
                <c:pt idx="5">
                  <c:v>21.701499999999989</c:v>
                </c:pt>
                <c:pt idx="6">
                  <c:v>19.636099999999999</c:v>
                </c:pt>
                <c:pt idx="7">
                  <c:v>19.192299999999989</c:v>
                </c:pt>
                <c:pt idx="8">
                  <c:v>24.493599999999866</c:v>
                </c:pt>
                <c:pt idx="9" formatCode="General">
                  <c:v>28.038700000000002</c:v>
                </c:pt>
              </c:numCache>
            </c:numRef>
          </c:val>
        </c:ser>
        <c:gapWidth val="60"/>
        <c:overlap val="100"/>
        <c:axId val="124274944"/>
        <c:axId val="124280832"/>
      </c:barChart>
      <c:lineChart>
        <c:grouping val="standard"/>
        <c:ser>
          <c:idx val="0"/>
          <c:order val="0"/>
          <c:tx>
            <c:strRef>
              <c:f>'Vnější vztahy 1'!$B$5</c:f>
              <c:strCache>
                <c:ptCount val="1"/>
                <c:pt idx="0">
                  <c:v>Běžný účet</c:v>
                </c:pt>
              </c:strCache>
            </c:strRef>
          </c:tx>
          <c:spPr>
            <a:ln>
              <a:solidFill>
                <a:schemeClr val="tx1"/>
              </a:solidFill>
            </a:ln>
          </c:spPr>
          <c:marker>
            <c:symbol val="none"/>
          </c:marker>
          <c:cat>
            <c:strRef>
              <c:f>'Vnější vztahy 1'!$A$6:$A$15</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'Vnější vztahy 1'!$B$6:$B$15</c:f>
              <c:numCache>
                <c:formatCode>0.0</c:formatCode>
                <c:ptCount val="10"/>
                <c:pt idx="0">
                  <c:v>29.052</c:v>
                </c:pt>
                <c:pt idx="1">
                  <c:v>11.723899999999999</c:v>
                </c:pt>
                <c:pt idx="2">
                  <c:v>27.005800000000001</c:v>
                </c:pt>
                <c:pt idx="3">
                  <c:v>35.579700000000003</c:v>
                </c:pt>
                <c:pt idx="4">
                  <c:v>25.419599999999907</c:v>
                </c:pt>
                <c:pt idx="5">
                  <c:v>16.495699999999832</c:v>
                </c:pt>
                <c:pt idx="6">
                  <c:v>81.877499999999998</c:v>
                </c:pt>
                <c:pt idx="7">
                  <c:v>93.366500000000002</c:v>
                </c:pt>
                <c:pt idx="8">
                  <c:v>109.9008</c:v>
                </c:pt>
                <c:pt idx="9" formatCode="General">
                  <c:v>94.545299999999997</c:v>
                </c:pt>
              </c:numCache>
            </c:numRef>
          </c:val>
        </c:ser>
        <c:marker val="1"/>
        <c:axId val="124274944"/>
        <c:axId val="124280832"/>
      </c:lineChart>
      <c:catAx>
        <c:axId val="124274944"/>
        <c:scaling>
          <c:orientation val="minMax"/>
        </c:scaling>
        <c:axPos val="b"/>
        <c:tickLblPos val="low"/>
        <c:spPr>
          <a:ln>
            <a:solidFill>
              <a:schemeClr val="tx1"/>
            </a:solidFill>
          </a:ln>
        </c:spPr>
        <c:txPr>
          <a:bodyPr rot="0" vert="horz"/>
          <a:lstStyle/>
          <a:p>
            <a:pPr>
              <a:defRPr/>
            </a:pPr>
            <a:endParaRPr lang="cs-CZ"/>
          </a:p>
        </c:txPr>
        <c:crossAx val="124280832"/>
        <c:crosses val="autoZero"/>
        <c:auto val="1"/>
        <c:lblAlgn val="ctr"/>
        <c:lblOffset val="100"/>
      </c:catAx>
      <c:valAx>
        <c:axId val="124280832"/>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24274944"/>
        <c:crosses val="autoZero"/>
        <c:crossBetween val="between"/>
      </c:valAx>
      <c:spPr>
        <a:ln>
          <a:solidFill>
            <a:schemeClr val="tx1"/>
          </a:solidFill>
        </a:ln>
      </c:spPr>
    </c:plotArea>
    <c:legend>
      <c:legendPos val="b"/>
      <c:layout>
        <c:manualLayout>
          <c:xMode val="edge"/>
          <c:yMode val="edge"/>
          <c:x val="6.5159268884492888E-2"/>
          <c:y val="0.88053282633520458"/>
          <c:w val="0.89859169199594657"/>
          <c:h val="0.10077544407176975"/>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0.60342</cdr:x>
      <cdr:y>0.04202</cdr:y>
    </cdr:from>
    <cdr:to>
      <cdr:x>0.65155</cdr:x>
      <cdr:y>0.0796</cdr:y>
    </cdr:to>
    <cdr:sp macro="" textlink="">
      <cdr:nvSpPr>
        <cdr:cNvPr id="2" name="Přímá spojovací šipka 1"/>
        <cdr:cNvSpPr/>
      </cdr:nvSpPr>
      <cdr:spPr>
        <a:xfrm xmlns:a="http://schemas.openxmlformats.org/drawingml/2006/main" flipH="1" flipV="1">
          <a:off x="2865783" y="149087"/>
          <a:ext cx="228555" cy="133358"/>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0.65435</cdr:x>
      <cdr:y>0.0635</cdr:y>
    </cdr:from>
    <cdr:to>
      <cdr:x>0.72847</cdr:x>
      <cdr:y>0.11825</cdr:y>
    </cdr:to>
    <cdr:sp macro="" textlink="">
      <cdr:nvSpPr>
        <cdr:cNvPr id="3" name="TextovéPole 2"/>
        <cdr:cNvSpPr txBox="1"/>
      </cdr:nvSpPr>
      <cdr:spPr>
        <a:xfrm xmlns:a="http://schemas.openxmlformats.org/drawingml/2006/main">
          <a:off x="3107614" y="225300"/>
          <a:ext cx="352034" cy="19427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432B9-C932-45A1-A608-6371793ED867}">
  <ds:schemaRefs>
    <ds:schemaRef ds:uri="http://schemas.openxmlformats.org/officeDocument/2006/bibliography"/>
  </ds:schemaRefs>
</ds:datastoreItem>
</file>

<file path=customXml/itemProps2.xml><?xml version="1.0" encoding="utf-8"?>
<ds:datastoreItem xmlns:ds="http://schemas.openxmlformats.org/officeDocument/2006/customXml" ds:itemID="{C1F17857-657F-4E50-BD9E-37A43640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112</TotalTime>
  <Pages>30</Pages>
  <Words>12140</Words>
  <Characters>71628</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83601</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Jašová</dc:creator>
  <cp:lastModifiedBy>kamenicky3604</cp:lastModifiedBy>
  <cp:revision>28</cp:revision>
  <cp:lastPrinted>2017-03-16T10:07:00Z</cp:lastPrinted>
  <dcterms:created xsi:type="dcterms:W3CDTF">2017-06-20T10:56:00Z</dcterms:created>
  <dcterms:modified xsi:type="dcterms:W3CDTF">2017-06-20T13:01:00Z</dcterms:modified>
</cp:coreProperties>
</file>