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6" w:rsidRDefault="00F140A6">
      <w:pPr>
        <w:pStyle w:val="Nadpis1"/>
        <w:shd w:val="clear" w:color="auto" w:fill="D9D9D9"/>
        <w:spacing w:line="360" w:lineRule="auto"/>
        <w:ind w:left="0"/>
        <w:jc w:val="both"/>
        <w:rPr>
          <w:b/>
          <w:bCs/>
          <w:position w:val="-44"/>
          <w:sz w:val="32"/>
          <w:lang w:val="en-GB"/>
        </w:rPr>
      </w:pPr>
      <w:r>
        <w:rPr>
          <w:b/>
          <w:position w:val="-44"/>
          <w:sz w:val="32"/>
          <w:shd w:val="clear" w:color="auto" w:fill="D9D9D9"/>
          <w:lang w:val="cs-CZ"/>
        </w:rPr>
        <w:t>METODICKÁ ČÁST</w:t>
      </w:r>
    </w:p>
    <w:p w:rsidR="00F140A6" w:rsidRDefault="00F140A6">
      <w:pPr>
        <w:spacing w:before="40" w:after="20"/>
        <w:ind w:firstLine="34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Předložená publikace obsahuje souhrnné výsledky pravidelného ročního statistického šetření </w:t>
      </w:r>
      <w:r w:rsidRPr="006A3FBD">
        <w:rPr>
          <w:rFonts w:ascii="Arial" w:hAnsi="Arial" w:cs="Arial"/>
          <w:b/>
          <w:lang w:val="cs-CZ"/>
        </w:rPr>
        <w:t>Lic</w:t>
      </w:r>
      <w:r w:rsidR="00723138" w:rsidRPr="006A3FBD">
        <w:rPr>
          <w:rFonts w:ascii="Arial" w:hAnsi="Arial" w:cs="Arial"/>
          <w:b/>
          <w:lang w:val="cs-CZ"/>
        </w:rPr>
        <w:t xml:space="preserve"> </w:t>
      </w:r>
      <w:r w:rsidRPr="006A3FBD">
        <w:rPr>
          <w:rFonts w:ascii="Arial" w:hAnsi="Arial" w:cs="Arial"/>
          <w:b/>
          <w:lang w:val="cs-CZ"/>
        </w:rPr>
        <w:t>5-01</w:t>
      </w:r>
      <w:r>
        <w:rPr>
          <w:rFonts w:ascii="Arial" w:hAnsi="Arial" w:cs="Arial"/>
          <w:lang w:val="cs-CZ"/>
        </w:rPr>
        <w:t xml:space="preserve">. Cílem tohoto šetření je zjištění počtu licenčních smluv na </w:t>
      </w:r>
      <w:r w:rsidR="006F719A" w:rsidRPr="006F719A">
        <w:rPr>
          <w:rFonts w:ascii="Arial" w:hAnsi="Arial" w:cs="Arial"/>
          <w:lang w:val="cs-CZ"/>
        </w:rPr>
        <w:t xml:space="preserve">poskytnutí </w:t>
      </w:r>
      <w:r w:rsidR="00E16A5F">
        <w:rPr>
          <w:rFonts w:ascii="Arial" w:hAnsi="Arial" w:cs="Arial"/>
          <w:lang w:val="cs-CZ"/>
        </w:rPr>
        <w:t xml:space="preserve">(do roku 2010 také na </w:t>
      </w:r>
      <w:r w:rsidR="006F719A" w:rsidRPr="006F719A">
        <w:rPr>
          <w:rFonts w:ascii="Arial" w:hAnsi="Arial" w:cs="Arial"/>
          <w:lang w:val="cs-CZ"/>
        </w:rPr>
        <w:t>nabytí</w:t>
      </w:r>
      <w:r w:rsidR="00E16A5F">
        <w:rPr>
          <w:rFonts w:ascii="Arial" w:hAnsi="Arial" w:cs="Arial"/>
          <w:lang w:val="cs-CZ"/>
        </w:rPr>
        <w:t>)</w:t>
      </w:r>
      <w:r w:rsidR="006F719A" w:rsidRPr="006F719A">
        <w:rPr>
          <w:rFonts w:ascii="Arial" w:hAnsi="Arial" w:cs="Arial"/>
          <w:lang w:val="cs-CZ"/>
        </w:rPr>
        <w:t xml:space="preserve"> práva pro některou z</w:t>
      </w:r>
      <w:r w:rsidR="00D41A56">
        <w:rPr>
          <w:rFonts w:ascii="Arial" w:hAnsi="Arial" w:cs="Arial"/>
          <w:lang w:val="cs-CZ"/>
        </w:rPr>
        <w:t> </w:t>
      </w:r>
      <w:r w:rsidR="006F719A" w:rsidRPr="006F719A">
        <w:rPr>
          <w:rFonts w:ascii="Arial" w:hAnsi="Arial" w:cs="Arial"/>
          <w:lang w:val="cs-CZ"/>
        </w:rPr>
        <w:t>ochran průmyslového vlastnictví (patenty, užitné vzory, know-how, průmyslové vzory, nové odrůdy rostlin a plemena zvířat)</w:t>
      </w:r>
      <w:r>
        <w:rPr>
          <w:rFonts w:ascii="Arial" w:hAnsi="Arial" w:cs="Arial"/>
          <w:lang w:val="cs-CZ"/>
        </w:rPr>
        <w:t xml:space="preserve"> v České republice</w:t>
      </w:r>
      <w:r>
        <w:rPr>
          <w:rFonts w:ascii="Arial" w:hAnsi="Arial" w:cs="Arial"/>
          <w:b/>
          <w:bCs/>
          <w:lang w:val="cs-CZ"/>
        </w:rPr>
        <w:t xml:space="preserve"> </w:t>
      </w:r>
      <w:r w:rsidR="00BC31F8">
        <w:rPr>
          <w:rFonts w:ascii="Arial" w:hAnsi="Arial" w:cs="Arial"/>
          <w:lang w:val="cs-CZ"/>
        </w:rPr>
        <w:t xml:space="preserve">platných </w:t>
      </w:r>
      <w:r>
        <w:rPr>
          <w:rFonts w:ascii="Arial" w:hAnsi="Arial" w:cs="Arial"/>
          <w:lang w:val="cs-CZ"/>
        </w:rPr>
        <w:t>v</w:t>
      </w:r>
      <w:r w:rsidR="00E74334">
        <w:rPr>
          <w:rFonts w:ascii="Arial" w:hAnsi="Arial" w:cs="Arial"/>
          <w:lang w:val="cs-CZ"/>
        </w:rPr>
        <w:t>e</w:t>
      </w:r>
      <w:r>
        <w:rPr>
          <w:rFonts w:ascii="Arial" w:hAnsi="Arial" w:cs="Arial"/>
          <w:lang w:val="cs-CZ"/>
        </w:rPr>
        <w:t xml:space="preserve"> sledovaném roce a hodnotu licenčních poplatků zaplacených </w:t>
      </w:r>
      <w:r w:rsidR="00BC31F8">
        <w:rPr>
          <w:rFonts w:ascii="Arial" w:hAnsi="Arial" w:cs="Arial"/>
          <w:lang w:val="cs-CZ"/>
        </w:rPr>
        <w:t>nebo</w:t>
      </w:r>
      <w:r>
        <w:rPr>
          <w:rFonts w:ascii="Arial" w:hAnsi="Arial" w:cs="Arial"/>
          <w:lang w:val="cs-CZ"/>
        </w:rPr>
        <w:t xml:space="preserve"> přijatých českými ekonomickými subjekty v</w:t>
      </w:r>
      <w:r w:rsidR="00E74334">
        <w:rPr>
          <w:rFonts w:ascii="Arial" w:hAnsi="Arial" w:cs="Arial"/>
          <w:lang w:val="cs-CZ"/>
        </w:rPr>
        <w:t>e</w:t>
      </w:r>
      <w:r>
        <w:rPr>
          <w:rFonts w:ascii="Arial" w:hAnsi="Arial" w:cs="Arial"/>
          <w:lang w:val="cs-CZ"/>
        </w:rPr>
        <w:t xml:space="preserve"> sledovaném roce. </w:t>
      </w:r>
      <w:r w:rsidR="002752C7">
        <w:rPr>
          <w:rFonts w:ascii="Arial" w:hAnsi="Arial" w:cs="Arial"/>
          <w:lang w:val="cs-CZ"/>
        </w:rPr>
        <w:t xml:space="preserve">Tímto výkazem se sledují také </w:t>
      </w:r>
      <w:r>
        <w:rPr>
          <w:rFonts w:ascii="Arial" w:hAnsi="Arial" w:cs="Arial"/>
          <w:lang w:val="cs-CZ"/>
        </w:rPr>
        <w:t>údaje o</w:t>
      </w:r>
      <w:r w:rsidR="00D41A56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 xml:space="preserve">nově uzavřených licenčních smlouvách, </w:t>
      </w:r>
      <w:r w:rsidR="00BC31F8">
        <w:rPr>
          <w:rFonts w:ascii="Arial" w:hAnsi="Arial" w:cs="Arial"/>
          <w:lang w:val="cs-CZ"/>
        </w:rPr>
        <w:t>předmět</w:t>
      </w:r>
      <w:r w:rsidR="002752C7">
        <w:rPr>
          <w:rFonts w:ascii="Arial" w:hAnsi="Arial" w:cs="Arial"/>
          <w:lang w:val="cs-CZ"/>
        </w:rPr>
        <w:t>u</w:t>
      </w:r>
      <w:r>
        <w:rPr>
          <w:rFonts w:ascii="Arial" w:hAnsi="Arial" w:cs="Arial"/>
          <w:lang w:val="cs-CZ"/>
        </w:rPr>
        <w:t xml:space="preserve"> licenční smlouvy (licenční smlouva uzavřená na patent, užitný vzor aj.)</w:t>
      </w:r>
      <w:r w:rsidR="002752C7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zem</w:t>
      </w:r>
      <w:r w:rsidR="00A74014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smluvního partnera</w:t>
      </w:r>
      <w:r w:rsidR="002752C7">
        <w:rPr>
          <w:rFonts w:ascii="Arial" w:hAnsi="Arial" w:cs="Arial"/>
          <w:lang w:val="cs-CZ"/>
        </w:rPr>
        <w:t xml:space="preserve"> a kód</w:t>
      </w:r>
      <w:r w:rsidR="00A74014">
        <w:rPr>
          <w:rFonts w:ascii="Arial" w:hAnsi="Arial" w:cs="Arial"/>
          <w:lang w:val="cs-CZ"/>
        </w:rPr>
        <w:t>u</w:t>
      </w:r>
      <w:r w:rsidR="002752C7">
        <w:rPr>
          <w:rFonts w:ascii="Arial" w:hAnsi="Arial" w:cs="Arial"/>
          <w:lang w:val="cs-CZ"/>
        </w:rPr>
        <w:t xml:space="preserve"> produkce</w:t>
      </w:r>
      <w:r>
        <w:rPr>
          <w:rFonts w:ascii="Arial" w:hAnsi="Arial" w:cs="Arial"/>
          <w:lang w:val="cs-CZ"/>
        </w:rPr>
        <w:t xml:space="preserve">. </w:t>
      </w:r>
    </w:p>
    <w:p w:rsidR="00BB233C" w:rsidRDefault="000D3F29" w:rsidP="00BC31F8">
      <w:pPr>
        <w:pStyle w:val="Zkladntextodsazen"/>
        <w:ind w:left="0" w:firstLine="340"/>
        <w:jc w:val="both"/>
      </w:pPr>
      <w:r w:rsidRPr="000D3F29">
        <w:t xml:space="preserve">Šetření Lic 5-01 je součástí Programu statistických zjišťování, který je každoročně stanoven a zveřejněn vyhláškou ČSÚ podle zákona č. 89/1995 Sb., o státní statistické službě, v platném znění. Zpravodajskými jednotkami jsou všechny </w:t>
      </w:r>
      <w:r w:rsidR="00181109">
        <w:t xml:space="preserve">právnické </w:t>
      </w:r>
      <w:r w:rsidRPr="000D3F29">
        <w:t>subjekty s licenční sm</w:t>
      </w:r>
      <w:r w:rsidR="006F719A">
        <w:t xml:space="preserve">louvou uzavřenou na poskytnutí </w:t>
      </w:r>
      <w:r w:rsidRPr="000D3F29">
        <w:t>nebo nabytí práva používat některou z ochran průmyslového vlastnictví, jejíž platnost ještě neskončila.</w:t>
      </w:r>
    </w:p>
    <w:p w:rsidR="000D3F29" w:rsidRPr="000D3F29" w:rsidRDefault="000D3F29" w:rsidP="00BC31F8">
      <w:pPr>
        <w:pStyle w:val="Zkladntextodsazen"/>
        <w:ind w:left="0" w:firstLine="340"/>
        <w:jc w:val="both"/>
      </w:pPr>
    </w:p>
    <w:p w:rsidR="00F140A6" w:rsidRDefault="00F140A6">
      <w:pPr>
        <w:pStyle w:val="Styl1"/>
        <w:shd w:val="clear" w:color="auto" w:fill="999999"/>
        <w:spacing w:before="0" w:after="0"/>
        <w:ind w:firstLine="0"/>
        <w:rPr>
          <w:b/>
          <w:bCs/>
          <w:i/>
          <w:iCs/>
          <w:color w:val="FFFFFF"/>
          <w:position w:val="-40"/>
          <w:sz w:val="28"/>
        </w:rPr>
      </w:pPr>
      <w:r>
        <w:rPr>
          <w:b/>
          <w:bCs/>
          <w:i/>
          <w:iCs/>
          <w:color w:val="FFFFFF"/>
          <w:position w:val="-40"/>
          <w:sz w:val="28"/>
        </w:rPr>
        <w:t xml:space="preserve"> CHARAKTERISTIKA A DEFINICE SLEDOVANÝCH UKAZATELŮ  </w:t>
      </w:r>
    </w:p>
    <w:p w:rsidR="00F140A6" w:rsidRDefault="00F140A6">
      <w:pPr>
        <w:spacing w:before="40" w:after="20"/>
        <w:ind w:firstLine="340"/>
        <w:jc w:val="both"/>
        <w:rPr>
          <w:rFonts w:ascii="Arial" w:hAnsi="Arial" w:cs="Arial"/>
          <w:lang w:val="cs-CZ"/>
        </w:rPr>
      </w:pPr>
    </w:p>
    <w:p w:rsidR="00E44BA0" w:rsidRPr="00E44BA0" w:rsidRDefault="00E44BA0">
      <w:pPr>
        <w:pStyle w:val="Styl1"/>
        <w:spacing w:before="40" w:after="20"/>
        <w:rPr>
          <w:rFonts w:cs="Arial"/>
          <w:bCs/>
          <w:color w:val="auto"/>
        </w:rPr>
      </w:pPr>
      <w:r w:rsidRPr="00E44BA0">
        <w:rPr>
          <w:rFonts w:cs="Arial"/>
          <w:bCs/>
          <w:color w:val="auto"/>
        </w:rPr>
        <w:t xml:space="preserve">Licence je jednou z možností, jak komerčně využít průmyslová práva a duševní vlastnictví. Existuje několik kritérií pro rozlišení licencí. Základní rozdělení je podle toho, zda předmět licence poskytujeme </w:t>
      </w:r>
      <w:r w:rsidR="00D41A56">
        <w:rPr>
          <w:rFonts w:cs="Arial"/>
          <w:bCs/>
          <w:color w:val="auto"/>
        </w:rPr>
        <w:t>-</w:t>
      </w:r>
      <w:r w:rsidRPr="00E44BA0">
        <w:rPr>
          <w:rFonts w:cs="Arial"/>
          <w:bCs/>
          <w:color w:val="auto"/>
        </w:rPr>
        <w:t xml:space="preserve"> </w:t>
      </w:r>
      <w:r w:rsidRPr="00E44BA0">
        <w:rPr>
          <w:rFonts w:cs="Arial"/>
          <w:b/>
          <w:bCs/>
          <w:color w:val="auto"/>
        </w:rPr>
        <w:t>aktivní (prodaná - poskytnutá) licence</w:t>
      </w:r>
      <w:r w:rsidRPr="00E44BA0">
        <w:rPr>
          <w:rFonts w:cs="Arial"/>
          <w:bCs/>
          <w:color w:val="auto"/>
        </w:rPr>
        <w:t xml:space="preserve"> – nebo zda předmět licence nabýváme – </w:t>
      </w:r>
      <w:r w:rsidRPr="00E44BA0">
        <w:rPr>
          <w:rFonts w:cs="Arial"/>
          <w:b/>
          <w:bCs/>
          <w:color w:val="auto"/>
        </w:rPr>
        <w:t>pasivní (nakoupená - nabytá) licence.</w:t>
      </w:r>
      <w:r w:rsidRPr="00E44BA0">
        <w:rPr>
          <w:rFonts w:cs="Arial"/>
          <w:bCs/>
          <w:color w:val="auto"/>
        </w:rPr>
        <w:t xml:space="preserve"> </w:t>
      </w:r>
    </w:p>
    <w:p w:rsidR="00F140A6" w:rsidRDefault="00F140A6">
      <w:pPr>
        <w:pStyle w:val="Styl1"/>
        <w:spacing w:before="40" w:after="20"/>
        <w:rPr>
          <w:color w:val="auto"/>
        </w:rPr>
      </w:pPr>
      <w:r>
        <w:rPr>
          <w:rFonts w:cs="Arial"/>
          <w:color w:val="auto"/>
        </w:rPr>
        <w:t xml:space="preserve">Dalším kritériem je rozsah poskytovaných práv, podle kterého rozeznáváme </w:t>
      </w:r>
      <w:r>
        <w:rPr>
          <w:rFonts w:cs="Arial"/>
          <w:b/>
          <w:bCs/>
          <w:color w:val="auto"/>
        </w:rPr>
        <w:t>výlučnou licenci</w:t>
      </w:r>
      <w:r>
        <w:rPr>
          <w:rFonts w:cs="Arial"/>
          <w:color w:val="auto"/>
        </w:rPr>
        <w:t xml:space="preserve"> (nabyvatel je ve smluvním území jediným uživatelem poskytnutých práv a poskytovatel není oprávněn uzavírat s třetími osobami další smlouvy, které by výlučnost nabyvatele narušovaly) a </w:t>
      </w:r>
      <w:r>
        <w:rPr>
          <w:rFonts w:cs="Arial"/>
          <w:b/>
          <w:bCs/>
          <w:color w:val="auto"/>
        </w:rPr>
        <w:t xml:space="preserve">nevýlučnou licenci </w:t>
      </w:r>
      <w:r>
        <w:rPr>
          <w:rFonts w:cs="Arial"/>
          <w:color w:val="auto"/>
        </w:rPr>
        <w:t>(poskytovatel si vyhrazuje právo uzavírat obdobné licenční smlouvy s dalšími partnery ve smluvním území). Vedle nabyvatele licence bude využívat stejný předmět</w:t>
      </w:r>
      <w:r>
        <w:rPr>
          <w:color w:val="auto"/>
        </w:rPr>
        <w:t xml:space="preserve"> smlouvy i jiný subjekt. Nabyvateli se tak nedostává monopolní výhody</w:t>
      </w:r>
      <w:r w:rsidR="00A10915">
        <w:rPr>
          <w:color w:val="auto"/>
        </w:rPr>
        <w:t>,</w:t>
      </w:r>
      <w:r>
        <w:rPr>
          <w:color w:val="auto"/>
        </w:rPr>
        <w:t xml:space="preserve"> jako je tomu v případě výlučné licence. </w:t>
      </w:r>
    </w:p>
    <w:p w:rsidR="00F140A6" w:rsidRDefault="00F140A6">
      <w:pPr>
        <w:pStyle w:val="Styl1"/>
        <w:spacing w:before="40" w:after="20"/>
        <w:rPr>
          <w:color w:val="auto"/>
        </w:rPr>
      </w:pPr>
      <w:r>
        <w:rPr>
          <w:color w:val="auto"/>
        </w:rPr>
        <w:t>Podle předmětu licenční smlouvy s</w:t>
      </w:r>
      <w:r w:rsidR="00F36C29">
        <w:rPr>
          <w:color w:val="auto"/>
        </w:rPr>
        <w:t>e</w:t>
      </w:r>
      <w:r>
        <w:rPr>
          <w:color w:val="auto"/>
        </w:rPr>
        <w:t xml:space="preserve"> rozlišují </w:t>
      </w:r>
      <w:r>
        <w:rPr>
          <w:b/>
          <w:bCs/>
          <w:color w:val="auto"/>
        </w:rPr>
        <w:t>patentové licence</w:t>
      </w:r>
      <w:r>
        <w:rPr>
          <w:color w:val="auto"/>
        </w:rPr>
        <w:t xml:space="preserve"> (předmětem</w:t>
      </w:r>
      <w:r w:rsidR="001E25DC">
        <w:rPr>
          <w:color w:val="auto"/>
        </w:rPr>
        <w:t xml:space="preserve"> je vynález chráněný patentem</w:t>
      </w:r>
      <w:r>
        <w:rPr>
          <w:color w:val="auto"/>
        </w:rPr>
        <w:t xml:space="preserve">), </w:t>
      </w:r>
      <w:r w:rsidR="00130D38" w:rsidRPr="00840B2E">
        <w:rPr>
          <w:b/>
          <w:color w:val="auto"/>
        </w:rPr>
        <w:t>licence vzorové</w:t>
      </w:r>
      <w:r w:rsidR="00130D38">
        <w:rPr>
          <w:color w:val="auto"/>
        </w:rPr>
        <w:t xml:space="preserve"> (</w:t>
      </w:r>
      <w:r w:rsidR="00840B2E" w:rsidRPr="00840B2E">
        <w:rPr>
          <w:color w:val="auto"/>
        </w:rPr>
        <w:t>jejichž předmětem je průmyslový nebo užitný vzor</w:t>
      </w:r>
      <w:r w:rsidR="00840B2E">
        <w:rPr>
          <w:color w:val="auto"/>
        </w:rPr>
        <w:t xml:space="preserve">), </w:t>
      </w:r>
      <w:r>
        <w:rPr>
          <w:b/>
          <w:bCs/>
          <w:color w:val="auto"/>
        </w:rPr>
        <w:t>známkové licence</w:t>
      </w:r>
      <w:r>
        <w:rPr>
          <w:color w:val="auto"/>
        </w:rPr>
        <w:t xml:space="preserve"> (jejím předmětem je poskytnutí užívacího práva k ochranné známce), </w:t>
      </w:r>
      <w:r>
        <w:rPr>
          <w:b/>
          <w:bCs/>
          <w:color w:val="auto"/>
        </w:rPr>
        <w:t>licence na know-how</w:t>
      </w:r>
      <w:r>
        <w:rPr>
          <w:color w:val="auto"/>
        </w:rPr>
        <w:t xml:space="preserve"> (předmětem smlouvy jsou různá technická a technologická zlepšení a výrobní zkušenosti, které nemohou být předmětem patentové ochrany)</w:t>
      </w:r>
      <w:r w:rsidR="009D15CD">
        <w:rPr>
          <w:color w:val="auto"/>
        </w:rPr>
        <w:t xml:space="preserve"> a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smíšené licence</w:t>
      </w:r>
      <w:r>
        <w:rPr>
          <w:color w:val="auto"/>
        </w:rPr>
        <w:t>. Předmětem smíšených licencí jsou patentová práva a výrobně technické poznatky (know-how), bez jejichž znalosti by nabyvatel v mnoha případech ani nemohl patent využívat. Předmětem může být např. i právo na výrobu určitého výrobku s tím, že nabyvatel bude moci tyto výrobky označovat ochrannou známkou poskytovatele.</w:t>
      </w:r>
    </w:p>
    <w:p w:rsidR="00E70BDD" w:rsidRDefault="00E70BDD">
      <w:pPr>
        <w:pStyle w:val="Styl1"/>
        <w:spacing w:before="40" w:after="20"/>
        <w:rPr>
          <w:color w:val="auto"/>
        </w:rPr>
      </w:pPr>
      <w:r w:rsidRPr="00E70BDD">
        <w:rPr>
          <w:b/>
          <w:color w:val="auto"/>
        </w:rPr>
        <w:t>Licenční smlouva</w:t>
      </w:r>
      <w:r w:rsidRPr="00E70BDD">
        <w:rPr>
          <w:color w:val="auto"/>
        </w:rPr>
        <w:t xml:space="preserve"> je definována jako poskytnutí práva ve sjednaném rozsahu a na sjednaném území na nabytí či poskytnutí licence na některou z ochran průmyslového vlastnictví. Licenční smlouvy se uzavírají k patentovaným vynálezům, resp. zapsaným užitným vzorům, průmyslovým vzorům, topografii polovodičových výrobků, novým odrůdám rostlin a plemenům zvířat či k ochranným známkám písemnou smlouvou. Poskytovatel opravňuje nabyvatele ve sjednaném rozsahu a na sjednaném území k výkonu práv z průmyslového vlastnictví a nabyvatel se zavazuje k poskytování určité úplaty (licenční poplatky) nebo jiné majetkové hodnoty. Licenční poplatky lze platit v pravidelných splátkách (např. ročních), nebo platba proběhne jednorázově při </w:t>
      </w:r>
      <w:r>
        <w:rPr>
          <w:color w:val="auto"/>
        </w:rPr>
        <w:t>uzavření licenční smlouvy. Vysky</w:t>
      </w:r>
      <w:r w:rsidRPr="00E70BDD">
        <w:rPr>
          <w:color w:val="auto"/>
        </w:rPr>
        <w:t>tují se také případy, kdy je licence poskytnuta bezplatně. Licenční smlouva nabývá v České republice účinnosti vůči třetím osobám zápisem do registru u</w:t>
      </w:r>
      <w:r w:rsidR="00D41A56">
        <w:rPr>
          <w:color w:val="auto"/>
        </w:rPr>
        <w:t> </w:t>
      </w:r>
      <w:r>
        <w:rPr>
          <w:color w:val="auto"/>
        </w:rPr>
        <w:t xml:space="preserve">Úřadu průmyslového vlastnictví </w:t>
      </w:r>
      <w:r w:rsidRPr="00E70BDD">
        <w:rPr>
          <w:color w:val="auto"/>
        </w:rPr>
        <w:t>České republiky (ÚPV ČR) se sídlem v Praze.</w:t>
      </w:r>
    </w:p>
    <w:p w:rsidR="00F140A6" w:rsidRDefault="00F140A6">
      <w:pPr>
        <w:pStyle w:val="Styl1"/>
        <w:spacing w:before="40" w:after="20"/>
        <w:rPr>
          <w:color w:val="auto"/>
        </w:rPr>
      </w:pPr>
      <w:r>
        <w:rPr>
          <w:b/>
          <w:bCs/>
          <w:color w:val="auto"/>
        </w:rPr>
        <w:t>Patent</w:t>
      </w:r>
      <w:r>
        <w:rPr>
          <w:color w:val="auto"/>
        </w:rPr>
        <w:t xml:space="preserve"> je veřejná listina vydaná Úřadem průmyslového vlastnictví v Praze nebo některým národním či mezinárodním patentovým úřadem, která poskytuje právní ochranu na vynález po dobu až 20 let (pokud jsou spláceny udržovací poplatky), a to na teritoriu, pro něž byl úřadem vydán. Patenty se udělují na vynálezy, které jsou nové, jsou výsledkem vynálezecké činnosti a jsou průmyslově využitelné. Účinky patentu nastávají ode dne oznámení o udělení patentu ve Věstníku ÚPV. Souhlas k využívání vynálezu chráněného patentem se poskytuje licenční smlouvou.</w:t>
      </w:r>
    </w:p>
    <w:p w:rsidR="00F140A6" w:rsidRDefault="00F140A6">
      <w:pPr>
        <w:pStyle w:val="Styl1"/>
        <w:spacing w:before="40" w:after="20"/>
        <w:rPr>
          <w:color w:val="auto"/>
        </w:rPr>
      </w:pPr>
      <w:r>
        <w:rPr>
          <w:b/>
          <w:bCs/>
          <w:color w:val="auto"/>
        </w:rPr>
        <w:t>Užitný vzor</w:t>
      </w:r>
      <w:r>
        <w:rPr>
          <w:color w:val="auto"/>
        </w:rPr>
        <w:t xml:space="preserve">, tzv. „malý patent“, má blízko ke klasickému patentu. Technické řešení, které je jeho podstatou a je jím po vydání osvědčení o zápisu chráněno, nemusí dosahovat dimenzí vynálezu. Požaduje se však, aby přesahovalo rámec pouhé odborné dovednosti, nebylo jen vnější úpravou výrobku, a bylo průmyslově využitelné. Užitným vzorem nelze chránit výrobní postupy. Mezinárodní ochranu poskytuje užitným vzorům podle Pařížské úmluvy asi 40 států. </w:t>
      </w:r>
    </w:p>
    <w:p w:rsidR="00BA183E" w:rsidRPr="005C2160" w:rsidRDefault="00BA183E" w:rsidP="005C2160">
      <w:pPr>
        <w:pStyle w:val="Styl1"/>
        <w:spacing w:before="40" w:after="20"/>
        <w:rPr>
          <w:color w:val="auto"/>
        </w:rPr>
      </w:pPr>
      <w:r w:rsidRPr="00BA183E">
        <w:rPr>
          <w:b/>
          <w:color w:val="auto"/>
        </w:rPr>
        <w:t>Kno</w:t>
      </w:r>
      <w:r w:rsidR="001554C4">
        <w:rPr>
          <w:b/>
          <w:color w:val="auto"/>
        </w:rPr>
        <w:t>w</w:t>
      </w:r>
      <w:r w:rsidRPr="00BA183E">
        <w:rPr>
          <w:b/>
          <w:color w:val="auto"/>
        </w:rPr>
        <w:t>-how</w:t>
      </w:r>
      <w:r w:rsidR="00DB2688">
        <w:rPr>
          <w:b/>
          <w:color w:val="auto"/>
        </w:rPr>
        <w:t xml:space="preserve"> </w:t>
      </w:r>
      <w:r w:rsidR="00DB2688" w:rsidRPr="00DB2688">
        <w:rPr>
          <w:color w:val="auto"/>
        </w:rPr>
        <w:t>(nepatentované vynálezy</w:t>
      </w:r>
      <w:r w:rsidRPr="00DB2688">
        <w:rPr>
          <w:color w:val="auto"/>
        </w:rPr>
        <w:t>)</w:t>
      </w:r>
      <w:r w:rsidR="005C2160">
        <w:rPr>
          <w:b/>
          <w:color w:val="auto"/>
        </w:rPr>
        <w:t xml:space="preserve"> </w:t>
      </w:r>
      <w:r w:rsidR="005C2160">
        <w:rPr>
          <w:color w:val="auto"/>
        </w:rPr>
        <w:t xml:space="preserve">jsou </w:t>
      </w:r>
      <w:r w:rsidR="005C2160" w:rsidRPr="005C2160">
        <w:rPr>
          <w:color w:val="auto"/>
        </w:rPr>
        <w:t xml:space="preserve">znalosti, zkušenosti či poznatky z oblasti výroby, obchodu, služeb či ekonomiky, </w:t>
      </w:r>
      <w:r w:rsidR="00254A65" w:rsidRPr="005C2160">
        <w:rPr>
          <w:color w:val="auto"/>
        </w:rPr>
        <w:t>které nejsou chráněny některou z ochran průmyslového vlastnictví.</w:t>
      </w:r>
      <w:r w:rsidR="005C2160" w:rsidRPr="005C2160">
        <w:rPr>
          <w:color w:val="auto"/>
        </w:rPr>
        <w:t xml:space="preserve"> Za know-how lze dále považovat informace, které byly získány za účelem usnadnění určité podnikatelské činnosti. Jedním </w:t>
      </w:r>
      <w:r w:rsidR="005C2160" w:rsidRPr="005C2160">
        <w:rPr>
          <w:color w:val="auto"/>
        </w:rPr>
        <w:lastRenderedPageBreak/>
        <w:t>ze</w:t>
      </w:r>
      <w:r w:rsidR="00D41A56">
        <w:rPr>
          <w:color w:val="auto"/>
        </w:rPr>
        <w:t> </w:t>
      </w:r>
      <w:r w:rsidR="005C2160" w:rsidRPr="005C2160">
        <w:rPr>
          <w:color w:val="auto"/>
        </w:rPr>
        <w:t xml:space="preserve">znaků know-how je, že je pro jeho uživatele užitečné a že ten tím, že s ním disponuje a užívá je, dosahuje pozitivních výsledků, kterých by jinak bez znalosti know-how nedosahoval. Majitel know-how utajuje, aby nevešlo ve všeobecnou známost a nestalo se dostupným, což by se negativně odrazilo v jeho hodnotě (ceně). Podstatným znakem know-how je, že musí být využitelné třetími osobami. </w:t>
      </w:r>
    </w:p>
    <w:p w:rsidR="00F140A6" w:rsidRDefault="00F140A6">
      <w:pPr>
        <w:pStyle w:val="Styl1"/>
        <w:spacing w:before="40" w:after="20"/>
        <w:rPr>
          <w:color w:val="auto"/>
        </w:rPr>
      </w:pPr>
      <w:r>
        <w:rPr>
          <w:b/>
          <w:bCs/>
          <w:color w:val="auto"/>
        </w:rPr>
        <w:t>Průmyslový vzor</w:t>
      </w:r>
      <w:r>
        <w:rPr>
          <w:color w:val="auto"/>
        </w:rPr>
        <w:t xml:space="preserve"> je vyřešení vnější úpravy výrobku, plošné nebo prostorové, které je nové a použitelné v průmyslové výrobě. Tato vnější úprava výrobku spočívá zejména ve zvláštním vnějším vzhledu, tvaru, obrysech, kresbě, barvě nebo ve zvláštním uspořádání barev nebo v kombinaci těchto znaků, je nová, průmyslově využitelná a má charakter estetický, nikoliv výlučně funkční. Novost zkoumá Úřad průmyslového vlastnictví podle přihlášky, kterou podrobuje průzkumu formálnímu i věcnému. Ochrana začíná zápisem průmyslového vzoru do rejstříku. </w:t>
      </w:r>
    </w:p>
    <w:p w:rsidR="00F140A6" w:rsidRDefault="00F140A6">
      <w:pPr>
        <w:numPr>
          <w:ilvl w:val="12"/>
          <w:numId w:val="0"/>
        </w:numPr>
        <w:tabs>
          <w:tab w:val="left" w:pos="284"/>
        </w:tabs>
        <w:spacing w:before="40" w:after="20"/>
        <w:ind w:firstLine="357"/>
        <w:jc w:val="both"/>
        <w:rPr>
          <w:rFonts w:ascii="Arial" w:hAnsi="Arial" w:cs="Arial"/>
          <w:bCs/>
          <w:caps/>
          <w:lang w:val="cs-CZ"/>
        </w:rPr>
      </w:pPr>
      <w:r>
        <w:rPr>
          <w:rFonts w:ascii="Arial" w:hAnsi="Arial" w:cs="Arial"/>
          <w:b/>
          <w:lang w:val="cs-CZ"/>
        </w:rPr>
        <w:t xml:space="preserve">Ochrana práv k novým odrůdám rostlin a plemenům zvířat </w:t>
      </w:r>
      <w:r>
        <w:rPr>
          <w:rFonts w:ascii="Arial" w:hAnsi="Arial" w:cs="Arial"/>
          <w:bCs/>
          <w:lang w:val="cs-CZ"/>
        </w:rPr>
        <w:t xml:space="preserve">je šlechtitelské osvědčení vydané ministerstvem zemědělství. </w:t>
      </w:r>
      <w:r>
        <w:rPr>
          <w:rFonts w:ascii="Arial" w:hAnsi="Arial" w:cs="Arial"/>
          <w:lang w:val="cs-CZ"/>
        </w:rPr>
        <w:t>Původcovství vzniká vytvořením nové odrůdy nebo plemene, jež má odlišnost alespoň jednoho podstatného znaku a jejíž biologické vlastnosti jsou stálé. Majiteli získává právo na výlučnost obchodního využití.</w:t>
      </w:r>
    </w:p>
    <w:p w:rsidR="00F140A6" w:rsidRDefault="00F140A6">
      <w:pPr>
        <w:pStyle w:val="Styl1"/>
        <w:spacing w:before="40" w:after="20"/>
        <w:rPr>
          <w:color w:val="auto"/>
        </w:rPr>
      </w:pPr>
    </w:p>
    <w:p w:rsidR="00F140A6" w:rsidRDefault="00F140A6">
      <w:pPr>
        <w:pStyle w:val="Styl1"/>
        <w:spacing w:before="40" w:after="20"/>
        <w:ind w:firstLine="0"/>
        <w:rPr>
          <w:b/>
          <w:bCs/>
          <w:color w:val="auto"/>
        </w:rPr>
      </w:pPr>
      <w:r>
        <w:rPr>
          <w:b/>
          <w:bCs/>
          <w:color w:val="auto"/>
        </w:rPr>
        <w:t>Základní členění zpravodajských jednotek s uzavřenou licenční smlouvou</w:t>
      </w:r>
    </w:p>
    <w:p w:rsidR="008D3B61" w:rsidRDefault="008D3B61" w:rsidP="008D3B61">
      <w:pPr>
        <w:pStyle w:val="Bn"/>
        <w:spacing w:after="0"/>
        <w:ind w:firstLine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Výše uvedeným statistickým šetřením Lic 5-01 je zjišťována a</w:t>
      </w:r>
      <w:r>
        <w:rPr>
          <w:rFonts w:ascii="Arial" w:hAnsi="Arial" w:cs="Arial"/>
          <w:b/>
          <w:sz w:val="20"/>
        </w:rPr>
        <w:t xml:space="preserve"> </w:t>
      </w:r>
      <w:r w:rsidRPr="006B3612">
        <w:rPr>
          <w:rFonts w:ascii="Arial" w:hAnsi="Arial" w:cs="Arial"/>
          <w:sz w:val="20"/>
        </w:rPr>
        <w:t>tříděna struktura uzavřených licenčních smluv a výše poplatků za n</w:t>
      </w:r>
      <w:r>
        <w:rPr>
          <w:rFonts w:ascii="Arial" w:hAnsi="Arial" w:cs="Arial"/>
          <w:sz w:val="20"/>
        </w:rPr>
        <w:t xml:space="preserve">ě zaplacených </w:t>
      </w:r>
      <w:r w:rsidR="006416A8">
        <w:rPr>
          <w:rFonts w:ascii="Arial" w:hAnsi="Arial" w:cs="Arial"/>
          <w:sz w:val="20"/>
        </w:rPr>
        <w:t xml:space="preserve">nebo přijatých </w:t>
      </w:r>
      <w:r>
        <w:rPr>
          <w:rFonts w:ascii="Arial" w:hAnsi="Arial" w:cs="Arial"/>
          <w:sz w:val="20"/>
        </w:rPr>
        <w:t>podle:</w:t>
      </w:r>
    </w:p>
    <w:p w:rsidR="008D3B61" w:rsidRDefault="008D3B61" w:rsidP="006B3612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color w:val="auto"/>
        </w:rPr>
      </w:pPr>
      <w:r>
        <w:rPr>
          <w:b/>
          <w:bCs/>
          <w:color w:val="auto"/>
        </w:rPr>
        <w:t xml:space="preserve">Předmětu licenční smlouvy </w:t>
      </w:r>
      <w:r>
        <w:rPr>
          <w:bCs/>
          <w:color w:val="auto"/>
        </w:rPr>
        <w:t>(</w:t>
      </w:r>
      <w:r>
        <w:rPr>
          <w:color w:val="auto"/>
        </w:rPr>
        <w:t>patenty, užitné vzory, know-how, průmyslové vzory, nové odrůdy rostlin a plemen zvířat).</w:t>
      </w:r>
    </w:p>
    <w:p w:rsidR="008D3B61" w:rsidRPr="00AC64D7" w:rsidRDefault="008D3B61" w:rsidP="006B3612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b/>
          <w:bCs/>
        </w:rPr>
      </w:pPr>
      <w:r>
        <w:rPr>
          <w:b/>
          <w:bCs/>
          <w:color w:val="auto"/>
        </w:rPr>
        <w:t>Země smluvního partnera</w:t>
      </w:r>
      <w:r>
        <w:rPr>
          <w:color w:val="auto"/>
        </w:rPr>
        <w:t xml:space="preserve"> licenční smlouvy uzavřené se subjektem působícím v</w:t>
      </w:r>
      <w:r w:rsidR="00A10915">
        <w:rPr>
          <w:color w:val="auto"/>
        </w:rPr>
        <w:t> </w:t>
      </w:r>
      <w:r>
        <w:rPr>
          <w:color w:val="auto"/>
        </w:rPr>
        <w:t>ČR</w:t>
      </w:r>
      <w:r w:rsidR="00A10915">
        <w:rPr>
          <w:color w:val="auto"/>
        </w:rPr>
        <w:t xml:space="preserve"> nebo s partnerem ze zahraničí</w:t>
      </w:r>
      <w:r>
        <w:rPr>
          <w:color w:val="auto"/>
        </w:rPr>
        <w:t xml:space="preserve"> </w:t>
      </w:r>
    </w:p>
    <w:p w:rsidR="00AC64D7" w:rsidRDefault="00AC64D7" w:rsidP="006B3612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b/>
          <w:bCs/>
        </w:rPr>
      </w:pPr>
      <w:r>
        <w:rPr>
          <w:b/>
          <w:bCs/>
          <w:color w:val="auto"/>
        </w:rPr>
        <w:t>Produkce</w:t>
      </w:r>
      <w:r w:rsidR="00CF0029">
        <w:rPr>
          <w:b/>
          <w:bCs/>
          <w:color w:val="auto"/>
        </w:rPr>
        <w:t>,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 xml:space="preserve">jež je předmětem licenční smlouvy. </w:t>
      </w:r>
      <w:r w:rsidR="00CF0029" w:rsidRPr="00CF0029">
        <w:rPr>
          <w:bCs/>
          <w:color w:val="auto"/>
        </w:rPr>
        <w:t>Za produkci je možno považovat nejen hmotné výrobky, odpady a ostatní druhotné suroviny, díly průmyslových výrobků, kompletační výrobky a příslušenství průmyslových výrobku, ale také průmyslové a neprůmyslové práce, služby a činnosti, které nesměřují k vytváření nových hmotných výrobků.</w:t>
      </w:r>
    </w:p>
    <w:p w:rsidR="008D3B61" w:rsidRDefault="008D3B61" w:rsidP="006B3612">
      <w:pPr>
        <w:pStyle w:val="Styl1"/>
        <w:spacing w:before="240" w:after="0"/>
        <w:ind w:firstLine="284"/>
        <w:rPr>
          <w:b/>
          <w:bCs/>
          <w:color w:val="auto"/>
        </w:rPr>
      </w:pPr>
      <w:r w:rsidRPr="006B3612">
        <w:rPr>
          <w:bCs/>
          <w:color w:val="auto"/>
        </w:rPr>
        <w:t>Základní členění zpravodajských jednotek s uzavřenou licenční smlouvou je pak</w:t>
      </w:r>
      <w:r>
        <w:rPr>
          <w:bCs/>
          <w:color w:val="auto"/>
        </w:rPr>
        <w:t xml:space="preserve"> k dispozici podle:</w:t>
      </w:r>
    </w:p>
    <w:p w:rsidR="007B354F" w:rsidRPr="007B354F" w:rsidRDefault="007B354F" w:rsidP="006B3612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color w:val="auto"/>
        </w:rPr>
      </w:pPr>
      <w:r w:rsidRPr="007B354F">
        <w:rPr>
          <w:b/>
          <w:color w:val="auto"/>
        </w:rPr>
        <w:t xml:space="preserve">Typu </w:t>
      </w:r>
      <w:r w:rsidR="00BE1AC7">
        <w:rPr>
          <w:b/>
          <w:color w:val="auto"/>
        </w:rPr>
        <w:t>poskytovatele</w:t>
      </w:r>
      <w:r>
        <w:rPr>
          <w:color w:val="auto"/>
        </w:rPr>
        <w:t xml:space="preserve"> definovaných n</w:t>
      </w:r>
      <w:r w:rsidRPr="007B354F">
        <w:rPr>
          <w:color w:val="auto"/>
        </w:rPr>
        <w:t>a základě číselníků uvedených v</w:t>
      </w:r>
      <w:r>
        <w:rPr>
          <w:color w:val="auto"/>
        </w:rPr>
        <w:t> </w:t>
      </w:r>
      <w:r w:rsidRPr="007B354F">
        <w:rPr>
          <w:color w:val="auto"/>
        </w:rPr>
        <w:t>RESu</w:t>
      </w:r>
      <w:r>
        <w:rPr>
          <w:color w:val="auto"/>
        </w:rPr>
        <w:t xml:space="preserve"> (</w:t>
      </w:r>
      <w:r w:rsidRPr="007B354F">
        <w:rPr>
          <w:color w:val="auto"/>
        </w:rPr>
        <w:t>právní forma organizace, institucionální sektor (ISEKTOR) a převažující ekonomická činnost (NACE)</w:t>
      </w:r>
      <w:r>
        <w:rPr>
          <w:color w:val="auto"/>
        </w:rPr>
        <w:t>)</w:t>
      </w:r>
      <w:r w:rsidRPr="007B354F">
        <w:rPr>
          <w:color w:val="auto"/>
        </w:rPr>
        <w:t>.</w:t>
      </w:r>
      <w:r>
        <w:rPr>
          <w:color w:val="auto"/>
        </w:rPr>
        <w:t xml:space="preserve"> Rozlišujeme ná</w:t>
      </w:r>
      <w:r w:rsidR="003D7BBE">
        <w:rPr>
          <w:color w:val="auto"/>
        </w:rPr>
        <w:t>sledující typy přihlašovatelů: v</w:t>
      </w:r>
      <w:r>
        <w:rPr>
          <w:color w:val="auto"/>
        </w:rPr>
        <w:t>eřejné vysoké školy</w:t>
      </w:r>
      <w:r w:rsidR="003D7BBE">
        <w:rPr>
          <w:color w:val="auto"/>
        </w:rPr>
        <w:t>, veřejné výzkumné instituce, podniky, fyzické osoby, o</w:t>
      </w:r>
      <w:r w:rsidR="003D7BBE" w:rsidRPr="003D7BBE">
        <w:rPr>
          <w:color w:val="auto"/>
        </w:rPr>
        <w:t>statní vládní a veřejná organizace</w:t>
      </w:r>
      <w:r w:rsidR="003D7BBE">
        <w:rPr>
          <w:color w:val="auto"/>
        </w:rPr>
        <w:t>, n</w:t>
      </w:r>
      <w:r w:rsidR="003D7BBE" w:rsidRPr="003D7BBE">
        <w:rPr>
          <w:color w:val="auto"/>
        </w:rPr>
        <w:t>emocnice</w:t>
      </w:r>
      <w:r w:rsidR="003D7BBE">
        <w:rPr>
          <w:color w:val="auto"/>
        </w:rPr>
        <w:t>, s</w:t>
      </w:r>
      <w:r w:rsidR="003D7BBE" w:rsidRPr="003D7BBE">
        <w:rPr>
          <w:color w:val="auto"/>
        </w:rPr>
        <w:t>družení a neziskové organizace</w:t>
      </w:r>
      <w:r w:rsidR="003D7BBE">
        <w:rPr>
          <w:color w:val="auto"/>
        </w:rPr>
        <w:t>.</w:t>
      </w:r>
    </w:p>
    <w:p w:rsidR="00BE1AC7" w:rsidRDefault="00BE1AC7" w:rsidP="00BE1AC7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color w:val="auto"/>
        </w:rPr>
      </w:pPr>
      <w:r>
        <w:rPr>
          <w:b/>
          <w:bCs/>
          <w:color w:val="auto"/>
        </w:rPr>
        <w:t xml:space="preserve">Sídla </w:t>
      </w:r>
      <w:r>
        <w:rPr>
          <w:color w:val="auto"/>
        </w:rPr>
        <w:t xml:space="preserve">subjektů s uzavřenou licenční smlouvou definovaného podle klasifikace CZ-NUTS 3 (14 krajů ČR). </w:t>
      </w:r>
    </w:p>
    <w:p w:rsidR="00BE1AC7" w:rsidRDefault="00BE1AC7" w:rsidP="00BE1AC7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color w:val="auto"/>
        </w:rPr>
      </w:pPr>
      <w:r>
        <w:rPr>
          <w:b/>
          <w:bCs/>
          <w:color w:val="auto"/>
        </w:rPr>
        <w:t xml:space="preserve">Velikostních skupin </w:t>
      </w:r>
      <w:r>
        <w:rPr>
          <w:bCs/>
          <w:color w:val="auto"/>
        </w:rPr>
        <w:t>d</w:t>
      </w:r>
      <w:r>
        <w:rPr>
          <w:color w:val="auto"/>
        </w:rPr>
        <w:t>efinovaných podle počtu zaměstnanců: 0–9 zaměstnanců, 10–49 zaměstnanců, 50–249 zaměstnanců, 250 a více zaměstnanců.</w:t>
      </w:r>
    </w:p>
    <w:p w:rsidR="008D3B61" w:rsidRDefault="00723138" w:rsidP="006B3612">
      <w:pPr>
        <w:pStyle w:val="Styl1"/>
        <w:numPr>
          <w:ilvl w:val="0"/>
          <w:numId w:val="6"/>
        </w:numPr>
        <w:tabs>
          <w:tab w:val="clear" w:pos="880"/>
          <w:tab w:val="num" w:pos="567"/>
        </w:tabs>
        <w:spacing w:before="120" w:after="0"/>
        <w:ind w:left="568" w:hanging="284"/>
        <w:rPr>
          <w:color w:val="auto"/>
        </w:rPr>
      </w:pPr>
      <w:r>
        <w:rPr>
          <w:b/>
          <w:bCs/>
          <w:color w:val="auto"/>
        </w:rPr>
        <w:t>K</w:t>
      </w:r>
      <w:r w:rsidR="008D3B61">
        <w:rPr>
          <w:b/>
          <w:bCs/>
          <w:color w:val="auto"/>
        </w:rPr>
        <w:t>lasifikace ekonomických činností (</w:t>
      </w:r>
      <w:r w:rsidR="00A10915">
        <w:rPr>
          <w:bCs/>
          <w:color w:val="auto"/>
        </w:rPr>
        <w:t>CZ</w:t>
      </w:r>
      <w:r w:rsidR="002B7C8D">
        <w:rPr>
          <w:bCs/>
          <w:color w:val="auto"/>
        </w:rPr>
        <w:t>–</w:t>
      </w:r>
      <w:r w:rsidR="00A10915">
        <w:rPr>
          <w:bCs/>
          <w:color w:val="auto"/>
        </w:rPr>
        <w:t>NACE)</w:t>
      </w:r>
    </w:p>
    <w:p w:rsidR="007B354F" w:rsidRDefault="007B354F" w:rsidP="007B354F">
      <w:pPr>
        <w:pStyle w:val="Styl1"/>
        <w:spacing w:before="120" w:after="0"/>
        <w:rPr>
          <w:color w:val="auto"/>
        </w:rPr>
      </w:pPr>
    </w:p>
    <w:p w:rsidR="00C75405" w:rsidRDefault="00C75405" w:rsidP="008D3B61">
      <w:pPr>
        <w:pStyle w:val="Styl1"/>
        <w:spacing w:before="0" w:after="0"/>
        <w:rPr>
          <w:color w:val="auto"/>
        </w:rPr>
      </w:pPr>
    </w:p>
    <w:sectPr w:rsidR="00C75405" w:rsidSect="0006266E">
      <w:footerReference w:type="even" r:id="rId8"/>
      <w:endnotePr>
        <w:numFmt w:val="decimal"/>
      </w:endnotePr>
      <w:pgSz w:w="11906" w:h="16838" w:code="9"/>
      <w:pgMar w:top="1134" w:right="1134" w:bottom="1134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C4" w:rsidRDefault="00C309C4">
      <w:r>
        <w:separator/>
      </w:r>
    </w:p>
  </w:endnote>
  <w:endnote w:type="continuationSeparator" w:id="0">
    <w:p w:rsidR="00C309C4" w:rsidRDefault="00C3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CE obyèejné">
    <w:altName w:val="Courier New"/>
    <w:charset w:val="00"/>
    <w:family w:val="roma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21" w:rsidRDefault="001050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021" w:rsidRDefault="001050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C4" w:rsidRDefault="00C309C4">
      <w:r>
        <w:separator/>
      </w:r>
    </w:p>
  </w:footnote>
  <w:footnote w:type="continuationSeparator" w:id="0">
    <w:p w:rsidR="00C309C4" w:rsidRDefault="00C30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EC5"/>
    <w:multiLevelType w:val="hybridMultilevel"/>
    <w:tmpl w:val="48A2BDCA"/>
    <w:lvl w:ilvl="0" w:tplc="04050017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061F6"/>
    <w:multiLevelType w:val="hybridMultilevel"/>
    <w:tmpl w:val="F086C7F2"/>
    <w:lvl w:ilvl="0" w:tplc="65FC0848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133A46E4"/>
    <w:multiLevelType w:val="hybridMultilevel"/>
    <w:tmpl w:val="F086C7F2"/>
    <w:lvl w:ilvl="0" w:tplc="0405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1E5A22D7"/>
    <w:multiLevelType w:val="hybridMultilevel"/>
    <w:tmpl w:val="95B26B5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2D20FD"/>
    <w:multiLevelType w:val="hybridMultilevel"/>
    <w:tmpl w:val="796A3DF0"/>
    <w:lvl w:ilvl="0" w:tplc="65FC0848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B3811"/>
    <w:multiLevelType w:val="multilevel"/>
    <w:tmpl w:val="7B947222"/>
    <w:lvl w:ilvl="0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20C9C"/>
    <w:multiLevelType w:val="hybridMultilevel"/>
    <w:tmpl w:val="D12075FC"/>
    <w:lvl w:ilvl="0" w:tplc="5F4C4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F7762"/>
    <w:multiLevelType w:val="hybridMultilevel"/>
    <w:tmpl w:val="8DD0DF30"/>
    <w:lvl w:ilvl="0" w:tplc="91060A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8095E08"/>
    <w:multiLevelType w:val="hybridMultilevel"/>
    <w:tmpl w:val="F086C7F2"/>
    <w:lvl w:ilvl="0" w:tplc="65FC0848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75E821BD"/>
    <w:multiLevelType w:val="multilevel"/>
    <w:tmpl w:val="796A3DF0"/>
    <w:lvl w:ilvl="0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A18"/>
    <w:rsid w:val="0006266E"/>
    <w:rsid w:val="00071E96"/>
    <w:rsid w:val="00092DB4"/>
    <w:rsid w:val="000D3F29"/>
    <w:rsid w:val="000E0A94"/>
    <w:rsid w:val="00105021"/>
    <w:rsid w:val="00130D38"/>
    <w:rsid w:val="001464D5"/>
    <w:rsid w:val="001554C4"/>
    <w:rsid w:val="0015685E"/>
    <w:rsid w:val="001709B7"/>
    <w:rsid w:val="001746D8"/>
    <w:rsid w:val="00181109"/>
    <w:rsid w:val="001C774F"/>
    <w:rsid w:val="001E25DC"/>
    <w:rsid w:val="00254A65"/>
    <w:rsid w:val="002752C7"/>
    <w:rsid w:val="002B7C8D"/>
    <w:rsid w:val="0030729D"/>
    <w:rsid w:val="0034264F"/>
    <w:rsid w:val="003B7BA2"/>
    <w:rsid w:val="003D7BBE"/>
    <w:rsid w:val="00453D0C"/>
    <w:rsid w:val="00463309"/>
    <w:rsid w:val="004913EC"/>
    <w:rsid w:val="004A3D6A"/>
    <w:rsid w:val="00500191"/>
    <w:rsid w:val="00506929"/>
    <w:rsid w:val="00534828"/>
    <w:rsid w:val="005442A2"/>
    <w:rsid w:val="00587A18"/>
    <w:rsid w:val="005C2160"/>
    <w:rsid w:val="005D784A"/>
    <w:rsid w:val="005E6839"/>
    <w:rsid w:val="006053D7"/>
    <w:rsid w:val="00612839"/>
    <w:rsid w:val="006416A8"/>
    <w:rsid w:val="006A3FBD"/>
    <w:rsid w:val="006B2C84"/>
    <w:rsid w:val="006B3612"/>
    <w:rsid w:val="006E397E"/>
    <w:rsid w:val="006F719A"/>
    <w:rsid w:val="00723138"/>
    <w:rsid w:val="00755E9C"/>
    <w:rsid w:val="007B0145"/>
    <w:rsid w:val="007B0683"/>
    <w:rsid w:val="007B354F"/>
    <w:rsid w:val="00840B2E"/>
    <w:rsid w:val="008540FB"/>
    <w:rsid w:val="008C2D14"/>
    <w:rsid w:val="008D3B61"/>
    <w:rsid w:val="00976936"/>
    <w:rsid w:val="00995F1E"/>
    <w:rsid w:val="00997370"/>
    <w:rsid w:val="009A3CB8"/>
    <w:rsid w:val="009B5D81"/>
    <w:rsid w:val="009D15CD"/>
    <w:rsid w:val="009F6430"/>
    <w:rsid w:val="00A10915"/>
    <w:rsid w:val="00A40EBF"/>
    <w:rsid w:val="00A5019D"/>
    <w:rsid w:val="00A74014"/>
    <w:rsid w:val="00AC64D7"/>
    <w:rsid w:val="00AF24D0"/>
    <w:rsid w:val="00B13B8D"/>
    <w:rsid w:val="00BA183E"/>
    <w:rsid w:val="00BA50EF"/>
    <w:rsid w:val="00BB233C"/>
    <w:rsid w:val="00BC31F8"/>
    <w:rsid w:val="00BE1AC7"/>
    <w:rsid w:val="00BF562E"/>
    <w:rsid w:val="00C21D71"/>
    <w:rsid w:val="00C259DD"/>
    <w:rsid w:val="00C309C4"/>
    <w:rsid w:val="00C32710"/>
    <w:rsid w:val="00C50F74"/>
    <w:rsid w:val="00C56E29"/>
    <w:rsid w:val="00C7422A"/>
    <w:rsid w:val="00C75405"/>
    <w:rsid w:val="00CF0029"/>
    <w:rsid w:val="00D12FC5"/>
    <w:rsid w:val="00D20FED"/>
    <w:rsid w:val="00D3400D"/>
    <w:rsid w:val="00D41A56"/>
    <w:rsid w:val="00D83376"/>
    <w:rsid w:val="00DB2688"/>
    <w:rsid w:val="00DF746F"/>
    <w:rsid w:val="00E16A5F"/>
    <w:rsid w:val="00E44BA0"/>
    <w:rsid w:val="00E70BDD"/>
    <w:rsid w:val="00E74334"/>
    <w:rsid w:val="00F140A6"/>
    <w:rsid w:val="00F1524D"/>
    <w:rsid w:val="00F16131"/>
    <w:rsid w:val="00F36C29"/>
    <w:rsid w:val="00F55AB3"/>
    <w:rsid w:val="00F573DB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ind w:left="708"/>
      <w:jc w:val="center"/>
      <w:outlineLvl w:val="0"/>
    </w:pPr>
    <w:rPr>
      <w:rFonts w:ascii="Arial" w:hAnsi="Arial" w:cs="Arial"/>
      <w:sz w:val="24"/>
      <w:lang w:val="de-DE"/>
    </w:rPr>
  </w:style>
  <w:style w:type="paragraph" w:styleId="Nadpis2">
    <w:name w:val="heading 2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  <w:outlineLvl w:val="2"/>
    </w:pPr>
    <w:rPr>
      <w:rFonts w:ascii="Arial" w:hAnsi="Arial" w:cs="Arial"/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  <w:outlineLvl w:val="3"/>
    </w:pPr>
    <w:rPr>
      <w:rFonts w:ascii="Arial" w:hAnsi="Arial" w:cs="Arial"/>
      <w:b/>
      <w:bCs/>
      <w:i/>
      <w:iCs/>
      <w:sz w:val="40"/>
    </w:rPr>
  </w:style>
  <w:style w:type="paragraph" w:styleId="Nadpis5">
    <w:name w:val="heading 5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  <w:outlineLvl w:val="5"/>
    </w:pPr>
    <w:rPr>
      <w:rFonts w:ascii="Arial" w:hAnsi="Arial" w:cs="Arial"/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  <w:outlineLvl w:val="6"/>
    </w:pPr>
    <w:rPr>
      <w:rFonts w:ascii="Arial" w:hAnsi="Arial" w:cs="Arial"/>
      <w:b/>
      <w:bCs/>
      <w:i/>
      <w:iCs/>
      <w:sz w:val="32"/>
    </w:rPr>
  </w:style>
  <w:style w:type="paragraph" w:styleId="Nadpis8">
    <w:name w:val="heading 8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  <w:outlineLvl w:val="7"/>
    </w:pPr>
    <w:rPr>
      <w:rFonts w:ascii="Arial" w:hAnsi="Arial" w:cs="Arial"/>
      <w:b/>
      <w:bCs/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  <w:outlineLvl w:val="8"/>
    </w:pPr>
    <w:rPr>
      <w:rFonts w:ascii="Arial" w:hAnsi="Arial" w:cs="Arial"/>
      <w:i/>
      <w:i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</w:pPr>
    <w:rPr>
      <w:rFonts w:ascii="Arial" w:hAnsi="Arial" w:cs="Arial"/>
      <w:sz w:val="24"/>
    </w:rPr>
  </w:style>
  <w:style w:type="character" w:customStyle="1" w:styleId="zhlavsted">
    <w:name w:val="záhlavístřed"/>
    <w:basedOn w:val="Standardnpsmoodstavce"/>
    <w:rPr>
      <w:rFonts w:ascii="Times New Roman CE obyèejné" w:hAnsi="Times New Roman CE obyèejné"/>
      <w:sz w:val="24"/>
    </w:rPr>
  </w:style>
  <w:style w:type="character" w:customStyle="1" w:styleId="styl12sted">
    <w:name w:val="styl12střed"/>
    <w:basedOn w:val="Standardnpsmoodstavce"/>
    <w:rPr>
      <w:rFonts w:ascii="Times New Roman CE obyèejné" w:hAnsi="Times New Roman CE obyèejné"/>
      <w:sz w:val="24"/>
    </w:rPr>
  </w:style>
  <w:style w:type="character" w:customStyle="1" w:styleId="a">
    <w:name w:val="_"/>
    <w:basedOn w:val="Standardnpsmoodstavce"/>
    <w:rPr>
      <w:rFonts w:ascii="Times New Roman CE obyèejné" w:hAnsi="Times New Roman CE obyèejné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</w:pPr>
    <w:rPr>
      <w:rFonts w:ascii="Arial" w:hAnsi="Arial" w:cs="Arial"/>
      <w:bCs/>
      <w:sz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ind w:left="1440" w:hanging="1440"/>
    </w:pPr>
    <w:rPr>
      <w:rFonts w:ascii="Arial" w:hAnsi="Arial" w:cs="Arial"/>
      <w:szCs w:val="22"/>
      <w:lang w:val="cs-CZ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tyl1">
    <w:name w:val="Styl1"/>
    <w:basedOn w:val="Zkladntext2"/>
    <w:pPr>
      <w:tabs>
        <w:tab w:val="clear" w:pos="1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</w:tabs>
      <w:overflowPunct/>
      <w:autoSpaceDE/>
      <w:autoSpaceDN/>
      <w:adjustRightInd/>
      <w:spacing w:before="60" w:after="60"/>
      <w:ind w:firstLine="340"/>
      <w:jc w:val="both"/>
      <w:textAlignment w:val="auto"/>
    </w:pPr>
    <w:rPr>
      <w:rFonts w:cs="Times New Roman"/>
      <w:bCs w:val="0"/>
      <w:color w:val="333399"/>
      <w:sz w:val="20"/>
      <w:szCs w:val="24"/>
      <w:lang w:val="cs-CZ"/>
    </w:rPr>
  </w:style>
  <w:style w:type="paragraph" w:styleId="Textpoznpodarou">
    <w:name w:val="footnote text"/>
    <w:basedOn w:val="Normln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16"/>
      <w:lang w:val="cs-CZ"/>
    </w:rPr>
  </w:style>
  <w:style w:type="paragraph" w:customStyle="1" w:styleId="Styl2">
    <w:name w:val="Styl2"/>
    <w:basedOn w:val="Normln"/>
    <w:pPr>
      <w:overflowPunct/>
      <w:autoSpaceDE/>
      <w:autoSpaceDN/>
      <w:adjustRightInd/>
      <w:textAlignment w:val="auto"/>
    </w:pPr>
    <w:rPr>
      <w:rFonts w:ascii="Arial" w:hAnsi="Arial"/>
      <w:b/>
      <w:bCs/>
      <w:sz w:val="18"/>
      <w:szCs w:val="24"/>
      <w:lang w:val="cs-CZ"/>
    </w:rPr>
  </w:style>
  <w:style w:type="paragraph" w:customStyle="1" w:styleId="VTRStyl2">
    <w:name w:val="VTR_Styl_2"/>
    <w:basedOn w:val="Styl1"/>
    <w:pPr>
      <w:spacing w:before="0" w:after="0"/>
      <w:ind w:firstLine="0"/>
    </w:pPr>
    <w:rPr>
      <w:b/>
      <w:sz w:val="18"/>
    </w:rPr>
  </w:style>
  <w:style w:type="paragraph" w:customStyle="1" w:styleId="VTRStyl3">
    <w:name w:val="VTR_Styl_3"/>
    <w:basedOn w:val="VTRStyl2"/>
    <w:pPr>
      <w:jc w:val="right"/>
    </w:pPr>
    <w:rPr>
      <w:b w:val="0"/>
      <w:i/>
      <w:sz w:val="16"/>
    </w:rPr>
  </w:style>
  <w:style w:type="paragraph" w:styleId="Normlnweb">
    <w:name w:val="Normal (Web)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character" w:customStyle="1" w:styleId="text11px1">
    <w:name w:val="text11px1"/>
    <w:basedOn w:val="Standardnpsmoodstavce"/>
    <w:rPr>
      <w:sz w:val="11"/>
      <w:szCs w:val="11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odsazen2">
    <w:name w:val="Body Text Indent 2"/>
    <w:basedOn w:val="Normln"/>
    <w:rsid w:val="00995F1E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995F1E"/>
    <w:pPr>
      <w:spacing w:after="120"/>
      <w:ind w:left="283"/>
    </w:pPr>
    <w:rPr>
      <w:sz w:val="16"/>
      <w:szCs w:val="16"/>
    </w:rPr>
  </w:style>
  <w:style w:type="paragraph" w:customStyle="1" w:styleId="Bn">
    <w:name w:val="Běžný"/>
    <w:basedOn w:val="Normln"/>
    <w:rsid w:val="001746D8"/>
    <w:pPr>
      <w:overflowPunct/>
      <w:autoSpaceDE/>
      <w:autoSpaceDN/>
      <w:adjustRightInd/>
      <w:spacing w:before="120" w:after="120"/>
      <w:ind w:firstLine="340"/>
      <w:jc w:val="both"/>
      <w:textAlignment w:val="auto"/>
    </w:pPr>
    <w:rPr>
      <w:rFonts w:eastAsia="Batang"/>
      <w:sz w:val="24"/>
      <w:szCs w:val="24"/>
      <w:lang w:val="cs-CZ"/>
    </w:rPr>
  </w:style>
  <w:style w:type="character" w:styleId="Odkaznakoment">
    <w:name w:val="annotation reference"/>
    <w:basedOn w:val="Standardnpsmoodstavce"/>
    <w:rsid w:val="001C77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774F"/>
  </w:style>
  <w:style w:type="character" w:customStyle="1" w:styleId="TextkomenteChar">
    <w:name w:val="Text komentáře Char"/>
    <w:basedOn w:val="Standardnpsmoodstavce"/>
    <w:link w:val="Textkomente"/>
    <w:rsid w:val="001C774F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1C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774F"/>
    <w:rPr>
      <w:b/>
      <w:bCs/>
    </w:rPr>
  </w:style>
  <w:style w:type="paragraph" w:styleId="Textbubliny">
    <w:name w:val="Balloon Text"/>
    <w:basedOn w:val="Normln"/>
    <w:link w:val="TextbublinyChar"/>
    <w:rsid w:val="001C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77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ED6A-5597-40EB-AF8E-AEE22DAE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VĚDA A VÝZKUM</vt:lpstr>
    </vt:vector>
  </TitlesOfParts>
  <Company>CSU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VĚDA A VÝZKUM</dc:title>
  <dc:subject/>
  <dc:creator>Kopáčková</dc:creator>
  <cp:keywords/>
  <cp:lastModifiedBy>KE</cp:lastModifiedBy>
  <cp:revision>2</cp:revision>
  <cp:lastPrinted>2006-12-05T07:43:00Z</cp:lastPrinted>
  <dcterms:created xsi:type="dcterms:W3CDTF">2013-09-19T06:19:00Z</dcterms:created>
  <dcterms:modified xsi:type="dcterms:W3CDTF">2013-09-19T06:19:00Z</dcterms:modified>
</cp:coreProperties>
</file>