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3D" w:rsidRDefault="0001633D">
      <w:pPr>
        <w:pStyle w:val="Nadpis9"/>
        <w:rPr>
          <w:rFonts w:cs="Arial"/>
          <w:sz w:val="32"/>
          <w:lang w:val="en-US"/>
        </w:rPr>
      </w:pPr>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Industrial producer price indices cover the prices of products produced in the branches B to E of CZ-NACE. The publication contains price indices for divisions and groups of CZ-CPA, aggregated into subsections and sections of ‘Classification of Products by Activity’ (CZ-CPA 2008) and industry total. 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2008, is prepared on the basis of the European standard of CPA 2008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 xml:space="preserve">During the year 2011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2010 constant weights since January 2012. The weights of industrial producer price indices were determined on the structure of 2010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xml:space="preserve">’ (‘Industry 2-01’), ‘P4-01’ </w:t>
      </w:r>
      <w:r w:rsidRPr="00B909F5">
        <w:rPr>
          <w:rFonts w:ascii="Arial" w:hAnsi="Arial" w:cs="Arial"/>
          <w:sz w:val="20"/>
          <w:szCs w:val="20"/>
          <w:lang w:val="en-GB"/>
        </w:rPr>
        <w:t xml:space="preserve">and </w:t>
      </w:r>
      <w:r>
        <w:rPr>
          <w:rFonts w:ascii="Arial" w:hAnsi="Arial" w:cs="Arial"/>
          <w:sz w:val="20"/>
          <w:szCs w:val="20"/>
          <w:lang w:val="en-GB"/>
        </w:rPr>
        <w:t>‘Ceny Prům 1-12’ (Industry Prices 1-12’).</w:t>
      </w:r>
    </w:p>
    <w:p w:rsidR="00B909F5" w:rsidRPr="00EB373A" w:rsidRDefault="00B909F5" w:rsidP="005A1BA2">
      <w:pPr>
        <w:rPr>
          <w:rFonts w:ascii="Arial" w:hAnsi="Arial" w:cs="Arial"/>
          <w:sz w:val="20"/>
          <w:szCs w:val="20"/>
        </w:rPr>
      </w:pPr>
    </w:p>
    <w:p w:rsidR="005A1BA2" w:rsidRPr="00EB373A" w:rsidRDefault="005A1BA2" w:rsidP="005A1BA2">
      <w:pPr>
        <w:rPr>
          <w:rFonts w:ascii="Arial" w:hAnsi="Arial" w:cs="Arial"/>
          <w:sz w:val="20"/>
          <w:szCs w:val="20"/>
        </w:rPr>
      </w:pPr>
      <w:r w:rsidRPr="005A1BA2">
        <w:rPr>
          <w:rFonts w:ascii="Arial" w:hAnsi="Arial" w:cs="Arial"/>
          <w:sz w:val="20"/>
          <w:szCs w:val="20"/>
          <w:lang w:val="en-GB"/>
        </w:rPr>
        <w:t xml:space="preserve">The basilar indices with the base December 2005 = 100 are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base December 2010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 existing price indices with the base 2005 average = 100 and December 2005 = 100 and thus continuation of the present time series is ensured.</w:t>
      </w:r>
      <w:r w:rsidRPr="005A1BA2">
        <w:rPr>
          <w:rFonts w:ascii="Arial" w:hAnsi="Arial" w:cs="Arial"/>
          <w:sz w:val="20"/>
          <w:szCs w:val="20"/>
          <w:lang w:val="en-GB"/>
        </w:rPr>
        <w:br/>
      </w:r>
    </w:p>
    <w:p w:rsidR="005A1BA2" w:rsidRPr="005A1BA2" w:rsidRDefault="005A1BA2" w:rsidP="005A1BA2">
      <w:pPr>
        <w:pStyle w:val="Zkladntext"/>
        <w:rPr>
          <w:rFonts w:ascii="Arial" w:hAnsi="Arial" w:cs="Arial"/>
          <w:sz w:val="20"/>
          <w:lang w:val="en-GB"/>
        </w:rPr>
      </w:pPr>
      <w:r w:rsidRPr="005A1BA2">
        <w:rPr>
          <w:rFonts w:ascii="Arial" w:hAnsi="Arial" w:cs="Arial"/>
          <w:b/>
          <w:sz w:val="20"/>
          <w:lang w:val="en-GB"/>
        </w:rPr>
        <w:t>Excluded</w:t>
      </w:r>
      <w:r w:rsidRPr="005A1BA2">
        <w:rPr>
          <w:rFonts w:ascii="Arial" w:hAnsi="Arial" w:cs="Arial"/>
          <w:sz w:val="20"/>
          <w:lang w:val="en-GB"/>
        </w:rPr>
        <w:t xml:space="preserve"> were the groups with the lowest domestic sales in the year 2010:</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B. 089</w:t>
      </w:r>
      <w:r w:rsidRPr="005A1BA2">
        <w:rPr>
          <w:rFonts w:ascii="Arial" w:hAnsi="Arial" w:cs="Arial"/>
          <w:sz w:val="20"/>
          <w:lang w:val="en-GB"/>
        </w:rPr>
        <w:tab/>
      </w:r>
      <w:r w:rsidRPr="005A1BA2">
        <w:rPr>
          <w:rFonts w:ascii="Arial" w:hAnsi="Arial" w:cs="Arial"/>
          <w:sz w:val="20"/>
          <w:lang w:val="en-GB"/>
        </w:rPr>
        <w:tab/>
        <w:t>Mining and quarrying products n.e.c.</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CA 102</w:t>
      </w:r>
      <w:r w:rsidRPr="005A1BA2">
        <w:rPr>
          <w:rFonts w:ascii="Arial" w:hAnsi="Arial" w:cs="Arial"/>
          <w:sz w:val="20"/>
          <w:lang w:val="en-GB"/>
        </w:rPr>
        <w:tab/>
      </w:r>
      <w:r w:rsidRPr="005A1BA2">
        <w:rPr>
          <w:rFonts w:ascii="Arial" w:hAnsi="Arial" w:cs="Arial"/>
          <w:sz w:val="20"/>
          <w:lang w:val="en-GB"/>
        </w:rPr>
        <w:tab/>
        <w:t>Processed and preserved fish, crustaceans and molluscs</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CG 234</w:t>
      </w:r>
      <w:r w:rsidRPr="005A1BA2">
        <w:rPr>
          <w:rFonts w:ascii="Arial" w:hAnsi="Arial" w:cs="Arial"/>
          <w:sz w:val="20"/>
          <w:lang w:val="en-GB"/>
        </w:rPr>
        <w:tab/>
      </w:r>
      <w:r w:rsidRPr="005A1BA2">
        <w:rPr>
          <w:rFonts w:ascii="Arial" w:hAnsi="Arial" w:cs="Arial"/>
          <w:sz w:val="20"/>
          <w:lang w:val="en-GB"/>
        </w:rPr>
        <w:tab/>
        <w:t>Other porcelain and ceramic products</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CI 267</w:t>
      </w:r>
      <w:r w:rsidRPr="005A1BA2">
        <w:rPr>
          <w:rFonts w:ascii="Arial" w:hAnsi="Arial" w:cs="Arial"/>
          <w:sz w:val="20"/>
          <w:lang w:val="en-GB"/>
        </w:rPr>
        <w:tab/>
      </w:r>
      <w:r w:rsidRPr="005A1BA2">
        <w:rPr>
          <w:rFonts w:ascii="Arial" w:hAnsi="Arial" w:cs="Arial"/>
          <w:sz w:val="20"/>
          <w:lang w:val="en-GB"/>
        </w:rPr>
        <w:tab/>
        <w:t>Optical instruments and photographic equipment</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CL 309</w:t>
      </w:r>
      <w:r w:rsidRPr="005A1BA2">
        <w:rPr>
          <w:rFonts w:ascii="Arial" w:hAnsi="Arial" w:cs="Arial"/>
          <w:sz w:val="20"/>
          <w:lang w:val="en-GB"/>
        </w:rPr>
        <w:tab/>
      </w:r>
      <w:r w:rsidRPr="005A1BA2">
        <w:rPr>
          <w:rFonts w:ascii="Arial" w:hAnsi="Arial" w:cs="Arial"/>
          <w:sz w:val="20"/>
          <w:lang w:val="en-GB"/>
        </w:rPr>
        <w:tab/>
        <w:t>Transport equipment n.e.c.</w:t>
      </w:r>
    </w:p>
    <w:p w:rsidR="005A1BA2" w:rsidRPr="005A1BA2" w:rsidRDefault="005A1BA2" w:rsidP="005A1BA2">
      <w:pPr>
        <w:pStyle w:val="Zkladntext"/>
        <w:rPr>
          <w:rFonts w:ascii="Arial" w:hAnsi="Arial" w:cs="Arial"/>
          <w:sz w:val="20"/>
          <w:lang w:val="en-GB"/>
        </w:rPr>
      </w:pPr>
      <w:r w:rsidRPr="005A1BA2">
        <w:rPr>
          <w:rFonts w:ascii="Arial" w:hAnsi="Arial" w:cs="Arial"/>
          <w:sz w:val="20"/>
          <w:lang w:val="en-GB"/>
        </w:rPr>
        <w:t>CM 321</w:t>
      </w:r>
      <w:r w:rsidRPr="005A1BA2">
        <w:rPr>
          <w:rFonts w:ascii="Arial" w:hAnsi="Arial" w:cs="Arial"/>
          <w:sz w:val="20"/>
          <w:lang w:val="en-GB"/>
        </w:rPr>
        <w:tab/>
      </w:r>
      <w:r w:rsidRPr="005A1BA2">
        <w:rPr>
          <w:rFonts w:ascii="Arial" w:hAnsi="Arial" w:cs="Arial"/>
          <w:sz w:val="20"/>
          <w:lang w:val="en-GB"/>
        </w:rPr>
        <w:tab/>
        <w:t>Jewellery, bijouterie and related articles</w:t>
      </w:r>
    </w:p>
    <w:p w:rsidR="005A1BA2" w:rsidRPr="005A1BA2" w:rsidRDefault="005A1BA2" w:rsidP="005A1BA2">
      <w:pPr>
        <w:pStyle w:val="Zkladntext"/>
        <w:jc w:val="left"/>
        <w:rPr>
          <w:rFonts w:ascii="Arial" w:hAnsi="Arial" w:cs="Arial"/>
          <w:sz w:val="20"/>
          <w:lang w:val="en-GB"/>
        </w:rPr>
      </w:pPr>
      <w:r w:rsidRPr="005A1BA2">
        <w:rPr>
          <w:rFonts w:ascii="Arial" w:hAnsi="Arial" w:cs="Arial"/>
          <w:sz w:val="20"/>
          <w:lang w:val="en-GB"/>
        </w:rPr>
        <w:t>CM 322</w:t>
      </w:r>
      <w:r w:rsidRPr="005A1BA2">
        <w:rPr>
          <w:rFonts w:ascii="Arial" w:hAnsi="Arial" w:cs="Arial"/>
          <w:sz w:val="20"/>
          <w:lang w:val="en-GB"/>
        </w:rPr>
        <w:tab/>
      </w:r>
      <w:r w:rsidRPr="005A1BA2">
        <w:rPr>
          <w:rFonts w:ascii="Arial" w:hAnsi="Arial" w:cs="Arial"/>
          <w:sz w:val="20"/>
          <w:lang w:val="en-GB"/>
        </w:rPr>
        <w:tab/>
        <w:t>Musical instruments</w:t>
      </w:r>
    </w:p>
    <w:p w:rsidR="005A1BA2" w:rsidRPr="00EB373A" w:rsidRDefault="005A1BA2" w:rsidP="005A1BA2">
      <w:pPr>
        <w:pStyle w:val="Zkladntext"/>
        <w:jc w:val="left"/>
        <w:rPr>
          <w:rFonts w:ascii="Arial" w:hAnsi="Arial" w:cs="Arial"/>
          <w:sz w:val="20"/>
        </w:rPr>
      </w:pPr>
    </w:p>
    <w:p w:rsidR="005A1BA2" w:rsidRPr="005A1BA2" w:rsidRDefault="005A1BA2" w:rsidP="005A1BA2">
      <w:pPr>
        <w:rPr>
          <w:rFonts w:ascii="Arial" w:hAnsi="Arial" w:cs="Arial"/>
          <w:sz w:val="20"/>
          <w:szCs w:val="20"/>
          <w:lang w:val="en-US"/>
        </w:rPr>
      </w:pPr>
      <w:r w:rsidRPr="005A1BA2">
        <w:rPr>
          <w:rFonts w:ascii="Arial" w:hAnsi="Arial" w:cs="Arial"/>
          <w:sz w:val="20"/>
          <w:szCs w:val="20"/>
          <w:lang w:val="en-US"/>
        </w:rPr>
        <w:t xml:space="preserve">On the other hand, newly are </w:t>
      </w:r>
      <w:r w:rsidRPr="005A1BA2">
        <w:rPr>
          <w:rFonts w:ascii="Arial" w:hAnsi="Arial" w:cs="Arial"/>
          <w:b/>
          <w:sz w:val="20"/>
          <w:szCs w:val="20"/>
          <w:lang w:val="en-US"/>
        </w:rPr>
        <w:t>included</w:t>
      </w:r>
      <w:r>
        <w:rPr>
          <w:rFonts w:ascii="Arial" w:hAnsi="Arial" w:cs="Arial"/>
          <w:sz w:val="20"/>
          <w:szCs w:val="20"/>
          <w:lang w:val="en-US"/>
        </w:rPr>
        <w:t>:</w:t>
      </w:r>
    </w:p>
    <w:p w:rsidR="005A1BA2" w:rsidRPr="005A1BA2" w:rsidRDefault="005A1BA2" w:rsidP="005A1BA2">
      <w:pPr>
        <w:rPr>
          <w:rFonts w:ascii="Arial" w:hAnsi="Arial" w:cs="Arial"/>
          <w:sz w:val="20"/>
          <w:szCs w:val="20"/>
          <w:lang w:val="en-US"/>
        </w:rPr>
      </w:pPr>
      <w:r w:rsidRPr="005A1BA2">
        <w:rPr>
          <w:rFonts w:ascii="Arial" w:hAnsi="Arial" w:cs="Arial"/>
          <w:sz w:val="20"/>
          <w:szCs w:val="20"/>
          <w:lang w:val="en-US"/>
        </w:rPr>
        <w:t>B. 062</w:t>
      </w:r>
      <w:r w:rsidRPr="005A1BA2">
        <w:rPr>
          <w:rFonts w:ascii="Arial" w:hAnsi="Arial" w:cs="Arial"/>
          <w:sz w:val="20"/>
          <w:szCs w:val="20"/>
          <w:lang w:val="en-US"/>
        </w:rPr>
        <w:tab/>
      </w:r>
      <w:r w:rsidRPr="005A1BA2">
        <w:rPr>
          <w:rFonts w:ascii="Arial" w:hAnsi="Arial" w:cs="Arial"/>
          <w:sz w:val="20"/>
          <w:szCs w:val="20"/>
          <w:lang w:val="en-US"/>
        </w:rPr>
        <w:tab/>
        <w:t>Natural gas, liquefied or in gaseous state</w:t>
      </w:r>
    </w:p>
    <w:p w:rsidR="0001633D" w:rsidRDefault="005A1BA2" w:rsidP="005A1BA2">
      <w:pPr>
        <w:rPr>
          <w:rFonts w:ascii="Arial" w:hAnsi="Arial" w:cs="Arial"/>
          <w:sz w:val="20"/>
          <w:szCs w:val="20"/>
          <w:lang w:val="en-US"/>
        </w:rPr>
      </w:pPr>
      <w:r w:rsidRPr="005A1BA2">
        <w:rPr>
          <w:rFonts w:ascii="Arial" w:hAnsi="Arial" w:cs="Arial"/>
          <w:sz w:val="20"/>
          <w:szCs w:val="20"/>
          <w:lang w:val="en-US"/>
        </w:rPr>
        <w:t>CC 182</w:t>
      </w:r>
      <w:r w:rsidRPr="005A1BA2">
        <w:rPr>
          <w:rFonts w:ascii="Arial" w:hAnsi="Arial" w:cs="Arial"/>
          <w:sz w:val="20"/>
          <w:szCs w:val="20"/>
          <w:lang w:val="en-US"/>
        </w:rPr>
        <w:tab/>
      </w:r>
      <w:r w:rsidRPr="005A1BA2">
        <w:rPr>
          <w:rFonts w:ascii="Arial" w:hAnsi="Arial" w:cs="Arial"/>
          <w:sz w:val="20"/>
          <w:szCs w:val="20"/>
          <w:lang w:val="en-US"/>
        </w:rPr>
        <w:tab/>
        <w:t>Reproduction services of recorded media</w:t>
      </w:r>
    </w:p>
    <w:p w:rsidR="005A1BA2" w:rsidRPr="009D2049" w:rsidRDefault="005A1BA2" w:rsidP="005A1BA2">
      <w:pPr>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1.75pt" o:ole="">
            <v:imagedata r:id="rId7" o:title=""/>
          </v:shape>
          <o:OLEObject Type="Embed" ProgID="Equation.3" ShapeID="_x0000_i1025" DrawAspect="Content" ObjectID="_1447658204" r:id="rId8"/>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(December 2005),</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(2005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5A1BA2">
        <w:rPr>
          <w:rFonts w:ascii="Arial" w:hAnsi="Arial" w:cs="Arial"/>
          <w:sz w:val="20"/>
          <w:szCs w:val="20"/>
          <w:lang w:val="en-US"/>
        </w:rPr>
        <w:t>currently 1161</w:t>
      </w:r>
      <w:r w:rsidRPr="009D2049">
        <w:rPr>
          <w:rFonts w:ascii="Arial" w:hAnsi="Arial" w:cs="Arial"/>
          <w:sz w:val="20"/>
          <w:szCs w:val="20"/>
          <w:lang w:val="en-US"/>
        </w:rPr>
        <w:t>) for selected representatives (</w:t>
      </w:r>
      <w:r w:rsidR="005A1BA2">
        <w:rPr>
          <w:rFonts w:ascii="Arial" w:hAnsi="Arial" w:cs="Arial"/>
          <w:sz w:val="20"/>
          <w:szCs w:val="20"/>
          <w:lang w:val="en-US"/>
        </w:rPr>
        <w:t>currently 4582</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 (formerly the tenth to twelfth calendar day).</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 xml:space="preserve">2005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December 2005 =  1</w:t>
      </w:r>
      <w:r w:rsidR="0001633D" w:rsidRPr="009D2049">
        <w:rPr>
          <w:rFonts w:cs="Arial"/>
          <w:szCs w:val="20"/>
          <w:lang w:val="en-US"/>
        </w:rPr>
        <w:t>00 (derived base index),</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previous period = 100, 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 xml:space="preserve">the ratio of rolling averages index (ratio of average of last 12 months´ indices to average of previous 12 months´ indices, calculated from the base indices </w:t>
      </w:r>
      <w:r w:rsidR="005A1BA2">
        <w:rPr>
          <w:rFonts w:cs="Arial"/>
          <w:szCs w:val="20"/>
          <w:lang w:val="en-US"/>
        </w:rPr>
        <w:t>2005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implementing the Council Regulation (EC) No 1165/98 concerning short-term statistics. In June 2007 by the </w:t>
      </w:r>
      <w:r w:rsidRPr="009D2049">
        <w:rPr>
          <w:rFonts w:ascii="Arial" w:hAnsi="Arial" w:cs="Arial"/>
          <w:sz w:val="20"/>
          <w:szCs w:val="20"/>
          <w:lang w:val="en-US"/>
        </w:rPr>
        <w:lastRenderedPageBreak/>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01633D" w:rsidRPr="009D2049" w:rsidRDefault="0001633D">
      <w:pPr>
        <w:pStyle w:val="Nadpis1"/>
        <w:rPr>
          <w:color w:val="auto"/>
          <w:szCs w:val="20"/>
        </w:rPr>
      </w:pPr>
      <w:r w:rsidRPr="009D2049">
        <w:rPr>
          <w:color w:val="auto"/>
          <w:szCs w:val="20"/>
        </w:rPr>
        <w:t>Average prices of natural gas, electricity and oil products</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Prices according to the former methodology were surveyed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October 2007 for the last time and published in the publication for November 2007. Prices according to the new methodology were calculated for Q3 and Q4 2007 for the first time and published in the publication for January 2008. Both types of calculation are overlapping for Q3 and Q4 2007. Prices for Q2 2007 according to the former methodology do not follow up with prices for Q3 2007 according to the new methodology.</w:t>
      </w:r>
    </w:p>
    <w:p w:rsidR="0001633D" w:rsidRPr="009D2049" w:rsidRDefault="0001633D">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the Czech Republic, 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Pr="009D2049" w:rsidRDefault="0001633D">
      <w:pPr>
        <w:pStyle w:val="Zkladntextodsazen2"/>
        <w:ind w:firstLine="0"/>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January 2003 the delivered </w:t>
      </w:r>
      <w:r w:rsidRPr="009D2049">
        <w:rPr>
          <w:rFonts w:ascii="Arial" w:hAnsi="Arial" w:cs="Arial"/>
          <w:b/>
          <w:bCs/>
          <w:sz w:val="20"/>
          <w:szCs w:val="20"/>
          <w:lang w:val="en-US"/>
        </w:rPr>
        <w:t>prices of oil products</w:t>
      </w:r>
      <w:r w:rsidRPr="009D2049">
        <w:rPr>
          <w:rFonts w:ascii="Arial" w:hAnsi="Arial" w:cs="Arial"/>
          <w:sz w:val="20"/>
          <w:szCs w:val="20"/>
          <w:lang w:val="en-US"/>
        </w:rPr>
        <w:t xml:space="preserve"> to households and industry have been released monthly. The methods of average price surveys are based on the Council Decision 1999/280/EC regarding a Community procedure for information and consultation on crude oil supply costs and the consumer prices of petroleum products and on the Commission Decision 1999/566/EC.</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The </w:t>
      </w:r>
      <w:r w:rsidRPr="009D2049">
        <w:rPr>
          <w:rFonts w:ascii="Arial" w:hAnsi="Arial" w:cs="Arial"/>
          <w:b/>
          <w:bCs/>
          <w:sz w:val="20"/>
          <w:szCs w:val="20"/>
          <w:lang w:val="en-US"/>
        </w:rPr>
        <w:t>prices of oil products</w:t>
      </w:r>
      <w:r w:rsidRPr="009D2049">
        <w:rPr>
          <w:rFonts w:ascii="Arial" w:hAnsi="Arial" w:cs="Arial"/>
          <w:sz w:val="20"/>
          <w:szCs w:val="20"/>
          <w:lang w:val="en-US"/>
        </w:rPr>
        <w:t xml:space="preserve"> are collected monthly by the national statistical survey ‘Ceny E 3 -12’ (‘Prices</w:t>
      </w:r>
    </w:p>
    <w:p w:rsidR="0001633D" w:rsidRDefault="0001633D">
      <w:pPr>
        <w:rPr>
          <w:rFonts w:ascii="Arial" w:hAnsi="Arial" w:cs="Arial"/>
          <w:sz w:val="20"/>
          <w:szCs w:val="20"/>
          <w:lang w:val="en-US"/>
        </w:rPr>
      </w:pPr>
      <w:r w:rsidRPr="009D2049">
        <w:rPr>
          <w:rFonts w:ascii="Arial" w:hAnsi="Arial" w:cs="Arial"/>
          <w:sz w:val="20"/>
          <w:szCs w:val="20"/>
          <w:lang w:val="en-US"/>
        </w:rPr>
        <w:t>E 3-12’). The recorded prices are the most frequently charged delivered prices excluding transport costs, inclusive of VAT and excise tax and net of VAT and excise tax, agreed between supplier and customer inland at the 15th calendar day of the month. The „supplier“ means producer or distributor of domestically produced or imported oil products. The „customer“ means end user, characterized by the size of an offtake. In high sulphur fuel oil it means the deliveries of less than 2000 tonnes per month or less than 24000 tonnes per year for industry. In heating gas oils it means the individual deliveries of 2000 to 5000 litres for households and less than 2000 litres for industry.</w:t>
      </w:r>
    </w:p>
    <w:sectPr w:rsidR="0001633D" w:rsidSect="00B909F5">
      <w:headerReference w:type="even" r:id="rId9"/>
      <w:headerReference w:type="default" r:id="rId10"/>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9F" w:rsidRDefault="005D599F">
      <w:r>
        <w:separator/>
      </w:r>
    </w:p>
  </w:endnote>
  <w:endnote w:type="continuationSeparator" w:id="0">
    <w:p w:rsidR="005D599F" w:rsidRDefault="005D5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9F" w:rsidRDefault="005D599F">
      <w:r>
        <w:separator/>
      </w:r>
    </w:p>
  </w:footnote>
  <w:footnote w:type="continuationSeparator" w:id="0">
    <w:p w:rsidR="005D599F" w:rsidRDefault="005D5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3D" w:rsidRDefault="0001633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1633D" w:rsidRDefault="0001633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3D" w:rsidRDefault="0001633D">
    <w:pPr>
      <w:pStyle w:val="Zhlav"/>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C0075D">
      <w:rPr>
        <w:rStyle w:val="slostrnky"/>
        <w:rFonts w:ascii="Arial" w:hAnsi="Arial" w:cs="Arial"/>
        <w:noProof/>
        <w:sz w:val="20"/>
      </w:rPr>
      <w:t>3</w:t>
    </w:r>
    <w:r>
      <w:rPr>
        <w:rStyle w:val="slostrnky"/>
        <w:rFonts w:ascii="Arial" w:hAnsi="Arial" w:cs="Arial"/>
        <w:sz w:val="20"/>
      </w:rPr>
      <w:fldChar w:fldCharType="end"/>
    </w:r>
  </w:p>
  <w:p w:rsidR="0001633D" w:rsidRDefault="0001633D">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146D"/>
    <w:rsid w:val="0001633D"/>
    <w:rsid w:val="001A62C7"/>
    <w:rsid w:val="00300EE9"/>
    <w:rsid w:val="004326DF"/>
    <w:rsid w:val="004E472C"/>
    <w:rsid w:val="005A1BA2"/>
    <w:rsid w:val="005D599F"/>
    <w:rsid w:val="007C146D"/>
    <w:rsid w:val="007D463F"/>
    <w:rsid w:val="00943AA6"/>
    <w:rsid w:val="009D2049"/>
    <w:rsid w:val="00B17E16"/>
    <w:rsid w:val="00B909F5"/>
    <w:rsid w:val="00C0075D"/>
    <w:rsid w:val="00CF2EA2"/>
    <w:rsid w:val="00D423A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qFormat/>
    <w:pPr>
      <w:keepNext/>
      <w:jc w:val="center"/>
      <w:outlineLvl w:val="0"/>
    </w:pPr>
    <w:rPr>
      <w:rFonts w:ascii="Arial" w:hAnsi="Arial" w:cs="Arial"/>
      <w:b/>
      <w:bCs/>
      <w:color w:val="3366FF"/>
      <w:sz w:val="20"/>
      <w:lang w:val="en-US"/>
    </w:rPr>
  </w:style>
  <w:style w:type="paragraph" w:styleId="Nadpis9">
    <w:name w:val="heading 9"/>
    <w:basedOn w:val="Normln"/>
    <w:next w:val="Normln"/>
    <w:qFormat/>
    <w:pPr>
      <w:keepNext/>
      <w:jc w:val="center"/>
      <w:outlineLvl w:val="8"/>
    </w:pPr>
    <w:rPr>
      <w:rFonts w:ascii="Arial" w:hAnsi="Arial"/>
      <w:b/>
      <w:bCs/>
      <w:sz w:val="20"/>
      <w:szCs w:val="20"/>
      <w:lang w:eastAsia="cs-CZ"/>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Nzev">
    <w:name w:val="Title"/>
    <w:basedOn w:val="Normln"/>
    <w:qFormat/>
    <w:pPr>
      <w:jc w:val="center"/>
    </w:pPr>
    <w:rPr>
      <w:rFonts w:ascii="Arial" w:hAnsi="Arial"/>
      <w:b/>
      <w:bCs/>
      <w:sz w:val="20"/>
      <w:szCs w:val="32"/>
      <w:lang w:eastAsia="cs-CZ"/>
    </w:rPr>
  </w:style>
  <w:style w:type="paragraph" w:styleId="Zkladntext">
    <w:name w:val="Body Text"/>
    <w:basedOn w:val="Normln"/>
    <w:semiHidden/>
    <w:pPr>
      <w:jc w:val="both"/>
    </w:pPr>
    <w:rPr>
      <w:lang w:eastAsia="cs-CZ"/>
    </w:rPr>
  </w:style>
  <w:style w:type="paragraph" w:styleId="Zkladntext2">
    <w:name w:val="Body Text 2"/>
    <w:basedOn w:val="Normln"/>
    <w:semiHidden/>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pPr>
      <w:ind w:firstLine="540"/>
    </w:pPr>
    <w:rPr>
      <w:lang w:eastAsia="cs-CZ"/>
    </w:rPr>
  </w:style>
  <w:style w:type="paragraph" w:styleId="Zkladntext3">
    <w:name w:val="Body Text 3"/>
    <w:basedOn w:val="Normln"/>
    <w:semiHidden/>
    <w:pPr>
      <w:jc w:val="both"/>
    </w:pPr>
    <w:rPr>
      <w:rFonts w:ascii="Arial" w:hAnsi="Arial"/>
      <w:sz w:val="20"/>
    </w:rPr>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spacing w:before="240"/>
      <w:ind w:firstLine="708"/>
      <w:jc w:val="both"/>
    </w:pPr>
    <w:rPr>
      <w:rFonts w:ascii="Arial" w:hAnsi="Arial"/>
      <w:sz w:val="22"/>
      <w:szCs w:val="20"/>
      <w:lang w:val="en-GB" w:eastAsia="cs-CZ"/>
    </w:rPr>
  </w:style>
  <w:style w:type="paragraph" w:styleId="Zkladntextodsazen2">
    <w:name w:val="Body Text Indent 2"/>
    <w:basedOn w:val="Normln"/>
    <w:semiHidden/>
    <w:pPr>
      <w:ind w:firstLine="708"/>
      <w:jc w:val="both"/>
    </w:pPr>
    <w:rPr>
      <w:rFonts w:ascii="Arial" w:hAnsi="Arial" w:cs="Arial"/>
      <w:sz w:val="20"/>
    </w:rPr>
  </w:style>
  <w:style w:type="character" w:styleId="Hypertextovodkaz">
    <w:name w:val="Hyperlink"/>
    <w:basedOn w:val="Standardnpsmoodstavce"/>
    <w:semiHidden/>
    <w:rPr>
      <w:color w:val="0000FF"/>
      <w:u w:val="single"/>
    </w:rPr>
  </w:style>
  <w:style w:type="character" w:styleId="Sledovanodkaz">
    <w:name w:val="FollowedHyperlink"/>
    <w:basedOn w:val="Standardnpsmoodstavce"/>
    <w:semiHidden/>
    <w:rPr>
      <w:color w:val="800080"/>
      <w:u w:val="single"/>
    </w:rPr>
  </w:style>
  <w:style w:type="paragraph" w:styleId="Podtitul">
    <w:name w:val="Subtitle"/>
    <w:basedOn w:val="Normln"/>
    <w:qFormat/>
    <w:rPr>
      <w:rFonts w:ascii="Arial" w:hAnsi="Arial" w:cs="Arial"/>
      <w:b/>
      <w:bCs/>
      <w:sz w:val="20"/>
      <w:lang w:eastAsia="cs-CZ"/>
    </w:r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color w:val="00000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7101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beranek426</cp:lastModifiedBy>
  <cp:revision>2</cp:revision>
  <cp:lastPrinted>2011-01-19T11:09:00Z</cp:lastPrinted>
  <dcterms:created xsi:type="dcterms:W3CDTF">2013-12-04T09:30:00Z</dcterms:created>
  <dcterms:modified xsi:type="dcterms:W3CDTF">2013-12-04T09:30:00Z</dcterms:modified>
</cp:coreProperties>
</file>