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95" w:rsidRDefault="00F32A95" w:rsidP="00F32A95">
      <w:pPr>
        <w:rPr>
          <w:b/>
          <w:noProof/>
          <w:sz w:val="22"/>
          <w:szCs w:val="22"/>
        </w:rPr>
      </w:pPr>
      <w:r w:rsidRPr="004F0550">
        <w:rPr>
          <w:b/>
          <w:noProof/>
          <w:sz w:val="22"/>
          <w:szCs w:val="22"/>
        </w:rPr>
        <w:t>Vysvětlivky</w:t>
      </w:r>
    </w:p>
    <w:p w:rsidR="00F32A95" w:rsidRPr="00E14D5F" w:rsidRDefault="00F32A95" w:rsidP="00F32A95">
      <w:pPr>
        <w:rPr>
          <w:b/>
          <w:noProof/>
          <w:sz w:val="16"/>
          <w:szCs w:val="16"/>
        </w:rPr>
      </w:pPr>
    </w:p>
    <w:p w:rsidR="00F32A95" w:rsidRPr="006B5EC5" w:rsidRDefault="00F32A95" w:rsidP="00F32A95">
      <w:pPr>
        <w:pStyle w:val="Textpoznpodarou"/>
        <w:jc w:val="both"/>
        <w:rPr>
          <w:rFonts w:cs="Arial"/>
        </w:rPr>
      </w:pPr>
      <w:r w:rsidRPr="006B5EC5">
        <w:rPr>
          <w:b/>
        </w:rPr>
        <w:t>Vládní sektor ČR</w:t>
      </w:r>
      <w:r w:rsidRPr="006B5EC5">
        <w:t>, tj. sektor vládních institucí,</w:t>
      </w:r>
      <w:r w:rsidRPr="006B5EC5">
        <w:rPr>
          <w:rFonts w:cs="Arial"/>
        </w:rPr>
        <w:t xml:space="preserve"> tvoří o organizační složky státu, územní samosprávné celky, vybrané příspěvkové organizace, státní i jiné mimorozpočtové fondy (Pozemkový fond, Podpůrný a garanční lesnický a rolnický fond, Vinařský fond a další), Správa železniční dopravní cesty, transformační instituce </w:t>
      </w:r>
      <w:proofErr w:type="spellStart"/>
      <w:r w:rsidRPr="006B5EC5">
        <w:rPr>
          <w:rFonts w:cs="Arial"/>
        </w:rPr>
        <w:t>Prisko</w:t>
      </w:r>
      <w:proofErr w:type="spellEnd"/>
      <w:r w:rsidRPr="006B5EC5">
        <w:rPr>
          <w:rFonts w:cs="Arial"/>
        </w:rPr>
        <w:t>, PPP Centrum, veřejné vysoké školy, veřejné výzkumné ústavy, zdravotní pojišťovny, asociace a svazy zdravotních pojišťoven a Centrum mezistátních úhrad. Od roku 2010 bylo na základě opakovaného testu přeřazeno několik veřejných nefinančních podniků do sektoru vládních institucí, převedeny byly i vybrané příspěvkové organizace mezi sektory nefinančních podniků a vládních institucí.</w:t>
      </w:r>
    </w:p>
    <w:p w:rsidR="00F32A95" w:rsidRPr="00E14D5F" w:rsidRDefault="00F32A95" w:rsidP="00F32A95">
      <w:pPr>
        <w:pStyle w:val="Textpoznpodarou"/>
        <w:jc w:val="both"/>
        <w:rPr>
          <w:rFonts w:cs="Arial"/>
          <w:sz w:val="16"/>
          <w:szCs w:val="16"/>
        </w:rPr>
      </w:pPr>
    </w:p>
    <w:p w:rsidR="00F32A95" w:rsidRPr="006B5EC5" w:rsidRDefault="00F32A95" w:rsidP="00F32A95">
      <w:pPr>
        <w:rPr>
          <w:szCs w:val="20"/>
        </w:rPr>
      </w:pPr>
      <w:r w:rsidRPr="006B5EC5">
        <w:rPr>
          <w:b/>
          <w:szCs w:val="20"/>
        </w:rPr>
        <w:t>Hrubý konsolidovaný dluh vládního sektoru</w:t>
      </w:r>
      <w:r w:rsidRPr="006B5EC5">
        <w:rPr>
          <w:szCs w:val="20"/>
        </w:rPr>
        <w:t xml:space="preserve"> zahrnuje závazky sektoru vládních institucí vyplývající z přijatých vkladů, vydaných úvěrových cenných papírů jiných než účasti (s výjimkou finančních derivátů) a přijatých půjček.</w:t>
      </w:r>
    </w:p>
    <w:p w:rsidR="00F32A95" w:rsidRPr="00E14D5F" w:rsidRDefault="00F32A95" w:rsidP="00F32A95">
      <w:pPr>
        <w:rPr>
          <w:sz w:val="16"/>
          <w:szCs w:val="16"/>
        </w:rPr>
      </w:pPr>
    </w:p>
    <w:p w:rsidR="00F32A95" w:rsidRPr="006B5EC5" w:rsidRDefault="00F32A95" w:rsidP="00F32A95">
      <w:pPr>
        <w:pStyle w:val="Textpoznpodarou"/>
        <w:jc w:val="both"/>
      </w:pPr>
      <w:r w:rsidRPr="006B5EC5">
        <w:rPr>
          <w:b/>
        </w:rPr>
        <w:t>Zahraniční zadluženost</w:t>
      </w:r>
      <w:r w:rsidRPr="006B5EC5">
        <w:t xml:space="preserve"> ČR je přehled finančních pasiv sektorů tuzemské ekonomiky vůči nerezidentům ČR dluhového charakteru (tj. závazků se smluvně určenou dobou jejich splatnosti, za kterou náleží věřiteli výnos ve formě úroku). Nezahrnuje tedy stavy investic do majetkových cenných papírů, tj. přímé investice- kmenové jmění, portfoliové investice – majetkové cenné papíry a účasti. Stavy jednotlivých dluhových závazků odpovídají stejně jako v případě investiční pozice příslušným transakcím s dluhovými finančními pasívy na finančním účtu platební bilance.</w:t>
      </w:r>
    </w:p>
    <w:p w:rsidR="00F32A95" w:rsidRPr="00E14D5F" w:rsidRDefault="00F32A95" w:rsidP="00F32A95">
      <w:pPr>
        <w:pStyle w:val="Textpoznpodarou"/>
        <w:jc w:val="both"/>
        <w:rPr>
          <w:sz w:val="16"/>
          <w:szCs w:val="16"/>
        </w:rPr>
      </w:pPr>
    </w:p>
    <w:p w:rsidR="00F32A95" w:rsidRDefault="00F32A95" w:rsidP="00F32A95">
      <w:pPr>
        <w:pStyle w:val="Textpoznpodarou"/>
        <w:jc w:val="both"/>
      </w:pPr>
      <w:r w:rsidRPr="006B5EC5">
        <w:rPr>
          <w:b/>
        </w:rPr>
        <w:t>Indikátor rizika chudoby nebo sociálního vyloučení</w:t>
      </w:r>
      <w:r w:rsidRPr="006B5EC5">
        <w:t xml:space="preserve"> představuje podíl osob ohrožených příjmovou chudobou, materiálně deprivovaných - to jsou lidé, kteří si nemohou dovolit nejméně čtyři z devíti definovaných věcí: platit účty za nájem a služby, mít v bytě teplo, jíst obden maso, čelit neočekávaným výdajům, týdenní dovolenou mimo domov, auto, automatickou pračku, barevnou TV, telefon - nebo žijících v domácnosti s nízkou pracovní intenzitou. Za domácnosti s nízkou pracovní intenzitou jsou považovány takové domácnosti, které mají pracovní intenzitu nižší než 0,20. Koeficient pracovní intenzity domácnosti je počítán za členy domácnosti ve věku 18 až 59 let s výjimkou studujících osob ve věku 18 až 24 let. Pracovní intenzita se vypočte jako podíl počtu měsíců, v nichž takto vymezené osoby byly pracující, a počtu měsíců jejich přítomnosti v domácnosti celkem.</w:t>
      </w:r>
    </w:p>
    <w:p w:rsidR="00F32A95" w:rsidRPr="00E14D5F" w:rsidRDefault="00F32A95" w:rsidP="00F32A95">
      <w:pPr>
        <w:pStyle w:val="Textpoznpodarou"/>
        <w:jc w:val="both"/>
        <w:rPr>
          <w:sz w:val="16"/>
          <w:szCs w:val="16"/>
        </w:rPr>
      </w:pPr>
    </w:p>
    <w:p w:rsidR="00F32A95" w:rsidRDefault="00F32A95" w:rsidP="00F32A95">
      <w:pPr>
        <w:pStyle w:val="Textpoznpodarou"/>
        <w:jc w:val="both"/>
      </w:pPr>
      <w:r w:rsidRPr="006B5EC5">
        <w:rPr>
          <w:b/>
        </w:rPr>
        <w:t>Určení rizika příjmové chudoby</w:t>
      </w:r>
      <w:r w:rsidRPr="006B5EC5">
        <w:t xml:space="preserve"> - prahem pro určení rizika příjmové chudoby je 60 % mediánu </w:t>
      </w:r>
      <w:proofErr w:type="spellStart"/>
      <w:r w:rsidRPr="006B5EC5">
        <w:t>ekvivalizovaného</w:t>
      </w:r>
      <w:proofErr w:type="spellEnd"/>
      <w:r w:rsidRPr="006B5EC5">
        <w:t xml:space="preserve"> příjmu na spotřební jednotku pro každou zemi (ukazatel zohledňuje v </w:t>
      </w:r>
      <w:proofErr w:type="spellStart"/>
      <w:r w:rsidRPr="006B5EC5">
        <w:t>ekvivalizaci</w:t>
      </w:r>
      <w:proofErr w:type="spellEnd"/>
      <w:r w:rsidRPr="006B5EC5">
        <w:t xml:space="preserve">  tzv. úspory z počtu ve vícečlenných domácnostech, tj. úspory na nákladech na předměty a služby, které slouží většímu počtu členů domácnosti).</w:t>
      </w:r>
    </w:p>
    <w:p w:rsidR="00F32A95" w:rsidRPr="00E14D5F" w:rsidRDefault="00F32A95" w:rsidP="00F32A95">
      <w:pPr>
        <w:pStyle w:val="Textpoznpodarou"/>
        <w:jc w:val="both"/>
        <w:rPr>
          <w:sz w:val="16"/>
          <w:szCs w:val="16"/>
        </w:rPr>
      </w:pPr>
    </w:p>
    <w:p w:rsidR="00F32A95" w:rsidRDefault="00F32A95" w:rsidP="00F32A95">
      <w:pPr>
        <w:pStyle w:val="Textpoznpodarou"/>
        <w:jc w:val="both"/>
      </w:pPr>
      <w:proofErr w:type="spellStart"/>
      <w:r w:rsidRPr="006B5EC5">
        <w:rPr>
          <w:b/>
        </w:rPr>
        <w:t>Gini</w:t>
      </w:r>
      <w:proofErr w:type="spellEnd"/>
      <w:r w:rsidRPr="006B5EC5">
        <w:rPr>
          <w:b/>
        </w:rPr>
        <w:t xml:space="preserve"> koeficient</w:t>
      </w:r>
      <w:r w:rsidRPr="006B5EC5">
        <w:t xml:space="preserve"> ukazuje rozsah, do jaké míry se rozdělení příjmů v dané zemi odchyluje od „ideálního“ tj. dokonale rovnoměrného příjmového rozdělení. </w:t>
      </w:r>
      <w:proofErr w:type="spellStart"/>
      <w:r w:rsidRPr="006B5EC5">
        <w:t>Gini</w:t>
      </w:r>
      <w:proofErr w:type="spellEnd"/>
      <w:r w:rsidRPr="006B5EC5">
        <w:t xml:space="preserve"> koeficient s hodnotou 0 tak vyjadřuje úplnou rovnost, kdy všichni berou stejně, hodnota 100 pak naprostou nerovnost, kdy jeden člověk bere všechno. </w:t>
      </w:r>
    </w:p>
    <w:p w:rsidR="00F32A95" w:rsidRPr="00E14D5F" w:rsidRDefault="00F32A95" w:rsidP="00F32A95">
      <w:pPr>
        <w:pStyle w:val="Textpoznpodarou"/>
        <w:jc w:val="both"/>
        <w:rPr>
          <w:sz w:val="16"/>
          <w:szCs w:val="16"/>
        </w:rPr>
      </w:pPr>
    </w:p>
    <w:p w:rsidR="00F32A95" w:rsidRDefault="00F32A95" w:rsidP="00F32A95">
      <w:pPr>
        <w:pStyle w:val="Textpoznpodarou"/>
        <w:jc w:val="both"/>
        <w:rPr>
          <w:rFonts w:cs="Arial"/>
          <w:spacing w:val="-4"/>
        </w:rPr>
      </w:pPr>
      <w:r w:rsidRPr="00E14D5F">
        <w:rPr>
          <w:rFonts w:cs="Arial"/>
          <w:b/>
          <w:spacing w:val="-4"/>
        </w:rPr>
        <w:t>Příjmová nerovnost podle kvantilového rozdělení</w:t>
      </w:r>
      <w:r>
        <w:rPr>
          <w:rFonts w:cs="Arial"/>
          <w:spacing w:val="-4"/>
        </w:rPr>
        <w:t xml:space="preserve"> </w:t>
      </w:r>
      <w:proofErr w:type="spellStart"/>
      <w:r>
        <w:rPr>
          <w:rFonts w:cs="Arial"/>
          <w:spacing w:val="-4"/>
        </w:rPr>
        <w:t>vyjádřuje</w:t>
      </w:r>
      <w:proofErr w:type="spellEnd"/>
      <w:r>
        <w:rPr>
          <w:rFonts w:cs="Arial"/>
          <w:spacing w:val="-4"/>
        </w:rPr>
        <w:t xml:space="preserve"> příjmovou distribuci poměrem mezi celkovými příjmy skupiny lidí, kteří si vydělali nejvíce (tj. pětinou příjemců s nejvyššími příjmy, tzv. horním </w:t>
      </w:r>
      <w:proofErr w:type="spellStart"/>
      <w:r>
        <w:rPr>
          <w:rFonts w:cs="Arial"/>
          <w:spacing w:val="-4"/>
        </w:rPr>
        <w:t>kvintilem</w:t>
      </w:r>
      <w:proofErr w:type="spellEnd"/>
      <w:r>
        <w:rPr>
          <w:rFonts w:cs="Arial"/>
          <w:spacing w:val="-4"/>
        </w:rPr>
        <w:t>) a skupiny lidí, kteří si vydělali nejméně (</w:t>
      </w:r>
      <w:proofErr w:type="spellStart"/>
      <w:r>
        <w:rPr>
          <w:rFonts w:cs="Arial"/>
          <w:spacing w:val="-4"/>
        </w:rPr>
        <w:t>tj</w:t>
      </w:r>
      <w:proofErr w:type="spellEnd"/>
      <w:r>
        <w:rPr>
          <w:rFonts w:cs="Arial"/>
          <w:spacing w:val="-4"/>
        </w:rPr>
        <w:t xml:space="preserve"> pětinou příjemců s nejnižšími příjmy).</w:t>
      </w:r>
    </w:p>
    <w:p w:rsidR="00F32A95" w:rsidRPr="00E14D5F" w:rsidRDefault="00F32A95" w:rsidP="00F32A95">
      <w:pPr>
        <w:pStyle w:val="Textpoznpodarou"/>
        <w:jc w:val="both"/>
        <w:rPr>
          <w:rFonts w:cs="Arial"/>
          <w:spacing w:val="-4"/>
          <w:sz w:val="16"/>
          <w:szCs w:val="16"/>
        </w:rPr>
      </w:pPr>
    </w:p>
    <w:p w:rsidR="00F32A95" w:rsidRDefault="00F32A95" w:rsidP="00F32A95">
      <w:pPr>
        <w:pStyle w:val="Textpoznpodarou"/>
        <w:jc w:val="both"/>
        <w:rPr>
          <w:rFonts w:cs="Arial"/>
        </w:rPr>
      </w:pPr>
      <w:proofErr w:type="spellStart"/>
      <w:r w:rsidRPr="00E14D5F">
        <w:rPr>
          <w:rFonts w:cs="Arial"/>
          <w:b/>
        </w:rPr>
        <w:t>Gender</w:t>
      </w:r>
      <w:proofErr w:type="spellEnd"/>
      <w:r w:rsidRPr="00E14D5F">
        <w:rPr>
          <w:rFonts w:cs="Arial"/>
          <w:b/>
        </w:rPr>
        <w:t xml:space="preserve"> </w:t>
      </w:r>
      <w:proofErr w:type="spellStart"/>
      <w:r w:rsidRPr="00E14D5F">
        <w:rPr>
          <w:rFonts w:cs="Arial"/>
          <w:b/>
        </w:rPr>
        <w:t>Pay</w:t>
      </w:r>
      <w:proofErr w:type="spellEnd"/>
      <w:r w:rsidRPr="00E14D5F">
        <w:rPr>
          <w:rFonts w:cs="Arial"/>
          <w:b/>
        </w:rPr>
        <w:t xml:space="preserve"> Gap (</w:t>
      </w:r>
      <w:r w:rsidRPr="00E14D5F">
        <w:rPr>
          <w:rFonts w:cs="Arial"/>
        </w:rPr>
        <w:t>GPG) přestavuje rozdíl mezi hodinovou mzdou zaměstnanců-mužů a zaměstnan</w:t>
      </w:r>
      <w:r>
        <w:rPr>
          <w:rFonts w:cs="Arial"/>
        </w:rPr>
        <w:t xml:space="preserve">kyň-žen vyjádřenou jako průměr </w:t>
      </w:r>
      <w:r w:rsidRPr="00E14D5F">
        <w:rPr>
          <w:rFonts w:cs="Arial"/>
        </w:rPr>
        <w:t>hrubé hodinové mzdy mužů</w:t>
      </w:r>
      <w:r>
        <w:rPr>
          <w:rFonts w:cs="Arial"/>
        </w:rPr>
        <w:t>.</w:t>
      </w:r>
    </w:p>
    <w:p w:rsidR="00F32A95" w:rsidRPr="00E14D5F" w:rsidRDefault="00F32A95" w:rsidP="00F32A95">
      <w:pPr>
        <w:pStyle w:val="Textpoznpodarou"/>
        <w:jc w:val="both"/>
        <w:rPr>
          <w:rFonts w:cs="Arial"/>
          <w:sz w:val="16"/>
          <w:szCs w:val="16"/>
        </w:rPr>
      </w:pPr>
    </w:p>
    <w:p w:rsidR="00F32A95" w:rsidRPr="00E52916" w:rsidRDefault="00F32A95" w:rsidP="00F32A95">
      <w:pPr>
        <w:pStyle w:val="Textpoznpodarou"/>
        <w:jc w:val="both"/>
      </w:pPr>
      <w:proofErr w:type="spellStart"/>
      <w:r w:rsidRPr="00E14D5F">
        <w:rPr>
          <w:rFonts w:cs="Arial"/>
          <w:b/>
        </w:rPr>
        <w:t>Nízkopříjmoví</w:t>
      </w:r>
      <w:proofErr w:type="spellEnd"/>
      <w:r w:rsidRPr="00E14D5F">
        <w:rPr>
          <w:rFonts w:cs="Arial"/>
          <w:b/>
        </w:rPr>
        <w:t xml:space="preserve"> zaměstnanci</w:t>
      </w:r>
      <w:r w:rsidRPr="00E14D5F">
        <w:rPr>
          <w:rFonts w:cs="Arial"/>
        </w:rPr>
        <w:t xml:space="preserve"> - zaměstnanci, kteří vydělávají dvě třetiny a méně národního mediánu hrubé hodinové mzdy (mediánová mzda je definována tak, že jedna polovina populace vydělává méně než je tato hodnota a ostatní </w:t>
      </w:r>
      <w:proofErr w:type="gramStart"/>
      <w:r w:rsidRPr="00E14D5F">
        <w:rPr>
          <w:rFonts w:cs="Arial"/>
        </w:rPr>
        <w:t>více ).</w:t>
      </w:r>
      <w:proofErr w:type="gramEnd"/>
    </w:p>
    <w:p w:rsidR="00391E22" w:rsidRDefault="00391E22"/>
    <w:sectPr w:rsidR="00391E22" w:rsidSect="00A47661">
      <w:headerReference w:type="even" r:id="rId4"/>
      <w:headerReference w:type="default" r:id="rId5"/>
      <w:footerReference w:type="even" r:id="rId6"/>
      <w:footerReference w:type="default" r:id="rId7"/>
      <w:pgSz w:w="11906" w:h="16838" w:code="9"/>
      <w:pgMar w:top="1134" w:right="1134" w:bottom="1134" w:left="1134" w:header="709" w:footer="709" w:gutter="0"/>
      <w:pgNumType w:start="3"/>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A4" w:rsidRDefault="00F32A95" w:rsidP="00281F36">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45.7pt;margin-top:-4.15pt;width:36.75pt;height:17.25pt;z-index:251660288">
          <v:imagedata r:id="rId1" o:title="3"/>
        </v:shape>
      </w:pict>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Pr>
        <w:rFonts w:ascii="Arial" w:hAnsi="Arial" w:cs="Arial"/>
        <w:noProof/>
        <w:sz w:val="16"/>
        <w:szCs w:val="16"/>
      </w:rPr>
      <w:t>70</w:t>
    </w:r>
    <w:r w:rsidRPr="005A21E0">
      <w:rPr>
        <w:rFonts w:ascii="Arial" w:hAnsi="Arial" w:cs="Arial"/>
        <w:sz w:val="16"/>
        <w:szCs w:val="16"/>
      </w:rPr>
      <w:fldChar w:fldCharType="end"/>
    </w:r>
    <w:r>
      <w:rPr>
        <w:rFonts w:ascii="Arial" w:hAnsi="Arial" w:cs="Arial"/>
        <w:sz w:val="16"/>
        <w:szCs w:val="16"/>
      </w:rPr>
      <w:tab/>
      <w:t>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A4" w:rsidRDefault="00F32A95" w:rsidP="00281F36">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7.1pt;width:39pt;height:21pt;z-index:251661312">
          <v:imagedata r:id="rId1" o:title="3"/>
        </v:shape>
      </w:pict>
    </w:r>
    <w:r>
      <w:tab/>
    </w:r>
    <w:r>
      <w:tab/>
    </w:r>
  </w:p>
  <w:p w:rsidR="00481FA4" w:rsidRDefault="00F32A95" w:rsidP="00281F36">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tab/>
    </w:r>
    <w:r w:rsidRPr="00B6608F">
      <w:rPr>
        <w:rFonts w:ascii="Arial" w:hAnsi="Arial" w:cs="Arial"/>
        <w:sz w:val="16"/>
        <w:szCs w:val="16"/>
      </w:rPr>
      <w:fldChar w:fldCharType="begin"/>
    </w:r>
    <w:r w:rsidRPr="00B6608F">
      <w:rPr>
        <w:rFonts w:ascii="Arial" w:hAnsi="Arial" w:cs="Arial"/>
        <w:sz w:val="16"/>
        <w:szCs w:val="16"/>
      </w:rPr>
      <w:instrText>PAGE   \* MERGEFORMAT</w:instrText>
    </w:r>
    <w:r w:rsidRPr="00B6608F">
      <w:rPr>
        <w:rFonts w:ascii="Arial" w:hAnsi="Arial" w:cs="Arial"/>
        <w:sz w:val="16"/>
        <w:szCs w:val="16"/>
      </w:rPr>
      <w:fldChar w:fldCharType="separate"/>
    </w:r>
    <w:r>
      <w:rPr>
        <w:rFonts w:ascii="Arial" w:hAnsi="Arial" w:cs="Arial"/>
        <w:noProof/>
        <w:sz w:val="16"/>
        <w:szCs w:val="16"/>
      </w:rPr>
      <w:t>3</w:t>
    </w:r>
    <w:r w:rsidRPr="00B6608F">
      <w:rPr>
        <w:rFonts w:ascii="Arial" w:hAnsi="Arial" w:cs="Arial"/>
        <w:sz w:val="16"/>
        <w:szCs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81FA4" w:rsidRPr="00E53687" w:rsidTr="00281F36">
      <w:tc>
        <w:tcPr>
          <w:tcW w:w="6518" w:type="dxa"/>
        </w:tcPr>
        <w:p w:rsidR="00481FA4" w:rsidRPr="00E53687" w:rsidRDefault="00F32A95" w:rsidP="00281F36">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Tendence a faktory makroekonomického vývoje a</w:t>
          </w:r>
          <w:r>
            <w:rPr>
              <w:rFonts w:ascii="Arial" w:hAnsi="Arial" w:cs="Arial"/>
              <w:b/>
              <w:sz w:val="16"/>
              <w:szCs w:val="16"/>
            </w:rPr>
            <w:t xml:space="preserve"> kvality života v ČR v roce 2013</w:t>
          </w:r>
        </w:p>
      </w:tc>
      <w:tc>
        <w:tcPr>
          <w:tcW w:w="3260" w:type="dxa"/>
        </w:tcPr>
        <w:p w:rsidR="00481FA4" w:rsidRPr="00E53687" w:rsidRDefault="00F32A95" w:rsidP="00281F36">
          <w:pPr>
            <w:pStyle w:val="Zhlav"/>
            <w:tabs>
              <w:tab w:val="clear" w:pos="4536"/>
              <w:tab w:val="clear" w:pos="9072"/>
              <w:tab w:val="left" w:pos="-6379"/>
              <w:tab w:val="center" w:pos="4820"/>
              <w:tab w:val="right" w:pos="9639"/>
            </w:tabs>
            <w:jc w:val="right"/>
            <w:rPr>
              <w:rFonts w:ascii="Arial" w:hAnsi="Arial" w:cs="Arial"/>
              <w:sz w:val="16"/>
              <w:szCs w:val="16"/>
            </w:rPr>
          </w:pPr>
          <w:r>
            <w:rPr>
              <w:rFonts w:ascii="Arial" w:hAnsi="Arial" w:cs="Arial"/>
              <w:sz w:val="16"/>
              <w:szCs w:val="16"/>
            </w:rPr>
            <w:t>kód 320192-14</w:t>
          </w:r>
        </w:p>
      </w:tc>
    </w:tr>
  </w:tbl>
  <w:p w:rsidR="00481FA4" w:rsidRPr="00190394" w:rsidRDefault="00F32A95" w:rsidP="00281F36">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81FA4" w:rsidRPr="00E53687" w:rsidTr="00281F36">
      <w:tc>
        <w:tcPr>
          <w:tcW w:w="6518" w:type="dxa"/>
        </w:tcPr>
        <w:p w:rsidR="00481FA4" w:rsidRPr="00E53687" w:rsidRDefault="00F32A95" w:rsidP="00281F36">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Tendence a faktory makroekonomického vývo</w:t>
          </w:r>
          <w:r>
            <w:rPr>
              <w:rFonts w:ascii="Arial" w:hAnsi="Arial" w:cs="Arial"/>
              <w:b/>
              <w:sz w:val="16"/>
              <w:szCs w:val="16"/>
            </w:rPr>
            <w:t>je a kvality života v ČR v roce 2013</w:t>
          </w:r>
        </w:p>
      </w:tc>
      <w:tc>
        <w:tcPr>
          <w:tcW w:w="3260" w:type="dxa"/>
        </w:tcPr>
        <w:p w:rsidR="00481FA4" w:rsidRPr="00E53687" w:rsidRDefault="00F32A95" w:rsidP="00281F36">
          <w:pPr>
            <w:pStyle w:val="Zhlav"/>
            <w:tabs>
              <w:tab w:val="clear" w:pos="4536"/>
              <w:tab w:val="clear" w:pos="9072"/>
              <w:tab w:val="left" w:pos="-6379"/>
              <w:tab w:val="center" w:pos="4820"/>
              <w:tab w:val="right" w:pos="9639"/>
            </w:tabs>
            <w:jc w:val="right"/>
            <w:rPr>
              <w:rFonts w:ascii="Arial" w:hAnsi="Arial" w:cs="Arial"/>
              <w:sz w:val="16"/>
              <w:szCs w:val="16"/>
            </w:rPr>
          </w:pPr>
          <w:r>
            <w:rPr>
              <w:rFonts w:ascii="Arial" w:hAnsi="Arial" w:cs="Arial"/>
              <w:sz w:val="16"/>
              <w:szCs w:val="16"/>
            </w:rPr>
            <w:t>kód 320192-14</w:t>
          </w:r>
        </w:p>
      </w:tc>
    </w:tr>
  </w:tbl>
  <w:p w:rsidR="00481FA4" w:rsidRPr="00190394" w:rsidRDefault="00F32A95" w:rsidP="00281F36">
    <w:pPr>
      <w:pStyle w:val="Zhlav"/>
      <w:rPr>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F32A95"/>
    <w:rsid w:val="00391E22"/>
    <w:rsid w:val="009F7B43"/>
    <w:rsid w:val="00F32A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2A95"/>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32A95"/>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F32A95"/>
    <w:rPr>
      <w:rFonts w:ascii="Calibri" w:eastAsia="Calibri" w:hAnsi="Calibri" w:cs="Times New Roman"/>
    </w:rPr>
  </w:style>
  <w:style w:type="paragraph" w:styleId="Zpat">
    <w:name w:val="footer"/>
    <w:basedOn w:val="Normln"/>
    <w:link w:val="ZpatChar"/>
    <w:unhideWhenUsed/>
    <w:rsid w:val="00F32A95"/>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rsid w:val="00F32A95"/>
    <w:rPr>
      <w:rFonts w:ascii="Calibri" w:eastAsia="Calibri" w:hAnsi="Calibri" w:cs="Times New Roman"/>
    </w:rPr>
  </w:style>
  <w:style w:type="paragraph" w:styleId="Textpoznpodarou">
    <w:name w:val="footnote text"/>
    <w:aliases w:val="Text pozn. pod čarou_martin_ang"/>
    <w:basedOn w:val="Normln"/>
    <w:link w:val="TextpoznpodarouChar"/>
    <w:semiHidden/>
    <w:rsid w:val="00F32A95"/>
    <w:pPr>
      <w:jc w:val="left"/>
    </w:pPr>
    <w:rPr>
      <w:szCs w:val="20"/>
    </w:rPr>
  </w:style>
  <w:style w:type="character" w:customStyle="1" w:styleId="TextpoznpodarouChar">
    <w:name w:val="Text pozn. pod čarou Char"/>
    <w:aliases w:val="Text pozn. pod čarou_martin_ang Char"/>
    <w:basedOn w:val="Standardnpsmoodstavce"/>
    <w:link w:val="Textpoznpodarou"/>
    <w:semiHidden/>
    <w:rsid w:val="00F32A95"/>
    <w:rPr>
      <w:rFonts w:ascii="Arial" w:eastAsia="Times New Roman" w:hAnsi="Arial"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3158</Characters>
  <Application>Microsoft Office Word</Application>
  <DocSecurity>0</DocSecurity>
  <Lines>26</Lines>
  <Paragraphs>7</Paragraphs>
  <ScaleCrop>false</ScaleCrop>
  <Company>ČSÚ</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1</cp:revision>
  <dcterms:created xsi:type="dcterms:W3CDTF">2014-08-28T04:59:00Z</dcterms:created>
  <dcterms:modified xsi:type="dcterms:W3CDTF">2014-08-28T05:01:00Z</dcterms:modified>
</cp:coreProperties>
</file>