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DD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i/>
          <w:iCs/>
          <w:sz w:val="20"/>
          <w:u w:val="single"/>
        </w:rPr>
      </w:pPr>
      <w:r w:rsidRPr="00551640">
        <w:rPr>
          <w:rFonts w:ascii="Arial" w:hAnsi="Arial" w:cs="Arial"/>
          <w:b/>
          <w:bCs/>
          <w:i/>
          <w:iCs/>
          <w:sz w:val="20"/>
          <w:u w:val="single"/>
        </w:rPr>
        <w:t>Introductory Note</w:t>
      </w:r>
    </w:p>
    <w:p w:rsidR="00A35EB8" w:rsidRDefault="00A35EB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A35EB8" w:rsidRDefault="00A35EB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A35EB8" w:rsidRPr="00551640" w:rsidRDefault="00A35EB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A35EB8" w:rsidRPr="00A35EB8" w:rsidRDefault="00A35EB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Style w:val="hps"/>
          <w:rFonts w:ascii="Arial" w:hAnsi="Arial" w:cs="Arial"/>
          <w:b/>
          <w:color w:val="333333"/>
          <w:sz w:val="20"/>
          <w:szCs w:val="20"/>
          <w:lang/>
        </w:rPr>
      </w:pPr>
      <w:r w:rsidRPr="00A35EB8">
        <w:rPr>
          <w:rStyle w:val="hps"/>
          <w:rFonts w:ascii="Arial" w:hAnsi="Arial" w:cs="Arial"/>
          <w:b/>
          <w:color w:val="333333"/>
          <w:sz w:val="20"/>
          <w:szCs w:val="20"/>
          <w:lang/>
        </w:rPr>
        <w:t>Information on</w:t>
      </w:r>
      <w:r w:rsidRPr="00A35EB8">
        <w:rPr>
          <w:rFonts w:ascii="Arial" w:hAnsi="Arial" w:cs="Arial"/>
          <w:b/>
          <w:color w:val="333333"/>
          <w:sz w:val="20"/>
          <w:szCs w:val="20"/>
          <w:lang/>
        </w:rPr>
        <w:t xml:space="preserve"> </w:t>
      </w:r>
      <w:r w:rsidRPr="00A35EB8">
        <w:rPr>
          <w:rStyle w:val="hps"/>
          <w:rFonts w:ascii="Arial" w:hAnsi="Arial" w:cs="Arial"/>
          <w:b/>
          <w:color w:val="333333"/>
          <w:sz w:val="20"/>
          <w:szCs w:val="20"/>
          <w:lang/>
        </w:rPr>
        <w:t>the revision of price</w:t>
      </w:r>
      <w:r w:rsidRPr="00A35EB8">
        <w:rPr>
          <w:rFonts w:ascii="Arial" w:hAnsi="Arial" w:cs="Arial"/>
          <w:b/>
          <w:color w:val="333333"/>
          <w:sz w:val="20"/>
          <w:szCs w:val="20"/>
          <w:lang/>
        </w:rPr>
        <w:t xml:space="preserve"> </w:t>
      </w:r>
      <w:r w:rsidRPr="00A35EB8">
        <w:rPr>
          <w:rStyle w:val="hps"/>
          <w:rFonts w:ascii="Arial" w:hAnsi="Arial" w:cs="Arial"/>
          <w:b/>
          <w:color w:val="333333"/>
          <w:sz w:val="20"/>
          <w:szCs w:val="20"/>
          <w:lang/>
        </w:rPr>
        <w:t>indices</w:t>
      </w:r>
      <w:r w:rsidRPr="00A35EB8">
        <w:rPr>
          <w:rFonts w:ascii="Arial" w:hAnsi="Arial" w:cs="Arial"/>
          <w:b/>
          <w:color w:val="333333"/>
          <w:sz w:val="20"/>
          <w:szCs w:val="20"/>
          <w:lang/>
        </w:rPr>
        <w:t xml:space="preserve"> </w:t>
      </w:r>
      <w:r w:rsidRPr="00A35EB8">
        <w:rPr>
          <w:rStyle w:val="hps"/>
          <w:rFonts w:ascii="Arial" w:hAnsi="Arial" w:cs="Arial"/>
          <w:b/>
          <w:color w:val="333333"/>
          <w:sz w:val="20"/>
          <w:szCs w:val="20"/>
          <w:lang/>
        </w:rPr>
        <w:t>of agricultural producers and</w:t>
      </w:r>
      <w:r w:rsidRPr="00A35EB8">
        <w:rPr>
          <w:rFonts w:ascii="Arial" w:hAnsi="Arial" w:cs="Arial"/>
          <w:b/>
          <w:color w:val="333333"/>
          <w:sz w:val="20"/>
          <w:szCs w:val="20"/>
          <w:lang/>
        </w:rPr>
        <w:t xml:space="preserve"> </w:t>
      </w:r>
      <w:r w:rsidRPr="00A35EB8">
        <w:rPr>
          <w:rStyle w:val="hps"/>
          <w:rFonts w:ascii="Arial" w:hAnsi="Arial" w:cs="Arial"/>
          <w:b/>
          <w:color w:val="333333"/>
          <w:sz w:val="20"/>
          <w:szCs w:val="20"/>
          <w:lang/>
        </w:rPr>
        <w:t>market services</w:t>
      </w:r>
      <w:r w:rsidRPr="00A35EB8">
        <w:rPr>
          <w:rFonts w:ascii="Arial" w:hAnsi="Arial" w:cs="Arial"/>
          <w:b/>
          <w:color w:val="333333"/>
          <w:sz w:val="20"/>
          <w:szCs w:val="20"/>
          <w:lang/>
        </w:rPr>
        <w:br/>
      </w:r>
    </w:p>
    <w:p w:rsidR="00082B73" w:rsidRPr="00780261" w:rsidRDefault="00082B73" w:rsidP="00082B73">
      <w:pPr>
        <w:rPr>
          <w:rFonts w:ascii="Arial" w:hAnsi="Arial" w:cs="Arial"/>
          <w:sz w:val="20"/>
          <w:lang w:val="en-US"/>
        </w:rPr>
      </w:pPr>
      <w:r w:rsidRPr="00780261">
        <w:rPr>
          <w:rFonts w:ascii="Arial" w:hAnsi="Arial" w:cs="Arial"/>
          <w:sz w:val="20"/>
          <w:lang w:val="en-US"/>
        </w:rPr>
        <w:t xml:space="preserve">The Czech Statistical Office </w:t>
      </w:r>
      <w:r>
        <w:rPr>
          <w:rFonts w:ascii="Arial" w:hAnsi="Arial" w:cs="Arial"/>
          <w:sz w:val="20"/>
          <w:lang w:val="en-US"/>
        </w:rPr>
        <w:t>ha</w:t>
      </w:r>
      <w:r w:rsidRPr="00780261">
        <w:rPr>
          <w:rFonts w:ascii="Arial" w:hAnsi="Arial" w:cs="Arial"/>
          <w:sz w:val="20"/>
          <w:lang w:val="en-US"/>
        </w:rPr>
        <w:t>s prepar</w:t>
      </w:r>
      <w:r>
        <w:rPr>
          <w:rFonts w:ascii="Arial" w:hAnsi="Arial" w:cs="Arial"/>
          <w:sz w:val="20"/>
          <w:lang w:val="en-US"/>
        </w:rPr>
        <w:t>ed</w:t>
      </w:r>
      <w:r w:rsidRPr="00780261">
        <w:rPr>
          <w:rFonts w:ascii="Arial" w:hAnsi="Arial" w:cs="Arial"/>
          <w:sz w:val="20"/>
          <w:lang w:val="en-US"/>
        </w:rPr>
        <w:t xml:space="preserve"> the standard revision of the calculation of following indices: those of agricultural producer prices and of market services prices.</w:t>
      </w:r>
    </w:p>
    <w:p w:rsidR="00082B73" w:rsidRDefault="00082B73" w:rsidP="00082B73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</w:t>
      </w:r>
      <w:r w:rsidRPr="00780261">
        <w:rPr>
          <w:rFonts w:ascii="Arial" w:hAnsi="Arial" w:cs="Arial"/>
          <w:sz w:val="20"/>
          <w:lang w:val="en-US"/>
        </w:rPr>
        <w:t xml:space="preserve">rice indices of agricultural producers </w:t>
      </w:r>
      <w:r>
        <w:rPr>
          <w:rFonts w:ascii="Arial" w:hAnsi="Arial" w:cs="Arial"/>
          <w:sz w:val="20"/>
          <w:lang w:val="en-US"/>
        </w:rPr>
        <w:t>are</w:t>
      </w:r>
      <w:r w:rsidRPr="00780261">
        <w:rPr>
          <w:rFonts w:ascii="Arial" w:hAnsi="Arial" w:cs="Arial"/>
          <w:sz w:val="20"/>
          <w:lang w:val="en-US"/>
        </w:rPr>
        <w:t xml:space="preserve"> calculated </w:t>
      </w:r>
      <w:r>
        <w:rPr>
          <w:rFonts w:ascii="Arial" w:hAnsi="Arial" w:cs="Arial"/>
          <w:sz w:val="20"/>
          <w:lang w:val="en-US"/>
        </w:rPr>
        <w:t xml:space="preserve">from </w:t>
      </w:r>
      <w:r w:rsidRPr="00780261">
        <w:rPr>
          <w:rFonts w:ascii="Arial" w:hAnsi="Arial" w:cs="Arial"/>
          <w:sz w:val="20"/>
          <w:lang w:val="en-US"/>
        </w:rPr>
        <w:t>January 2013</w:t>
      </w:r>
      <w:r>
        <w:rPr>
          <w:rFonts w:ascii="Arial" w:hAnsi="Arial" w:cs="Arial"/>
          <w:sz w:val="20"/>
          <w:lang w:val="en-US"/>
        </w:rPr>
        <w:t xml:space="preserve"> t</w:t>
      </w:r>
      <w:r w:rsidRPr="00780261">
        <w:rPr>
          <w:rFonts w:ascii="Arial" w:hAnsi="Arial" w:cs="Arial"/>
          <w:sz w:val="20"/>
          <w:lang w:val="en-US"/>
        </w:rPr>
        <w:t xml:space="preserve">o the new weighting schemes </w:t>
      </w:r>
      <w:r>
        <w:rPr>
          <w:rFonts w:ascii="Arial" w:hAnsi="Arial" w:cs="Arial"/>
          <w:sz w:val="20"/>
          <w:lang w:val="en-US"/>
        </w:rPr>
        <w:t>derive</w:t>
      </w:r>
      <w:r w:rsidRPr="00780261">
        <w:rPr>
          <w:rFonts w:ascii="Arial" w:hAnsi="Arial" w:cs="Arial"/>
          <w:sz w:val="20"/>
          <w:lang w:val="en-US"/>
        </w:rPr>
        <w:t xml:space="preserve">d </w:t>
      </w:r>
      <w:r>
        <w:rPr>
          <w:rFonts w:ascii="Arial" w:hAnsi="Arial" w:cs="Arial"/>
          <w:sz w:val="20"/>
          <w:lang w:val="en-US"/>
        </w:rPr>
        <w:t xml:space="preserve">from </w:t>
      </w:r>
      <w:r w:rsidRPr="00780261">
        <w:rPr>
          <w:rFonts w:ascii="Arial" w:hAnsi="Arial" w:cs="Arial"/>
          <w:sz w:val="20"/>
          <w:lang w:val="en-US"/>
        </w:rPr>
        <w:t xml:space="preserve">average sales for the years 2009, 2010 and 2011. </w:t>
      </w:r>
      <w:r>
        <w:rPr>
          <w:rFonts w:ascii="Arial" w:hAnsi="Arial" w:cs="Arial"/>
          <w:sz w:val="20"/>
          <w:lang w:val="en-US"/>
        </w:rPr>
        <w:t>The i</w:t>
      </w:r>
      <w:r w:rsidRPr="00780261">
        <w:rPr>
          <w:rFonts w:ascii="Arial" w:hAnsi="Arial" w:cs="Arial"/>
          <w:sz w:val="20"/>
          <w:lang w:val="en-US"/>
        </w:rPr>
        <w:t xml:space="preserve">ndices </w:t>
      </w:r>
      <w:r>
        <w:rPr>
          <w:rFonts w:ascii="Arial" w:hAnsi="Arial" w:cs="Arial"/>
          <w:sz w:val="20"/>
          <w:lang w:val="en-US"/>
        </w:rPr>
        <w:t>are</w:t>
      </w:r>
      <w:r w:rsidRPr="00780261">
        <w:rPr>
          <w:rFonts w:ascii="Arial" w:hAnsi="Arial" w:cs="Arial"/>
          <w:sz w:val="20"/>
          <w:lang w:val="en-US"/>
        </w:rPr>
        <w:t xml:space="preserve"> calculated </w:t>
      </w:r>
      <w:r>
        <w:rPr>
          <w:rFonts w:ascii="Arial" w:hAnsi="Arial" w:cs="Arial"/>
          <w:sz w:val="20"/>
          <w:lang w:val="en-US"/>
        </w:rPr>
        <w:t xml:space="preserve">for </w:t>
      </w:r>
      <w:r w:rsidRPr="00780261">
        <w:rPr>
          <w:rFonts w:ascii="Arial" w:hAnsi="Arial" w:cs="Arial"/>
          <w:sz w:val="20"/>
          <w:lang w:val="en-US"/>
        </w:rPr>
        <w:t xml:space="preserve"> the base where average of 2010 = 100. Published indices for 2010, 2011 and 2012 </w:t>
      </w:r>
      <w:r>
        <w:rPr>
          <w:rFonts w:ascii="Arial" w:hAnsi="Arial" w:cs="Arial"/>
          <w:sz w:val="20"/>
          <w:lang w:val="en-US"/>
        </w:rPr>
        <w:t>are</w:t>
      </w:r>
      <w:r w:rsidRPr="00780261">
        <w:rPr>
          <w:rFonts w:ascii="Arial" w:hAnsi="Arial" w:cs="Arial"/>
          <w:sz w:val="20"/>
          <w:lang w:val="en-US"/>
        </w:rPr>
        <w:t xml:space="preserve"> also reviewed.</w:t>
      </w:r>
    </w:p>
    <w:p w:rsidR="006C04C4" w:rsidRPr="00780261" w:rsidRDefault="006C04C4" w:rsidP="00082B73">
      <w:pPr>
        <w:rPr>
          <w:rFonts w:ascii="Arial" w:hAnsi="Arial" w:cs="Arial"/>
          <w:sz w:val="20"/>
          <w:lang w:val="en-US"/>
        </w:rPr>
      </w:pPr>
    </w:p>
    <w:p w:rsidR="00082B73" w:rsidRPr="00780261" w:rsidRDefault="00082B73" w:rsidP="00082B73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The</w:t>
      </w:r>
      <w:r w:rsidRPr="00780261">
        <w:rPr>
          <w:rFonts w:ascii="Arial" w:hAnsi="Arial" w:cs="Arial"/>
          <w:sz w:val="20"/>
          <w:lang w:val="en-US"/>
        </w:rPr>
        <w:t xml:space="preserve"> price indices of market services </w:t>
      </w:r>
      <w:r>
        <w:rPr>
          <w:rFonts w:ascii="Arial" w:hAnsi="Arial" w:cs="Arial"/>
          <w:sz w:val="20"/>
          <w:lang w:val="en-US"/>
        </w:rPr>
        <w:t>are</w:t>
      </w:r>
      <w:r w:rsidRPr="00780261">
        <w:rPr>
          <w:rFonts w:ascii="Arial" w:hAnsi="Arial" w:cs="Arial"/>
          <w:sz w:val="20"/>
          <w:lang w:val="en-US"/>
        </w:rPr>
        <w:t xml:space="preserve"> calculated </w:t>
      </w:r>
      <w:r>
        <w:rPr>
          <w:rFonts w:ascii="Arial" w:hAnsi="Arial" w:cs="Arial"/>
          <w:sz w:val="20"/>
          <w:lang w:val="en-US"/>
        </w:rPr>
        <w:t>from January 2013 to</w:t>
      </w:r>
      <w:r w:rsidRPr="00780261">
        <w:rPr>
          <w:rFonts w:ascii="Arial" w:hAnsi="Arial" w:cs="Arial"/>
          <w:sz w:val="20"/>
          <w:lang w:val="en-US"/>
        </w:rPr>
        <w:t xml:space="preserve"> the new weighting scheme based on the structure of sales in 2011. The newly calculated indices (based on the average of 2011 which means 100) </w:t>
      </w:r>
      <w:r>
        <w:rPr>
          <w:rFonts w:ascii="Arial" w:hAnsi="Arial" w:cs="Arial"/>
          <w:sz w:val="20"/>
          <w:lang w:val="en-US"/>
        </w:rPr>
        <w:t>are</w:t>
      </w:r>
      <w:r w:rsidRPr="00780261">
        <w:rPr>
          <w:rFonts w:ascii="Arial" w:hAnsi="Arial" w:cs="Arial"/>
          <w:sz w:val="20"/>
          <w:lang w:val="en-US"/>
        </w:rPr>
        <w:t xml:space="preserve"> chained to the existing price indices based on the average of 2005 = 100</w:t>
      </w:r>
      <w:r>
        <w:rPr>
          <w:rFonts w:ascii="Arial" w:hAnsi="Arial" w:cs="Arial"/>
          <w:sz w:val="20"/>
          <w:lang w:val="en-US"/>
        </w:rPr>
        <w:t>,</w:t>
      </w:r>
      <w:r w:rsidRPr="00DD732E">
        <w:rPr>
          <w:rFonts w:ascii="Arial" w:hAnsi="Arial" w:cs="Arial"/>
          <w:color w:val="333333"/>
        </w:rPr>
        <w:t xml:space="preserve"> </w:t>
      </w:r>
      <w:r w:rsidRPr="00DD732E">
        <w:rPr>
          <w:rFonts w:ascii="Arial" w:hAnsi="Arial" w:cs="Arial"/>
          <w:color w:val="333333"/>
          <w:sz w:val="20"/>
        </w:rPr>
        <w:t xml:space="preserve">thus ensuring </w:t>
      </w:r>
      <w:r w:rsidRPr="00DD732E">
        <w:rPr>
          <w:rStyle w:val="hps"/>
          <w:rFonts w:ascii="Arial" w:hAnsi="Arial" w:cs="Arial"/>
          <w:color w:val="333333"/>
          <w:sz w:val="20"/>
        </w:rPr>
        <w:t>the continuation of</w:t>
      </w:r>
      <w:r w:rsidRPr="00DD732E">
        <w:rPr>
          <w:rFonts w:ascii="Arial" w:hAnsi="Arial" w:cs="Arial"/>
          <w:color w:val="333333"/>
          <w:sz w:val="20"/>
        </w:rPr>
        <w:t xml:space="preserve"> </w:t>
      </w:r>
      <w:r w:rsidRPr="00DD732E">
        <w:rPr>
          <w:rStyle w:val="hps"/>
          <w:rFonts w:ascii="Arial" w:hAnsi="Arial" w:cs="Arial"/>
          <w:color w:val="333333"/>
          <w:sz w:val="20"/>
        </w:rPr>
        <w:t>the indices</w:t>
      </w:r>
      <w:r w:rsidRPr="00780261">
        <w:rPr>
          <w:rFonts w:ascii="Arial" w:hAnsi="Arial" w:cs="Arial"/>
          <w:sz w:val="20"/>
          <w:lang w:val="en-US"/>
        </w:rPr>
        <w:t>. The published indices to date will not be revised.</w:t>
      </w:r>
    </w:p>
    <w:p w:rsidR="00082B73" w:rsidRPr="00780261" w:rsidRDefault="00082B73" w:rsidP="00082B73">
      <w:pPr>
        <w:rPr>
          <w:rFonts w:ascii="Arial" w:hAnsi="Arial" w:cs="Arial"/>
          <w:sz w:val="20"/>
          <w:lang w:val="en-US"/>
        </w:rPr>
      </w:pPr>
    </w:p>
    <w:p w:rsidR="007A3472" w:rsidRDefault="007A3472">
      <w:pPr>
        <w:pStyle w:val="Zkladntext3"/>
        <w:rPr>
          <w:i/>
          <w:iCs/>
          <w:szCs w:val="30"/>
          <w:u w:val="single"/>
        </w:rPr>
      </w:pPr>
    </w:p>
    <w:p w:rsidR="00551640" w:rsidRPr="00DC565F" w:rsidRDefault="00551640">
      <w:pPr>
        <w:pStyle w:val="Zkladntext"/>
        <w:rPr>
          <w:sz w:val="20"/>
          <w:szCs w:val="20"/>
          <w:lang w:val="en-GB"/>
        </w:rPr>
      </w:pP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This publication provides a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comprehensive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overview of the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producer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price levels.</w:t>
      </w:r>
      <w:r w:rsidRPr="00DC565F">
        <w:rPr>
          <w:rStyle w:val="Zkladntext"/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Since January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2012,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there was a change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in the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calculation of the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industrial producer price index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(the transition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to the structure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of sales from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2010) and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construction price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indexes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(the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average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structure of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the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revenues from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the period 2007</w:t>
      </w:r>
      <w:r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- 2010).</w:t>
      </w:r>
      <w:r w:rsidR="00DC565F" w:rsidRPr="00DC565F">
        <w:rPr>
          <w:rStyle w:val="Zkladntext"/>
          <w:rFonts w:ascii="Arial" w:hAnsi="Arial" w:cs="Arial"/>
          <w:color w:val="333333"/>
          <w:sz w:val="20"/>
          <w:szCs w:val="20"/>
          <w:lang/>
        </w:rPr>
        <w:t xml:space="preserve"> </w:t>
      </w:r>
      <w:r w:rsidR="00DC565F"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Detailed information on</w:t>
      </w:r>
      <w:r w:rsidR="00DC565F"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DC565F"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these standard</w:t>
      </w:r>
      <w:r w:rsidR="00DC565F"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DC565F"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revisions</w:t>
      </w:r>
      <w:r w:rsidR="00DC565F"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DC565F"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are listed</w:t>
      </w:r>
      <w:r w:rsidR="00DC565F"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DC565F"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>on the website</w:t>
      </w:r>
      <w:r w:rsidR="00DC565F" w:rsidRPr="00DC565F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DC565F" w:rsidRPr="00DC565F">
        <w:rPr>
          <w:rStyle w:val="hps"/>
          <w:rFonts w:ascii="Arial" w:hAnsi="Arial" w:cs="Arial"/>
          <w:color w:val="333333"/>
          <w:sz w:val="20"/>
          <w:szCs w:val="20"/>
          <w:lang/>
        </w:rPr>
        <w:t xml:space="preserve">of the </w:t>
      </w:r>
      <w:hyperlink r:id="rId4" w:history="1">
        <w:r w:rsidR="00DC565F" w:rsidRPr="00B63854">
          <w:rPr>
            <w:rStyle w:val="Hypertextovodkaz"/>
            <w:rFonts w:ascii="Arial" w:hAnsi="Arial" w:cs="Arial"/>
            <w:sz w:val="20"/>
            <w:szCs w:val="20"/>
            <w:lang/>
          </w:rPr>
          <w:t>CZSO</w:t>
        </w:r>
      </w:hyperlink>
      <w:r w:rsidR="00DC565F">
        <w:rPr>
          <w:color w:val="000000"/>
          <w:sz w:val="20"/>
          <w:szCs w:val="20"/>
        </w:rPr>
        <w:t xml:space="preserve">.  </w:t>
      </w:r>
    </w:p>
    <w:p w:rsidR="00CB753C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sz w:val="20"/>
          <w:szCs w:val="20"/>
          <w:lang w:val="en-GB"/>
        </w:rPr>
      </w:pPr>
      <w:r w:rsidRPr="00DC565F">
        <w:rPr>
          <w:sz w:val="20"/>
          <w:szCs w:val="20"/>
          <w:lang w:val="en-GB"/>
        </w:rPr>
        <w:tab/>
      </w:r>
    </w:p>
    <w:p w:rsidR="00FB3FDD" w:rsidRPr="00DC565F" w:rsidRDefault="00CB75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 w:rsidR="00FB3FDD" w:rsidRPr="00DC565F">
        <w:rPr>
          <w:rFonts w:ascii="Arial" w:hAnsi="Arial" w:cs="Arial"/>
          <w:sz w:val="20"/>
          <w:szCs w:val="20"/>
          <w:lang w:val="en-GB"/>
        </w:rPr>
        <w:t>The price indices are calculated for prices of samples of representatives and for selected reporting units by aggregating simple price indices into an aggregate using a modified Laspeyers formula. The calculation uses 2005 constant weights.</w:t>
      </w:r>
    </w:p>
    <w:p w:rsidR="00FB3FDD" w:rsidRPr="00B503AC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FB3FDD" w:rsidRPr="00B503AC" w:rsidRDefault="00FB3FDD">
      <w:pPr>
        <w:framePr w:w="9026" w:wrap="auto" w:vAnchor="text" w:hAnchor="margin" w:x="-56" w:yAlign="top"/>
        <w:jc w:val="both"/>
        <w:rPr>
          <w:rFonts w:ascii="Arial" w:hAnsi="Arial" w:cs="Arial"/>
          <w:sz w:val="20"/>
          <w:szCs w:val="20"/>
          <w:lang w:val="en-GB"/>
        </w:rPr>
      </w:pPr>
      <w:r w:rsidRPr="00B503AC">
        <w:rPr>
          <w:rFonts w:ascii="Arial" w:hAnsi="Arial" w:cs="Arial"/>
          <w:sz w:val="20"/>
          <w:szCs w:val="20"/>
          <w:lang w:val="en-GB"/>
        </w:rPr>
        <w:tab/>
      </w:r>
      <w:r w:rsidRPr="00B503AC">
        <w:rPr>
          <w:rFonts w:ascii="Arial" w:hAnsi="Arial" w:cs="Arial"/>
          <w:sz w:val="20"/>
          <w:szCs w:val="20"/>
          <w:lang w:val="en-GB"/>
        </w:rPr>
        <w:tab/>
      </w:r>
      <w:r w:rsidRPr="00B503AC">
        <w:rPr>
          <w:rFonts w:ascii="Arial" w:hAnsi="Arial" w:cs="Arial"/>
          <w:sz w:val="20"/>
          <w:szCs w:val="20"/>
          <w:lang w:val="en-GB"/>
        </w:rPr>
        <w:tab/>
      </w:r>
      <w:r w:rsidRPr="00B503AC">
        <w:rPr>
          <w:rFonts w:ascii="Arial" w:hAnsi="Arial" w:cs="Arial"/>
          <w:sz w:val="20"/>
          <w:szCs w:val="20"/>
          <w:lang w:val="en-GB"/>
        </w:rPr>
        <w:tab/>
        <w:t xml:space="preserve">      </w:t>
      </w:r>
      <w:r w:rsidRPr="00B503AC">
        <w:rPr>
          <w:rFonts w:ascii="Arial" w:hAnsi="Arial" w:cs="Arial"/>
          <w:position w:val="-30"/>
          <w:sz w:val="20"/>
          <w:szCs w:val="20"/>
          <w:lang w:val="en-GB"/>
        </w:rPr>
        <w:object w:dxaOrig="19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51.75pt" o:ole="">
            <v:imagedata r:id="rId5" o:title=""/>
          </v:shape>
          <o:OLEObject Type="Embed" ProgID="Equation.3" ShapeID="_x0000_i1025" DrawAspect="Content" ObjectID="_1501303224" r:id="rId6"/>
        </w:object>
      </w:r>
      <w:r w:rsidRPr="00B503AC">
        <w:rPr>
          <w:rFonts w:ascii="Arial" w:hAnsi="Arial" w:cs="Arial"/>
          <w:sz w:val="20"/>
          <w:szCs w:val="20"/>
          <w:lang w:val="en-GB"/>
        </w:rPr>
        <w:tab/>
      </w:r>
    </w:p>
    <w:p w:rsidR="00FB3FDD" w:rsidRPr="00B503AC" w:rsidRDefault="00FB3FDD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B503AC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</w:t>
      </w:r>
      <w:r w:rsidRPr="00B503AC">
        <w:rPr>
          <w:rFonts w:ascii="Arial" w:hAnsi="Arial" w:cs="Arial"/>
          <w:b/>
          <w:bCs/>
          <w:i/>
          <w:iCs/>
          <w:sz w:val="20"/>
          <w:szCs w:val="20"/>
          <w:vertAlign w:val="subscript"/>
          <w:lang w:val="en-GB"/>
        </w:rPr>
        <w:t>1</w:t>
      </w:r>
      <w:r w:rsidRPr="00B503AC">
        <w:rPr>
          <w:rFonts w:ascii="Arial" w:hAnsi="Arial" w:cs="Arial"/>
          <w:sz w:val="20"/>
          <w:szCs w:val="20"/>
          <w:lang w:val="en-GB"/>
        </w:rPr>
        <w:t xml:space="preserve"> </w:t>
      </w:r>
      <w:r w:rsidRPr="00B503AC">
        <w:rPr>
          <w:rFonts w:ascii="Arial" w:hAnsi="Arial" w:cs="Arial"/>
          <w:sz w:val="20"/>
          <w:szCs w:val="20"/>
          <w:lang w:val="en-GB"/>
        </w:rPr>
        <w:tab/>
        <w:t>= the reference period price,</w:t>
      </w:r>
    </w:p>
    <w:p w:rsidR="00FB3FDD" w:rsidRPr="00B503AC" w:rsidRDefault="00FB3FDD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B503AC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</w:t>
      </w:r>
      <w:r w:rsidRPr="00B503AC">
        <w:rPr>
          <w:rFonts w:ascii="Arial" w:hAnsi="Arial" w:cs="Arial"/>
          <w:b/>
          <w:bCs/>
          <w:i/>
          <w:iCs/>
          <w:sz w:val="20"/>
          <w:szCs w:val="20"/>
          <w:vertAlign w:val="subscript"/>
          <w:lang w:val="en-GB"/>
        </w:rPr>
        <w:t>0</w:t>
      </w:r>
      <w:r w:rsidRPr="00B503AC">
        <w:rPr>
          <w:rFonts w:ascii="Arial" w:hAnsi="Arial" w:cs="Arial"/>
          <w:sz w:val="20"/>
          <w:szCs w:val="20"/>
          <w:lang w:val="en-GB"/>
        </w:rPr>
        <w:tab/>
        <w:t>= the basic period price,</w:t>
      </w:r>
    </w:p>
    <w:p w:rsidR="00FB3FDD" w:rsidRPr="00B503AC" w:rsidRDefault="00FB3FDD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B503AC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</w:t>
      </w:r>
      <w:r w:rsidRPr="00B503AC">
        <w:rPr>
          <w:rFonts w:ascii="Arial" w:hAnsi="Arial" w:cs="Arial"/>
          <w:b/>
          <w:bCs/>
          <w:i/>
          <w:iCs/>
          <w:sz w:val="20"/>
          <w:szCs w:val="20"/>
          <w:vertAlign w:val="subscript"/>
          <w:lang w:val="en-GB"/>
        </w:rPr>
        <w:t>0 </w:t>
      </w:r>
      <w:r w:rsidRPr="00B503AC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q</w:t>
      </w:r>
      <w:r w:rsidRPr="00B503AC">
        <w:rPr>
          <w:rFonts w:ascii="Arial" w:hAnsi="Arial" w:cs="Arial"/>
          <w:b/>
          <w:bCs/>
          <w:i/>
          <w:iCs/>
          <w:sz w:val="20"/>
          <w:szCs w:val="20"/>
          <w:vertAlign w:val="subscript"/>
          <w:lang w:val="en-GB"/>
        </w:rPr>
        <w:t>0</w:t>
      </w:r>
      <w:r w:rsidRPr="00B503AC">
        <w:rPr>
          <w:rFonts w:ascii="Arial" w:hAnsi="Arial" w:cs="Arial"/>
          <w:sz w:val="20"/>
          <w:szCs w:val="20"/>
          <w:lang w:val="en-GB"/>
        </w:rPr>
        <w:tab/>
        <w:t>= the constant weight: value indicator, usually in terms of per mill (sales, 2005 revenues).</w:t>
      </w:r>
    </w:p>
    <w:p w:rsidR="00FB3FDD" w:rsidRPr="00B503AC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FB3FDD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  <w:bCs/>
          <w:sz w:val="18"/>
          <w:lang w:val="en-GB"/>
        </w:rPr>
      </w:pPr>
    </w:p>
    <w:p w:rsidR="00FB3FDD" w:rsidRPr="00B503AC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b/>
          <w:bCs/>
          <w:sz w:val="18"/>
          <w:lang w:val="en-GB"/>
        </w:rPr>
        <w:tab/>
      </w:r>
      <w:r w:rsidR="00CB753C">
        <w:rPr>
          <w:rStyle w:val="hps"/>
          <w:rFonts w:ascii="Arial" w:hAnsi="Arial" w:cs="Arial"/>
          <w:color w:val="333333"/>
          <w:lang/>
        </w:rPr>
        <w:t xml:space="preserve">A </w:t>
      </w:r>
      <w:r w:rsidR="00CB753C" w:rsidRPr="00CB753C">
        <w:rPr>
          <w:rStyle w:val="hps"/>
          <w:rFonts w:ascii="Arial" w:hAnsi="Arial" w:cs="Arial"/>
          <w:color w:val="333333"/>
          <w:sz w:val="20"/>
          <w:szCs w:val="20"/>
          <w:lang/>
        </w:rPr>
        <w:t>detailed breakdown</w:t>
      </w:r>
      <w:r w:rsidR="00CB753C" w:rsidRPr="00CB753C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CB753C" w:rsidRPr="00CB753C">
        <w:rPr>
          <w:rStyle w:val="hps"/>
          <w:rFonts w:ascii="Arial" w:hAnsi="Arial" w:cs="Arial"/>
          <w:color w:val="333333"/>
          <w:sz w:val="20"/>
          <w:szCs w:val="20"/>
          <w:lang/>
        </w:rPr>
        <w:t>of the aggregate indices</w:t>
      </w:r>
      <w:r w:rsidR="00764F87">
        <w:rPr>
          <w:rStyle w:val="hps"/>
          <w:rFonts w:ascii="Arial" w:hAnsi="Arial" w:cs="Arial"/>
          <w:color w:val="333333"/>
          <w:sz w:val="20"/>
          <w:szCs w:val="20"/>
          <w:lang/>
        </w:rPr>
        <w:t>,</w:t>
      </w:r>
      <w:r w:rsidR="00CB753C" w:rsidRPr="00CB753C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CB753C" w:rsidRPr="00CB753C">
        <w:rPr>
          <w:rStyle w:val="hps"/>
          <w:rFonts w:ascii="Arial" w:hAnsi="Arial" w:cs="Arial"/>
          <w:color w:val="333333"/>
          <w:sz w:val="20"/>
          <w:szCs w:val="20"/>
          <w:lang/>
        </w:rPr>
        <w:t>including methodological notes</w:t>
      </w:r>
      <w:r w:rsidR="00CB753C" w:rsidRPr="00CB753C"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CB753C" w:rsidRPr="00CB753C">
        <w:rPr>
          <w:rStyle w:val="hps"/>
          <w:rFonts w:ascii="Arial" w:hAnsi="Arial" w:cs="Arial"/>
          <w:color w:val="333333"/>
          <w:sz w:val="20"/>
          <w:szCs w:val="20"/>
          <w:lang/>
        </w:rPr>
        <w:t>are contained</w:t>
      </w:r>
      <w:r w:rsidRPr="00B503AC">
        <w:rPr>
          <w:rFonts w:ascii="Arial" w:hAnsi="Arial" w:cs="Arial"/>
          <w:sz w:val="20"/>
          <w:szCs w:val="20"/>
          <w:lang w:val="en-GB"/>
        </w:rPr>
        <w:t xml:space="preserve"> </w:t>
      </w:r>
      <w:r w:rsidR="00B503AC" w:rsidRPr="00B63854">
        <w:rPr>
          <w:rFonts w:ascii="Arial" w:hAnsi="Arial" w:cs="Arial"/>
          <w:sz w:val="20"/>
          <w:szCs w:val="20"/>
          <w:lang w:val="en-GB"/>
        </w:rPr>
        <w:t>in</w:t>
      </w:r>
      <w:r w:rsidR="00B63854" w:rsidRPr="00B63854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7" w:anchor="70" w:history="1">
        <w:r w:rsidR="00B63854" w:rsidRPr="00341EB0">
          <w:rPr>
            <w:rStyle w:val="Hypertextovodkaz"/>
            <w:rFonts w:ascii="Arial" w:hAnsi="Arial" w:cs="Arial"/>
            <w:sz w:val="20"/>
            <w:szCs w:val="20"/>
            <w:lang w:val="en-GB"/>
          </w:rPr>
          <w:t>separate publications</w:t>
        </w:r>
      </w:hyperlink>
      <w:r w:rsidRPr="00B503AC">
        <w:rPr>
          <w:rFonts w:ascii="Arial" w:hAnsi="Arial" w:cs="Arial"/>
          <w:sz w:val="20"/>
          <w:szCs w:val="20"/>
          <w:lang w:val="en-GB"/>
        </w:rPr>
        <w:t>, which are available on the 25th calendar day following the reference period.</w:t>
      </w:r>
    </w:p>
    <w:p w:rsidR="00FB3FDD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sz w:val="18"/>
          <w:lang w:val="en-GB"/>
        </w:rPr>
      </w:pPr>
    </w:p>
    <w:p w:rsidR="00FB3FDD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b/>
          <w:bCs/>
          <w:sz w:val="18"/>
        </w:rPr>
      </w:pPr>
      <w:r>
        <w:tab/>
      </w:r>
    </w:p>
    <w:p w:rsidR="00FB3FDD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sz w:val="18"/>
        </w:rPr>
      </w:pPr>
      <w:r>
        <w:rPr>
          <w:sz w:val="18"/>
        </w:rPr>
        <w:tab/>
      </w:r>
      <w:r w:rsidR="00CB753C">
        <w:rPr>
          <w:rStyle w:val="hps"/>
          <w:rFonts w:ascii="Arial" w:hAnsi="Arial" w:cs="Arial"/>
          <w:color w:val="333333"/>
          <w:lang/>
        </w:rPr>
        <w:t>.</w:t>
      </w:r>
    </w:p>
    <w:p w:rsidR="00FB3FDD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sz w:val="18"/>
        </w:rPr>
      </w:pPr>
    </w:p>
    <w:p w:rsidR="00FB3FDD" w:rsidRDefault="00FB3FDD">
      <w:pPr>
        <w:tabs>
          <w:tab w:val="left" w:pos="-1440"/>
          <w:tab w:val="left" w:pos="-720"/>
          <w:tab w:val="left" w:pos="0"/>
          <w:tab w:val="left" w:pos="6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18"/>
        </w:rPr>
        <w:sectPr w:rsidR="00FB3FDD">
          <w:type w:val="continuous"/>
          <w:pgSz w:w="11906" w:h="16838"/>
          <w:pgMar w:top="1985" w:right="1418" w:bottom="1985" w:left="1418" w:header="1701" w:footer="1134" w:gutter="0"/>
          <w:cols w:space="708"/>
        </w:sectPr>
      </w:pPr>
    </w:p>
    <w:p w:rsidR="00FB3FDD" w:rsidRDefault="00FB3F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/>
          <w:sz w:val="18"/>
        </w:rPr>
      </w:pPr>
    </w:p>
    <w:p w:rsidR="00FB3FDD" w:rsidRDefault="00FB3FDD">
      <w:pPr>
        <w:jc w:val="both"/>
        <w:rPr>
          <w:rFonts w:ascii="Arial" w:hAnsi="Arial"/>
          <w:sz w:val="18"/>
        </w:rPr>
      </w:pPr>
    </w:p>
    <w:sectPr w:rsidR="00FB3FDD">
      <w:type w:val="continuous"/>
      <w:pgSz w:w="11906" w:h="16838"/>
      <w:pgMar w:top="1985" w:right="1418" w:bottom="1985" w:left="1418" w:header="1701" w:footer="11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3AC"/>
    <w:rsid w:val="00082B73"/>
    <w:rsid w:val="000C27C4"/>
    <w:rsid w:val="002542BA"/>
    <w:rsid w:val="00341EB0"/>
    <w:rsid w:val="0036628A"/>
    <w:rsid w:val="00383A69"/>
    <w:rsid w:val="00551640"/>
    <w:rsid w:val="005A2AD8"/>
    <w:rsid w:val="006C04C4"/>
    <w:rsid w:val="00764F87"/>
    <w:rsid w:val="00780261"/>
    <w:rsid w:val="007A3472"/>
    <w:rsid w:val="007E03E6"/>
    <w:rsid w:val="00A35EB8"/>
    <w:rsid w:val="00AF31C7"/>
    <w:rsid w:val="00B503AC"/>
    <w:rsid w:val="00B63854"/>
    <w:rsid w:val="00CB753C"/>
    <w:rsid w:val="00DC565F"/>
    <w:rsid w:val="00FB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-1440"/>
        <w:tab w:val="left" w:pos="-720"/>
        <w:tab w:val="left" w:pos="0"/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Times New Roman CE obyčejné" w:hAnsi="Times New Roman CE obyčejné"/>
      <w:b/>
      <w:bCs/>
      <w:sz w:val="26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  <w:outlineLvl w:val="1"/>
    </w:pPr>
    <w:rPr>
      <w:b/>
      <w:bCs/>
      <w:i/>
      <w:iCs/>
      <w:sz w:val="20"/>
      <w:szCs w:val="30"/>
      <w:u w:val="single"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tabs>
        <w:tab w:val="left" w:pos="-1440"/>
        <w:tab w:val="left" w:pos="-720"/>
        <w:tab w:val="left" w:pos="0"/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rFonts w:ascii="Times New Roman CE obyčejné" w:hAnsi="Times New Roman CE obyčejné"/>
      <w:sz w:val="22"/>
    </w:rPr>
  </w:style>
  <w:style w:type="paragraph" w:styleId="Nzev">
    <w:name w:val="Title"/>
    <w:basedOn w:val="Normln"/>
    <w:qFormat/>
    <w:pPr>
      <w:jc w:val="center"/>
    </w:pPr>
    <w:rPr>
      <w:rFonts w:ascii="Times New Roman CE obyčejné" w:hAnsi="Times New Roman CE obyčejné"/>
      <w:b/>
      <w:bCs/>
      <w:i/>
      <w:iCs/>
      <w:sz w:val="26"/>
      <w:szCs w:val="30"/>
      <w:u w:val="single"/>
    </w:rPr>
  </w:style>
  <w:style w:type="paragraph" w:styleId="Zkladntextodsazen">
    <w:name w:val="Body Text Indent"/>
    <w:basedOn w:val="Normln"/>
    <w:semiHidden/>
    <w:pPr>
      <w:tabs>
        <w:tab w:val="left" w:pos="-1440"/>
        <w:tab w:val="left" w:pos="-720"/>
        <w:tab w:val="left" w:pos="0"/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680"/>
      <w:jc w:val="both"/>
    </w:pPr>
    <w:rPr>
      <w:rFonts w:ascii="Times New Roman CE obyčejné" w:hAnsi="Times New Roman CE obyčejné"/>
      <w:sz w:val="18"/>
    </w:rPr>
  </w:style>
  <w:style w:type="paragraph" w:styleId="Zkladntext2">
    <w:name w:val="Body Tex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sz w:val="18"/>
      <w:lang w:val="en-GB"/>
    </w:rPr>
  </w:style>
  <w:style w:type="paragraph" w:styleId="Zkladntext3">
    <w:name w:val="Body Text 3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b/>
      <w:bCs/>
      <w:sz w:val="18"/>
      <w:lang w:val="en-GB"/>
    </w:rPr>
  </w:style>
  <w:style w:type="character" w:styleId="Hypertextovodkaz">
    <w:name w:val="Hyperlink"/>
    <w:basedOn w:val="Standardnpsmoodstavce"/>
    <w:uiPriority w:val="99"/>
    <w:unhideWhenUsed/>
    <w:rsid w:val="00B503AC"/>
    <w:rPr>
      <w:color w:val="0000FF"/>
      <w:u w:val="single"/>
    </w:rPr>
  </w:style>
  <w:style w:type="character" w:customStyle="1" w:styleId="shorttext">
    <w:name w:val="short_text"/>
    <w:basedOn w:val="Standardnpsmoodstavce"/>
    <w:rsid w:val="00551640"/>
  </w:style>
  <w:style w:type="character" w:customStyle="1" w:styleId="hps">
    <w:name w:val="hps"/>
    <w:basedOn w:val="Standardnpsmoodstavce"/>
    <w:rsid w:val="00551640"/>
  </w:style>
  <w:style w:type="character" w:styleId="Siln">
    <w:name w:val="Strong"/>
    <w:basedOn w:val="Standardnpsmoodstavce"/>
    <w:uiPriority w:val="22"/>
    <w:qFormat/>
    <w:rsid w:val="00780261"/>
    <w:rPr>
      <w:b/>
      <w:bCs/>
    </w:rPr>
  </w:style>
  <w:style w:type="paragraph" w:customStyle="1" w:styleId="Normln0">
    <w:name w:val="Normln"/>
    <w:uiPriority w:val="99"/>
    <w:rsid w:val="007A3472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zso.cz/eng/edicniplan.nsf/aktual/ep-7?open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czso.cz/eng/redakce.nsf/i/revisions_producer_pric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Úvodní poznámka</vt:lpstr>
    </vt:vector>
  </TitlesOfParts>
  <Company>ČSÚ</Company>
  <LinksUpToDate>false</LinksUpToDate>
  <CharactersWithSpaces>2208</CharactersWithSpaces>
  <SharedDoc>false</SharedDoc>
  <HLinks>
    <vt:vector size="12" baseType="variant">
      <vt:variant>
        <vt:i4>4980745</vt:i4>
      </vt:variant>
      <vt:variant>
        <vt:i4>6</vt:i4>
      </vt:variant>
      <vt:variant>
        <vt:i4>0</vt:i4>
      </vt:variant>
      <vt:variant>
        <vt:i4>5</vt:i4>
      </vt:variant>
      <vt:variant>
        <vt:lpwstr>http://www.czso.cz/eng/edicniplan.nsf/aktual/ep-7?opendocument</vt:lpwstr>
      </vt:variant>
      <vt:variant>
        <vt:lpwstr>70</vt:lpwstr>
      </vt:variant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http://www.czso.cz/eng/redakce.nsf/i/revisions_producer_prices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Úvodní poznámka</dc:title>
  <dc:creator>ČSÚ</dc:creator>
  <cp:lastModifiedBy>Operator</cp:lastModifiedBy>
  <cp:revision>2</cp:revision>
  <cp:lastPrinted>2007-02-21T05:45:00Z</cp:lastPrinted>
  <dcterms:created xsi:type="dcterms:W3CDTF">2015-08-17T05:54:00Z</dcterms:created>
  <dcterms:modified xsi:type="dcterms:W3CDTF">2015-08-17T05:54:00Z</dcterms:modified>
</cp:coreProperties>
</file>