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063" w:rsidRDefault="007A7EA4" w:rsidP="00EB6063">
      <w:pPr>
        <w:pStyle w:val="Nadpis1"/>
        <w:ind w:left="349"/>
        <w:jc w:val="both"/>
        <w:rPr>
          <w:lang w:val="en-GB"/>
        </w:rPr>
      </w:pPr>
      <w:bookmarkStart w:id="0" w:name="_Toc469299933"/>
      <w:bookmarkStart w:id="1" w:name="_Toc469327802"/>
      <w:r>
        <w:rPr>
          <w:lang w:val="en-GB"/>
        </w:rPr>
        <w:t xml:space="preserve">5. </w:t>
      </w:r>
      <w:r w:rsidR="00B854A8" w:rsidRPr="00CB09D5">
        <w:rPr>
          <w:lang w:val="en-GB"/>
        </w:rPr>
        <w:t>Prices</w:t>
      </w:r>
      <w:bookmarkEnd w:id="0"/>
      <w:bookmarkEnd w:id="1"/>
    </w:p>
    <w:tbl>
      <w:tblPr>
        <w:tblW w:w="4963" w:type="pct"/>
        <w:tblInd w:w="108" w:type="dxa"/>
        <w:tblLayout w:type="fixed"/>
        <w:tblLook w:val="00A0"/>
      </w:tblPr>
      <w:tblGrid>
        <w:gridCol w:w="1122"/>
        <w:gridCol w:w="810"/>
        <w:gridCol w:w="282"/>
        <w:gridCol w:w="2606"/>
        <w:gridCol w:w="992"/>
        <w:gridCol w:w="143"/>
        <w:gridCol w:w="3826"/>
      </w:tblGrid>
      <w:tr w:rsidR="00F12A83" w:rsidRPr="00CB09D5" w:rsidTr="00CC2A1E">
        <w:tc>
          <w:tcPr>
            <w:tcW w:w="988" w:type="pct"/>
            <w:gridSpan w:val="2"/>
          </w:tcPr>
          <w:p w:rsidR="00F12A83" w:rsidRPr="00CB09D5" w:rsidRDefault="00A537CA" w:rsidP="00F12A83">
            <w:pPr>
              <w:spacing w:line="240" w:lineRule="auto"/>
              <w:ind w:right="-19"/>
              <w:rPr>
                <w:sz w:val="16"/>
                <w:szCs w:val="16"/>
                <w:lang w:val="en-GB"/>
              </w:rPr>
            </w:pPr>
            <w:r w:rsidRPr="00CB09D5">
              <w:rPr>
                <w:sz w:val="16"/>
                <w:szCs w:val="16"/>
                <w:lang w:val="en-GB"/>
              </w:rPr>
              <w:t xml:space="preserve">Total price level increased by </w:t>
            </w:r>
            <w:r w:rsidR="00F12A83" w:rsidRPr="00CB09D5">
              <w:rPr>
                <w:sz w:val="16"/>
                <w:szCs w:val="16"/>
                <w:lang w:val="en-GB"/>
              </w:rPr>
              <w:t>1</w:t>
            </w:r>
            <w:r w:rsidRPr="00CB09D5">
              <w:rPr>
                <w:sz w:val="16"/>
                <w:szCs w:val="16"/>
                <w:lang w:val="en-GB"/>
              </w:rPr>
              <w:t>.</w:t>
            </w:r>
            <w:r w:rsidR="00124E9C" w:rsidRPr="00CB09D5">
              <w:rPr>
                <w:sz w:val="16"/>
                <w:szCs w:val="16"/>
                <w:lang w:val="en-GB"/>
              </w:rPr>
              <w:t>1</w:t>
            </w:r>
            <w:r w:rsidR="00F12A83" w:rsidRPr="00CB09D5">
              <w:rPr>
                <w:sz w:val="16"/>
                <w:szCs w:val="16"/>
                <w:lang w:val="en-GB"/>
              </w:rPr>
              <w:t xml:space="preserve">%. </w:t>
            </w:r>
          </w:p>
        </w:tc>
        <w:tc>
          <w:tcPr>
            <w:tcW w:w="144" w:type="pct"/>
          </w:tcPr>
          <w:p w:rsidR="00F12A83" w:rsidRPr="00CB09D5" w:rsidRDefault="00F12A83" w:rsidP="00D94859">
            <w:pPr>
              <w:pStyle w:val="Textpoznpodarou"/>
              <w:jc w:val="both"/>
              <w:rPr>
                <w:lang w:val="en-GB"/>
              </w:rPr>
            </w:pPr>
          </w:p>
        </w:tc>
        <w:tc>
          <w:tcPr>
            <w:tcW w:w="3868" w:type="pct"/>
            <w:gridSpan w:val="4"/>
          </w:tcPr>
          <w:p w:rsidR="00F12A83" w:rsidRPr="00CB09D5" w:rsidRDefault="00D91B07" w:rsidP="008A03DE">
            <w:pPr>
              <w:pStyle w:val="Textpoznpodarou"/>
              <w:ind w:right="-35"/>
              <w:jc w:val="both"/>
              <w:rPr>
                <w:sz w:val="16"/>
                <w:szCs w:val="16"/>
                <w:lang w:val="en-GB"/>
              </w:rPr>
            </w:pPr>
            <w:r w:rsidRPr="00CB09D5">
              <w:rPr>
                <w:lang w:val="en-GB"/>
              </w:rPr>
              <w:t xml:space="preserve">Total price level gauged by the implicit GDP </w:t>
            </w:r>
            <w:r w:rsidR="007F3D55" w:rsidRPr="00CB09D5">
              <w:rPr>
                <w:lang w:val="en-GB"/>
              </w:rPr>
              <w:t>deflator</w:t>
            </w:r>
            <w:r w:rsidRPr="00CB09D5">
              <w:rPr>
                <w:lang w:val="en-GB"/>
              </w:rPr>
              <w:t xml:space="preserve"> increased by </w:t>
            </w:r>
            <w:r w:rsidR="00F12A83" w:rsidRPr="00CB09D5">
              <w:rPr>
                <w:lang w:val="en-GB"/>
              </w:rPr>
              <w:t>1</w:t>
            </w:r>
            <w:r w:rsidRPr="00CB09D5">
              <w:rPr>
                <w:lang w:val="en-GB"/>
              </w:rPr>
              <w:t>.</w:t>
            </w:r>
            <w:r w:rsidR="00124E9C" w:rsidRPr="00CB09D5">
              <w:rPr>
                <w:lang w:val="en-GB"/>
              </w:rPr>
              <w:t>1</w:t>
            </w:r>
            <w:r w:rsidR="00F12A83" w:rsidRPr="00CB09D5">
              <w:rPr>
                <w:lang w:val="en-GB"/>
              </w:rPr>
              <w:t>%</w:t>
            </w:r>
            <w:r w:rsidRPr="00CB09D5">
              <w:rPr>
                <w:lang w:val="en-GB"/>
              </w:rPr>
              <w:t xml:space="preserve"> in 2016</w:t>
            </w:r>
            <w:r w:rsidR="00F12A83" w:rsidRPr="00CB09D5">
              <w:rPr>
                <w:lang w:val="en-GB"/>
              </w:rPr>
              <w:t xml:space="preserve">. </w:t>
            </w:r>
            <w:r w:rsidR="007F3D55" w:rsidRPr="00CB09D5">
              <w:rPr>
                <w:lang w:val="en-GB"/>
              </w:rPr>
              <w:t xml:space="preserve">The impact of final consumption expenditure was growing during the year. The prices of goods and services consumed by households started to rise especially in the second half of the year </w:t>
            </w:r>
            <w:r w:rsidR="00F12A83" w:rsidRPr="00CB09D5">
              <w:rPr>
                <w:lang w:val="en-GB"/>
              </w:rPr>
              <w:t>(0</w:t>
            </w:r>
            <w:r w:rsidR="007F3D55" w:rsidRPr="00CB09D5">
              <w:rPr>
                <w:lang w:val="en-GB"/>
              </w:rPr>
              <w:t>.</w:t>
            </w:r>
            <w:r w:rsidR="00124E9C" w:rsidRPr="00CB09D5">
              <w:rPr>
                <w:lang w:val="en-GB"/>
              </w:rPr>
              <w:t>9</w:t>
            </w:r>
            <w:r w:rsidR="00F12A83" w:rsidRPr="00CB09D5">
              <w:rPr>
                <w:lang w:val="en-GB"/>
              </w:rPr>
              <w:t xml:space="preserve">% </w:t>
            </w:r>
            <w:r w:rsidR="007F3D55" w:rsidRPr="00CB09D5">
              <w:rPr>
                <w:lang w:val="en-GB"/>
              </w:rPr>
              <w:t>in Q</w:t>
            </w:r>
            <w:r w:rsidR="00F12A83" w:rsidRPr="00CB09D5">
              <w:rPr>
                <w:lang w:val="en-GB"/>
              </w:rPr>
              <w:t>3, 1</w:t>
            </w:r>
            <w:r w:rsidR="007F3D55" w:rsidRPr="00CB09D5">
              <w:rPr>
                <w:lang w:val="en-GB"/>
              </w:rPr>
              <w:t>.</w:t>
            </w:r>
            <w:r w:rsidR="00124E9C" w:rsidRPr="00CB09D5">
              <w:rPr>
                <w:lang w:val="en-GB"/>
              </w:rPr>
              <w:t>4</w:t>
            </w:r>
            <w:r w:rsidR="00F12A83" w:rsidRPr="00CB09D5">
              <w:rPr>
                <w:lang w:val="en-GB"/>
              </w:rPr>
              <w:t xml:space="preserve">% </w:t>
            </w:r>
            <w:r w:rsidR="007F3D55" w:rsidRPr="00CB09D5">
              <w:rPr>
                <w:lang w:val="en-GB"/>
              </w:rPr>
              <w:t>in Q</w:t>
            </w:r>
            <w:r w:rsidR="00F12A83" w:rsidRPr="00CB09D5">
              <w:rPr>
                <w:lang w:val="en-GB"/>
              </w:rPr>
              <w:t xml:space="preserve">4). </w:t>
            </w:r>
          </w:p>
          <w:p w:rsidR="00F12A83" w:rsidRPr="009500E9" w:rsidRDefault="00F12A83" w:rsidP="008A03DE">
            <w:pPr>
              <w:pStyle w:val="Textpoznpodarou"/>
              <w:ind w:right="-35"/>
              <w:jc w:val="both"/>
              <w:rPr>
                <w:sz w:val="17"/>
                <w:szCs w:val="17"/>
                <w:lang w:val="en-GB"/>
              </w:rPr>
            </w:pPr>
          </w:p>
        </w:tc>
      </w:tr>
      <w:tr w:rsidR="009F4DA8" w:rsidRPr="00CB09D5" w:rsidTr="00CC2A1E">
        <w:tc>
          <w:tcPr>
            <w:tcW w:w="988" w:type="pct"/>
            <w:gridSpan w:val="2"/>
          </w:tcPr>
          <w:p w:rsidR="009F4DA8" w:rsidRPr="00CB09D5" w:rsidRDefault="009F4DA8" w:rsidP="009F4DA8">
            <w:pPr>
              <w:spacing w:line="240" w:lineRule="auto"/>
              <w:ind w:right="-19"/>
              <w:rPr>
                <w:sz w:val="16"/>
                <w:szCs w:val="16"/>
                <w:lang w:val="en-GB"/>
              </w:rPr>
            </w:pPr>
            <w:r w:rsidRPr="00CB09D5">
              <w:rPr>
                <w:sz w:val="16"/>
                <w:szCs w:val="16"/>
                <w:lang w:val="en-GB"/>
              </w:rPr>
              <w:t xml:space="preserve">Development of consumer prices in Q1 to Q3 2016 did not differ from the previous two years. Break occurred in November, when the consumer prices approached the inflation target after nearly three years. </w:t>
            </w:r>
          </w:p>
        </w:tc>
        <w:tc>
          <w:tcPr>
            <w:tcW w:w="144" w:type="pct"/>
          </w:tcPr>
          <w:p w:rsidR="009F4DA8" w:rsidRPr="00CB09D5" w:rsidRDefault="009F4DA8" w:rsidP="009F4DA8">
            <w:pPr>
              <w:pStyle w:val="Textpoznpodarou"/>
              <w:jc w:val="both"/>
              <w:rPr>
                <w:lang w:val="en-GB"/>
              </w:rPr>
            </w:pPr>
          </w:p>
        </w:tc>
        <w:tc>
          <w:tcPr>
            <w:tcW w:w="3868" w:type="pct"/>
            <w:gridSpan w:val="4"/>
          </w:tcPr>
          <w:p w:rsidR="009F4DA8" w:rsidRPr="00CB09D5" w:rsidRDefault="009F4DA8" w:rsidP="009F4DA8">
            <w:pPr>
              <w:pStyle w:val="Textpoznpodarou"/>
              <w:ind w:right="-35"/>
              <w:jc w:val="both"/>
              <w:rPr>
                <w:lang w:val="en-GB"/>
              </w:rPr>
            </w:pPr>
            <w:r w:rsidRPr="00CB09D5">
              <w:rPr>
                <w:lang w:val="en-GB"/>
              </w:rPr>
              <w:t>The first three quarters of the year 2016 did not differ much with respect to the consumer price development from the previous two years. The year-on-year gro</w:t>
            </w:r>
            <w:r w:rsidR="00124E9C" w:rsidRPr="00CB09D5">
              <w:rPr>
                <w:lang w:val="en-GB"/>
              </w:rPr>
              <w:t>wth of prices did not cross 0.5</w:t>
            </w:r>
            <w:r w:rsidRPr="00CB09D5">
              <w:rPr>
                <w:lang w:val="en-GB"/>
              </w:rPr>
              <w:t xml:space="preserve">% and remained below the </w:t>
            </w:r>
            <w:r w:rsidR="008B0862" w:rsidRPr="00CB09D5">
              <w:rPr>
                <w:lang w:val="en-GB"/>
              </w:rPr>
              <w:t xml:space="preserve">target band </w:t>
            </w:r>
            <w:r w:rsidRPr="00CB09D5">
              <w:rPr>
                <w:lang w:val="en-GB"/>
              </w:rPr>
              <w:t xml:space="preserve">of the CNB. A break occurred in November, when the year-on-year price increased </w:t>
            </w:r>
            <w:r w:rsidR="00124E9C" w:rsidRPr="00CB09D5">
              <w:rPr>
                <w:lang w:val="en-GB"/>
              </w:rPr>
              <w:t>crossed the 1</w:t>
            </w:r>
            <w:r w:rsidRPr="00CB09D5">
              <w:rPr>
                <w:lang w:val="en-GB"/>
              </w:rPr>
              <w:t>% boundary for the first time since De</w:t>
            </w:r>
            <w:r w:rsidR="00124E9C" w:rsidRPr="00CB09D5">
              <w:rPr>
                <w:lang w:val="en-GB"/>
              </w:rPr>
              <w:t>cember 2013 and hiked up to 1.5</w:t>
            </w:r>
            <w:r w:rsidRPr="00CB09D5">
              <w:rPr>
                <w:lang w:val="en-GB"/>
              </w:rPr>
              <w:t>%. The grow</w:t>
            </w:r>
            <w:r w:rsidR="00124E9C" w:rsidRPr="00CB09D5">
              <w:rPr>
                <w:lang w:val="en-GB"/>
              </w:rPr>
              <w:t>th of consumer prices touched 2</w:t>
            </w:r>
            <w:r w:rsidRPr="00CB09D5">
              <w:rPr>
                <w:lang w:val="en-GB"/>
              </w:rPr>
              <w:t>% in December and the averag</w:t>
            </w:r>
            <w:r w:rsidR="00124E9C" w:rsidRPr="00CB09D5">
              <w:rPr>
                <w:lang w:val="en-GB"/>
              </w:rPr>
              <w:t>e price growth thus came to 1.4</w:t>
            </w:r>
            <w:r w:rsidRPr="00CB09D5">
              <w:rPr>
                <w:lang w:val="en-GB"/>
              </w:rPr>
              <w:t>% in Q4. The inflation rate</w:t>
            </w:r>
            <w:r w:rsidRPr="00CB09D5">
              <w:rPr>
                <w:rStyle w:val="Znakapoznpodarou"/>
                <w:lang w:val="en-GB"/>
              </w:rPr>
              <w:footnoteReference w:id="1"/>
            </w:r>
            <w:r w:rsidR="00124E9C" w:rsidRPr="00CB09D5">
              <w:rPr>
                <w:lang w:val="en-GB"/>
              </w:rPr>
              <w:t xml:space="preserve"> equalled 0.4</w:t>
            </w:r>
            <w:r w:rsidRPr="00CB09D5">
              <w:rPr>
                <w:lang w:val="en-GB"/>
              </w:rPr>
              <w:t>% from January to May, it l</w:t>
            </w:r>
            <w:r w:rsidR="00124E9C" w:rsidRPr="00CB09D5">
              <w:rPr>
                <w:lang w:val="en-GB"/>
              </w:rPr>
              <w:t>owered to 0.3</w:t>
            </w:r>
            <w:r w:rsidRPr="00CB09D5">
              <w:rPr>
                <w:lang w:val="en-GB"/>
              </w:rPr>
              <w:t xml:space="preserve">% from June </w:t>
            </w:r>
            <w:r w:rsidR="00124E9C" w:rsidRPr="00CB09D5">
              <w:rPr>
                <w:lang w:val="en-GB"/>
              </w:rPr>
              <w:t>to September and it reached 0.4%, 0.5% and 0.7</w:t>
            </w:r>
            <w:r w:rsidRPr="00CB09D5">
              <w:rPr>
                <w:lang w:val="en-GB"/>
              </w:rPr>
              <w:t>% during October to December.</w:t>
            </w:r>
          </w:p>
          <w:p w:rsidR="009F4DA8" w:rsidRPr="009500E9" w:rsidRDefault="009F4DA8" w:rsidP="009F4DA8">
            <w:pPr>
              <w:pStyle w:val="Textpoznpodarou"/>
              <w:ind w:right="-35"/>
              <w:jc w:val="both"/>
              <w:rPr>
                <w:sz w:val="17"/>
                <w:szCs w:val="17"/>
                <w:lang w:val="en-GB"/>
              </w:rPr>
            </w:pPr>
          </w:p>
        </w:tc>
      </w:tr>
      <w:tr w:rsidR="009F4DA8" w:rsidRPr="00CB09D5" w:rsidTr="00CC2A1E">
        <w:tc>
          <w:tcPr>
            <w:tcW w:w="988" w:type="pct"/>
            <w:gridSpan w:val="2"/>
          </w:tcPr>
          <w:p w:rsidR="009F4DA8" w:rsidRPr="00CB09D5" w:rsidRDefault="009F4DA8" w:rsidP="009F4DA8">
            <w:pPr>
              <w:spacing w:line="240" w:lineRule="auto"/>
              <w:ind w:right="-19"/>
              <w:rPr>
                <w:sz w:val="16"/>
                <w:szCs w:val="16"/>
                <w:lang w:val="en-GB"/>
              </w:rPr>
            </w:pPr>
            <w:r w:rsidRPr="00CB09D5">
              <w:rPr>
                <w:sz w:val="16"/>
                <w:szCs w:val="16"/>
                <w:lang w:val="en-GB"/>
              </w:rPr>
              <w:t xml:space="preserve">Negative effect of the oil prices on the consumer prices, apparent especially in the first half of the year, ceased at the end of the year.  </w:t>
            </w:r>
          </w:p>
        </w:tc>
        <w:tc>
          <w:tcPr>
            <w:tcW w:w="144" w:type="pct"/>
          </w:tcPr>
          <w:p w:rsidR="009F4DA8" w:rsidRPr="00CB09D5" w:rsidRDefault="009F4DA8" w:rsidP="009F4DA8">
            <w:pPr>
              <w:pStyle w:val="Textpoznpodarou"/>
              <w:jc w:val="both"/>
              <w:rPr>
                <w:lang w:val="en-GB"/>
              </w:rPr>
            </w:pPr>
          </w:p>
        </w:tc>
        <w:tc>
          <w:tcPr>
            <w:tcW w:w="3868" w:type="pct"/>
            <w:gridSpan w:val="4"/>
          </w:tcPr>
          <w:p w:rsidR="009F4DA8" w:rsidRPr="00CB09D5" w:rsidRDefault="009F4DA8" w:rsidP="009F4DA8">
            <w:pPr>
              <w:pStyle w:val="Textpoznpodarou"/>
              <w:jc w:val="both"/>
              <w:rPr>
                <w:sz w:val="16"/>
                <w:szCs w:val="16"/>
                <w:lang w:val="en-GB"/>
              </w:rPr>
            </w:pPr>
            <w:r w:rsidRPr="00CB09D5">
              <w:rPr>
                <w:lang w:val="en-GB"/>
              </w:rPr>
              <w:t xml:space="preserve">The growth of the consumer price index was considerably slowed down by the development of prices of </w:t>
            </w:r>
            <w:r w:rsidR="00157410" w:rsidRPr="00CB09D5">
              <w:rPr>
                <w:lang w:val="en-GB"/>
              </w:rPr>
              <w:t xml:space="preserve">automotive fuels </w:t>
            </w:r>
            <w:r w:rsidRPr="00CB09D5">
              <w:rPr>
                <w:lang w:val="en-GB"/>
              </w:rPr>
              <w:t xml:space="preserve">in combination with the drop of the food prices at the beginning of the year. The oil prices started to rose slightly after the deep slump at the turn of </w:t>
            </w:r>
            <w:r w:rsidR="00F82727" w:rsidRPr="00CB09D5">
              <w:rPr>
                <w:lang w:val="en-GB"/>
              </w:rPr>
              <w:t xml:space="preserve">the </w:t>
            </w:r>
            <w:r w:rsidRPr="00CB09D5">
              <w:rPr>
                <w:lang w:val="en-GB"/>
              </w:rPr>
              <w:t>years 2015 and 201</w:t>
            </w:r>
            <w:r w:rsidR="00322949" w:rsidRPr="00CB09D5">
              <w:rPr>
                <w:lang w:val="en-GB"/>
              </w:rPr>
              <w:t>6</w:t>
            </w:r>
            <w:r w:rsidRPr="00CB09D5">
              <w:rPr>
                <w:lang w:val="en-GB"/>
              </w:rPr>
              <w:t xml:space="preserve"> and their effect on the price level decline weakened during the year. The year-on-year growt</w:t>
            </w:r>
            <w:r w:rsidR="00CD7EEE" w:rsidRPr="00CB09D5">
              <w:rPr>
                <w:lang w:val="en-GB"/>
              </w:rPr>
              <w:t xml:space="preserve">h of the price index excluding fuel oils </w:t>
            </w:r>
            <w:r w:rsidRPr="00CB09D5">
              <w:rPr>
                <w:lang w:val="en-GB"/>
              </w:rPr>
              <w:t xml:space="preserve">and </w:t>
            </w:r>
            <w:r w:rsidR="00157410" w:rsidRPr="00CB09D5">
              <w:rPr>
                <w:lang w:val="en-GB"/>
              </w:rPr>
              <w:t xml:space="preserve">automotive fuels </w:t>
            </w:r>
            <w:r w:rsidRPr="00CB09D5">
              <w:rPr>
                <w:lang w:val="en-GB"/>
              </w:rPr>
              <w:t xml:space="preserve">thus exceeded the total price level growth by several tenths of percentage points during the first three quarters of the year. Both indices </w:t>
            </w:r>
            <w:r w:rsidR="00443DDE" w:rsidRPr="00CB09D5">
              <w:rPr>
                <w:lang w:val="en-GB"/>
              </w:rPr>
              <w:t xml:space="preserve">evened out </w:t>
            </w:r>
            <w:r w:rsidRPr="00CB09D5">
              <w:rPr>
                <w:lang w:val="en-GB"/>
              </w:rPr>
              <w:t xml:space="preserve">only in the last quarter and the prices of </w:t>
            </w:r>
            <w:r w:rsidR="00157410" w:rsidRPr="00CB09D5">
              <w:rPr>
                <w:lang w:val="en-GB"/>
              </w:rPr>
              <w:t xml:space="preserve">automotive fuels </w:t>
            </w:r>
            <w:r w:rsidRPr="00CB09D5">
              <w:rPr>
                <w:lang w:val="en-GB"/>
              </w:rPr>
              <w:t xml:space="preserve">even mildly contributed to the growth of the total price level in December.   </w:t>
            </w:r>
          </w:p>
          <w:p w:rsidR="009F4DA8" w:rsidRPr="009500E9" w:rsidRDefault="009F4DA8" w:rsidP="009F4DA8">
            <w:pPr>
              <w:pStyle w:val="Textpoznpodarou"/>
              <w:jc w:val="both"/>
              <w:rPr>
                <w:sz w:val="17"/>
                <w:szCs w:val="17"/>
                <w:lang w:val="en-GB"/>
              </w:rPr>
            </w:pPr>
          </w:p>
        </w:tc>
      </w:tr>
      <w:tr w:rsidR="00F12A83" w:rsidRPr="00CB09D5" w:rsidTr="00CC2A1E">
        <w:tc>
          <w:tcPr>
            <w:tcW w:w="988" w:type="pct"/>
            <w:gridSpan w:val="2"/>
          </w:tcPr>
          <w:p w:rsidR="00F12A83" w:rsidRPr="00CB09D5" w:rsidRDefault="00B13D32" w:rsidP="00B13D32">
            <w:pPr>
              <w:spacing w:line="240" w:lineRule="auto"/>
              <w:ind w:right="-19"/>
              <w:rPr>
                <w:sz w:val="16"/>
                <w:szCs w:val="16"/>
                <w:lang w:val="en-GB"/>
              </w:rPr>
            </w:pPr>
            <w:r w:rsidRPr="00CB09D5">
              <w:rPr>
                <w:sz w:val="16"/>
                <w:szCs w:val="16"/>
                <w:lang w:val="en-GB"/>
              </w:rPr>
              <w:t>The fall of prices of food halted after nearly two years, which had a notable effect on the total price level</w:t>
            </w:r>
            <w:r w:rsidR="00F12A83" w:rsidRPr="00CB09D5">
              <w:rPr>
                <w:sz w:val="16"/>
                <w:szCs w:val="16"/>
                <w:lang w:val="en-GB"/>
              </w:rPr>
              <w:t xml:space="preserve">. </w:t>
            </w:r>
          </w:p>
        </w:tc>
        <w:tc>
          <w:tcPr>
            <w:tcW w:w="144" w:type="pct"/>
          </w:tcPr>
          <w:p w:rsidR="00F12A83" w:rsidRPr="00CB09D5" w:rsidRDefault="00F12A83" w:rsidP="00D94859">
            <w:pPr>
              <w:pStyle w:val="Textpoznpodarou"/>
              <w:jc w:val="both"/>
              <w:rPr>
                <w:lang w:val="en-GB"/>
              </w:rPr>
            </w:pPr>
          </w:p>
        </w:tc>
        <w:tc>
          <w:tcPr>
            <w:tcW w:w="3868" w:type="pct"/>
            <w:gridSpan w:val="4"/>
          </w:tcPr>
          <w:p w:rsidR="00F12A83" w:rsidRPr="00CB09D5" w:rsidRDefault="00B13D32" w:rsidP="008A03DE">
            <w:pPr>
              <w:pStyle w:val="Textpoznpodarou"/>
              <w:jc w:val="both"/>
              <w:rPr>
                <w:sz w:val="16"/>
                <w:szCs w:val="16"/>
                <w:lang w:val="en-GB"/>
              </w:rPr>
            </w:pPr>
            <w:r w:rsidRPr="00CB09D5">
              <w:rPr>
                <w:lang w:val="en-GB"/>
              </w:rPr>
              <w:t xml:space="preserve">Prices of food and non-alcoholic beverages were falling year-on-year since December </w:t>
            </w:r>
            <w:r w:rsidR="00F12A83" w:rsidRPr="00CB09D5">
              <w:rPr>
                <w:lang w:val="en-GB"/>
              </w:rPr>
              <w:t>2014 (</w:t>
            </w:r>
            <w:r w:rsidRPr="00CB09D5">
              <w:rPr>
                <w:lang w:val="en-GB"/>
              </w:rPr>
              <w:t xml:space="preserve">with the exceptions of June </w:t>
            </w:r>
            <w:r w:rsidR="00F12A83" w:rsidRPr="00CB09D5">
              <w:rPr>
                <w:lang w:val="en-GB"/>
              </w:rPr>
              <w:t xml:space="preserve">2015). </w:t>
            </w:r>
            <w:r w:rsidR="00974A3C" w:rsidRPr="00CB09D5">
              <w:rPr>
                <w:lang w:val="en-GB"/>
              </w:rPr>
              <w:t xml:space="preserve">They hold the second highest weight in the consumer price </w:t>
            </w:r>
            <w:proofErr w:type="gramStart"/>
            <w:r w:rsidR="00974A3C" w:rsidRPr="00CB09D5">
              <w:rPr>
                <w:lang w:val="en-GB"/>
              </w:rPr>
              <w:t>index,</w:t>
            </w:r>
            <w:proofErr w:type="gramEnd"/>
            <w:r w:rsidR="00974A3C" w:rsidRPr="00CB09D5">
              <w:rPr>
                <w:lang w:val="en-GB"/>
              </w:rPr>
              <w:t xml:space="preserve"> it is thus not surprising, that their November and December growth </w:t>
            </w:r>
            <w:r w:rsidR="00F12A83" w:rsidRPr="00CB09D5">
              <w:rPr>
                <w:lang w:val="en-GB"/>
              </w:rPr>
              <w:t>(1</w:t>
            </w:r>
            <w:r w:rsidR="00974A3C" w:rsidRPr="00CB09D5">
              <w:rPr>
                <w:lang w:val="en-GB"/>
              </w:rPr>
              <w:t>.</w:t>
            </w:r>
            <w:r w:rsidR="00124E9C" w:rsidRPr="00CB09D5">
              <w:rPr>
                <w:lang w:val="en-GB"/>
              </w:rPr>
              <w:t>6</w:t>
            </w:r>
            <w:r w:rsidR="00F12A83" w:rsidRPr="00CB09D5">
              <w:rPr>
                <w:lang w:val="en-GB"/>
              </w:rPr>
              <w:t>% a</w:t>
            </w:r>
            <w:r w:rsidR="00974A3C" w:rsidRPr="00CB09D5">
              <w:rPr>
                <w:lang w:val="en-GB"/>
              </w:rPr>
              <w:t>nd</w:t>
            </w:r>
            <w:r w:rsidR="00F12A83" w:rsidRPr="00CB09D5">
              <w:rPr>
                <w:lang w:val="en-GB"/>
              </w:rPr>
              <w:t xml:space="preserve"> 3</w:t>
            </w:r>
            <w:r w:rsidR="00974A3C" w:rsidRPr="00CB09D5">
              <w:rPr>
                <w:lang w:val="en-GB"/>
              </w:rPr>
              <w:t>.</w:t>
            </w:r>
            <w:r w:rsidR="00124E9C" w:rsidRPr="00CB09D5">
              <w:rPr>
                <w:lang w:val="en-GB"/>
              </w:rPr>
              <w:t>3</w:t>
            </w:r>
            <w:r w:rsidR="00F12A83" w:rsidRPr="00CB09D5">
              <w:rPr>
                <w:lang w:val="en-GB"/>
              </w:rPr>
              <w:t xml:space="preserve">%) </w:t>
            </w:r>
            <w:r w:rsidR="00974A3C" w:rsidRPr="00CB09D5">
              <w:rPr>
                <w:lang w:val="en-GB"/>
              </w:rPr>
              <w:t>significantly influenced the total price level</w:t>
            </w:r>
            <w:r w:rsidR="00F12A83" w:rsidRPr="00CB09D5">
              <w:rPr>
                <w:lang w:val="en-GB"/>
              </w:rPr>
              <w:t xml:space="preserve">. </w:t>
            </w:r>
            <w:r w:rsidR="00D141CA" w:rsidRPr="00CB09D5">
              <w:rPr>
                <w:lang w:val="en-GB"/>
              </w:rPr>
              <w:t>Until then, they were reduced by an average year-on-year r</w:t>
            </w:r>
            <w:r w:rsidR="00124E9C" w:rsidRPr="00CB09D5">
              <w:rPr>
                <w:lang w:val="en-GB"/>
              </w:rPr>
              <w:t>ate of growth of 1.6</w:t>
            </w:r>
            <w:r w:rsidR="00D141CA" w:rsidRPr="00CB09D5">
              <w:rPr>
                <w:lang w:val="en-GB"/>
              </w:rPr>
              <w:t xml:space="preserve">%. </w:t>
            </w:r>
            <w:r w:rsidR="00030BF0" w:rsidRPr="00CB09D5">
              <w:rPr>
                <w:lang w:val="en-GB"/>
              </w:rPr>
              <w:t xml:space="preserve">While the prices of food thus on average reduced the total growth of prices by more than 0.2 p.p. in January till October, they added 0.3 p.p. to the growth in November and even 0.6 p.p. in December. </w:t>
            </w:r>
            <w:r w:rsidR="001A44F9" w:rsidRPr="00CB09D5">
              <w:rPr>
                <w:lang w:val="en-GB"/>
              </w:rPr>
              <w:t xml:space="preserve">The autumn increase of prices caused especially the raised prices of vegetables and dairy products year-on-year. </w:t>
            </w:r>
          </w:p>
          <w:p w:rsidR="00F12A83" w:rsidRPr="009500E9" w:rsidRDefault="00F12A83" w:rsidP="008A03DE">
            <w:pPr>
              <w:pStyle w:val="Textpoznpodarou"/>
              <w:jc w:val="both"/>
              <w:rPr>
                <w:sz w:val="17"/>
                <w:szCs w:val="17"/>
                <w:lang w:val="en-GB"/>
              </w:rPr>
            </w:pPr>
          </w:p>
        </w:tc>
      </w:tr>
      <w:tr w:rsidR="00BB7707" w:rsidRPr="00CB09D5" w:rsidTr="00CC2A1E">
        <w:tc>
          <w:tcPr>
            <w:tcW w:w="988" w:type="pct"/>
            <w:gridSpan w:val="2"/>
          </w:tcPr>
          <w:p w:rsidR="00BB7707" w:rsidRPr="00CB09D5" w:rsidRDefault="00934D36" w:rsidP="00BB7707">
            <w:pPr>
              <w:spacing w:line="240" w:lineRule="auto"/>
              <w:ind w:right="-19"/>
              <w:rPr>
                <w:sz w:val="16"/>
                <w:szCs w:val="16"/>
                <w:lang w:val="en-GB"/>
              </w:rPr>
            </w:pPr>
            <w:r w:rsidRPr="00CB09D5">
              <w:rPr>
                <w:sz w:val="16"/>
                <w:szCs w:val="16"/>
                <w:lang w:val="en-GB"/>
              </w:rPr>
              <w:t>Increase of the prices of rent and imputed rent did not show much in the cost of housing and energies thanks to the fall of prices of energies.</w:t>
            </w:r>
          </w:p>
        </w:tc>
        <w:tc>
          <w:tcPr>
            <w:tcW w:w="144" w:type="pct"/>
          </w:tcPr>
          <w:p w:rsidR="00BB7707" w:rsidRPr="00CB09D5" w:rsidRDefault="00BB7707" w:rsidP="00BB7707">
            <w:pPr>
              <w:pStyle w:val="Textpoznpodarou"/>
              <w:jc w:val="both"/>
              <w:rPr>
                <w:lang w:val="en-GB"/>
              </w:rPr>
            </w:pPr>
          </w:p>
        </w:tc>
        <w:tc>
          <w:tcPr>
            <w:tcW w:w="3868" w:type="pct"/>
            <w:gridSpan w:val="4"/>
          </w:tcPr>
          <w:p w:rsidR="00BB7707" w:rsidRPr="00CB09D5" w:rsidRDefault="00934D36" w:rsidP="00BB7707">
            <w:pPr>
              <w:pStyle w:val="Textpoznpodarou"/>
              <w:ind w:right="-35"/>
              <w:jc w:val="both"/>
              <w:rPr>
                <w:sz w:val="16"/>
                <w:szCs w:val="16"/>
                <w:lang w:val="en-GB"/>
              </w:rPr>
            </w:pPr>
            <w:r w:rsidRPr="00CB09D5">
              <w:rPr>
                <w:lang w:val="en-GB"/>
              </w:rPr>
              <w:t>Prices of housing, water, energies and heating fuels, which present the most significant items in the consumer basket for the Czech consumers, grew by a</w:t>
            </w:r>
            <w:r w:rsidR="00124E9C" w:rsidRPr="00CB09D5">
              <w:rPr>
                <w:lang w:val="en-GB"/>
              </w:rPr>
              <w:t>verage year-on-year pace of 0.6</w:t>
            </w:r>
            <w:r w:rsidRPr="00CB09D5">
              <w:rPr>
                <w:lang w:val="en-GB"/>
              </w:rPr>
              <w:t>% and ave</w:t>
            </w:r>
            <w:r w:rsidR="00124E9C" w:rsidRPr="00CB09D5">
              <w:rPr>
                <w:lang w:val="en-GB"/>
              </w:rPr>
              <w:t>rage month-on-month pace of 0.1</w:t>
            </w:r>
            <w:r w:rsidRPr="00CB09D5">
              <w:rPr>
                <w:lang w:val="en-GB"/>
              </w:rPr>
              <w:t xml:space="preserve">% in 2016. </w:t>
            </w:r>
            <w:r w:rsidR="003D33FD" w:rsidRPr="00CB09D5">
              <w:rPr>
                <w:lang w:val="en-GB"/>
              </w:rPr>
              <w:t xml:space="preserve">It is not surprising with respect to the </w:t>
            </w:r>
            <w:r w:rsidR="0069281B" w:rsidRPr="00CB09D5">
              <w:rPr>
                <w:lang w:val="en-GB"/>
              </w:rPr>
              <w:t>fast-growing</w:t>
            </w:r>
            <w:r w:rsidR="003D33FD" w:rsidRPr="00CB09D5">
              <w:rPr>
                <w:lang w:val="en-GB"/>
              </w:rPr>
              <w:t xml:space="preserve"> prices of real estate in 2016, that the growth of the imputed rent fastened its pace from</w:t>
            </w:r>
            <w:r w:rsidR="00124E9C" w:rsidRPr="00CB09D5">
              <w:rPr>
                <w:lang w:val="en-GB"/>
              </w:rPr>
              <w:t xml:space="preserve"> the year-on-year increase of 1% in Q1 and Q2 to 2.6</w:t>
            </w:r>
            <w:r w:rsidR="003D33FD" w:rsidRPr="00CB09D5">
              <w:rPr>
                <w:lang w:val="en-GB"/>
              </w:rPr>
              <w:t xml:space="preserve">% in Q4. </w:t>
            </w:r>
            <w:r w:rsidR="007B1BA5" w:rsidRPr="00CB09D5">
              <w:rPr>
                <w:lang w:val="en-GB"/>
              </w:rPr>
              <w:t>Prices of rent accelerated its growth even one quarter sooner. Total growth of prices of housing and energies dampened only the notably falling prices of gas</w:t>
            </w:r>
            <w:r w:rsidR="00BB7707" w:rsidRPr="00CB09D5">
              <w:rPr>
                <w:lang w:val="en-GB"/>
              </w:rPr>
              <w:t xml:space="preserve">, </w:t>
            </w:r>
            <w:r w:rsidR="007B1BA5" w:rsidRPr="00CB09D5">
              <w:rPr>
                <w:lang w:val="en-GB"/>
              </w:rPr>
              <w:t xml:space="preserve">which exceeded even the mild growth of prices of electricity and heat. </w:t>
            </w:r>
            <w:r w:rsidR="0007651D" w:rsidRPr="00CB09D5">
              <w:rPr>
                <w:lang w:val="en-GB"/>
              </w:rPr>
              <w:t xml:space="preserve">Development of costs of transport was in fact identical to the prices of food. </w:t>
            </w:r>
            <w:r w:rsidR="0045761F" w:rsidRPr="00CB09D5">
              <w:rPr>
                <w:lang w:val="en-GB"/>
              </w:rPr>
              <w:t>Prices of transport were falling by an avera</w:t>
            </w:r>
            <w:r w:rsidR="00124E9C" w:rsidRPr="00CB09D5">
              <w:rPr>
                <w:lang w:val="en-GB"/>
              </w:rPr>
              <w:t>ge year-on-year rate of -2.4</w:t>
            </w:r>
            <w:r w:rsidR="0045761F" w:rsidRPr="00CB09D5">
              <w:rPr>
                <w:lang w:val="en-GB"/>
              </w:rPr>
              <w:t xml:space="preserve">% until </w:t>
            </w:r>
            <w:r w:rsidR="00F16807">
              <w:rPr>
                <w:lang w:val="en-GB"/>
              </w:rPr>
              <w:t>October</w:t>
            </w:r>
            <w:r w:rsidR="00F16807" w:rsidRPr="00CB09D5">
              <w:rPr>
                <w:lang w:val="en-GB"/>
              </w:rPr>
              <w:t xml:space="preserve"> </w:t>
            </w:r>
            <w:r w:rsidR="00124E9C" w:rsidRPr="00CB09D5">
              <w:rPr>
                <w:lang w:val="en-GB"/>
              </w:rPr>
              <w:t>and they increased by 1% and 2.5</w:t>
            </w:r>
            <w:r w:rsidR="0045761F" w:rsidRPr="00CB09D5">
              <w:rPr>
                <w:lang w:val="en-GB"/>
              </w:rPr>
              <w:t xml:space="preserve">% in November and December. </w:t>
            </w:r>
            <w:r w:rsidR="00BB7707" w:rsidRPr="00CB09D5">
              <w:rPr>
                <w:lang w:val="en-GB"/>
              </w:rPr>
              <w:t xml:space="preserve"> </w:t>
            </w:r>
          </w:p>
          <w:p w:rsidR="00BB7707" w:rsidRPr="009500E9" w:rsidRDefault="00BB7707" w:rsidP="00BB7707">
            <w:pPr>
              <w:pStyle w:val="Textpoznpodarou"/>
              <w:ind w:right="-35"/>
              <w:jc w:val="both"/>
              <w:rPr>
                <w:sz w:val="17"/>
                <w:szCs w:val="17"/>
                <w:lang w:val="en-GB"/>
              </w:rPr>
            </w:pPr>
          </w:p>
        </w:tc>
      </w:tr>
      <w:tr w:rsidR="00F12A83" w:rsidRPr="00CB09D5" w:rsidTr="00CC2A1E">
        <w:tc>
          <w:tcPr>
            <w:tcW w:w="988" w:type="pct"/>
            <w:gridSpan w:val="2"/>
          </w:tcPr>
          <w:p w:rsidR="00F12A83" w:rsidRPr="00CB09D5" w:rsidRDefault="00C94847" w:rsidP="00A9497A">
            <w:pPr>
              <w:spacing w:line="240" w:lineRule="auto"/>
              <w:ind w:right="-19"/>
              <w:rPr>
                <w:sz w:val="16"/>
                <w:szCs w:val="16"/>
                <w:lang w:val="en-GB"/>
              </w:rPr>
            </w:pPr>
            <w:r w:rsidRPr="00CB09D5">
              <w:rPr>
                <w:sz w:val="16"/>
                <w:szCs w:val="16"/>
                <w:lang w:val="en-GB"/>
              </w:rPr>
              <w:t>Rise of realised prices of older dwellings gained pace during the year and reflected thus the excess demand on the market.</w:t>
            </w:r>
            <w:r w:rsidR="00A9497A" w:rsidRPr="00CB09D5">
              <w:rPr>
                <w:sz w:val="16"/>
                <w:szCs w:val="16"/>
                <w:lang w:val="en-GB"/>
              </w:rPr>
              <w:t xml:space="preserve"> </w:t>
            </w:r>
          </w:p>
        </w:tc>
        <w:tc>
          <w:tcPr>
            <w:tcW w:w="144" w:type="pct"/>
          </w:tcPr>
          <w:p w:rsidR="00F12A83" w:rsidRPr="00CB09D5" w:rsidRDefault="00F12A83" w:rsidP="00D94859">
            <w:pPr>
              <w:pStyle w:val="Textpoznpodarou"/>
              <w:jc w:val="both"/>
              <w:rPr>
                <w:lang w:val="en-GB"/>
              </w:rPr>
            </w:pPr>
          </w:p>
        </w:tc>
        <w:tc>
          <w:tcPr>
            <w:tcW w:w="3868" w:type="pct"/>
            <w:gridSpan w:val="4"/>
          </w:tcPr>
          <w:p w:rsidR="00F12A83" w:rsidRPr="00CB09D5" w:rsidRDefault="00BD0D6D" w:rsidP="00EE3547">
            <w:pPr>
              <w:pStyle w:val="Textpoznpodarou"/>
              <w:ind w:right="-35"/>
              <w:jc w:val="both"/>
              <w:rPr>
                <w:sz w:val="16"/>
                <w:szCs w:val="16"/>
                <w:lang w:val="en-GB"/>
              </w:rPr>
            </w:pPr>
            <w:r w:rsidRPr="00CB09D5">
              <w:rPr>
                <w:lang w:val="en-GB"/>
              </w:rPr>
              <w:t>Development on the real estate market mirr</w:t>
            </w:r>
            <w:r w:rsidR="00A03996" w:rsidRPr="00CB09D5">
              <w:rPr>
                <w:lang w:val="en-GB"/>
              </w:rPr>
              <w:t>ored the good shape of the econo</w:t>
            </w:r>
            <w:r w:rsidRPr="00CB09D5">
              <w:rPr>
                <w:lang w:val="en-GB"/>
              </w:rPr>
              <w:t>my in 2016 and the positive outlooks of consumers.</w:t>
            </w:r>
            <w:r w:rsidR="00985A99" w:rsidRPr="00CB09D5">
              <w:rPr>
                <w:lang w:val="en-GB"/>
              </w:rPr>
              <w:t xml:space="preserve"> Increase of real income, low unemployment and positive expectations heightened the demand for real estate. The supply side of the market however did not manage to react in the needed time and the stock of flats shrank very soon. </w:t>
            </w:r>
            <w:r w:rsidR="00A03996" w:rsidRPr="00CB09D5">
              <w:rPr>
                <w:lang w:val="en-GB"/>
              </w:rPr>
              <w:t>The year-on-year growth of realised prices of older flats reflected this fact, accelerating dur</w:t>
            </w:r>
            <w:r w:rsidR="00124E9C" w:rsidRPr="00CB09D5">
              <w:rPr>
                <w:lang w:val="en-GB"/>
              </w:rPr>
              <w:t xml:space="preserve">ing </w:t>
            </w:r>
            <w:r w:rsidR="003277A6" w:rsidRPr="00CB09D5">
              <w:rPr>
                <w:lang w:val="en-GB"/>
              </w:rPr>
              <w:t xml:space="preserve">the </w:t>
            </w:r>
            <w:r w:rsidR="00124E9C" w:rsidRPr="00CB09D5">
              <w:rPr>
                <w:lang w:val="en-GB"/>
              </w:rPr>
              <w:t>year 2016 and reaching 14.5</w:t>
            </w:r>
            <w:r w:rsidR="00A03996" w:rsidRPr="00CB09D5">
              <w:rPr>
                <w:lang w:val="en-GB"/>
              </w:rPr>
              <w:t xml:space="preserve">% in Q4. </w:t>
            </w:r>
            <w:r w:rsidR="00B54645" w:rsidRPr="00CB09D5">
              <w:rPr>
                <w:lang w:val="en-GB"/>
              </w:rPr>
              <w:t>Realised prices of new flats</w:t>
            </w:r>
            <w:r w:rsidR="00A9497A" w:rsidRPr="00CB09D5">
              <w:rPr>
                <w:rStyle w:val="Znakapoznpodarou"/>
                <w:lang w:val="en-GB"/>
              </w:rPr>
              <w:footnoteReference w:id="2"/>
            </w:r>
            <w:r w:rsidR="00A9497A" w:rsidRPr="00CB09D5">
              <w:rPr>
                <w:lang w:val="en-GB"/>
              </w:rPr>
              <w:t xml:space="preserve"> </w:t>
            </w:r>
            <w:r w:rsidR="00B54645" w:rsidRPr="00CB09D5">
              <w:rPr>
                <w:lang w:val="en-GB"/>
              </w:rPr>
              <w:t>grew by 5.5% quarter-on-quarter at</w:t>
            </w:r>
            <w:r w:rsidR="00124E9C" w:rsidRPr="00CB09D5">
              <w:rPr>
                <w:lang w:val="en-GB"/>
              </w:rPr>
              <w:t xml:space="preserve"> the end of the year and by 9.3</w:t>
            </w:r>
            <w:r w:rsidR="00B54645" w:rsidRPr="00CB09D5">
              <w:rPr>
                <w:lang w:val="en-GB"/>
              </w:rPr>
              <w:t xml:space="preserve">% year-on-year </w:t>
            </w:r>
            <w:r w:rsidR="00EE3547" w:rsidRPr="00CB09D5">
              <w:rPr>
                <w:lang w:val="en-GB"/>
              </w:rPr>
              <w:t>(</w:t>
            </w:r>
            <w:r w:rsidR="00B54645" w:rsidRPr="00CB09D5">
              <w:rPr>
                <w:lang w:val="en-GB"/>
              </w:rPr>
              <w:t>yea</w:t>
            </w:r>
            <w:r w:rsidR="00124E9C" w:rsidRPr="00CB09D5">
              <w:rPr>
                <w:lang w:val="en-GB"/>
              </w:rPr>
              <w:t>r-on-year growth arrived at 3.8</w:t>
            </w:r>
            <w:r w:rsidR="00B54645" w:rsidRPr="00CB09D5">
              <w:rPr>
                <w:lang w:val="en-GB"/>
              </w:rPr>
              <w:t xml:space="preserve">% in </w:t>
            </w:r>
            <w:r w:rsidR="00B54645" w:rsidRPr="00CB09D5">
              <w:rPr>
                <w:lang w:val="en-GB"/>
              </w:rPr>
              <w:lastRenderedPageBreak/>
              <w:t>Q3</w:t>
            </w:r>
            <w:r w:rsidR="00EE3547" w:rsidRPr="00CB09D5">
              <w:rPr>
                <w:lang w:val="en-GB"/>
              </w:rPr>
              <w:t>)</w:t>
            </w:r>
            <w:r w:rsidR="00A9497A" w:rsidRPr="00CB09D5">
              <w:rPr>
                <w:lang w:val="en-GB"/>
              </w:rPr>
              <w:t xml:space="preserve">. </w:t>
            </w:r>
            <w:r w:rsidR="00FA2A5B" w:rsidRPr="00CB09D5">
              <w:rPr>
                <w:lang w:val="en-GB"/>
              </w:rPr>
              <w:t>The year-on-year growth of price</w:t>
            </w:r>
            <w:r w:rsidR="00124E9C" w:rsidRPr="00CB09D5">
              <w:rPr>
                <w:lang w:val="en-GB"/>
              </w:rPr>
              <w:t>s of offered flats attained 9.6</w:t>
            </w:r>
            <w:r w:rsidR="00FA2A5B" w:rsidRPr="00CB09D5">
              <w:rPr>
                <w:lang w:val="en-GB"/>
              </w:rPr>
              <w:t xml:space="preserve">% already in the last quarter of </w:t>
            </w:r>
            <w:r w:rsidR="00963F41" w:rsidRPr="00CB09D5">
              <w:rPr>
                <w:lang w:val="en-GB"/>
              </w:rPr>
              <w:t xml:space="preserve">the </w:t>
            </w:r>
            <w:r w:rsidR="00FA2A5B" w:rsidRPr="00CB09D5">
              <w:rPr>
                <w:lang w:val="en-GB"/>
              </w:rPr>
              <w:t xml:space="preserve">year 2015 and it </w:t>
            </w:r>
            <w:r w:rsidR="0051778B" w:rsidRPr="00CB09D5">
              <w:rPr>
                <w:lang w:val="en-GB"/>
              </w:rPr>
              <w:t>mildly</w:t>
            </w:r>
            <w:r w:rsidR="00124E9C" w:rsidRPr="00CB09D5">
              <w:rPr>
                <w:lang w:val="en-GB"/>
              </w:rPr>
              <w:t xml:space="preserve"> crossed the 10</w:t>
            </w:r>
            <w:r w:rsidR="00FA2A5B" w:rsidRPr="00CB09D5">
              <w:rPr>
                <w:lang w:val="en-GB"/>
              </w:rPr>
              <w:t xml:space="preserve">% in the first two quarters of 2016. </w:t>
            </w:r>
            <w:r w:rsidR="0051778B" w:rsidRPr="00CB09D5">
              <w:rPr>
                <w:lang w:val="en-GB"/>
              </w:rPr>
              <w:t>The growth of supply prices th</w:t>
            </w:r>
            <w:r w:rsidR="00124E9C" w:rsidRPr="00CB09D5">
              <w:rPr>
                <w:lang w:val="en-GB"/>
              </w:rPr>
              <w:t>en hovered closely below the 10</w:t>
            </w:r>
            <w:r w:rsidR="0051778B" w:rsidRPr="00CB09D5">
              <w:rPr>
                <w:lang w:val="en-GB"/>
              </w:rPr>
              <w:t xml:space="preserve">% level in Q3 and </w:t>
            </w:r>
            <w:r w:rsidR="003E42C9">
              <w:rPr>
                <w:lang w:val="en-GB"/>
              </w:rPr>
              <w:t>Q</w:t>
            </w:r>
            <w:r w:rsidR="0051778B" w:rsidRPr="00CB09D5">
              <w:rPr>
                <w:lang w:val="en-GB"/>
              </w:rPr>
              <w:t xml:space="preserve">4 of the year. </w:t>
            </w:r>
            <w:r w:rsidR="00A9497A" w:rsidRPr="00CB09D5">
              <w:rPr>
                <w:lang w:val="en-GB"/>
              </w:rPr>
              <w:t> </w:t>
            </w:r>
            <w:r w:rsidR="00F12A83" w:rsidRPr="00CB09D5">
              <w:rPr>
                <w:lang w:val="en-GB"/>
              </w:rPr>
              <w:t xml:space="preserve"> </w:t>
            </w:r>
          </w:p>
          <w:p w:rsidR="00EE3547" w:rsidRPr="009500E9" w:rsidRDefault="00EE3547" w:rsidP="00EE3547">
            <w:pPr>
              <w:pStyle w:val="Textpoznpodarou"/>
              <w:ind w:right="-35"/>
              <w:jc w:val="both"/>
              <w:rPr>
                <w:sz w:val="17"/>
                <w:szCs w:val="17"/>
                <w:lang w:val="en-GB"/>
              </w:rPr>
            </w:pPr>
          </w:p>
        </w:tc>
      </w:tr>
      <w:tr w:rsidR="009F4DA8" w:rsidRPr="00CB09D5" w:rsidTr="00CC2A1E">
        <w:tc>
          <w:tcPr>
            <w:tcW w:w="988" w:type="pct"/>
            <w:gridSpan w:val="2"/>
          </w:tcPr>
          <w:p w:rsidR="009F4DA8" w:rsidRPr="00CB09D5" w:rsidRDefault="00FA2A5B" w:rsidP="009F4DA8">
            <w:pPr>
              <w:spacing w:line="240" w:lineRule="auto"/>
              <w:ind w:right="-19"/>
              <w:rPr>
                <w:spacing w:val="-4"/>
                <w:sz w:val="16"/>
                <w:lang w:val="en-GB"/>
              </w:rPr>
            </w:pPr>
            <w:r w:rsidRPr="00CB09D5">
              <w:rPr>
                <w:spacing w:val="-4"/>
                <w:sz w:val="16"/>
                <w:lang w:val="en-GB"/>
              </w:rPr>
              <w:lastRenderedPageBreak/>
              <w:t>Similarly</w:t>
            </w:r>
            <w:r w:rsidR="009F4DA8" w:rsidRPr="00CB09D5">
              <w:rPr>
                <w:spacing w:val="-4"/>
                <w:sz w:val="16"/>
                <w:lang w:val="en-GB"/>
              </w:rPr>
              <w:t xml:space="preserve"> to the Czech Republic, the EU also experienced a more pronounced change in the price development in the last quarter of the year. </w:t>
            </w:r>
          </w:p>
        </w:tc>
        <w:tc>
          <w:tcPr>
            <w:tcW w:w="144" w:type="pct"/>
          </w:tcPr>
          <w:p w:rsidR="009F4DA8" w:rsidRPr="00CB09D5" w:rsidRDefault="009F4DA8" w:rsidP="009F4DA8">
            <w:pPr>
              <w:pStyle w:val="Textpoznpodarou"/>
              <w:jc w:val="both"/>
              <w:rPr>
                <w:lang w:val="en-GB"/>
              </w:rPr>
            </w:pPr>
          </w:p>
        </w:tc>
        <w:tc>
          <w:tcPr>
            <w:tcW w:w="3868" w:type="pct"/>
            <w:gridSpan w:val="4"/>
          </w:tcPr>
          <w:p w:rsidR="009F4DA8" w:rsidRPr="00CB09D5" w:rsidRDefault="00F737AB" w:rsidP="009F4DA8">
            <w:pPr>
              <w:pStyle w:val="Textpoznpodarou"/>
              <w:ind w:right="-35"/>
              <w:jc w:val="both"/>
              <w:rPr>
                <w:sz w:val="16"/>
                <w:szCs w:val="16"/>
                <w:lang w:val="en-GB"/>
              </w:rPr>
            </w:pPr>
            <w:r w:rsidRPr="00CB09D5">
              <w:rPr>
                <w:lang w:val="en-GB"/>
              </w:rPr>
              <w:t xml:space="preserve">Price development in the Czech Republic fits into the European context. Year-on-year growth of the price level in the European twenty-eight did not digress much from zero during the first two quarters </w:t>
            </w:r>
            <w:r w:rsidR="009F4DA8" w:rsidRPr="00CB09D5">
              <w:rPr>
                <w:lang w:val="en-GB"/>
              </w:rPr>
              <w:t>(+0</w:t>
            </w:r>
            <w:r w:rsidRPr="00CB09D5">
              <w:rPr>
                <w:lang w:val="en-GB"/>
              </w:rPr>
              <w:t>.</w:t>
            </w:r>
            <w:r w:rsidR="00124E9C" w:rsidRPr="00CB09D5">
              <w:rPr>
                <w:lang w:val="en-GB"/>
              </w:rPr>
              <w:t>1</w:t>
            </w:r>
            <w:r w:rsidR="009F4DA8" w:rsidRPr="00CB09D5">
              <w:rPr>
                <w:lang w:val="en-GB"/>
              </w:rPr>
              <w:t>% a</w:t>
            </w:r>
            <w:r w:rsidRPr="00CB09D5">
              <w:rPr>
                <w:lang w:val="en-GB"/>
              </w:rPr>
              <w:t>nd</w:t>
            </w:r>
            <w:r w:rsidR="009F4DA8" w:rsidRPr="00CB09D5">
              <w:rPr>
                <w:lang w:val="en-GB"/>
              </w:rPr>
              <w:t xml:space="preserve"> -0</w:t>
            </w:r>
            <w:r w:rsidRPr="00CB09D5">
              <w:rPr>
                <w:lang w:val="en-GB"/>
              </w:rPr>
              <w:t>.</w:t>
            </w:r>
            <w:r w:rsidR="009F4DA8" w:rsidRPr="00CB09D5">
              <w:rPr>
                <w:lang w:val="en-GB"/>
              </w:rPr>
              <w:t xml:space="preserve">1%). </w:t>
            </w:r>
            <w:r w:rsidR="00124E9C" w:rsidRPr="00CB09D5">
              <w:rPr>
                <w:lang w:val="en-GB"/>
              </w:rPr>
              <w:t>It reached 0.3</w:t>
            </w:r>
            <w:r w:rsidRPr="00CB09D5">
              <w:rPr>
                <w:lang w:val="en-GB"/>
              </w:rPr>
              <w:t>% in the third quarter and it definitely moved away from zero in the last quarter of the year, w</w:t>
            </w:r>
            <w:r w:rsidR="00124E9C" w:rsidRPr="00CB09D5">
              <w:rPr>
                <w:lang w:val="en-GB"/>
              </w:rPr>
              <w:t>hen the prices increased by 0.8</w:t>
            </w:r>
            <w:r w:rsidRPr="00CB09D5">
              <w:rPr>
                <w:lang w:val="en-GB"/>
              </w:rPr>
              <w:t xml:space="preserve">% </w:t>
            </w:r>
            <w:proofErr w:type="gramStart"/>
            <w:r w:rsidRPr="00CB09D5">
              <w:rPr>
                <w:lang w:val="en-GB"/>
              </w:rPr>
              <w:t>year-on-year</w:t>
            </w:r>
            <w:proofErr w:type="gramEnd"/>
            <w:r w:rsidRPr="00CB09D5">
              <w:rPr>
                <w:lang w:val="en-GB"/>
              </w:rPr>
              <w:t xml:space="preserve">. </w:t>
            </w:r>
            <w:r w:rsidR="00784AE5" w:rsidRPr="00CB09D5">
              <w:rPr>
                <w:lang w:val="en-GB"/>
              </w:rPr>
              <w:t>The De</w:t>
            </w:r>
            <w:r w:rsidR="00124E9C" w:rsidRPr="00CB09D5">
              <w:rPr>
                <w:lang w:val="en-GB"/>
              </w:rPr>
              <w:t>cember inflation even crossed 1</w:t>
            </w:r>
            <w:r w:rsidR="00784AE5" w:rsidRPr="00CB09D5">
              <w:rPr>
                <w:lang w:val="en-GB"/>
              </w:rPr>
              <w:t xml:space="preserve">% for the first time since September </w:t>
            </w:r>
            <w:r w:rsidR="009F4DA8" w:rsidRPr="00CB09D5">
              <w:rPr>
                <w:lang w:val="en-GB"/>
              </w:rPr>
              <w:t>2013</w:t>
            </w:r>
            <w:r w:rsidR="00784AE5" w:rsidRPr="00CB09D5">
              <w:rPr>
                <w:lang w:val="en-GB"/>
              </w:rPr>
              <w:t xml:space="preserve"> </w:t>
            </w:r>
            <w:r w:rsidR="009F4DA8" w:rsidRPr="00CB09D5">
              <w:rPr>
                <w:lang w:val="en-GB"/>
              </w:rPr>
              <w:t>(</w:t>
            </w:r>
            <w:r w:rsidR="00784AE5" w:rsidRPr="00CB09D5">
              <w:rPr>
                <w:lang w:val="en-GB"/>
              </w:rPr>
              <w:t xml:space="preserve">it was </w:t>
            </w:r>
            <w:r w:rsidR="009F4DA8" w:rsidRPr="00CB09D5">
              <w:rPr>
                <w:lang w:val="en-GB"/>
              </w:rPr>
              <w:t>1</w:t>
            </w:r>
            <w:r w:rsidR="00784AE5" w:rsidRPr="00CB09D5">
              <w:rPr>
                <w:lang w:val="en-GB"/>
              </w:rPr>
              <w:t>.</w:t>
            </w:r>
            <w:r w:rsidR="00124E9C" w:rsidRPr="00CB09D5">
              <w:rPr>
                <w:lang w:val="en-GB"/>
              </w:rPr>
              <w:t>2</w:t>
            </w:r>
            <w:r w:rsidR="009F4DA8" w:rsidRPr="00CB09D5">
              <w:rPr>
                <w:lang w:val="en-GB"/>
              </w:rPr>
              <w:t xml:space="preserve">%). </w:t>
            </w:r>
            <w:r w:rsidR="00124E9C" w:rsidRPr="00CB09D5">
              <w:rPr>
                <w:lang w:val="en-GB"/>
              </w:rPr>
              <w:t>The prices rose by 0.2</w:t>
            </w:r>
            <w:r w:rsidR="000E0098" w:rsidRPr="00CB09D5">
              <w:rPr>
                <w:lang w:val="en-GB"/>
              </w:rPr>
              <w:t xml:space="preserve">% in Slovakia year-on-year in December, which ended the more than two </w:t>
            </w:r>
            <w:r w:rsidR="00956722" w:rsidRPr="00CB09D5">
              <w:rPr>
                <w:lang w:val="en-GB"/>
              </w:rPr>
              <w:t>years’</w:t>
            </w:r>
            <w:r w:rsidR="000E0098" w:rsidRPr="00CB09D5">
              <w:rPr>
                <w:lang w:val="en-GB"/>
              </w:rPr>
              <w:t xml:space="preserve"> period of deflation. A similar turn occurred in Cyprus, despite the deflation reaching two percent in Q2 201</w:t>
            </w:r>
            <w:r w:rsidR="00956722" w:rsidRPr="00CB09D5">
              <w:rPr>
                <w:lang w:val="en-GB"/>
              </w:rPr>
              <w:t>6 there. The rate of growth of prices in Germany grew quite steadily, when the price level stagnated in the first half of the</w:t>
            </w:r>
            <w:r w:rsidR="00124E9C" w:rsidRPr="00CB09D5">
              <w:rPr>
                <w:lang w:val="en-GB"/>
              </w:rPr>
              <w:t xml:space="preserve"> year, but it reached 1</w:t>
            </w:r>
            <w:r w:rsidR="00956722" w:rsidRPr="00CB09D5">
              <w:rPr>
                <w:lang w:val="en-GB"/>
              </w:rPr>
              <w:t xml:space="preserve">% growth in the final quarter. </w:t>
            </w:r>
          </w:p>
          <w:p w:rsidR="009F4DA8" w:rsidRPr="009500E9" w:rsidRDefault="009F4DA8" w:rsidP="009F4DA8">
            <w:pPr>
              <w:pStyle w:val="Textpoznpodarou"/>
              <w:ind w:right="-35"/>
              <w:jc w:val="both"/>
              <w:rPr>
                <w:sz w:val="17"/>
                <w:szCs w:val="17"/>
                <w:lang w:val="en-GB"/>
              </w:rPr>
            </w:pPr>
          </w:p>
        </w:tc>
      </w:tr>
      <w:tr w:rsidR="00F12A83" w:rsidRPr="00CB09D5" w:rsidTr="00CC2A1E">
        <w:tc>
          <w:tcPr>
            <w:tcW w:w="988" w:type="pct"/>
            <w:gridSpan w:val="2"/>
          </w:tcPr>
          <w:p w:rsidR="00F12A83" w:rsidRPr="00CB09D5" w:rsidRDefault="002F3FBA" w:rsidP="00F12A83">
            <w:pPr>
              <w:spacing w:line="240" w:lineRule="auto"/>
              <w:ind w:right="-19"/>
              <w:rPr>
                <w:rFonts w:cs="Arial"/>
                <w:sz w:val="16"/>
                <w:szCs w:val="16"/>
                <w:lang w:val="en-GB"/>
              </w:rPr>
            </w:pPr>
            <w:r w:rsidRPr="00CB09D5">
              <w:rPr>
                <w:rFonts w:cs="Arial"/>
                <w:sz w:val="16"/>
                <w:szCs w:val="16"/>
                <w:lang w:val="en-GB"/>
              </w:rPr>
              <w:t xml:space="preserve">Long term reduction of prices of industrial producers moderated in the second half of the year </w:t>
            </w:r>
            <w:r w:rsidR="00F12A83" w:rsidRPr="00CB09D5">
              <w:rPr>
                <w:rFonts w:cs="Arial"/>
                <w:sz w:val="16"/>
                <w:szCs w:val="16"/>
                <w:lang w:val="en-GB"/>
              </w:rPr>
              <w:t>2016.</w:t>
            </w:r>
          </w:p>
        </w:tc>
        <w:tc>
          <w:tcPr>
            <w:tcW w:w="144" w:type="pct"/>
          </w:tcPr>
          <w:p w:rsidR="00F12A83" w:rsidRPr="00CB09D5" w:rsidRDefault="00F12A83" w:rsidP="00D94859">
            <w:pPr>
              <w:pStyle w:val="Textpoznpodarou"/>
              <w:jc w:val="both"/>
              <w:rPr>
                <w:lang w:val="en-GB"/>
              </w:rPr>
            </w:pPr>
          </w:p>
        </w:tc>
        <w:tc>
          <w:tcPr>
            <w:tcW w:w="3868" w:type="pct"/>
            <w:gridSpan w:val="4"/>
          </w:tcPr>
          <w:p w:rsidR="00F12A83" w:rsidRPr="00CB09D5" w:rsidRDefault="008B24AF" w:rsidP="008A03DE">
            <w:pPr>
              <w:pStyle w:val="Textpoznpodarou"/>
              <w:ind w:right="-35"/>
              <w:jc w:val="both"/>
              <w:rPr>
                <w:sz w:val="16"/>
                <w:szCs w:val="16"/>
                <w:highlight w:val="yellow"/>
                <w:lang w:val="en-GB"/>
              </w:rPr>
            </w:pPr>
            <w:r w:rsidRPr="00CB09D5">
              <w:rPr>
                <w:lang w:val="en-GB"/>
              </w:rPr>
              <w:t xml:space="preserve">Industrial producer prices were falling year-on-year already since January 2014 and they were falling also during the year </w:t>
            </w:r>
            <w:r w:rsidR="00F12A83" w:rsidRPr="00CB09D5">
              <w:rPr>
                <w:lang w:val="en-GB"/>
              </w:rPr>
              <w:t xml:space="preserve">2016. </w:t>
            </w:r>
            <w:r w:rsidR="00123A5C" w:rsidRPr="00CB09D5">
              <w:rPr>
                <w:lang w:val="en-GB"/>
              </w:rPr>
              <w:t>The situation on the world markets with oil as well as the falling prices of raw materials were closely reflected in the development of the index. Combination with the fall of food prices led to a relatively atypical situation, when the growing demand w</w:t>
            </w:r>
            <w:r w:rsidR="00AF6753">
              <w:rPr>
                <w:lang w:val="en-GB"/>
              </w:rPr>
              <w:t>as not</w:t>
            </w:r>
            <w:r w:rsidR="00123A5C" w:rsidRPr="00CB09D5">
              <w:rPr>
                <w:lang w:val="en-GB"/>
              </w:rPr>
              <w:t xml:space="preserve"> followed the increase of prices. However, the pressure, which was put by the oil prices on the </w:t>
            </w:r>
            <w:r w:rsidR="00E52A9C" w:rsidRPr="00CB09D5">
              <w:rPr>
                <w:lang w:val="en-GB"/>
              </w:rPr>
              <w:t>industrial</w:t>
            </w:r>
            <w:r w:rsidR="00123A5C" w:rsidRPr="00CB09D5">
              <w:rPr>
                <w:lang w:val="en-GB"/>
              </w:rPr>
              <w:t xml:space="preserve"> producer price index </w:t>
            </w:r>
            <w:r w:rsidR="00D747AA" w:rsidRPr="00CB09D5">
              <w:rPr>
                <w:lang w:val="en-GB"/>
              </w:rPr>
              <w:t>loosened in 2016, and the index started to slightly grow at</w:t>
            </w:r>
            <w:r w:rsidR="00AB2FF7" w:rsidRPr="00CB09D5">
              <w:rPr>
                <w:lang w:val="en-GB"/>
              </w:rPr>
              <w:t xml:space="preserve"> </w:t>
            </w:r>
            <w:r w:rsidR="00D747AA" w:rsidRPr="00CB09D5">
              <w:rPr>
                <w:lang w:val="en-GB"/>
              </w:rPr>
              <w:t xml:space="preserve">least in the month-on-month expression. </w:t>
            </w:r>
            <w:r w:rsidR="00AB2FF7" w:rsidRPr="00CB09D5">
              <w:rPr>
                <w:lang w:val="en-GB"/>
              </w:rPr>
              <w:t xml:space="preserve">Year-on-year fall shrank in the second half of the year </w:t>
            </w:r>
            <w:r w:rsidR="00310ADB" w:rsidRPr="00CB09D5">
              <w:rPr>
                <w:lang w:val="en-GB"/>
              </w:rPr>
              <w:t>(</w:t>
            </w:r>
            <w:r w:rsidR="00AB2FF7" w:rsidRPr="00CB09D5">
              <w:rPr>
                <w:lang w:val="en-GB"/>
              </w:rPr>
              <w:t xml:space="preserve">from </w:t>
            </w:r>
            <w:r w:rsidR="00124E9C" w:rsidRPr="00CB09D5">
              <w:rPr>
                <w:lang w:val="en-GB"/>
              </w:rPr>
              <w:t>4</w:t>
            </w:r>
            <w:r w:rsidR="00F12A83" w:rsidRPr="00CB09D5">
              <w:rPr>
                <w:lang w:val="en-GB"/>
              </w:rPr>
              <w:t>% a</w:t>
            </w:r>
            <w:r w:rsidR="00AB2FF7" w:rsidRPr="00CB09D5">
              <w:rPr>
                <w:lang w:val="en-GB"/>
              </w:rPr>
              <w:t>nd</w:t>
            </w:r>
            <w:r w:rsidR="00F12A83" w:rsidRPr="00CB09D5">
              <w:rPr>
                <w:lang w:val="en-GB"/>
              </w:rPr>
              <w:t xml:space="preserve"> 4</w:t>
            </w:r>
            <w:r w:rsidR="00AB2FF7" w:rsidRPr="00CB09D5">
              <w:rPr>
                <w:lang w:val="en-GB"/>
              </w:rPr>
              <w:t>.</w:t>
            </w:r>
            <w:r w:rsidR="00124E9C" w:rsidRPr="00CB09D5">
              <w:rPr>
                <w:lang w:val="en-GB"/>
              </w:rPr>
              <w:t>6</w:t>
            </w:r>
            <w:r w:rsidR="00310ADB" w:rsidRPr="00CB09D5">
              <w:rPr>
                <w:lang w:val="en-GB"/>
              </w:rPr>
              <w:t xml:space="preserve">% </w:t>
            </w:r>
            <w:r w:rsidR="00AB2FF7" w:rsidRPr="00CB09D5">
              <w:rPr>
                <w:lang w:val="en-GB"/>
              </w:rPr>
              <w:t xml:space="preserve">in the first two quarters to </w:t>
            </w:r>
            <w:r w:rsidR="00F12A83" w:rsidRPr="00CB09D5">
              <w:rPr>
                <w:lang w:val="en-GB"/>
              </w:rPr>
              <w:t>3</w:t>
            </w:r>
            <w:r w:rsidR="00AB2FF7" w:rsidRPr="00CB09D5">
              <w:rPr>
                <w:lang w:val="en-GB"/>
              </w:rPr>
              <w:t>.</w:t>
            </w:r>
            <w:r w:rsidR="00124E9C" w:rsidRPr="00CB09D5">
              <w:rPr>
                <w:lang w:val="en-GB"/>
              </w:rPr>
              <w:t>2</w:t>
            </w:r>
            <w:r w:rsidR="00F12A83" w:rsidRPr="00CB09D5">
              <w:rPr>
                <w:lang w:val="en-GB"/>
              </w:rPr>
              <w:t xml:space="preserve">% </w:t>
            </w:r>
            <w:r w:rsidR="00AB2FF7" w:rsidRPr="00CB09D5">
              <w:rPr>
                <w:lang w:val="en-GB"/>
              </w:rPr>
              <w:t xml:space="preserve">in the third </w:t>
            </w:r>
            <w:r w:rsidR="00F12A83" w:rsidRPr="00CB09D5">
              <w:rPr>
                <w:lang w:val="en-GB"/>
              </w:rPr>
              <w:t>a</w:t>
            </w:r>
            <w:r w:rsidR="00AB2FF7" w:rsidRPr="00CB09D5">
              <w:rPr>
                <w:lang w:val="en-GB"/>
              </w:rPr>
              <w:t>nd</w:t>
            </w:r>
            <w:r w:rsidR="00F12A83" w:rsidRPr="00CB09D5">
              <w:rPr>
                <w:lang w:val="en-GB"/>
              </w:rPr>
              <w:t xml:space="preserve"> 1</w:t>
            </w:r>
            <w:r w:rsidR="00AB2FF7" w:rsidRPr="00CB09D5">
              <w:rPr>
                <w:lang w:val="en-GB"/>
              </w:rPr>
              <w:t>.</w:t>
            </w:r>
            <w:r w:rsidR="00124E9C" w:rsidRPr="00CB09D5">
              <w:rPr>
                <w:lang w:val="en-GB"/>
              </w:rPr>
              <w:t>1</w:t>
            </w:r>
            <w:r w:rsidR="00F12A83" w:rsidRPr="00CB09D5">
              <w:rPr>
                <w:lang w:val="en-GB"/>
              </w:rPr>
              <w:t xml:space="preserve">% </w:t>
            </w:r>
            <w:r w:rsidR="00AB2FF7" w:rsidRPr="00CB09D5">
              <w:rPr>
                <w:lang w:val="en-GB"/>
              </w:rPr>
              <w:t>in the final quarter</w:t>
            </w:r>
            <w:r w:rsidR="00310ADB" w:rsidRPr="00CB09D5">
              <w:rPr>
                <w:lang w:val="en-GB"/>
              </w:rPr>
              <w:t>)</w:t>
            </w:r>
            <w:r w:rsidR="00F12A83" w:rsidRPr="00CB09D5">
              <w:rPr>
                <w:lang w:val="en-GB"/>
              </w:rPr>
              <w:t xml:space="preserve">. </w:t>
            </w:r>
            <w:r w:rsidR="000A68A2" w:rsidRPr="00CB09D5">
              <w:rPr>
                <w:lang w:val="en-GB"/>
              </w:rPr>
              <w:t xml:space="preserve">Raised prices in the division of coke and refined oil products as well as the moderation </w:t>
            </w:r>
            <w:r w:rsidR="00495456" w:rsidRPr="00CB09D5">
              <w:rPr>
                <w:lang w:val="en-GB"/>
              </w:rPr>
              <w:t>of</w:t>
            </w:r>
            <w:r w:rsidR="000A68A2" w:rsidRPr="00CB09D5">
              <w:rPr>
                <w:lang w:val="en-GB"/>
              </w:rPr>
              <w:t xml:space="preserve"> the fall of prices of food products assisted this development</w:t>
            </w:r>
            <w:r w:rsidR="00F12A83" w:rsidRPr="00CB09D5">
              <w:rPr>
                <w:lang w:val="en-GB"/>
              </w:rPr>
              <w:t xml:space="preserve">. </w:t>
            </w:r>
            <w:r w:rsidR="000A68A2" w:rsidRPr="00CB09D5">
              <w:rPr>
                <w:lang w:val="en-GB"/>
              </w:rPr>
              <w:t>Marked drop of the prices in the category of mining and quarrying prevailed, reflecti</w:t>
            </w:r>
            <w:r w:rsidR="00C10EC1" w:rsidRPr="00CB09D5">
              <w:rPr>
                <w:lang w:val="en-GB"/>
              </w:rPr>
              <w:t>ng</w:t>
            </w:r>
            <w:r w:rsidR="000A68A2" w:rsidRPr="00CB09D5">
              <w:rPr>
                <w:lang w:val="en-GB"/>
              </w:rPr>
              <w:t xml:space="preserve"> a higher supply of materials from China as well as the deflection of developed countries from using solid fossil fuels. </w:t>
            </w:r>
            <w:r w:rsidR="00B84E5C" w:rsidRPr="00CB09D5">
              <w:rPr>
                <w:lang w:val="en-GB"/>
              </w:rPr>
              <w:t>Prices of construction works grew</w:t>
            </w:r>
            <w:r w:rsidR="00124E9C" w:rsidRPr="00CB09D5">
              <w:rPr>
                <w:lang w:val="en-GB"/>
              </w:rPr>
              <w:t xml:space="preserve"> by an average year pace of 1.1</w:t>
            </w:r>
            <w:r w:rsidR="00B84E5C" w:rsidRPr="00CB09D5">
              <w:rPr>
                <w:lang w:val="en-GB"/>
              </w:rPr>
              <w:t xml:space="preserve">%. </w:t>
            </w:r>
            <w:r w:rsidR="0070009B" w:rsidRPr="00CB09D5">
              <w:rPr>
                <w:lang w:val="en-GB"/>
              </w:rPr>
              <w:t xml:space="preserve">Prices of </w:t>
            </w:r>
            <w:r w:rsidR="00C10EC1" w:rsidRPr="00CB09D5">
              <w:rPr>
                <w:lang w:val="en-GB"/>
              </w:rPr>
              <w:t>bui</w:t>
            </w:r>
            <w:r w:rsidR="00A47C74" w:rsidRPr="00CB09D5">
              <w:rPr>
                <w:lang w:val="en-GB"/>
              </w:rPr>
              <w:t>l</w:t>
            </w:r>
            <w:r w:rsidR="00C10EC1" w:rsidRPr="00CB09D5">
              <w:rPr>
                <w:lang w:val="en-GB"/>
              </w:rPr>
              <w:t>dings</w:t>
            </w:r>
            <w:r w:rsidR="0070009B" w:rsidRPr="00CB09D5">
              <w:rPr>
                <w:lang w:val="en-GB"/>
              </w:rPr>
              <w:t xml:space="preserve"> and engineering </w:t>
            </w:r>
            <w:r w:rsidR="00A47C74" w:rsidRPr="00CB09D5">
              <w:rPr>
                <w:lang w:val="en-GB"/>
              </w:rPr>
              <w:t>structures</w:t>
            </w:r>
            <w:r w:rsidR="0070009B" w:rsidRPr="00CB09D5">
              <w:rPr>
                <w:lang w:val="en-GB"/>
              </w:rPr>
              <w:t xml:space="preserve"> recorded the same growth. </w:t>
            </w:r>
            <w:r w:rsidR="00F12A83" w:rsidRPr="00CB09D5">
              <w:rPr>
                <w:lang w:val="en-GB"/>
              </w:rPr>
              <w:t xml:space="preserve"> </w:t>
            </w:r>
          </w:p>
          <w:p w:rsidR="00F12A83" w:rsidRPr="009500E9" w:rsidRDefault="00F12A83" w:rsidP="008A03DE">
            <w:pPr>
              <w:pStyle w:val="Textpoznpodarou"/>
              <w:ind w:right="-35"/>
              <w:jc w:val="both"/>
              <w:rPr>
                <w:sz w:val="17"/>
                <w:szCs w:val="17"/>
                <w:lang w:val="en-GB"/>
              </w:rPr>
            </w:pPr>
          </w:p>
        </w:tc>
      </w:tr>
      <w:tr w:rsidR="00F12A83" w:rsidRPr="00CB09D5" w:rsidTr="00CC2A1E">
        <w:tc>
          <w:tcPr>
            <w:tcW w:w="988" w:type="pct"/>
            <w:gridSpan w:val="2"/>
          </w:tcPr>
          <w:p w:rsidR="00F12A83" w:rsidRPr="00CB09D5" w:rsidRDefault="000F06EF" w:rsidP="000F06EF">
            <w:pPr>
              <w:spacing w:line="240" w:lineRule="auto"/>
              <w:ind w:right="-19"/>
              <w:rPr>
                <w:sz w:val="16"/>
                <w:szCs w:val="16"/>
                <w:lang w:val="en-GB"/>
              </w:rPr>
            </w:pPr>
            <w:r w:rsidRPr="00CB09D5">
              <w:rPr>
                <w:sz w:val="16"/>
                <w:szCs w:val="16"/>
                <w:lang w:val="en-GB"/>
              </w:rPr>
              <w:t xml:space="preserve">Industrial producer prices were falling in the EU year-on-year in the first three quarters, but the increase of oil prices manifested towards the end of the year </w:t>
            </w:r>
            <w:r w:rsidR="00D24299" w:rsidRPr="00CB09D5">
              <w:rPr>
                <w:sz w:val="16"/>
                <w:szCs w:val="16"/>
                <w:lang w:val="en-GB"/>
              </w:rPr>
              <w:t>a</w:t>
            </w:r>
            <w:r w:rsidR="00DC333E" w:rsidRPr="00CB09D5">
              <w:rPr>
                <w:sz w:val="16"/>
                <w:szCs w:val="16"/>
                <w:lang w:val="en-GB"/>
              </w:rPr>
              <w:t xml:space="preserve">nd the development at least partially turned to growth. </w:t>
            </w:r>
          </w:p>
        </w:tc>
        <w:tc>
          <w:tcPr>
            <w:tcW w:w="144" w:type="pct"/>
          </w:tcPr>
          <w:p w:rsidR="00F12A83" w:rsidRPr="00CB09D5" w:rsidRDefault="00F12A83" w:rsidP="00D94859">
            <w:pPr>
              <w:pStyle w:val="Textpoznpodarou"/>
              <w:jc w:val="both"/>
              <w:rPr>
                <w:lang w:val="en-GB"/>
              </w:rPr>
            </w:pPr>
          </w:p>
        </w:tc>
        <w:tc>
          <w:tcPr>
            <w:tcW w:w="3868" w:type="pct"/>
            <w:gridSpan w:val="4"/>
          </w:tcPr>
          <w:p w:rsidR="00F12A83" w:rsidRPr="00CB09D5" w:rsidRDefault="0033463E" w:rsidP="008A03DE">
            <w:pPr>
              <w:pStyle w:val="Textpoznpodarou"/>
              <w:ind w:right="-35"/>
              <w:jc w:val="both"/>
              <w:rPr>
                <w:sz w:val="16"/>
                <w:szCs w:val="16"/>
                <w:lang w:val="en-GB"/>
              </w:rPr>
            </w:pPr>
            <w:r w:rsidRPr="00CB09D5">
              <w:rPr>
                <w:lang w:val="en-GB"/>
              </w:rPr>
              <w:t xml:space="preserve">EU industrial producer prices featured similar dynamics as in the </w:t>
            </w:r>
            <w:r w:rsidRPr="00CB5695">
              <w:rPr>
                <w:rFonts w:cs="Arial"/>
                <w:lang w:val="en-GB"/>
              </w:rPr>
              <w:t xml:space="preserve">Czech Republic during the year </w:t>
            </w:r>
            <w:r w:rsidR="00F12A83" w:rsidRPr="00CB5695">
              <w:rPr>
                <w:rFonts w:cs="Arial"/>
                <w:lang w:val="en-GB"/>
              </w:rPr>
              <w:t>2016</w:t>
            </w:r>
            <w:r w:rsidRPr="00CB5695">
              <w:rPr>
                <w:rFonts w:cs="Arial"/>
                <w:lang w:val="en-GB"/>
              </w:rPr>
              <w:t xml:space="preserve">. </w:t>
            </w:r>
            <w:r w:rsidR="00754593" w:rsidRPr="00CB5695">
              <w:rPr>
                <w:rFonts w:cs="Arial"/>
                <w:lang w:val="en-GB"/>
              </w:rPr>
              <w:t>Year-on-year changes of</w:t>
            </w:r>
            <w:r w:rsidR="00CB5695" w:rsidRPr="00CB5695">
              <w:rPr>
                <w:rFonts w:cs="Arial"/>
                <w:lang w:val="en-GB"/>
              </w:rPr>
              <w:t xml:space="preserve"> prices were negative in the EU</w:t>
            </w:r>
            <w:r w:rsidR="00CB5695">
              <w:rPr>
                <w:rFonts w:cs="Arial"/>
                <w:lang w:val="en-GB"/>
              </w:rPr>
              <w:t>-</w:t>
            </w:r>
            <w:r w:rsidR="00754593" w:rsidRPr="00CB5695">
              <w:rPr>
                <w:rFonts w:cs="Arial"/>
                <w:lang w:val="en-GB"/>
              </w:rPr>
              <w:t>28 in Q</w:t>
            </w:r>
            <w:r w:rsidR="00F12A83" w:rsidRPr="00CB5695">
              <w:rPr>
                <w:rFonts w:cs="Arial"/>
                <w:lang w:val="en-GB"/>
              </w:rPr>
              <w:t>1</w:t>
            </w:r>
            <w:r w:rsidR="00754593" w:rsidRPr="00CB5695">
              <w:rPr>
                <w:rFonts w:cs="Arial"/>
                <w:lang w:val="en-GB"/>
              </w:rPr>
              <w:t xml:space="preserve"> to Q</w:t>
            </w:r>
            <w:r w:rsidR="00F12A83" w:rsidRPr="00CB5695">
              <w:rPr>
                <w:rFonts w:cs="Arial"/>
                <w:lang w:val="en-GB"/>
              </w:rPr>
              <w:t>3</w:t>
            </w:r>
            <w:r w:rsidR="00754593" w:rsidRPr="00CB5695">
              <w:rPr>
                <w:rFonts w:cs="Arial"/>
                <w:lang w:val="en-GB"/>
              </w:rPr>
              <w:t xml:space="preserve"> </w:t>
            </w:r>
            <w:r w:rsidR="00F12A83" w:rsidRPr="00CB5695">
              <w:rPr>
                <w:rFonts w:cs="Arial"/>
                <w:lang w:val="en-GB"/>
              </w:rPr>
              <w:t>(</w:t>
            </w:r>
            <w:r w:rsidR="004D4F13" w:rsidRPr="00CB5695">
              <w:rPr>
                <w:rFonts w:cs="Arial"/>
                <w:lang w:val="en-GB"/>
              </w:rPr>
              <w:t>-</w:t>
            </w:r>
            <w:r w:rsidR="00F12A83" w:rsidRPr="00CB5695">
              <w:rPr>
                <w:rFonts w:cs="Arial"/>
                <w:lang w:val="en-GB"/>
              </w:rPr>
              <w:t>3</w:t>
            </w:r>
            <w:r w:rsidR="00754593" w:rsidRPr="00CB5695">
              <w:rPr>
                <w:rFonts w:cs="Arial"/>
                <w:lang w:val="en-GB"/>
              </w:rPr>
              <w:t>.</w:t>
            </w:r>
            <w:r w:rsidR="00AF2536" w:rsidRPr="00CB5695">
              <w:rPr>
                <w:rFonts w:cs="Arial"/>
                <w:lang w:val="en-GB"/>
              </w:rPr>
              <w:t>7</w:t>
            </w:r>
            <w:r w:rsidR="00F12A83" w:rsidRPr="00CB5695">
              <w:rPr>
                <w:rFonts w:cs="Arial"/>
                <w:lang w:val="en-GB"/>
              </w:rPr>
              <w:t xml:space="preserve">%, </w:t>
            </w:r>
            <w:r w:rsidR="004D4F13" w:rsidRPr="00CB5695">
              <w:rPr>
                <w:rFonts w:cs="Arial"/>
                <w:lang w:val="en-GB"/>
              </w:rPr>
              <w:t>-</w:t>
            </w:r>
            <w:r w:rsidR="00D24299" w:rsidRPr="00CB5695">
              <w:rPr>
                <w:rFonts w:cs="Arial"/>
                <w:lang w:val="en-GB"/>
              </w:rPr>
              <w:t>3</w:t>
            </w:r>
            <w:r w:rsidR="00754593" w:rsidRPr="00CB5695">
              <w:rPr>
                <w:rFonts w:cs="Arial"/>
                <w:lang w:val="en-GB"/>
              </w:rPr>
              <w:t>.</w:t>
            </w:r>
            <w:r w:rsidR="00124E9C" w:rsidRPr="00CB5695">
              <w:rPr>
                <w:rFonts w:cs="Arial"/>
                <w:lang w:val="en-GB"/>
              </w:rPr>
              <w:t>6</w:t>
            </w:r>
            <w:r w:rsidR="00D24299" w:rsidRPr="00CB5695">
              <w:rPr>
                <w:rFonts w:cs="Arial"/>
                <w:lang w:val="en-GB"/>
              </w:rPr>
              <w:t>% a</w:t>
            </w:r>
            <w:r w:rsidR="00754593" w:rsidRPr="00CB5695">
              <w:rPr>
                <w:rFonts w:cs="Arial"/>
                <w:lang w:val="en-GB"/>
              </w:rPr>
              <w:t>nd</w:t>
            </w:r>
            <w:r w:rsidR="00D24299" w:rsidRPr="00CB5695">
              <w:rPr>
                <w:rFonts w:cs="Arial"/>
                <w:lang w:val="en-GB"/>
              </w:rPr>
              <w:t xml:space="preserve"> </w:t>
            </w:r>
            <w:r w:rsidR="004D4F13" w:rsidRPr="00CB5695">
              <w:rPr>
                <w:rFonts w:cs="Arial"/>
                <w:lang w:val="en-GB"/>
              </w:rPr>
              <w:t>-</w:t>
            </w:r>
            <w:r w:rsidR="00F12A83" w:rsidRPr="00CB5695">
              <w:rPr>
                <w:rFonts w:cs="Arial"/>
                <w:lang w:val="en-GB"/>
              </w:rPr>
              <w:t>1</w:t>
            </w:r>
            <w:r w:rsidR="00754593" w:rsidRPr="00CB5695">
              <w:rPr>
                <w:rFonts w:cs="Arial"/>
                <w:lang w:val="en-GB"/>
              </w:rPr>
              <w:t>.</w:t>
            </w:r>
            <w:r w:rsidR="00124E9C" w:rsidRPr="00CB5695">
              <w:rPr>
                <w:rFonts w:cs="Arial"/>
                <w:lang w:val="en-GB"/>
              </w:rPr>
              <w:t>6</w:t>
            </w:r>
            <w:r w:rsidR="00F12A83" w:rsidRPr="00CB5695">
              <w:rPr>
                <w:rFonts w:cs="Arial"/>
                <w:lang w:val="en-GB"/>
              </w:rPr>
              <w:t>%) a</w:t>
            </w:r>
            <w:r w:rsidR="00124E9C" w:rsidRPr="00CB5695">
              <w:rPr>
                <w:rFonts w:cs="Arial"/>
                <w:lang w:val="en-GB"/>
              </w:rPr>
              <w:t>nd they rose by 1.1</w:t>
            </w:r>
            <w:r w:rsidR="00754593" w:rsidRPr="00CB5695">
              <w:rPr>
                <w:rFonts w:cs="Arial"/>
                <w:lang w:val="en-GB"/>
              </w:rPr>
              <w:t>% in the final</w:t>
            </w:r>
            <w:r w:rsidR="00754593" w:rsidRPr="00CB09D5">
              <w:rPr>
                <w:lang w:val="en-GB"/>
              </w:rPr>
              <w:t xml:space="preserve"> quarter. </w:t>
            </w:r>
            <w:r w:rsidR="00AB2EE8" w:rsidRPr="00CB09D5">
              <w:rPr>
                <w:lang w:val="en-GB"/>
              </w:rPr>
              <w:t>The group of countries where the indust</w:t>
            </w:r>
            <w:r w:rsidR="00DC7928" w:rsidRPr="00CB09D5">
              <w:rPr>
                <w:lang w:val="en-GB"/>
              </w:rPr>
              <w:t>ri</w:t>
            </w:r>
            <w:r w:rsidR="00AB2EE8" w:rsidRPr="00CB09D5">
              <w:rPr>
                <w:lang w:val="en-GB"/>
              </w:rPr>
              <w:t xml:space="preserve">al producer prices again grow year-on-year thus significantly enlarged in Q4. </w:t>
            </w:r>
            <w:r w:rsidR="000F06EF" w:rsidRPr="00CB09D5">
              <w:rPr>
                <w:lang w:val="en-GB"/>
              </w:rPr>
              <w:t>Prices were not</w:t>
            </w:r>
            <w:r w:rsidR="00DC7928" w:rsidRPr="00CB09D5">
              <w:rPr>
                <w:lang w:val="en-GB"/>
              </w:rPr>
              <w:t>a</w:t>
            </w:r>
            <w:r w:rsidR="000F06EF" w:rsidRPr="00CB09D5">
              <w:rPr>
                <w:lang w:val="en-GB"/>
              </w:rPr>
              <w:t xml:space="preserve">bly raised in Great Britain </w:t>
            </w:r>
            <w:r w:rsidR="00AF2536" w:rsidRPr="00CB09D5">
              <w:rPr>
                <w:lang w:val="en-GB"/>
              </w:rPr>
              <w:t>(+5</w:t>
            </w:r>
            <w:r w:rsidR="000F06EF" w:rsidRPr="00CB09D5">
              <w:rPr>
                <w:lang w:val="en-GB"/>
              </w:rPr>
              <w:t>.</w:t>
            </w:r>
            <w:r w:rsidR="00124E9C" w:rsidRPr="00CB09D5">
              <w:rPr>
                <w:lang w:val="en-GB"/>
              </w:rPr>
              <w:t>6</w:t>
            </w:r>
            <w:r w:rsidR="00AF2536" w:rsidRPr="00CB09D5">
              <w:rPr>
                <w:lang w:val="en-GB"/>
              </w:rPr>
              <w:t xml:space="preserve">%), </w:t>
            </w:r>
            <w:r w:rsidR="000F06EF" w:rsidRPr="00CB09D5">
              <w:rPr>
                <w:lang w:val="en-GB"/>
              </w:rPr>
              <w:t xml:space="preserve">in Belgium </w:t>
            </w:r>
            <w:r w:rsidR="00AF2536" w:rsidRPr="00CB09D5">
              <w:rPr>
                <w:lang w:val="en-GB"/>
              </w:rPr>
              <w:t>(+4</w:t>
            </w:r>
            <w:r w:rsidR="000F06EF" w:rsidRPr="00CB09D5">
              <w:rPr>
                <w:lang w:val="en-GB"/>
              </w:rPr>
              <w:t>.</w:t>
            </w:r>
            <w:r w:rsidR="00AF2536" w:rsidRPr="00CB09D5">
              <w:rPr>
                <w:lang w:val="en-GB"/>
              </w:rPr>
              <w:t>8</w:t>
            </w:r>
            <w:r w:rsidR="00F12A83" w:rsidRPr="00CB09D5">
              <w:rPr>
                <w:lang w:val="en-GB"/>
              </w:rPr>
              <w:t xml:space="preserve">%) </w:t>
            </w:r>
            <w:r w:rsidR="00DC7928" w:rsidRPr="00CB09D5">
              <w:rPr>
                <w:lang w:val="en-GB"/>
              </w:rPr>
              <w:t>or in Sweden (</w:t>
            </w:r>
            <w:r w:rsidR="00F12A83" w:rsidRPr="00CB09D5">
              <w:rPr>
                <w:lang w:val="en-GB"/>
              </w:rPr>
              <w:t>+3</w:t>
            </w:r>
            <w:r w:rsidR="00DC7928" w:rsidRPr="00CB09D5">
              <w:rPr>
                <w:lang w:val="en-GB"/>
              </w:rPr>
              <w:t>.</w:t>
            </w:r>
            <w:r w:rsidR="00124E9C" w:rsidRPr="00CB09D5">
              <w:rPr>
                <w:lang w:val="en-GB"/>
              </w:rPr>
              <w:t>2</w:t>
            </w:r>
            <w:r w:rsidR="00F12A83" w:rsidRPr="00CB09D5">
              <w:rPr>
                <w:lang w:val="en-GB"/>
              </w:rPr>
              <w:t xml:space="preserve">%). </w:t>
            </w:r>
            <w:r w:rsidR="00FB6D4A" w:rsidRPr="00CB09D5">
              <w:rPr>
                <w:lang w:val="en-GB"/>
              </w:rPr>
              <w:t>The Czech Republic still remains among countries,</w:t>
            </w:r>
            <w:r w:rsidR="00F12A83" w:rsidRPr="00CB09D5">
              <w:rPr>
                <w:lang w:val="en-GB"/>
              </w:rPr>
              <w:t xml:space="preserve"> </w:t>
            </w:r>
            <w:r w:rsidR="00FB6D4A" w:rsidRPr="00CB09D5">
              <w:rPr>
                <w:lang w:val="en-GB"/>
              </w:rPr>
              <w:t xml:space="preserve">where the industrial producers experience deflation. </w:t>
            </w:r>
            <w:r w:rsidR="00F12A83" w:rsidRPr="00CB09D5">
              <w:rPr>
                <w:lang w:val="en-GB"/>
              </w:rPr>
              <w:t xml:space="preserve"> </w:t>
            </w:r>
            <w:r w:rsidR="00E37E7D" w:rsidRPr="00CB09D5">
              <w:rPr>
                <w:lang w:val="en-GB"/>
              </w:rPr>
              <w:t xml:space="preserve">Only Luxembourg </w:t>
            </w:r>
            <w:r w:rsidR="004D4F13" w:rsidRPr="00CB09D5">
              <w:rPr>
                <w:lang w:val="en-GB"/>
              </w:rPr>
              <w:t>(-</w:t>
            </w:r>
            <w:r w:rsidR="00F12A83" w:rsidRPr="00CB09D5">
              <w:rPr>
                <w:lang w:val="en-GB"/>
              </w:rPr>
              <w:t>6</w:t>
            </w:r>
            <w:r w:rsidR="00E37E7D" w:rsidRPr="00CB09D5">
              <w:rPr>
                <w:lang w:val="en-GB"/>
              </w:rPr>
              <w:t>.</w:t>
            </w:r>
            <w:r w:rsidR="00124E9C" w:rsidRPr="00CB09D5">
              <w:rPr>
                <w:lang w:val="en-GB"/>
              </w:rPr>
              <w:t>7</w:t>
            </w:r>
            <w:r w:rsidR="00F12A83" w:rsidRPr="00CB09D5">
              <w:rPr>
                <w:lang w:val="en-GB"/>
              </w:rPr>
              <w:t>%), Slov</w:t>
            </w:r>
            <w:r w:rsidR="00E37E7D" w:rsidRPr="00CB09D5">
              <w:rPr>
                <w:lang w:val="en-GB"/>
              </w:rPr>
              <w:t xml:space="preserve">akia </w:t>
            </w:r>
            <w:r w:rsidR="00F12A83" w:rsidRPr="00CB09D5">
              <w:rPr>
                <w:lang w:val="en-GB"/>
              </w:rPr>
              <w:t>(</w:t>
            </w:r>
            <w:r w:rsidR="00D24299" w:rsidRPr="00CB09D5">
              <w:rPr>
                <w:lang w:val="en-GB"/>
              </w:rPr>
              <w:t>-</w:t>
            </w:r>
            <w:r w:rsidR="00F12A83" w:rsidRPr="00CB09D5">
              <w:rPr>
                <w:lang w:val="en-GB"/>
              </w:rPr>
              <w:t>2</w:t>
            </w:r>
            <w:r w:rsidR="00E37E7D" w:rsidRPr="00CB09D5">
              <w:rPr>
                <w:lang w:val="en-GB"/>
              </w:rPr>
              <w:t>.</w:t>
            </w:r>
            <w:r w:rsidR="00124E9C" w:rsidRPr="00CB09D5">
              <w:rPr>
                <w:lang w:val="en-GB"/>
              </w:rPr>
              <w:t>4</w:t>
            </w:r>
            <w:r w:rsidR="00F12A83" w:rsidRPr="00CB09D5">
              <w:rPr>
                <w:lang w:val="en-GB"/>
              </w:rPr>
              <w:t>%), L</w:t>
            </w:r>
            <w:r w:rsidR="00E37E7D" w:rsidRPr="00CB09D5">
              <w:rPr>
                <w:lang w:val="en-GB"/>
              </w:rPr>
              <w:t xml:space="preserve">atvia </w:t>
            </w:r>
            <w:r w:rsidR="00F12A83" w:rsidRPr="00CB09D5">
              <w:rPr>
                <w:lang w:val="en-GB"/>
              </w:rPr>
              <w:t>(</w:t>
            </w:r>
            <w:r w:rsidR="004D4F13" w:rsidRPr="00CB09D5">
              <w:rPr>
                <w:lang w:val="en-GB"/>
              </w:rPr>
              <w:t>-</w:t>
            </w:r>
            <w:r w:rsidR="00D24299" w:rsidRPr="00CB09D5">
              <w:rPr>
                <w:lang w:val="en-GB"/>
              </w:rPr>
              <w:t>2</w:t>
            </w:r>
            <w:r w:rsidR="00E37E7D" w:rsidRPr="00CB09D5">
              <w:rPr>
                <w:lang w:val="en-GB"/>
              </w:rPr>
              <w:t>.</w:t>
            </w:r>
            <w:r w:rsidR="00124E9C" w:rsidRPr="00CB09D5">
              <w:rPr>
                <w:lang w:val="en-GB"/>
              </w:rPr>
              <w:t>2</w:t>
            </w:r>
            <w:r w:rsidR="00D24299" w:rsidRPr="00CB09D5">
              <w:rPr>
                <w:lang w:val="en-GB"/>
              </w:rPr>
              <w:t>%) a</w:t>
            </w:r>
            <w:r w:rsidR="00E37E7D" w:rsidRPr="00CB09D5">
              <w:rPr>
                <w:lang w:val="en-GB"/>
              </w:rPr>
              <w:t xml:space="preserve">nd Croatia </w:t>
            </w:r>
            <w:r w:rsidR="00F12A83" w:rsidRPr="00CB09D5">
              <w:rPr>
                <w:lang w:val="en-GB"/>
              </w:rPr>
              <w:t>(</w:t>
            </w:r>
            <w:r w:rsidR="004D4F13" w:rsidRPr="00CB09D5">
              <w:rPr>
                <w:lang w:val="en-GB"/>
              </w:rPr>
              <w:t>-</w:t>
            </w:r>
            <w:r w:rsidR="00F12A83" w:rsidRPr="00CB09D5">
              <w:rPr>
                <w:lang w:val="en-GB"/>
              </w:rPr>
              <w:t>1</w:t>
            </w:r>
            <w:r w:rsidR="00E37E7D" w:rsidRPr="00CB09D5">
              <w:rPr>
                <w:lang w:val="en-GB"/>
              </w:rPr>
              <w:t>.</w:t>
            </w:r>
            <w:r w:rsidR="00124E9C" w:rsidRPr="00CB09D5">
              <w:rPr>
                <w:lang w:val="en-GB"/>
              </w:rPr>
              <w:t>5</w:t>
            </w:r>
            <w:r w:rsidR="00F12A83" w:rsidRPr="00CB09D5">
              <w:rPr>
                <w:lang w:val="en-GB"/>
              </w:rPr>
              <w:t>%)</w:t>
            </w:r>
            <w:r w:rsidR="00E37E7D" w:rsidRPr="00CB09D5">
              <w:rPr>
                <w:lang w:val="en-GB"/>
              </w:rPr>
              <w:t xml:space="preserve"> overtook it in the fall</w:t>
            </w:r>
            <w:r w:rsidR="00F12A83" w:rsidRPr="00CB09D5">
              <w:rPr>
                <w:lang w:val="en-GB"/>
              </w:rPr>
              <w:t xml:space="preserve">. </w:t>
            </w:r>
          </w:p>
          <w:p w:rsidR="00F12A83" w:rsidRPr="009500E9" w:rsidRDefault="00F12A83" w:rsidP="008A03DE">
            <w:pPr>
              <w:pStyle w:val="Textpoznpodarou"/>
              <w:ind w:right="-35"/>
              <w:jc w:val="both"/>
              <w:rPr>
                <w:sz w:val="17"/>
                <w:szCs w:val="17"/>
                <w:lang w:val="en-GB"/>
              </w:rPr>
            </w:pPr>
          </w:p>
        </w:tc>
      </w:tr>
      <w:tr w:rsidR="00F12A83" w:rsidRPr="00CB09D5" w:rsidTr="00CC2A1E">
        <w:tc>
          <w:tcPr>
            <w:tcW w:w="988" w:type="pct"/>
            <w:gridSpan w:val="2"/>
          </w:tcPr>
          <w:p w:rsidR="00F12A83" w:rsidRPr="00CB09D5" w:rsidRDefault="005B7F75" w:rsidP="00F12A83">
            <w:pPr>
              <w:spacing w:line="240" w:lineRule="auto"/>
              <w:ind w:right="-19"/>
              <w:rPr>
                <w:sz w:val="16"/>
                <w:szCs w:val="16"/>
                <w:lang w:val="en-GB"/>
              </w:rPr>
            </w:pPr>
            <w:r w:rsidRPr="00CB09D5">
              <w:rPr>
                <w:sz w:val="16"/>
                <w:szCs w:val="16"/>
                <w:lang w:val="en-GB"/>
              </w:rPr>
              <w:t xml:space="preserve">Agricultural producer prices were </w:t>
            </w:r>
            <w:r w:rsidR="009D1796" w:rsidRPr="00CB09D5">
              <w:rPr>
                <w:sz w:val="16"/>
                <w:szCs w:val="16"/>
                <w:lang w:val="en-GB"/>
              </w:rPr>
              <w:t>falling</w:t>
            </w:r>
            <w:r w:rsidRPr="00CB09D5">
              <w:rPr>
                <w:sz w:val="16"/>
                <w:szCs w:val="16"/>
                <w:lang w:val="en-GB"/>
              </w:rPr>
              <w:t>. The</w:t>
            </w:r>
            <w:r w:rsidR="007274A9" w:rsidRPr="00CB09D5">
              <w:rPr>
                <w:sz w:val="16"/>
                <w:szCs w:val="16"/>
                <w:lang w:val="en-GB"/>
              </w:rPr>
              <w:t xml:space="preserve"> fall of the prices of animal production slowed down during the year. </w:t>
            </w:r>
          </w:p>
        </w:tc>
        <w:tc>
          <w:tcPr>
            <w:tcW w:w="144" w:type="pct"/>
          </w:tcPr>
          <w:p w:rsidR="00F12A83" w:rsidRPr="00CB09D5" w:rsidRDefault="00F12A83" w:rsidP="00D94859">
            <w:pPr>
              <w:pStyle w:val="Textpoznpodarou"/>
              <w:jc w:val="both"/>
              <w:rPr>
                <w:lang w:val="en-GB"/>
              </w:rPr>
            </w:pPr>
          </w:p>
        </w:tc>
        <w:tc>
          <w:tcPr>
            <w:tcW w:w="3868" w:type="pct"/>
            <w:gridSpan w:val="4"/>
          </w:tcPr>
          <w:p w:rsidR="00F12A83" w:rsidRPr="00CB09D5" w:rsidRDefault="007274A9" w:rsidP="008A03DE">
            <w:pPr>
              <w:pStyle w:val="Textpoznpodarou"/>
              <w:ind w:right="-35"/>
              <w:jc w:val="both"/>
              <w:rPr>
                <w:sz w:val="16"/>
                <w:szCs w:val="16"/>
                <w:lang w:val="en-GB"/>
              </w:rPr>
            </w:pPr>
            <w:r w:rsidRPr="00CB09D5">
              <w:rPr>
                <w:lang w:val="en-GB"/>
              </w:rPr>
              <w:t xml:space="preserve">Prices of agricultural production were falling year-on-year for the whole year. </w:t>
            </w:r>
            <w:r w:rsidR="009D1796" w:rsidRPr="00CB09D5">
              <w:rPr>
                <w:lang w:val="en-GB"/>
              </w:rPr>
              <w:t xml:space="preserve">They thus continued in the trend from the previous two years (with the short exception of autumn </w:t>
            </w:r>
            <w:r w:rsidR="00F12A83" w:rsidRPr="00CB09D5">
              <w:rPr>
                <w:lang w:val="en-GB"/>
              </w:rPr>
              <w:t xml:space="preserve">2015). </w:t>
            </w:r>
            <w:r w:rsidR="002F0457" w:rsidRPr="00CB09D5">
              <w:rPr>
                <w:lang w:val="en-GB"/>
              </w:rPr>
              <w:t xml:space="preserve">In contrast to other monitored price indices, their development did not signal much the change of this trend during the year. </w:t>
            </w:r>
            <w:r w:rsidR="00E525BD" w:rsidRPr="00CB09D5">
              <w:rPr>
                <w:lang w:val="en-GB"/>
              </w:rPr>
              <w:t>Ye</w:t>
            </w:r>
            <w:r w:rsidR="00124E9C" w:rsidRPr="00CB09D5">
              <w:rPr>
                <w:lang w:val="en-GB"/>
              </w:rPr>
              <w:t>ar-on-year declines reached 2.9%, 6.9%, 5.7% and 4</w:t>
            </w:r>
            <w:r w:rsidR="00E525BD" w:rsidRPr="00CB09D5">
              <w:rPr>
                <w:lang w:val="en-GB"/>
              </w:rPr>
              <w:t xml:space="preserve">% during Q1 till Q4 2016. In total the prices of both </w:t>
            </w:r>
            <w:r w:rsidR="00B33D0C" w:rsidRPr="00CB09D5">
              <w:rPr>
                <w:lang w:val="en-GB"/>
              </w:rPr>
              <w:t>plant</w:t>
            </w:r>
            <w:r w:rsidR="00E525BD" w:rsidRPr="00CB09D5">
              <w:rPr>
                <w:lang w:val="en-GB"/>
              </w:rPr>
              <w:t xml:space="preserve"> and animal production were also falling. </w:t>
            </w:r>
            <w:r w:rsidR="00B33D0C" w:rsidRPr="00CB09D5">
              <w:rPr>
                <w:lang w:val="en-GB"/>
              </w:rPr>
              <w:t>The prices of pl</w:t>
            </w:r>
            <w:r w:rsidR="00124E9C" w:rsidRPr="00CB09D5">
              <w:rPr>
                <w:lang w:val="en-GB"/>
              </w:rPr>
              <w:t>ant production increased by 3.9</w:t>
            </w:r>
            <w:r w:rsidR="00B33D0C" w:rsidRPr="00CB09D5">
              <w:rPr>
                <w:lang w:val="en-GB"/>
              </w:rPr>
              <w:t>% in Q1 of</w:t>
            </w:r>
            <w:r w:rsidR="00124E9C" w:rsidRPr="00CB09D5">
              <w:rPr>
                <w:lang w:val="en-GB"/>
              </w:rPr>
              <w:t xml:space="preserve"> the year, but they fell by 3.2%, 5.3% and 5.7</w:t>
            </w:r>
            <w:r w:rsidR="00B33D0C" w:rsidRPr="00CB09D5">
              <w:rPr>
                <w:lang w:val="en-GB"/>
              </w:rPr>
              <w:t xml:space="preserve">% in the following quarters of the year. The slump of prices of plant production excluding fruits and vegetables was even higher. On the contrary, the year-on-year fall of the prices of animal production was slowing down during the year. The year-on-year increase of prices of </w:t>
            </w:r>
            <w:r w:rsidR="007846DB" w:rsidRPr="00CB09D5">
              <w:rPr>
                <w:lang w:val="en-GB"/>
              </w:rPr>
              <w:t xml:space="preserve">farm animals </w:t>
            </w:r>
            <w:r w:rsidR="00124E9C" w:rsidRPr="00CB09D5">
              <w:rPr>
                <w:lang w:val="en-GB"/>
              </w:rPr>
              <w:t>by 2% and 3.5</w:t>
            </w:r>
            <w:r w:rsidR="00AF6684" w:rsidRPr="00CB09D5">
              <w:rPr>
                <w:lang w:val="en-GB"/>
              </w:rPr>
              <w:t xml:space="preserve">% in the second half of the year had an effect here. The slowdown of the fall </w:t>
            </w:r>
            <w:r w:rsidR="006D06BF" w:rsidRPr="00CB09D5">
              <w:rPr>
                <w:lang w:val="en-GB"/>
              </w:rPr>
              <w:t>of the prices of milk from 15.9% in Q1 to 6.5</w:t>
            </w:r>
            <w:r w:rsidR="00AF6684" w:rsidRPr="00CB09D5">
              <w:rPr>
                <w:lang w:val="en-GB"/>
              </w:rPr>
              <w:t xml:space="preserve">% in the last quarter of 2016 as well.  </w:t>
            </w:r>
            <w:r w:rsidR="00F12A83" w:rsidRPr="00CB09D5">
              <w:rPr>
                <w:lang w:val="en-GB"/>
              </w:rPr>
              <w:t xml:space="preserve">  </w:t>
            </w:r>
          </w:p>
          <w:p w:rsidR="00F12A83" w:rsidRPr="009500E9" w:rsidRDefault="00F12A83" w:rsidP="008A03DE">
            <w:pPr>
              <w:pStyle w:val="Textpoznpodarou"/>
              <w:ind w:right="-35"/>
              <w:jc w:val="both"/>
              <w:rPr>
                <w:sz w:val="17"/>
                <w:szCs w:val="17"/>
                <w:lang w:val="en-GB"/>
              </w:rPr>
            </w:pPr>
          </w:p>
        </w:tc>
      </w:tr>
      <w:tr w:rsidR="00F12A83" w:rsidRPr="00CB09D5" w:rsidTr="00CC2A1E">
        <w:tc>
          <w:tcPr>
            <w:tcW w:w="988" w:type="pct"/>
            <w:gridSpan w:val="2"/>
          </w:tcPr>
          <w:p w:rsidR="00F12A83" w:rsidRPr="00CB09D5" w:rsidRDefault="00DB74ED" w:rsidP="00DB74ED">
            <w:pPr>
              <w:spacing w:line="240" w:lineRule="auto"/>
              <w:ind w:right="-19"/>
              <w:rPr>
                <w:sz w:val="16"/>
                <w:szCs w:val="16"/>
                <w:lang w:val="en-GB"/>
              </w:rPr>
            </w:pPr>
            <w:r w:rsidRPr="00CB09D5">
              <w:rPr>
                <w:sz w:val="16"/>
                <w:szCs w:val="16"/>
                <w:lang w:val="en-GB"/>
              </w:rPr>
              <w:t xml:space="preserve">Prices of market services remained at nearly constant level during </w:t>
            </w:r>
            <w:r w:rsidR="00F12A83" w:rsidRPr="00CB09D5">
              <w:rPr>
                <w:sz w:val="16"/>
                <w:szCs w:val="16"/>
                <w:lang w:val="en-GB"/>
              </w:rPr>
              <w:t>2016.</w:t>
            </w:r>
          </w:p>
        </w:tc>
        <w:tc>
          <w:tcPr>
            <w:tcW w:w="144" w:type="pct"/>
          </w:tcPr>
          <w:p w:rsidR="00F12A83" w:rsidRPr="00CB09D5" w:rsidRDefault="00F12A83" w:rsidP="00D94859">
            <w:pPr>
              <w:pStyle w:val="Textpoznpodarou"/>
              <w:jc w:val="both"/>
              <w:rPr>
                <w:lang w:val="en-GB"/>
              </w:rPr>
            </w:pPr>
          </w:p>
        </w:tc>
        <w:tc>
          <w:tcPr>
            <w:tcW w:w="3868" w:type="pct"/>
            <w:gridSpan w:val="4"/>
          </w:tcPr>
          <w:p w:rsidR="00F12A83" w:rsidRPr="00CB09D5" w:rsidRDefault="00DB74ED" w:rsidP="008A03DE">
            <w:pPr>
              <w:pStyle w:val="Textpoznpodarou"/>
              <w:ind w:right="-35"/>
              <w:jc w:val="both"/>
              <w:rPr>
                <w:sz w:val="16"/>
                <w:szCs w:val="16"/>
                <w:lang w:val="en-GB"/>
              </w:rPr>
            </w:pPr>
            <w:r w:rsidRPr="00CB09D5">
              <w:rPr>
                <w:lang w:val="en-GB"/>
              </w:rPr>
              <w:t xml:space="preserve">Prices of market services stagnated in </w:t>
            </w:r>
            <w:r w:rsidR="00F12A83" w:rsidRPr="00CB09D5">
              <w:rPr>
                <w:lang w:val="en-GB"/>
              </w:rPr>
              <w:t>2016</w:t>
            </w:r>
            <w:r w:rsidRPr="00CB09D5">
              <w:rPr>
                <w:lang w:val="en-GB"/>
              </w:rPr>
              <w:t xml:space="preserve"> </w:t>
            </w:r>
            <w:r w:rsidR="00F12A83" w:rsidRPr="00CB09D5">
              <w:rPr>
                <w:lang w:val="en-GB"/>
              </w:rPr>
              <w:t>a</w:t>
            </w:r>
            <w:r w:rsidRPr="00CB09D5">
              <w:rPr>
                <w:lang w:val="en-GB"/>
              </w:rPr>
              <w:t>nd continued thus in the trend from the</w:t>
            </w:r>
            <w:r w:rsidR="00F12A83" w:rsidRPr="00CB09D5">
              <w:rPr>
                <w:lang w:val="en-GB"/>
              </w:rPr>
              <w:t xml:space="preserve"> p</w:t>
            </w:r>
            <w:r w:rsidRPr="00CB09D5">
              <w:rPr>
                <w:lang w:val="en-GB"/>
              </w:rPr>
              <w:t>revious year. They increased by an average yea</w:t>
            </w:r>
            <w:r w:rsidR="006D06BF" w:rsidRPr="00CB09D5">
              <w:rPr>
                <w:lang w:val="en-GB"/>
              </w:rPr>
              <w:t>r-on-year rate of growth of 0.1</w:t>
            </w:r>
            <w:r w:rsidRPr="00CB09D5">
              <w:rPr>
                <w:lang w:val="en-GB"/>
              </w:rPr>
              <w:t xml:space="preserve">% since the beginning of the year. </w:t>
            </w:r>
            <w:r w:rsidR="00442FD6" w:rsidRPr="00CB09D5">
              <w:rPr>
                <w:lang w:val="en-GB"/>
              </w:rPr>
              <w:t>Prices remained at a cons</w:t>
            </w:r>
            <w:r w:rsidR="001C6024" w:rsidRPr="00CB09D5">
              <w:rPr>
                <w:lang w:val="en-GB"/>
              </w:rPr>
              <w:t>tant level in majority of divisions</w:t>
            </w:r>
            <w:r w:rsidR="00442FD6" w:rsidRPr="00CB09D5">
              <w:rPr>
                <w:lang w:val="en-GB"/>
              </w:rPr>
              <w:t xml:space="preserve"> of the classification of market services, still some exceptions </w:t>
            </w:r>
            <w:r w:rsidR="00442FD6" w:rsidRPr="00CB09D5">
              <w:rPr>
                <w:lang w:val="en-GB"/>
              </w:rPr>
              <w:lastRenderedPageBreak/>
              <w:t xml:space="preserve">occurred. </w:t>
            </w:r>
            <w:r w:rsidR="00977EAC" w:rsidRPr="00CB09D5">
              <w:rPr>
                <w:lang w:val="en-GB"/>
              </w:rPr>
              <w:t xml:space="preserve">Costs for services in the area of land and pipe transportation were lowering year-on-year during the whole year. </w:t>
            </w:r>
            <w:r w:rsidR="00641849" w:rsidRPr="00CB09D5">
              <w:rPr>
                <w:lang w:val="en-GB"/>
              </w:rPr>
              <w:t>Even tho</w:t>
            </w:r>
            <w:r w:rsidR="006D06BF" w:rsidRPr="00CB09D5">
              <w:rPr>
                <w:lang w:val="en-GB"/>
              </w:rPr>
              <w:t>ugh their fall reduced from 1.3% in Q1 to 0.5</w:t>
            </w:r>
            <w:r w:rsidR="00641849" w:rsidRPr="00CB09D5">
              <w:rPr>
                <w:lang w:val="en-GB"/>
              </w:rPr>
              <w:t xml:space="preserve">% in Q4 during the year. Prices of advertising services and the market survey recorded already traditional growth </w:t>
            </w:r>
            <w:r w:rsidR="00F12A83" w:rsidRPr="00CB09D5">
              <w:rPr>
                <w:lang w:val="en-GB"/>
              </w:rPr>
              <w:t>(0</w:t>
            </w:r>
            <w:r w:rsidR="00641849" w:rsidRPr="00CB09D5">
              <w:rPr>
                <w:lang w:val="en-GB"/>
              </w:rPr>
              <w:t>.</w:t>
            </w:r>
            <w:r w:rsidR="006D06BF" w:rsidRPr="00CB09D5">
              <w:rPr>
                <w:lang w:val="en-GB"/>
              </w:rPr>
              <w:t>2%, 2</w:t>
            </w:r>
            <w:r w:rsidR="00F12A83" w:rsidRPr="00CB09D5">
              <w:rPr>
                <w:lang w:val="en-GB"/>
              </w:rPr>
              <w:t>%, 2</w:t>
            </w:r>
            <w:r w:rsidR="00641849" w:rsidRPr="00CB09D5">
              <w:rPr>
                <w:lang w:val="en-GB"/>
              </w:rPr>
              <w:t>.</w:t>
            </w:r>
            <w:r w:rsidR="006D06BF" w:rsidRPr="00CB09D5">
              <w:rPr>
                <w:lang w:val="en-GB"/>
              </w:rPr>
              <w:t>8</w:t>
            </w:r>
            <w:r w:rsidR="00F12A83" w:rsidRPr="00CB09D5">
              <w:rPr>
                <w:lang w:val="en-GB"/>
              </w:rPr>
              <w:t>% a</w:t>
            </w:r>
            <w:r w:rsidR="00641849" w:rsidRPr="00CB09D5">
              <w:rPr>
                <w:lang w:val="en-GB"/>
              </w:rPr>
              <w:t>nd</w:t>
            </w:r>
            <w:r w:rsidR="006D06BF" w:rsidRPr="00CB09D5">
              <w:rPr>
                <w:lang w:val="en-GB"/>
              </w:rPr>
              <w:t xml:space="preserve"> 1</w:t>
            </w:r>
            <w:r w:rsidR="00F12A83" w:rsidRPr="00CB09D5">
              <w:rPr>
                <w:lang w:val="en-GB"/>
              </w:rPr>
              <w:t xml:space="preserve">% </w:t>
            </w:r>
            <w:r w:rsidR="00641849" w:rsidRPr="00CB09D5">
              <w:rPr>
                <w:lang w:val="en-GB"/>
              </w:rPr>
              <w:t>in individual quarters of the year</w:t>
            </w:r>
            <w:r w:rsidR="00DF046A" w:rsidRPr="00CB09D5">
              <w:rPr>
                <w:lang w:val="en-GB"/>
              </w:rPr>
              <w:t xml:space="preserve">). Prices of postal and courier services, whose growth was strengthening during the year, can also be mentioned </w:t>
            </w:r>
            <w:r w:rsidR="00F12A83" w:rsidRPr="00CB09D5">
              <w:rPr>
                <w:lang w:val="en-GB"/>
              </w:rPr>
              <w:t>(</w:t>
            </w:r>
            <w:r w:rsidR="00DF046A" w:rsidRPr="00CB09D5">
              <w:rPr>
                <w:lang w:val="en-GB"/>
              </w:rPr>
              <w:t xml:space="preserve">from </w:t>
            </w:r>
            <w:r w:rsidR="00F12A83" w:rsidRPr="00CB09D5">
              <w:rPr>
                <w:lang w:val="en-GB"/>
              </w:rPr>
              <w:t>2</w:t>
            </w:r>
            <w:r w:rsidR="00DF046A" w:rsidRPr="00CB09D5">
              <w:rPr>
                <w:lang w:val="en-GB"/>
              </w:rPr>
              <w:t>.</w:t>
            </w:r>
            <w:r w:rsidR="00610504" w:rsidRPr="00CB09D5">
              <w:rPr>
                <w:lang w:val="en-GB"/>
              </w:rPr>
              <w:t>2</w:t>
            </w:r>
            <w:r w:rsidR="00F12A83" w:rsidRPr="00CB09D5">
              <w:rPr>
                <w:lang w:val="en-GB"/>
              </w:rPr>
              <w:t>%</w:t>
            </w:r>
            <w:r w:rsidR="00D24299" w:rsidRPr="00CB09D5">
              <w:rPr>
                <w:lang w:val="en-GB"/>
              </w:rPr>
              <w:t xml:space="preserve"> </w:t>
            </w:r>
            <w:r w:rsidR="00DF046A" w:rsidRPr="00CB09D5">
              <w:rPr>
                <w:lang w:val="en-GB"/>
              </w:rPr>
              <w:t>in Q</w:t>
            </w:r>
            <w:r w:rsidR="00F12A83" w:rsidRPr="00CB09D5">
              <w:rPr>
                <w:lang w:val="en-GB"/>
              </w:rPr>
              <w:t>1</w:t>
            </w:r>
            <w:r w:rsidR="00DF046A" w:rsidRPr="00CB09D5">
              <w:rPr>
                <w:lang w:val="en-GB"/>
              </w:rPr>
              <w:t xml:space="preserve"> to </w:t>
            </w:r>
            <w:r w:rsidR="00F12A83" w:rsidRPr="00CB09D5">
              <w:rPr>
                <w:lang w:val="en-GB"/>
              </w:rPr>
              <w:t>5</w:t>
            </w:r>
            <w:r w:rsidR="00DF046A" w:rsidRPr="00CB09D5">
              <w:rPr>
                <w:lang w:val="en-GB"/>
              </w:rPr>
              <w:t>.</w:t>
            </w:r>
            <w:r w:rsidR="00610504" w:rsidRPr="00CB09D5">
              <w:rPr>
                <w:lang w:val="en-GB"/>
              </w:rPr>
              <w:t>6</w:t>
            </w:r>
            <w:r w:rsidR="00F12A83" w:rsidRPr="00CB09D5">
              <w:rPr>
                <w:lang w:val="en-GB"/>
              </w:rPr>
              <w:t>% s</w:t>
            </w:r>
            <w:r w:rsidR="00DF046A" w:rsidRPr="00CB09D5">
              <w:rPr>
                <w:lang w:val="en-GB"/>
              </w:rPr>
              <w:t>imilarly in Q</w:t>
            </w:r>
            <w:r w:rsidR="00F12A83" w:rsidRPr="00CB09D5">
              <w:rPr>
                <w:lang w:val="en-GB"/>
              </w:rPr>
              <w:t>3</w:t>
            </w:r>
            <w:r w:rsidR="00DF046A" w:rsidRPr="00CB09D5">
              <w:rPr>
                <w:lang w:val="en-GB"/>
              </w:rPr>
              <w:t xml:space="preserve"> and Q</w:t>
            </w:r>
            <w:r w:rsidR="00F12A83" w:rsidRPr="00CB09D5">
              <w:rPr>
                <w:lang w:val="en-GB"/>
              </w:rPr>
              <w:t>4</w:t>
            </w:r>
            <w:r w:rsidR="00DF046A" w:rsidRPr="00CB09D5">
              <w:rPr>
                <w:lang w:val="en-GB"/>
              </w:rPr>
              <w:t xml:space="preserve"> </w:t>
            </w:r>
            <w:r w:rsidR="00F12A83" w:rsidRPr="00CB09D5">
              <w:rPr>
                <w:lang w:val="en-GB"/>
              </w:rPr>
              <w:t>2016).</w:t>
            </w:r>
          </w:p>
          <w:p w:rsidR="00F12A83" w:rsidRPr="009500E9" w:rsidRDefault="00F12A83" w:rsidP="008A03DE">
            <w:pPr>
              <w:pStyle w:val="Textpoznpodarou"/>
              <w:ind w:right="-35"/>
              <w:jc w:val="both"/>
              <w:rPr>
                <w:sz w:val="17"/>
                <w:szCs w:val="17"/>
                <w:lang w:val="en-GB"/>
              </w:rPr>
            </w:pPr>
          </w:p>
        </w:tc>
      </w:tr>
      <w:tr w:rsidR="00F12A83" w:rsidRPr="00CB09D5" w:rsidTr="00CC2A1E">
        <w:tc>
          <w:tcPr>
            <w:tcW w:w="988" w:type="pct"/>
            <w:gridSpan w:val="2"/>
          </w:tcPr>
          <w:p w:rsidR="00F12A83" w:rsidRPr="00CB09D5" w:rsidRDefault="006555FE" w:rsidP="00F12A83">
            <w:pPr>
              <w:spacing w:line="240" w:lineRule="auto"/>
              <w:ind w:right="-19"/>
              <w:rPr>
                <w:sz w:val="16"/>
                <w:szCs w:val="16"/>
                <w:lang w:val="en-GB"/>
              </w:rPr>
            </w:pPr>
            <w:r w:rsidRPr="00CB09D5">
              <w:rPr>
                <w:sz w:val="16"/>
                <w:szCs w:val="16"/>
                <w:lang w:val="en-GB"/>
              </w:rPr>
              <w:lastRenderedPageBreak/>
              <w:t>Price</w:t>
            </w:r>
            <w:r w:rsidR="004B7A90" w:rsidRPr="00CB09D5">
              <w:rPr>
                <w:sz w:val="16"/>
                <w:szCs w:val="16"/>
                <w:lang w:val="en-GB"/>
              </w:rPr>
              <w:t>s</w:t>
            </w:r>
            <w:r w:rsidRPr="00CB09D5">
              <w:rPr>
                <w:sz w:val="16"/>
                <w:szCs w:val="16"/>
                <w:lang w:val="en-GB"/>
              </w:rPr>
              <w:t xml:space="preserve"> of exports were falling, but the pace </w:t>
            </w:r>
            <w:r w:rsidR="004B7A90" w:rsidRPr="00CB09D5">
              <w:rPr>
                <w:sz w:val="16"/>
                <w:szCs w:val="16"/>
                <w:lang w:val="en-GB"/>
              </w:rPr>
              <w:t xml:space="preserve">was slowing down. </w:t>
            </w:r>
          </w:p>
        </w:tc>
        <w:tc>
          <w:tcPr>
            <w:tcW w:w="144" w:type="pct"/>
          </w:tcPr>
          <w:p w:rsidR="00F12A83" w:rsidRPr="00CB09D5" w:rsidRDefault="00F12A83" w:rsidP="00D94859">
            <w:pPr>
              <w:pStyle w:val="Textpoznpodarou"/>
              <w:jc w:val="both"/>
              <w:rPr>
                <w:lang w:val="en-GB"/>
              </w:rPr>
            </w:pPr>
          </w:p>
        </w:tc>
        <w:tc>
          <w:tcPr>
            <w:tcW w:w="3868" w:type="pct"/>
            <w:gridSpan w:val="4"/>
          </w:tcPr>
          <w:p w:rsidR="00F12A83" w:rsidRPr="00CB09D5" w:rsidRDefault="004B7A90" w:rsidP="008A03DE">
            <w:pPr>
              <w:pStyle w:val="Textpoznpodarou"/>
              <w:ind w:right="-35"/>
              <w:jc w:val="both"/>
              <w:rPr>
                <w:sz w:val="16"/>
                <w:szCs w:val="16"/>
                <w:lang w:val="en-GB"/>
              </w:rPr>
            </w:pPr>
            <w:r w:rsidRPr="00CB09D5">
              <w:rPr>
                <w:lang w:val="en-GB"/>
              </w:rPr>
              <w:t xml:space="preserve">The prices of exports were falling during the year, but the pace of the year-on-year decrease was slowing down </w:t>
            </w:r>
            <w:r w:rsidR="00F12A83" w:rsidRPr="00CB09D5">
              <w:rPr>
                <w:lang w:val="en-GB"/>
              </w:rPr>
              <w:t>(</w:t>
            </w:r>
            <w:r w:rsidR="004D4F13" w:rsidRPr="00CB09D5">
              <w:rPr>
                <w:lang w:val="en-GB"/>
              </w:rPr>
              <w:t>-</w:t>
            </w:r>
            <w:r w:rsidR="00F12A83" w:rsidRPr="00CB09D5">
              <w:rPr>
                <w:lang w:val="en-GB"/>
              </w:rPr>
              <w:t>4</w:t>
            </w:r>
            <w:r w:rsidRPr="00CB09D5">
              <w:rPr>
                <w:lang w:val="en-GB"/>
              </w:rPr>
              <w:t>.</w:t>
            </w:r>
            <w:r w:rsidR="00610504" w:rsidRPr="00CB09D5">
              <w:rPr>
                <w:lang w:val="en-GB"/>
              </w:rPr>
              <w:t>2</w:t>
            </w:r>
            <w:r w:rsidR="00F12A83" w:rsidRPr="00CB09D5">
              <w:rPr>
                <w:lang w:val="en-GB"/>
              </w:rPr>
              <w:t xml:space="preserve">%, </w:t>
            </w:r>
            <w:r w:rsidR="004D4F13" w:rsidRPr="00CB09D5">
              <w:rPr>
                <w:lang w:val="en-GB"/>
              </w:rPr>
              <w:t>-</w:t>
            </w:r>
            <w:r w:rsidR="00F12A83" w:rsidRPr="00CB09D5">
              <w:rPr>
                <w:lang w:val="en-GB"/>
              </w:rPr>
              <w:t>4</w:t>
            </w:r>
            <w:r w:rsidRPr="00CB09D5">
              <w:rPr>
                <w:lang w:val="en-GB"/>
              </w:rPr>
              <w:t>.</w:t>
            </w:r>
            <w:r w:rsidR="00610504" w:rsidRPr="00CB09D5">
              <w:rPr>
                <w:lang w:val="en-GB"/>
              </w:rPr>
              <w:t>3</w:t>
            </w:r>
            <w:r w:rsidR="00F12A83" w:rsidRPr="00CB09D5">
              <w:rPr>
                <w:lang w:val="en-GB"/>
              </w:rPr>
              <w:t xml:space="preserve">%, </w:t>
            </w:r>
            <w:r w:rsidR="004D4F13" w:rsidRPr="00CB09D5">
              <w:rPr>
                <w:lang w:val="en-GB"/>
              </w:rPr>
              <w:t>-</w:t>
            </w:r>
            <w:r w:rsidR="00F12A83" w:rsidRPr="00CB09D5">
              <w:rPr>
                <w:lang w:val="en-GB"/>
              </w:rPr>
              <w:t>2</w:t>
            </w:r>
            <w:r w:rsidRPr="00CB09D5">
              <w:rPr>
                <w:lang w:val="en-GB"/>
              </w:rPr>
              <w:t>.</w:t>
            </w:r>
            <w:r w:rsidR="00610504" w:rsidRPr="00CB09D5">
              <w:rPr>
                <w:lang w:val="en-GB"/>
              </w:rPr>
              <w:t>7</w:t>
            </w:r>
            <w:r w:rsidR="00F12A83" w:rsidRPr="00CB09D5">
              <w:rPr>
                <w:lang w:val="en-GB"/>
              </w:rPr>
              <w:t>% a</w:t>
            </w:r>
            <w:r w:rsidRPr="00CB09D5">
              <w:rPr>
                <w:lang w:val="en-GB"/>
              </w:rPr>
              <w:t>nd</w:t>
            </w:r>
            <w:r w:rsidR="00F12A83" w:rsidRPr="00CB09D5">
              <w:rPr>
                <w:lang w:val="en-GB"/>
              </w:rPr>
              <w:t xml:space="preserve"> </w:t>
            </w:r>
            <w:r w:rsidR="004D4F13" w:rsidRPr="00CB09D5">
              <w:rPr>
                <w:lang w:val="en-GB"/>
              </w:rPr>
              <w:t>-</w:t>
            </w:r>
            <w:r w:rsidR="00F12A83" w:rsidRPr="00CB09D5">
              <w:rPr>
                <w:lang w:val="en-GB"/>
              </w:rPr>
              <w:t>1</w:t>
            </w:r>
            <w:r w:rsidRPr="00CB09D5">
              <w:rPr>
                <w:lang w:val="en-GB"/>
              </w:rPr>
              <w:t>.</w:t>
            </w:r>
            <w:r w:rsidR="00610504" w:rsidRPr="00CB09D5">
              <w:rPr>
                <w:lang w:val="en-GB"/>
              </w:rPr>
              <w:t>3</w:t>
            </w:r>
            <w:r w:rsidR="00F12A83" w:rsidRPr="00CB09D5">
              <w:rPr>
                <w:lang w:val="en-GB"/>
              </w:rPr>
              <w:t xml:space="preserve">% </w:t>
            </w:r>
            <w:r w:rsidRPr="00CB09D5">
              <w:rPr>
                <w:lang w:val="en-GB"/>
              </w:rPr>
              <w:t>in individual quarters</w:t>
            </w:r>
            <w:r w:rsidR="00F12A83" w:rsidRPr="00CB09D5">
              <w:rPr>
                <w:lang w:val="en-GB"/>
              </w:rPr>
              <w:t xml:space="preserve">). </w:t>
            </w:r>
            <w:r w:rsidR="009D57D7" w:rsidRPr="00CB09D5">
              <w:rPr>
                <w:lang w:val="en-GB"/>
              </w:rPr>
              <w:t xml:space="preserve">It was assisted by the development of prices of inedible materials </w:t>
            </w:r>
            <w:r w:rsidR="00F12A83" w:rsidRPr="00CB09D5">
              <w:rPr>
                <w:lang w:val="en-GB"/>
              </w:rPr>
              <w:t>(</w:t>
            </w:r>
            <w:r w:rsidR="004D4F13" w:rsidRPr="00CB09D5">
              <w:rPr>
                <w:lang w:val="en-GB"/>
              </w:rPr>
              <w:t>-</w:t>
            </w:r>
            <w:r w:rsidR="00F12A83" w:rsidRPr="00CB09D5">
              <w:rPr>
                <w:lang w:val="en-GB"/>
              </w:rPr>
              <w:t>13</w:t>
            </w:r>
            <w:r w:rsidR="009D57D7" w:rsidRPr="00CB09D5">
              <w:rPr>
                <w:lang w:val="en-GB"/>
              </w:rPr>
              <w:t>.</w:t>
            </w:r>
            <w:r w:rsidR="00610504" w:rsidRPr="00CB09D5">
              <w:rPr>
                <w:lang w:val="en-GB"/>
              </w:rPr>
              <w:t>4</w:t>
            </w:r>
            <w:r w:rsidR="00F12A83" w:rsidRPr="00CB09D5">
              <w:rPr>
                <w:lang w:val="en-GB"/>
              </w:rPr>
              <w:t xml:space="preserve">%, </w:t>
            </w:r>
            <w:r w:rsidR="004D4F13" w:rsidRPr="00CB09D5">
              <w:rPr>
                <w:lang w:val="en-GB"/>
              </w:rPr>
              <w:t>-</w:t>
            </w:r>
            <w:r w:rsidR="00F12A83" w:rsidRPr="00CB09D5">
              <w:rPr>
                <w:lang w:val="en-GB"/>
              </w:rPr>
              <w:t>12</w:t>
            </w:r>
            <w:r w:rsidR="009D57D7" w:rsidRPr="00CB09D5">
              <w:rPr>
                <w:lang w:val="en-GB"/>
              </w:rPr>
              <w:t>.</w:t>
            </w:r>
            <w:r w:rsidR="00610504" w:rsidRPr="00CB09D5">
              <w:rPr>
                <w:lang w:val="en-GB"/>
              </w:rPr>
              <w:t>2</w:t>
            </w:r>
            <w:r w:rsidR="00F12A83" w:rsidRPr="00CB09D5">
              <w:rPr>
                <w:lang w:val="en-GB"/>
              </w:rPr>
              <w:t xml:space="preserve">%, </w:t>
            </w:r>
            <w:r w:rsidR="004D4F13" w:rsidRPr="00CB09D5">
              <w:rPr>
                <w:lang w:val="en-GB"/>
              </w:rPr>
              <w:t>-</w:t>
            </w:r>
            <w:r w:rsidR="00F12A83" w:rsidRPr="00CB09D5">
              <w:rPr>
                <w:lang w:val="en-GB"/>
              </w:rPr>
              <w:t>7</w:t>
            </w:r>
            <w:r w:rsidR="009D57D7" w:rsidRPr="00CB09D5">
              <w:rPr>
                <w:lang w:val="en-GB"/>
              </w:rPr>
              <w:t>.</w:t>
            </w:r>
            <w:r w:rsidR="00610504" w:rsidRPr="00CB09D5">
              <w:rPr>
                <w:lang w:val="en-GB"/>
              </w:rPr>
              <w:t>1</w:t>
            </w:r>
            <w:r w:rsidR="00F12A83" w:rsidRPr="00CB09D5">
              <w:rPr>
                <w:lang w:val="en-GB"/>
              </w:rPr>
              <w:t>% a</w:t>
            </w:r>
            <w:r w:rsidR="009D57D7" w:rsidRPr="00CB09D5">
              <w:rPr>
                <w:lang w:val="en-GB"/>
              </w:rPr>
              <w:t>nd</w:t>
            </w:r>
            <w:r w:rsidR="00F12A83" w:rsidRPr="00CB09D5">
              <w:rPr>
                <w:lang w:val="en-GB"/>
              </w:rPr>
              <w:t xml:space="preserve"> +1</w:t>
            </w:r>
            <w:r w:rsidR="009D57D7" w:rsidRPr="00CB09D5">
              <w:rPr>
                <w:lang w:val="en-GB"/>
              </w:rPr>
              <w:t>.</w:t>
            </w:r>
            <w:r w:rsidR="00610504" w:rsidRPr="00CB09D5">
              <w:rPr>
                <w:lang w:val="en-GB"/>
              </w:rPr>
              <w:t>1</w:t>
            </w:r>
            <w:r w:rsidR="00F12A83" w:rsidRPr="00CB09D5">
              <w:rPr>
                <w:lang w:val="en-GB"/>
              </w:rPr>
              <w:t>%) a</w:t>
            </w:r>
            <w:r w:rsidR="009D57D7" w:rsidRPr="00CB09D5">
              <w:rPr>
                <w:lang w:val="en-GB"/>
              </w:rPr>
              <w:t>nd mineral fuels</w:t>
            </w:r>
            <w:r w:rsidR="00564DBF" w:rsidRPr="00CB09D5">
              <w:rPr>
                <w:lang w:val="en-GB"/>
              </w:rPr>
              <w:t xml:space="preserve"> </w:t>
            </w:r>
            <w:r w:rsidR="00F12A83" w:rsidRPr="00CB09D5">
              <w:rPr>
                <w:lang w:val="en-GB"/>
              </w:rPr>
              <w:t>(</w:t>
            </w:r>
            <w:r w:rsidR="004D4F13" w:rsidRPr="00CB09D5">
              <w:rPr>
                <w:lang w:val="en-GB"/>
              </w:rPr>
              <w:t>-</w:t>
            </w:r>
            <w:r w:rsidR="00F12A83" w:rsidRPr="00CB09D5">
              <w:rPr>
                <w:lang w:val="en-GB"/>
              </w:rPr>
              <w:t>19</w:t>
            </w:r>
            <w:r w:rsidR="00564DBF" w:rsidRPr="00CB09D5">
              <w:rPr>
                <w:lang w:val="en-GB"/>
              </w:rPr>
              <w:t>.</w:t>
            </w:r>
            <w:r w:rsidR="00610504" w:rsidRPr="00CB09D5">
              <w:rPr>
                <w:lang w:val="en-GB"/>
              </w:rPr>
              <w:t>0</w:t>
            </w:r>
            <w:r w:rsidR="00F12A83" w:rsidRPr="00CB09D5">
              <w:rPr>
                <w:lang w:val="en-GB"/>
              </w:rPr>
              <w:t xml:space="preserve">%, </w:t>
            </w:r>
            <w:r w:rsidR="004D4F13" w:rsidRPr="00CB09D5">
              <w:rPr>
                <w:lang w:val="en-GB"/>
              </w:rPr>
              <w:t>-</w:t>
            </w:r>
            <w:r w:rsidR="00F12A83" w:rsidRPr="00CB09D5">
              <w:rPr>
                <w:lang w:val="en-GB"/>
              </w:rPr>
              <w:t>17</w:t>
            </w:r>
            <w:r w:rsidR="00564DBF" w:rsidRPr="00CB09D5">
              <w:rPr>
                <w:lang w:val="en-GB"/>
              </w:rPr>
              <w:t>.</w:t>
            </w:r>
            <w:r w:rsidR="00610504" w:rsidRPr="00CB09D5">
              <w:rPr>
                <w:lang w:val="en-GB"/>
              </w:rPr>
              <w:t>3</w:t>
            </w:r>
            <w:r w:rsidR="00F12A83" w:rsidRPr="00CB09D5">
              <w:rPr>
                <w:lang w:val="en-GB"/>
              </w:rPr>
              <w:t xml:space="preserve">%, </w:t>
            </w:r>
            <w:r w:rsidR="004D4F13" w:rsidRPr="00CB09D5">
              <w:rPr>
                <w:lang w:val="en-GB"/>
              </w:rPr>
              <w:t>-</w:t>
            </w:r>
            <w:r w:rsidR="00F12A83" w:rsidRPr="00CB09D5">
              <w:rPr>
                <w:lang w:val="en-GB"/>
              </w:rPr>
              <w:t>13</w:t>
            </w:r>
            <w:r w:rsidR="00564DBF" w:rsidRPr="00CB09D5">
              <w:rPr>
                <w:lang w:val="en-GB"/>
              </w:rPr>
              <w:t>.</w:t>
            </w:r>
            <w:r w:rsidR="00610504" w:rsidRPr="00CB09D5">
              <w:rPr>
                <w:lang w:val="en-GB"/>
              </w:rPr>
              <w:t>6</w:t>
            </w:r>
            <w:r w:rsidR="00F12A83" w:rsidRPr="00CB09D5">
              <w:rPr>
                <w:lang w:val="en-GB"/>
              </w:rPr>
              <w:t>% a</w:t>
            </w:r>
            <w:r w:rsidR="00564DBF" w:rsidRPr="00CB09D5">
              <w:rPr>
                <w:lang w:val="en-GB"/>
              </w:rPr>
              <w:t>nd</w:t>
            </w:r>
            <w:r w:rsidR="00F12A83" w:rsidRPr="00CB09D5">
              <w:rPr>
                <w:lang w:val="en-GB"/>
              </w:rPr>
              <w:t xml:space="preserve"> </w:t>
            </w:r>
            <w:r w:rsidR="004D4F13" w:rsidRPr="00CB09D5">
              <w:rPr>
                <w:lang w:val="en-GB"/>
              </w:rPr>
              <w:t>-</w:t>
            </w:r>
            <w:r w:rsidR="00F12A83" w:rsidRPr="00CB09D5">
              <w:rPr>
                <w:lang w:val="en-GB"/>
              </w:rPr>
              <w:t>1</w:t>
            </w:r>
            <w:r w:rsidR="00564DBF" w:rsidRPr="00CB09D5">
              <w:rPr>
                <w:lang w:val="en-GB"/>
              </w:rPr>
              <w:t>.</w:t>
            </w:r>
            <w:r w:rsidR="00610504" w:rsidRPr="00CB09D5">
              <w:rPr>
                <w:lang w:val="en-GB"/>
              </w:rPr>
              <w:t>3</w:t>
            </w:r>
            <w:r w:rsidR="00F12A83" w:rsidRPr="00CB09D5">
              <w:rPr>
                <w:lang w:val="en-GB"/>
              </w:rPr>
              <w:t xml:space="preserve">%). </w:t>
            </w:r>
            <w:r w:rsidR="006C07D6" w:rsidRPr="00CB09D5">
              <w:rPr>
                <w:lang w:val="en-GB"/>
              </w:rPr>
              <w:t>On the </w:t>
            </w:r>
            <w:r w:rsidR="00BD0BAF" w:rsidRPr="00CB09D5">
              <w:rPr>
                <w:lang w:val="en-GB"/>
              </w:rPr>
              <w:t>contrary, the prices of beverages and tobacco, which grew by a relatively stable pace during the year (</w:t>
            </w:r>
            <w:r w:rsidR="00F12A83" w:rsidRPr="00CB09D5">
              <w:rPr>
                <w:lang w:val="en-GB"/>
              </w:rPr>
              <w:t>1</w:t>
            </w:r>
            <w:r w:rsidR="00BD0BAF" w:rsidRPr="00CB09D5">
              <w:rPr>
                <w:lang w:val="en-GB"/>
              </w:rPr>
              <w:t>.</w:t>
            </w:r>
            <w:r w:rsidR="00610504" w:rsidRPr="00CB09D5">
              <w:rPr>
                <w:lang w:val="en-GB"/>
              </w:rPr>
              <w:t>5</w:t>
            </w:r>
            <w:r w:rsidR="00F12A83" w:rsidRPr="00CB09D5">
              <w:rPr>
                <w:lang w:val="en-GB"/>
              </w:rPr>
              <w:t>%, 2</w:t>
            </w:r>
            <w:r w:rsidR="00BD0BAF" w:rsidRPr="00CB09D5">
              <w:rPr>
                <w:lang w:val="en-GB"/>
              </w:rPr>
              <w:t>.</w:t>
            </w:r>
            <w:r w:rsidR="00610504" w:rsidRPr="00CB09D5">
              <w:rPr>
                <w:lang w:val="en-GB"/>
              </w:rPr>
              <w:t>4</w:t>
            </w:r>
            <w:r w:rsidR="00F12A83" w:rsidRPr="00CB09D5">
              <w:rPr>
                <w:lang w:val="en-GB"/>
              </w:rPr>
              <w:t>%, 2</w:t>
            </w:r>
            <w:r w:rsidR="00BD0BAF" w:rsidRPr="00CB09D5">
              <w:rPr>
                <w:lang w:val="en-GB"/>
              </w:rPr>
              <w:t>.</w:t>
            </w:r>
            <w:r w:rsidR="00F12A83" w:rsidRPr="00CB09D5">
              <w:rPr>
                <w:lang w:val="en-GB"/>
              </w:rPr>
              <w:t xml:space="preserve">6%), </w:t>
            </w:r>
            <w:r w:rsidR="00BD0BAF" w:rsidRPr="00CB09D5">
              <w:rPr>
                <w:lang w:val="en-GB"/>
              </w:rPr>
              <w:t xml:space="preserve">fell year-on-year in the last quarter </w:t>
            </w:r>
            <w:r w:rsidR="004D4F13" w:rsidRPr="00CB09D5">
              <w:rPr>
                <w:lang w:val="en-GB"/>
              </w:rPr>
              <w:t>(-</w:t>
            </w:r>
            <w:r w:rsidR="00F12A83" w:rsidRPr="00CB09D5">
              <w:rPr>
                <w:lang w:val="en-GB"/>
              </w:rPr>
              <w:t>2</w:t>
            </w:r>
            <w:r w:rsidR="00BD0BAF" w:rsidRPr="00CB09D5">
              <w:rPr>
                <w:lang w:val="en-GB"/>
              </w:rPr>
              <w:t>.</w:t>
            </w:r>
            <w:r w:rsidR="00610504" w:rsidRPr="00CB09D5">
              <w:rPr>
                <w:lang w:val="en-GB"/>
              </w:rPr>
              <w:t>4</w:t>
            </w:r>
            <w:r w:rsidR="00F12A83" w:rsidRPr="00CB09D5">
              <w:rPr>
                <w:lang w:val="en-GB"/>
              </w:rPr>
              <w:t xml:space="preserve">%). </w:t>
            </w:r>
          </w:p>
          <w:p w:rsidR="00F12A83" w:rsidRPr="009500E9" w:rsidRDefault="00F12A83" w:rsidP="008A03DE">
            <w:pPr>
              <w:pStyle w:val="Textpoznpodarou"/>
              <w:ind w:right="-35"/>
              <w:jc w:val="both"/>
              <w:rPr>
                <w:sz w:val="17"/>
                <w:szCs w:val="17"/>
                <w:lang w:val="en-GB"/>
              </w:rPr>
            </w:pPr>
          </w:p>
        </w:tc>
      </w:tr>
      <w:tr w:rsidR="00F12A83" w:rsidRPr="00CB09D5" w:rsidTr="00CC2A1E">
        <w:tc>
          <w:tcPr>
            <w:tcW w:w="988" w:type="pct"/>
            <w:gridSpan w:val="2"/>
          </w:tcPr>
          <w:p w:rsidR="00F12A83" w:rsidRPr="00CB09D5" w:rsidRDefault="007E00F7" w:rsidP="00F12A83">
            <w:pPr>
              <w:spacing w:line="240" w:lineRule="auto"/>
              <w:ind w:right="-19"/>
              <w:rPr>
                <w:sz w:val="16"/>
                <w:szCs w:val="16"/>
                <w:lang w:val="en-GB"/>
              </w:rPr>
            </w:pPr>
            <w:r w:rsidRPr="00CB09D5">
              <w:rPr>
                <w:sz w:val="16"/>
                <w:szCs w:val="16"/>
                <w:lang w:val="en-GB"/>
              </w:rPr>
              <w:t xml:space="preserve">Import prices, which created the deflation pressures in the Czech </w:t>
            </w:r>
            <w:r w:rsidR="00F54641" w:rsidRPr="00CB09D5">
              <w:rPr>
                <w:sz w:val="16"/>
                <w:szCs w:val="16"/>
                <w:lang w:val="en-GB"/>
              </w:rPr>
              <w:t>economy</w:t>
            </w:r>
            <w:r w:rsidRPr="00CB09D5">
              <w:rPr>
                <w:sz w:val="16"/>
                <w:szCs w:val="16"/>
                <w:lang w:val="en-GB"/>
              </w:rPr>
              <w:t xml:space="preserve"> in Q1 and </w:t>
            </w:r>
            <w:r w:rsidR="003E42C9">
              <w:rPr>
                <w:sz w:val="16"/>
                <w:szCs w:val="16"/>
                <w:lang w:val="en-GB"/>
              </w:rPr>
              <w:t>Q</w:t>
            </w:r>
            <w:r w:rsidRPr="00CB09D5">
              <w:rPr>
                <w:sz w:val="16"/>
                <w:szCs w:val="16"/>
                <w:lang w:val="en-GB"/>
              </w:rPr>
              <w:t xml:space="preserve">2, </w:t>
            </w:r>
            <w:r w:rsidR="00F54641" w:rsidRPr="00CB09D5">
              <w:rPr>
                <w:sz w:val="16"/>
                <w:szCs w:val="16"/>
                <w:lang w:val="en-GB"/>
              </w:rPr>
              <w:t>ceased</w:t>
            </w:r>
            <w:r w:rsidRPr="00CB09D5">
              <w:rPr>
                <w:sz w:val="16"/>
                <w:szCs w:val="16"/>
                <w:lang w:val="en-GB"/>
              </w:rPr>
              <w:t xml:space="preserve"> </w:t>
            </w:r>
            <w:proofErr w:type="gramStart"/>
            <w:r w:rsidRPr="00CB09D5">
              <w:rPr>
                <w:sz w:val="16"/>
                <w:szCs w:val="16"/>
                <w:lang w:val="en-GB"/>
              </w:rPr>
              <w:t>their descend</w:t>
            </w:r>
            <w:proofErr w:type="gramEnd"/>
            <w:r w:rsidRPr="00CB09D5">
              <w:rPr>
                <w:sz w:val="16"/>
                <w:szCs w:val="16"/>
                <w:lang w:val="en-GB"/>
              </w:rPr>
              <w:t>.</w:t>
            </w:r>
          </w:p>
        </w:tc>
        <w:tc>
          <w:tcPr>
            <w:tcW w:w="144" w:type="pct"/>
          </w:tcPr>
          <w:p w:rsidR="00F12A83" w:rsidRPr="00CB09D5" w:rsidRDefault="00F12A83" w:rsidP="00D94859">
            <w:pPr>
              <w:pStyle w:val="Textpoznpodarou"/>
              <w:jc w:val="both"/>
              <w:rPr>
                <w:lang w:val="en-GB"/>
              </w:rPr>
            </w:pPr>
          </w:p>
        </w:tc>
        <w:tc>
          <w:tcPr>
            <w:tcW w:w="3868" w:type="pct"/>
            <w:gridSpan w:val="4"/>
          </w:tcPr>
          <w:p w:rsidR="00F12A83" w:rsidRPr="00CB09D5" w:rsidRDefault="007E00F7" w:rsidP="008A03DE">
            <w:pPr>
              <w:pStyle w:val="Textpoznpodarou"/>
              <w:ind w:right="-35"/>
              <w:jc w:val="both"/>
              <w:rPr>
                <w:sz w:val="16"/>
                <w:szCs w:val="16"/>
                <w:lang w:val="en-GB"/>
              </w:rPr>
            </w:pPr>
            <w:r w:rsidRPr="00CB09D5">
              <w:rPr>
                <w:lang w:val="en-GB"/>
              </w:rPr>
              <w:t xml:space="preserve">Prices of imports were falling in all four quarters of 2016 </w:t>
            </w:r>
            <w:r w:rsidR="00F12A83" w:rsidRPr="00CB09D5">
              <w:rPr>
                <w:lang w:val="en-GB"/>
              </w:rPr>
              <w:t>(</w:t>
            </w:r>
            <w:r w:rsidR="00EA421A" w:rsidRPr="00CB09D5">
              <w:rPr>
                <w:rFonts w:cs="Arial"/>
                <w:lang w:val="en-GB"/>
              </w:rPr>
              <w:t>-</w:t>
            </w:r>
            <w:r w:rsidR="00F12A83" w:rsidRPr="00CB09D5">
              <w:rPr>
                <w:rFonts w:cs="Arial"/>
                <w:lang w:val="en-GB"/>
              </w:rPr>
              <w:t>5</w:t>
            </w:r>
            <w:r w:rsidRPr="00CB09D5">
              <w:rPr>
                <w:rFonts w:cs="Arial"/>
                <w:lang w:val="en-GB"/>
              </w:rPr>
              <w:t>.</w:t>
            </w:r>
            <w:r w:rsidR="00EE5A5A" w:rsidRPr="00CB09D5">
              <w:rPr>
                <w:rFonts w:cs="Arial"/>
                <w:lang w:val="en-GB"/>
              </w:rPr>
              <w:t>6</w:t>
            </w:r>
            <w:r w:rsidR="00F12A83" w:rsidRPr="00CB09D5">
              <w:rPr>
                <w:rFonts w:cs="Arial"/>
                <w:lang w:val="en-GB"/>
              </w:rPr>
              <w:t xml:space="preserve">%, </w:t>
            </w:r>
            <w:r w:rsidR="00EA421A" w:rsidRPr="00CB09D5">
              <w:rPr>
                <w:rFonts w:cs="Arial"/>
                <w:lang w:val="en-GB"/>
              </w:rPr>
              <w:t>-</w:t>
            </w:r>
            <w:r w:rsidR="00F12A83" w:rsidRPr="00CB09D5">
              <w:rPr>
                <w:rFonts w:cs="Arial"/>
                <w:lang w:val="en-GB"/>
              </w:rPr>
              <w:t>6</w:t>
            </w:r>
            <w:r w:rsidRPr="00CB09D5">
              <w:rPr>
                <w:rFonts w:cs="Arial"/>
                <w:lang w:val="en-GB"/>
              </w:rPr>
              <w:t>.</w:t>
            </w:r>
            <w:r w:rsidR="00EE5A5A" w:rsidRPr="00CB09D5">
              <w:rPr>
                <w:rFonts w:cs="Arial"/>
                <w:lang w:val="en-GB"/>
              </w:rPr>
              <w:t>3</w:t>
            </w:r>
            <w:r w:rsidR="00F12A83" w:rsidRPr="00CB09D5">
              <w:rPr>
                <w:rFonts w:cs="Arial"/>
                <w:lang w:val="en-GB"/>
              </w:rPr>
              <w:t xml:space="preserve">%, </w:t>
            </w:r>
            <w:r w:rsidR="00EA421A" w:rsidRPr="00CB09D5">
              <w:rPr>
                <w:rFonts w:cs="Arial"/>
                <w:lang w:val="en-GB"/>
              </w:rPr>
              <w:t>-</w:t>
            </w:r>
            <w:r w:rsidR="00F12A83" w:rsidRPr="00CB09D5">
              <w:rPr>
                <w:rFonts w:cs="Arial"/>
                <w:lang w:val="en-GB"/>
              </w:rPr>
              <w:t>3</w:t>
            </w:r>
            <w:r w:rsidRPr="00CB09D5">
              <w:rPr>
                <w:rFonts w:cs="Arial"/>
                <w:lang w:val="en-GB"/>
              </w:rPr>
              <w:t>.</w:t>
            </w:r>
            <w:r w:rsidR="00EE5A5A" w:rsidRPr="00CB09D5">
              <w:rPr>
                <w:rFonts w:cs="Arial"/>
                <w:lang w:val="en-GB"/>
              </w:rPr>
              <w:t>7</w:t>
            </w:r>
            <w:r w:rsidR="00F12A83" w:rsidRPr="00CB09D5">
              <w:rPr>
                <w:rFonts w:cs="Arial"/>
                <w:lang w:val="en-GB"/>
              </w:rPr>
              <w:t>% a</w:t>
            </w:r>
            <w:r w:rsidRPr="00CB09D5">
              <w:rPr>
                <w:rFonts w:cs="Arial"/>
                <w:lang w:val="en-GB"/>
              </w:rPr>
              <w:t>nd</w:t>
            </w:r>
            <w:r w:rsidR="004018F7" w:rsidRPr="00CB09D5">
              <w:rPr>
                <w:rFonts w:cs="Arial"/>
                <w:lang w:val="en-GB"/>
              </w:rPr>
              <w:t> </w:t>
            </w:r>
            <w:r w:rsidR="00EA421A" w:rsidRPr="00CB09D5">
              <w:rPr>
                <w:rFonts w:cs="Arial"/>
                <w:lang w:val="en-GB"/>
              </w:rPr>
              <w:noBreakHyphen/>
            </w:r>
            <w:r w:rsidR="00F12A83" w:rsidRPr="00CB09D5">
              <w:rPr>
                <w:rFonts w:cs="Arial"/>
                <w:lang w:val="en-GB"/>
              </w:rPr>
              <w:t>0</w:t>
            </w:r>
            <w:r w:rsidRPr="00CB09D5">
              <w:rPr>
                <w:rFonts w:cs="Arial"/>
                <w:lang w:val="en-GB"/>
              </w:rPr>
              <w:t>.</w:t>
            </w:r>
            <w:r w:rsidR="00F12A83" w:rsidRPr="00CB09D5">
              <w:rPr>
                <w:rFonts w:cs="Arial"/>
                <w:lang w:val="en-GB"/>
              </w:rPr>
              <w:t>4%</w:t>
            </w:r>
            <w:r w:rsidR="00F12A83" w:rsidRPr="00CB09D5">
              <w:rPr>
                <w:lang w:val="en-GB"/>
              </w:rPr>
              <w:t>)</w:t>
            </w:r>
            <w:r w:rsidR="00D24299" w:rsidRPr="00CB09D5">
              <w:rPr>
                <w:lang w:val="en-GB"/>
              </w:rPr>
              <w:t>,</w:t>
            </w:r>
            <w:r w:rsidR="00F12A83" w:rsidRPr="00CB09D5">
              <w:rPr>
                <w:lang w:val="en-GB"/>
              </w:rPr>
              <w:t xml:space="preserve"> </w:t>
            </w:r>
            <w:r w:rsidRPr="00CB09D5">
              <w:rPr>
                <w:lang w:val="en-GB"/>
              </w:rPr>
              <w:t xml:space="preserve">and they presented a significant source of deflationary pressures in the Czech economy mostly in Q1 and </w:t>
            </w:r>
            <w:r w:rsidR="003E42C9">
              <w:rPr>
                <w:lang w:val="en-GB"/>
              </w:rPr>
              <w:t>Q</w:t>
            </w:r>
            <w:r w:rsidRPr="00CB09D5">
              <w:rPr>
                <w:lang w:val="en-GB"/>
              </w:rPr>
              <w:t xml:space="preserve">2. </w:t>
            </w:r>
            <w:r w:rsidR="00F54641" w:rsidRPr="00CB09D5">
              <w:rPr>
                <w:lang w:val="en-GB"/>
              </w:rPr>
              <w:t xml:space="preserve">The decline of prices considerably weakened in the second half of the year and the prices of imports increased for the first time after 18 months year-on-year in December. </w:t>
            </w:r>
            <w:r w:rsidR="000879B9" w:rsidRPr="00CB09D5">
              <w:rPr>
                <w:lang w:val="en-GB"/>
              </w:rPr>
              <w:t xml:space="preserve">Prices of beverages and tobacco </w:t>
            </w:r>
            <w:r w:rsidR="00F12A83" w:rsidRPr="00CB09D5">
              <w:rPr>
                <w:lang w:val="en-GB"/>
              </w:rPr>
              <w:t>(+3</w:t>
            </w:r>
            <w:r w:rsidR="000879B9" w:rsidRPr="00CB09D5">
              <w:rPr>
                <w:lang w:val="en-GB"/>
              </w:rPr>
              <w:t>.</w:t>
            </w:r>
            <w:r w:rsidR="00EE5A5A" w:rsidRPr="00CB09D5">
              <w:rPr>
                <w:lang w:val="en-GB"/>
              </w:rPr>
              <w:t>3</w:t>
            </w:r>
            <w:r w:rsidR="00F12A83" w:rsidRPr="00CB09D5">
              <w:rPr>
                <w:lang w:val="en-GB"/>
              </w:rPr>
              <w:t xml:space="preserve">%), </w:t>
            </w:r>
            <w:r w:rsidR="000879B9" w:rsidRPr="00CB09D5">
              <w:rPr>
                <w:lang w:val="en-GB"/>
              </w:rPr>
              <w:t xml:space="preserve">food and live animals </w:t>
            </w:r>
            <w:r w:rsidR="00F12A83" w:rsidRPr="00CB09D5">
              <w:rPr>
                <w:lang w:val="en-GB"/>
              </w:rPr>
              <w:t>(+2</w:t>
            </w:r>
            <w:r w:rsidR="000879B9" w:rsidRPr="00CB09D5">
              <w:rPr>
                <w:lang w:val="en-GB"/>
              </w:rPr>
              <w:t>.</w:t>
            </w:r>
            <w:r w:rsidR="00EE5A5A" w:rsidRPr="00CB09D5">
              <w:rPr>
                <w:lang w:val="en-GB"/>
              </w:rPr>
              <w:t>8</w:t>
            </w:r>
            <w:r w:rsidR="00F12A83" w:rsidRPr="00CB09D5">
              <w:rPr>
                <w:lang w:val="en-GB"/>
              </w:rPr>
              <w:t>%) a</w:t>
            </w:r>
            <w:r w:rsidR="000879B9" w:rsidRPr="00CB09D5">
              <w:rPr>
                <w:lang w:val="en-GB"/>
              </w:rPr>
              <w:t xml:space="preserve">nd inedible materials </w:t>
            </w:r>
            <w:r w:rsidR="00F12A83" w:rsidRPr="00CB09D5">
              <w:rPr>
                <w:lang w:val="en-GB"/>
              </w:rPr>
              <w:t>(+3</w:t>
            </w:r>
            <w:r w:rsidR="000879B9" w:rsidRPr="00CB09D5">
              <w:rPr>
                <w:lang w:val="en-GB"/>
              </w:rPr>
              <w:t>.</w:t>
            </w:r>
            <w:r w:rsidR="00EE5A5A" w:rsidRPr="00CB09D5">
              <w:rPr>
                <w:lang w:val="en-GB"/>
              </w:rPr>
              <w:t>2</w:t>
            </w:r>
            <w:r w:rsidR="00F12A83" w:rsidRPr="00CB09D5">
              <w:rPr>
                <w:lang w:val="en-GB"/>
              </w:rPr>
              <w:t>%)</w:t>
            </w:r>
            <w:r w:rsidR="000879B9" w:rsidRPr="00CB09D5">
              <w:rPr>
                <w:lang w:val="en-GB"/>
              </w:rPr>
              <w:t xml:space="preserve"> rose more notably in Q4</w:t>
            </w:r>
            <w:r w:rsidR="00F12A83" w:rsidRPr="00CB09D5">
              <w:rPr>
                <w:lang w:val="en-GB"/>
              </w:rPr>
              <w:t xml:space="preserve">. </w:t>
            </w:r>
            <w:r w:rsidR="0049778A" w:rsidRPr="00CB09D5">
              <w:rPr>
                <w:lang w:val="en-GB"/>
              </w:rPr>
              <w:t xml:space="preserve">Prices of imports of mineral fuels and oils considerably fell in first three quarters of </w:t>
            </w:r>
            <w:r w:rsidR="004C2316" w:rsidRPr="00CB09D5">
              <w:rPr>
                <w:lang w:val="en-GB"/>
              </w:rPr>
              <w:t xml:space="preserve">the </w:t>
            </w:r>
            <w:r w:rsidR="0049778A" w:rsidRPr="00CB09D5">
              <w:rPr>
                <w:lang w:val="en-GB"/>
              </w:rPr>
              <w:t xml:space="preserve">year </w:t>
            </w:r>
            <w:r w:rsidR="00F12A83" w:rsidRPr="00CB09D5">
              <w:rPr>
                <w:lang w:val="en-GB"/>
              </w:rPr>
              <w:t>2016 (</w:t>
            </w:r>
            <w:r w:rsidR="00EA421A" w:rsidRPr="00CB09D5">
              <w:rPr>
                <w:lang w:val="en-GB"/>
              </w:rPr>
              <w:t>-32</w:t>
            </w:r>
            <w:r w:rsidR="0049778A" w:rsidRPr="00CB09D5">
              <w:rPr>
                <w:lang w:val="en-GB"/>
              </w:rPr>
              <w:t>.</w:t>
            </w:r>
            <w:r w:rsidR="00EA421A" w:rsidRPr="00CB09D5">
              <w:rPr>
                <w:lang w:val="en-GB"/>
              </w:rPr>
              <w:t>6%, -</w:t>
            </w:r>
            <w:r w:rsidR="00F12A83" w:rsidRPr="00CB09D5">
              <w:rPr>
                <w:lang w:val="en-GB"/>
              </w:rPr>
              <w:t>31</w:t>
            </w:r>
            <w:r w:rsidR="0049778A" w:rsidRPr="00CB09D5">
              <w:rPr>
                <w:lang w:val="en-GB"/>
              </w:rPr>
              <w:t>.</w:t>
            </w:r>
            <w:r w:rsidR="00EE5A5A" w:rsidRPr="00CB09D5">
              <w:rPr>
                <w:lang w:val="en-GB"/>
              </w:rPr>
              <w:t>7</w:t>
            </w:r>
            <w:r w:rsidR="00F12A83" w:rsidRPr="00CB09D5">
              <w:rPr>
                <w:lang w:val="en-GB"/>
              </w:rPr>
              <w:t>% a</w:t>
            </w:r>
            <w:r w:rsidR="0049778A" w:rsidRPr="00CB09D5">
              <w:rPr>
                <w:lang w:val="en-GB"/>
              </w:rPr>
              <w:t>nd</w:t>
            </w:r>
            <w:r w:rsidR="00EA421A" w:rsidRPr="00CB09D5">
              <w:rPr>
                <w:lang w:val="en-GB"/>
              </w:rPr>
              <w:t> -</w:t>
            </w:r>
            <w:r w:rsidR="00F12A83" w:rsidRPr="00CB09D5">
              <w:rPr>
                <w:lang w:val="en-GB"/>
              </w:rPr>
              <w:t>20</w:t>
            </w:r>
            <w:r w:rsidR="0049778A" w:rsidRPr="00CB09D5">
              <w:rPr>
                <w:lang w:val="en-GB"/>
              </w:rPr>
              <w:t>.</w:t>
            </w:r>
            <w:r w:rsidR="00EE5A5A" w:rsidRPr="00CB09D5">
              <w:rPr>
                <w:lang w:val="en-GB"/>
              </w:rPr>
              <w:t>8</w:t>
            </w:r>
            <w:r w:rsidR="00F12A83" w:rsidRPr="00CB09D5">
              <w:rPr>
                <w:lang w:val="en-GB"/>
              </w:rPr>
              <w:t>%)</w:t>
            </w:r>
            <w:r w:rsidR="00D24299" w:rsidRPr="00CB09D5">
              <w:rPr>
                <w:lang w:val="en-GB"/>
              </w:rPr>
              <w:t>, a</w:t>
            </w:r>
            <w:r w:rsidR="0049778A" w:rsidRPr="00CB09D5">
              <w:rPr>
                <w:lang w:val="en-GB"/>
              </w:rPr>
              <w:t xml:space="preserve">nd </w:t>
            </w:r>
            <w:r w:rsidR="006F21A0" w:rsidRPr="00CB09D5">
              <w:rPr>
                <w:lang w:val="en-GB"/>
              </w:rPr>
              <w:t>significantly thus affected the total price level. Their price movement mod</w:t>
            </w:r>
            <w:r w:rsidR="00EE5A5A" w:rsidRPr="00CB09D5">
              <w:rPr>
                <w:lang w:val="en-GB"/>
              </w:rPr>
              <w:t>erated to 1.5</w:t>
            </w:r>
            <w:r w:rsidR="006F21A0" w:rsidRPr="00CB09D5">
              <w:rPr>
                <w:lang w:val="en-GB"/>
              </w:rPr>
              <w:t xml:space="preserve">% decrease in the last quarter, mainly thanks to the December year-on-year increase of </w:t>
            </w:r>
            <w:r w:rsidR="00F12A83" w:rsidRPr="00CB09D5">
              <w:rPr>
                <w:lang w:val="en-GB"/>
              </w:rPr>
              <w:t>12</w:t>
            </w:r>
            <w:r w:rsidR="006F21A0" w:rsidRPr="00CB09D5">
              <w:rPr>
                <w:lang w:val="en-GB"/>
              </w:rPr>
              <w:t>.</w:t>
            </w:r>
            <w:r w:rsidR="00EE5A5A" w:rsidRPr="00CB09D5">
              <w:rPr>
                <w:lang w:val="en-GB"/>
              </w:rPr>
              <w:t>3</w:t>
            </w:r>
            <w:r w:rsidR="00F12A83" w:rsidRPr="00CB09D5">
              <w:rPr>
                <w:lang w:val="en-GB"/>
              </w:rPr>
              <w:t xml:space="preserve">%.  </w:t>
            </w:r>
          </w:p>
          <w:p w:rsidR="00F12A83" w:rsidRPr="009500E9" w:rsidRDefault="00F12A83" w:rsidP="008A03DE">
            <w:pPr>
              <w:pStyle w:val="Textpoznpodarou"/>
              <w:ind w:right="-35"/>
              <w:jc w:val="both"/>
              <w:rPr>
                <w:sz w:val="17"/>
                <w:szCs w:val="17"/>
                <w:lang w:val="en-GB"/>
              </w:rPr>
            </w:pPr>
          </w:p>
        </w:tc>
      </w:tr>
      <w:tr w:rsidR="00F12A83" w:rsidRPr="00CB09D5" w:rsidTr="00CC2A1E">
        <w:tc>
          <w:tcPr>
            <w:tcW w:w="988" w:type="pct"/>
            <w:gridSpan w:val="2"/>
          </w:tcPr>
          <w:p w:rsidR="00F12A83" w:rsidRPr="00CB09D5" w:rsidRDefault="002C7FC5" w:rsidP="002C7FC5">
            <w:pPr>
              <w:spacing w:line="240" w:lineRule="auto"/>
              <w:ind w:right="-19"/>
              <w:rPr>
                <w:sz w:val="16"/>
                <w:szCs w:val="16"/>
                <w:lang w:val="en-GB"/>
              </w:rPr>
            </w:pPr>
            <w:r w:rsidRPr="00CB09D5">
              <w:rPr>
                <w:sz w:val="16"/>
                <w:szCs w:val="16"/>
                <w:lang w:val="en-GB"/>
              </w:rPr>
              <w:t>Terms of trade, which were positive in Q</w:t>
            </w:r>
            <w:r w:rsidR="00DC2FA9" w:rsidRPr="00CB09D5">
              <w:rPr>
                <w:sz w:val="16"/>
                <w:szCs w:val="16"/>
                <w:lang w:val="en-GB"/>
              </w:rPr>
              <w:t>1</w:t>
            </w:r>
            <w:r w:rsidRPr="00CB09D5">
              <w:rPr>
                <w:sz w:val="16"/>
                <w:szCs w:val="16"/>
                <w:lang w:val="en-GB"/>
              </w:rPr>
              <w:t xml:space="preserve"> to </w:t>
            </w:r>
            <w:proofErr w:type="gramStart"/>
            <w:r w:rsidRPr="00CB09D5">
              <w:rPr>
                <w:sz w:val="16"/>
                <w:szCs w:val="16"/>
                <w:lang w:val="en-GB"/>
              </w:rPr>
              <w:t>Q</w:t>
            </w:r>
            <w:r w:rsidR="00DC2FA9" w:rsidRPr="00CB09D5">
              <w:rPr>
                <w:sz w:val="16"/>
                <w:szCs w:val="16"/>
                <w:lang w:val="en-GB"/>
              </w:rPr>
              <w:t>3</w:t>
            </w:r>
            <w:proofErr w:type="gramEnd"/>
            <w:r w:rsidRPr="00CB09D5">
              <w:rPr>
                <w:sz w:val="16"/>
                <w:szCs w:val="16"/>
                <w:lang w:val="en-GB"/>
              </w:rPr>
              <w:t xml:space="preserve"> fell below zero towards the year. </w:t>
            </w:r>
            <w:r w:rsidR="00F12A83" w:rsidRPr="00CB09D5">
              <w:rPr>
                <w:sz w:val="16"/>
                <w:szCs w:val="16"/>
                <w:lang w:val="en-GB"/>
              </w:rPr>
              <w:t xml:space="preserve"> </w:t>
            </w:r>
          </w:p>
        </w:tc>
        <w:tc>
          <w:tcPr>
            <w:tcW w:w="144" w:type="pct"/>
          </w:tcPr>
          <w:p w:rsidR="00F12A83" w:rsidRPr="00CB09D5" w:rsidRDefault="00F12A83" w:rsidP="00D94859">
            <w:pPr>
              <w:pStyle w:val="Textpoznpodarou"/>
              <w:jc w:val="both"/>
              <w:rPr>
                <w:lang w:val="en-GB"/>
              </w:rPr>
            </w:pPr>
          </w:p>
        </w:tc>
        <w:tc>
          <w:tcPr>
            <w:tcW w:w="3868" w:type="pct"/>
            <w:gridSpan w:val="4"/>
          </w:tcPr>
          <w:p w:rsidR="00F12A83" w:rsidRPr="00CB09D5" w:rsidRDefault="00F90987" w:rsidP="008A03DE">
            <w:pPr>
              <w:pStyle w:val="Textpoznpodarou"/>
              <w:ind w:right="-35"/>
              <w:jc w:val="both"/>
              <w:rPr>
                <w:sz w:val="16"/>
                <w:szCs w:val="16"/>
                <w:lang w:val="en-GB"/>
              </w:rPr>
            </w:pPr>
            <w:r w:rsidRPr="00CB09D5">
              <w:rPr>
                <w:lang w:val="en-GB"/>
              </w:rPr>
              <w:t xml:space="preserve">Terms of trade were </w:t>
            </w:r>
            <w:r w:rsidR="00CD3469" w:rsidRPr="00CB09D5">
              <w:rPr>
                <w:lang w:val="en-GB"/>
              </w:rPr>
              <w:t>positive</w:t>
            </w:r>
            <w:r w:rsidRPr="00CB09D5">
              <w:rPr>
                <w:lang w:val="en-GB"/>
              </w:rPr>
              <w:t xml:space="preserve"> in the first three quarters of the year (</w:t>
            </w:r>
            <w:r w:rsidR="00F12A83" w:rsidRPr="00CB09D5">
              <w:rPr>
                <w:lang w:val="en-GB"/>
              </w:rPr>
              <w:t>101</w:t>
            </w:r>
            <w:r w:rsidRPr="00CB09D5">
              <w:rPr>
                <w:lang w:val="en-GB"/>
              </w:rPr>
              <w:t>.</w:t>
            </w:r>
            <w:r w:rsidR="00AF2536" w:rsidRPr="00CB09D5">
              <w:rPr>
                <w:lang w:val="en-GB"/>
              </w:rPr>
              <w:t>5</w:t>
            </w:r>
            <w:r w:rsidR="00F12A83" w:rsidRPr="00CB09D5">
              <w:rPr>
                <w:lang w:val="en-GB"/>
              </w:rPr>
              <w:t>, 102</w:t>
            </w:r>
            <w:r w:rsidRPr="00CB09D5">
              <w:rPr>
                <w:lang w:val="en-GB"/>
              </w:rPr>
              <w:t>.</w:t>
            </w:r>
            <w:r w:rsidR="00AF2536" w:rsidRPr="00CB09D5">
              <w:rPr>
                <w:lang w:val="en-GB"/>
              </w:rPr>
              <w:t>1</w:t>
            </w:r>
            <w:r w:rsidR="00F12A83" w:rsidRPr="00CB09D5">
              <w:rPr>
                <w:lang w:val="en-GB"/>
              </w:rPr>
              <w:t xml:space="preserve"> a</w:t>
            </w:r>
            <w:r w:rsidRPr="00CB09D5">
              <w:rPr>
                <w:lang w:val="en-GB"/>
              </w:rPr>
              <w:t>nd</w:t>
            </w:r>
            <w:r w:rsidR="00F12A83" w:rsidRPr="00CB09D5">
              <w:rPr>
                <w:lang w:val="en-GB"/>
              </w:rPr>
              <w:t xml:space="preserve"> 101</w:t>
            </w:r>
            <w:r w:rsidRPr="00CB09D5">
              <w:rPr>
                <w:lang w:val="en-GB"/>
              </w:rPr>
              <w:t>.</w:t>
            </w:r>
            <w:r w:rsidR="00F12A83" w:rsidRPr="00CB09D5">
              <w:rPr>
                <w:lang w:val="en-GB"/>
              </w:rPr>
              <w:t>0)</w:t>
            </w:r>
            <w:proofErr w:type="gramStart"/>
            <w:r w:rsidR="00F12A83" w:rsidRPr="00CB09D5">
              <w:rPr>
                <w:lang w:val="en-GB"/>
              </w:rPr>
              <w:t>,</w:t>
            </w:r>
            <w:proofErr w:type="gramEnd"/>
            <w:r w:rsidR="00F12A83" w:rsidRPr="00CB09D5">
              <w:rPr>
                <w:lang w:val="en-GB"/>
              </w:rPr>
              <w:t xml:space="preserve"> </w:t>
            </w:r>
            <w:r w:rsidRPr="00CB09D5">
              <w:rPr>
                <w:lang w:val="en-GB"/>
              </w:rPr>
              <w:t xml:space="preserve">they were affected the most by the positive terms of trade of the mineral fuels. However, the situation turned in Q4 and the terms of trade arrived at 99.1. </w:t>
            </w:r>
            <w:r w:rsidR="00CD3469" w:rsidRPr="00CB09D5">
              <w:rPr>
                <w:lang w:val="en-GB"/>
              </w:rPr>
              <w:t xml:space="preserve">Terms of trade of beverages and tobacco (94.3) or food (96.4) worked in the negative direction. The exchange rate of euro was hitting the 27 crown boundary already since the half of </w:t>
            </w:r>
            <w:r w:rsidR="003B5E14" w:rsidRPr="00CB09D5">
              <w:rPr>
                <w:lang w:val="en-GB"/>
              </w:rPr>
              <w:t xml:space="preserve">the </w:t>
            </w:r>
            <w:r w:rsidR="00CD3469" w:rsidRPr="00CB09D5">
              <w:rPr>
                <w:lang w:val="en-GB"/>
              </w:rPr>
              <w:t xml:space="preserve">year 2015 and remained the same. The crown still </w:t>
            </w:r>
            <w:r w:rsidR="00EE5A5A" w:rsidRPr="00CB09D5">
              <w:rPr>
                <w:lang w:val="en-GB"/>
              </w:rPr>
              <w:t>appreciated against euro by 2.2% and 1.3</w:t>
            </w:r>
            <w:r w:rsidR="00CD3469" w:rsidRPr="00CB09D5">
              <w:rPr>
                <w:lang w:val="en-GB"/>
              </w:rPr>
              <w:t xml:space="preserve">% in Q1 and </w:t>
            </w:r>
            <w:r w:rsidR="000E77CC" w:rsidRPr="00CB09D5">
              <w:rPr>
                <w:lang w:val="en-GB"/>
              </w:rPr>
              <w:t>Q</w:t>
            </w:r>
            <w:r w:rsidR="00F12A83" w:rsidRPr="00CB09D5">
              <w:rPr>
                <w:lang w:val="en-GB"/>
              </w:rPr>
              <w:t>2</w:t>
            </w:r>
            <w:r w:rsidR="00CD3469" w:rsidRPr="00CB09D5">
              <w:rPr>
                <w:lang w:val="en-GB"/>
              </w:rPr>
              <w:t xml:space="preserve"> </w:t>
            </w:r>
            <w:r w:rsidR="00F12A83" w:rsidRPr="00CB09D5">
              <w:rPr>
                <w:lang w:val="en-GB"/>
              </w:rPr>
              <w:t>2016</w:t>
            </w:r>
            <w:r w:rsidR="00CD3469" w:rsidRPr="00CB09D5">
              <w:rPr>
                <w:lang w:val="en-GB"/>
              </w:rPr>
              <w:t xml:space="preserve"> year-on-year, but the exchange rate practically did not change towards the previous year in the second half of the year. </w:t>
            </w:r>
            <w:r w:rsidR="00AF2B31" w:rsidRPr="00CB09D5">
              <w:rPr>
                <w:lang w:val="en-GB"/>
              </w:rPr>
              <w:t>Exchange rate of crown fluctuated during the year, more significant movement occurred in Q2, when the crown appreciated against thi</w:t>
            </w:r>
            <w:r w:rsidR="00EE5A5A" w:rsidRPr="00CB09D5">
              <w:rPr>
                <w:lang w:val="en-GB"/>
              </w:rPr>
              <w:t>s currency by 3.5% and depreciated by 1.4</w:t>
            </w:r>
            <w:r w:rsidR="00AF2B31" w:rsidRPr="00CB09D5">
              <w:rPr>
                <w:lang w:val="en-GB"/>
              </w:rPr>
              <w:t xml:space="preserve">% in Q4. </w:t>
            </w:r>
            <w:r w:rsidR="00355B5A" w:rsidRPr="00CB09D5">
              <w:rPr>
                <w:lang w:val="en-GB"/>
              </w:rPr>
              <w:t xml:space="preserve">Marked appreciation of crown towards the British </w:t>
            </w:r>
            <w:r w:rsidR="004C7C5C" w:rsidRPr="00CB09D5">
              <w:rPr>
                <w:lang w:val="en-GB"/>
              </w:rPr>
              <w:t>pound w</w:t>
            </w:r>
            <w:r w:rsidR="00355B5A" w:rsidRPr="00CB09D5">
              <w:rPr>
                <w:lang w:val="en-GB"/>
              </w:rPr>
              <w:t>as reflected unusually strongly in the deflationary pressures.</w:t>
            </w:r>
          </w:p>
          <w:p w:rsidR="00F12A83" w:rsidRDefault="00F12A83" w:rsidP="008A03DE">
            <w:pPr>
              <w:pStyle w:val="Textpoznpodarou"/>
              <w:ind w:right="-35"/>
              <w:jc w:val="both"/>
              <w:rPr>
                <w:sz w:val="14"/>
                <w:szCs w:val="14"/>
                <w:lang w:val="en-GB"/>
              </w:rPr>
            </w:pPr>
          </w:p>
          <w:p w:rsidR="009500E9" w:rsidRDefault="009500E9" w:rsidP="008A03DE">
            <w:pPr>
              <w:pStyle w:val="Textpoznpodarou"/>
              <w:ind w:right="-35"/>
              <w:jc w:val="both"/>
              <w:rPr>
                <w:sz w:val="14"/>
                <w:szCs w:val="14"/>
                <w:lang w:val="en-GB"/>
              </w:rPr>
            </w:pPr>
          </w:p>
          <w:p w:rsidR="009500E9" w:rsidRDefault="009500E9" w:rsidP="008A03DE">
            <w:pPr>
              <w:pStyle w:val="Textpoznpodarou"/>
              <w:ind w:right="-35"/>
              <w:jc w:val="both"/>
              <w:rPr>
                <w:sz w:val="14"/>
                <w:szCs w:val="14"/>
                <w:lang w:val="en-GB"/>
              </w:rPr>
            </w:pPr>
          </w:p>
          <w:p w:rsidR="009500E9" w:rsidRPr="00674D93" w:rsidRDefault="009500E9" w:rsidP="008A03DE">
            <w:pPr>
              <w:pStyle w:val="Textpoznpodarou"/>
              <w:ind w:right="-35"/>
              <w:jc w:val="both"/>
              <w:rPr>
                <w:sz w:val="14"/>
                <w:szCs w:val="14"/>
                <w:lang w:val="en-GB"/>
              </w:rPr>
            </w:pPr>
          </w:p>
        </w:tc>
      </w:tr>
      <w:tr w:rsidR="00F06C6F" w:rsidRPr="00CB09D5" w:rsidTr="00CC2A1E">
        <w:tblPrEx>
          <w:tblLook w:val="04A0"/>
        </w:tblPrEx>
        <w:tc>
          <w:tcPr>
            <w:tcW w:w="574" w:type="pct"/>
          </w:tcPr>
          <w:p w:rsidR="0033229B" w:rsidRPr="00CB09D5" w:rsidRDefault="00914962" w:rsidP="00D94859">
            <w:pPr>
              <w:pStyle w:val="Textpoznpodarou"/>
              <w:rPr>
                <w:sz w:val="18"/>
                <w:szCs w:val="18"/>
                <w:lang w:val="en-GB"/>
              </w:rPr>
            </w:pPr>
            <w:r w:rsidRPr="00CB09D5">
              <w:rPr>
                <w:sz w:val="18"/>
                <w:szCs w:val="18"/>
                <w:lang w:val="en-GB"/>
              </w:rPr>
              <w:t>Chart 11</w:t>
            </w:r>
          </w:p>
        </w:tc>
        <w:tc>
          <w:tcPr>
            <w:tcW w:w="1890" w:type="pct"/>
            <w:gridSpan w:val="3"/>
          </w:tcPr>
          <w:p w:rsidR="0033229B" w:rsidRPr="00CB09D5" w:rsidRDefault="006F3531" w:rsidP="00914962">
            <w:pPr>
              <w:pStyle w:val="Textpoznpodarou"/>
              <w:rPr>
                <w:lang w:val="en-GB"/>
              </w:rPr>
            </w:pPr>
            <w:r w:rsidRPr="00CB09D5">
              <w:rPr>
                <w:b/>
                <w:lang w:val="en-GB"/>
              </w:rPr>
              <w:t xml:space="preserve">Consumer prices for individual types of households </w:t>
            </w:r>
            <w:r w:rsidR="0033229B" w:rsidRPr="00CB09D5">
              <w:rPr>
                <w:lang w:val="en-GB"/>
              </w:rPr>
              <w:t xml:space="preserve">(y/y </w:t>
            </w:r>
            <w:r w:rsidR="00914962" w:rsidRPr="00CB09D5">
              <w:rPr>
                <w:lang w:val="en-GB"/>
              </w:rPr>
              <w:t>in</w:t>
            </w:r>
            <w:r w:rsidR="0033229B" w:rsidRPr="00CB09D5">
              <w:rPr>
                <w:lang w:val="en-GB"/>
              </w:rPr>
              <w:t xml:space="preserve"> %)</w:t>
            </w:r>
          </w:p>
        </w:tc>
        <w:tc>
          <w:tcPr>
            <w:tcW w:w="580" w:type="pct"/>
            <w:gridSpan w:val="2"/>
          </w:tcPr>
          <w:p w:rsidR="007430AB" w:rsidRPr="00CB09D5" w:rsidRDefault="00914962" w:rsidP="00D94859">
            <w:pPr>
              <w:pStyle w:val="Textpoznpodarou"/>
              <w:rPr>
                <w:sz w:val="18"/>
                <w:szCs w:val="18"/>
                <w:lang w:val="en-GB"/>
              </w:rPr>
            </w:pPr>
            <w:r w:rsidRPr="00CB09D5">
              <w:rPr>
                <w:sz w:val="18"/>
                <w:szCs w:val="18"/>
                <w:lang w:val="en-GB"/>
              </w:rPr>
              <w:t>Chart</w:t>
            </w:r>
          </w:p>
          <w:p w:rsidR="0033229B" w:rsidRPr="00CB09D5" w:rsidRDefault="0033229B" w:rsidP="00D94859">
            <w:pPr>
              <w:pStyle w:val="Textpoznpodarou"/>
              <w:rPr>
                <w:sz w:val="18"/>
                <w:szCs w:val="18"/>
                <w:lang w:val="en-GB"/>
              </w:rPr>
            </w:pPr>
            <w:r w:rsidRPr="00CB09D5">
              <w:rPr>
                <w:sz w:val="18"/>
                <w:szCs w:val="18"/>
                <w:lang w:val="en-GB"/>
              </w:rPr>
              <w:t>12</w:t>
            </w:r>
          </w:p>
        </w:tc>
        <w:tc>
          <w:tcPr>
            <w:tcW w:w="1956" w:type="pct"/>
          </w:tcPr>
          <w:p w:rsidR="0033229B" w:rsidRPr="00CB09D5" w:rsidRDefault="006F3531" w:rsidP="00914962">
            <w:pPr>
              <w:pStyle w:val="Textpoznpodarou"/>
              <w:rPr>
                <w:lang w:val="en-GB"/>
              </w:rPr>
            </w:pPr>
            <w:r w:rsidRPr="00CB09D5">
              <w:rPr>
                <w:b/>
                <w:lang w:val="en-GB"/>
              </w:rPr>
              <w:t xml:space="preserve">Prices in selected CPI divisions </w:t>
            </w:r>
            <w:r w:rsidR="0033229B" w:rsidRPr="00CB09D5">
              <w:rPr>
                <w:lang w:val="en-GB"/>
              </w:rPr>
              <w:t>(y/y </w:t>
            </w:r>
            <w:r w:rsidR="00914962" w:rsidRPr="00CB09D5">
              <w:rPr>
                <w:lang w:val="en-GB"/>
              </w:rPr>
              <w:t>in</w:t>
            </w:r>
            <w:r w:rsidR="0033229B" w:rsidRPr="00CB09D5">
              <w:rPr>
                <w:lang w:val="en-GB"/>
              </w:rPr>
              <w:t xml:space="preserve"> %)</w:t>
            </w:r>
          </w:p>
        </w:tc>
      </w:tr>
      <w:tr w:rsidR="007C32B6" w:rsidRPr="00CB09D5" w:rsidTr="00CC2A1E">
        <w:tblPrEx>
          <w:tblLook w:val="04A0"/>
        </w:tblPrEx>
        <w:tc>
          <w:tcPr>
            <w:tcW w:w="2464" w:type="pct"/>
            <w:gridSpan w:val="4"/>
          </w:tcPr>
          <w:p w:rsidR="0033229B" w:rsidRPr="00CB09D5" w:rsidRDefault="0029191C" w:rsidP="00E83DAB">
            <w:pPr>
              <w:pStyle w:val="Textpoznpodarou"/>
              <w:ind w:left="-108"/>
              <w:jc w:val="both"/>
              <w:rPr>
                <w:lang w:val="en-GB"/>
              </w:rPr>
            </w:pPr>
            <w:r>
              <w:rPr>
                <w:noProof/>
              </w:rPr>
              <w:drawing>
                <wp:inline distT="0" distB="0" distL="0" distR="0">
                  <wp:extent cx="3020843" cy="2381250"/>
                  <wp:effectExtent l="19050" t="0" r="8107" b="0"/>
                  <wp:docPr id="1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3019380" cy="2380097"/>
                          </a:xfrm>
                          <a:prstGeom prst="rect">
                            <a:avLst/>
                          </a:prstGeom>
                          <a:noFill/>
                          <a:ln w="9525">
                            <a:noFill/>
                            <a:miter lim="800000"/>
                            <a:headEnd/>
                            <a:tailEnd/>
                          </a:ln>
                        </pic:spPr>
                      </pic:pic>
                    </a:graphicData>
                  </a:graphic>
                </wp:inline>
              </w:drawing>
            </w:r>
          </w:p>
        </w:tc>
        <w:tc>
          <w:tcPr>
            <w:tcW w:w="2536" w:type="pct"/>
            <w:gridSpan w:val="3"/>
          </w:tcPr>
          <w:p w:rsidR="0085188D" w:rsidRPr="00CB09D5" w:rsidRDefault="0029191C" w:rsidP="00CC2A1E">
            <w:pPr>
              <w:pStyle w:val="Textpoznpodarou"/>
              <w:ind w:left="-108"/>
              <w:jc w:val="both"/>
              <w:rPr>
                <w:sz w:val="6"/>
                <w:szCs w:val="6"/>
                <w:lang w:val="en-GB"/>
              </w:rPr>
            </w:pPr>
            <w:r>
              <w:rPr>
                <w:noProof/>
                <w:sz w:val="6"/>
                <w:szCs w:val="6"/>
              </w:rPr>
              <w:drawing>
                <wp:inline distT="0" distB="0" distL="0" distR="0">
                  <wp:extent cx="3009900" cy="2371725"/>
                  <wp:effectExtent l="19050" t="0" r="0" b="0"/>
                  <wp:docPr id="1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3009900" cy="2371725"/>
                          </a:xfrm>
                          <a:prstGeom prst="rect">
                            <a:avLst/>
                          </a:prstGeom>
                          <a:noFill/>
                          <a:ln w="9525">
                            <a:noFill/>
                            <a:miter lim="800000"/>
                            <a:headEnd/>
                            <a:tailEnd/>
                          </a:ln>
                        </pic:spPr>
                      </pic:pic>
                    </a:graphicData>
                  </a:graphic>
                </wp:inline>
              </w:drawing>
            </w:r>
          </w:p>
        </w:tc>
      </w:tr>
      <w:tr w:rsidR="00F06C6F" w:rsidRPr="00CB09D5" w:rsidTr="00CC2A1E">
        <w:tblPrEx>
          <w:tblLook w:val="04A0"/>
        </w:tblPrEx>
        <w:tc>
          <w:tcPr>
            <w:tcW w:w="574" w:type="pct"/>
          </w:tcPr>
          <w:p w:rsidR="007430AB" w:rsidRPr="00CB09D5" w:rsidRDefault="009408E8" w:rsidP="00D94859">
            <w:pPr>
              <w:pStyle w:val="Textpoznpodarou"/>
              <w:rPr>
                <w:sz w:val="18"/>
                <w:szCs w:val="18"/>
                <w:lang w:val="en-GB" w:eastAsia="en-US"/>
              </w:rPr>
            </w:pPr>
            <w:r w:rsidRPr="00CB09D5">
              <w:rPr>
                <w:sz w:val="18"/>
                <w:szCs w:val="18"/>
                <w:lang w:val="en-GB" w:eastAsia="en-US"/>
              </w:rPr>
              <w:lastRenderedPageBreak/>
              <w:t>Chart</w:t>
            </w:r>
          </w:p>
          <w:p w:rsidR="0033229B" w:rsidRPr="00CB09D5" w:rsidRDefault="0033229B" w:rsidP="00D94859">
            <w:pPr>
              <w:pStyle w:val="Textpoznpodarou"/>
              <w:rPr>
                <w:sz w:val="18"/>
                <w:szCs w:val="18"/>
                <w:lang w:val="en-GB" w:eastAsia="en-US"/>
              </w:rPr>
            </w:pPr>
            <w:r w:rsidRPr="00CB09D5">
              <w:rPr>
                <w:sz w:val="18"/>
                <w:szCs w:val="18"/>
                <w:lang w:val="en-GB" w:eastAsia="en-US"/>
              </w:rPr>
              <w:t>13</w:t>
            </w:r>
          </w:p>
        </w:tc>
        <w:tc>
          <w:tcPr>
            <w:tcW w:w="1890" w:type="pct"/>
            <w:gridSpan w:val="3"/>
          </w:tcPr>
          <w:p w:rsidR="0033229B" w:rsidRPr="00CB09D5" w:rsidRDefault="0033229B" w:rsidP="009408E8">
            <w:pPr>
              <w:pStyle w:val="Textpoznpodarou"/>
              <w:rPr>
                <w:color w:val="FF0000"/>
                <w:lang w:val="en-GB" w:eastAsia="en-US"/>
              </w:rPr>
            </w:pPr>
            <w:r w:rsidRPr="00CB09D5">
              <w:rPr>
                <w:b/>
                <w:lang w:val="en-GB" w:eastAsia="en-US"/>
              </w:rPr>
              <w:t>Defl</w:t>
            </w:r>
            <w:r w:rsidR="009408E8" w:rsidRPr="00CB09D5">
              <w:rPr>
                <w:b/>
                <w:lang w:val="en-GB" w:eastAsia="en-US"/>
              </w:rPr>
              <w:t xml:space="preserve">ators </w:t>
            </w:r>
            <w:r w:rsidRPr="00CB09D5">
              <w:rPr>
                <w:lang w:val="en-GB" w:eastAsia="en-US"/>
              </w:rPr>
              <w:t>(</w:t>
            </w:r>
            <w:r w:rsidR="009408E8" w:rsidRPr="00CB09D5">
              <w:rPr>
                <w:lang w:val="en-GB" w:eastAsia="en-US"/>
              </w:rPr>
              <w:t>adjusted for seasonal and calendar effects</w:t>
            </w:r>
            <w:r w:rsidRPr="00CB09D5">
              <w:rPr>
                <w:lang w:val="en-GB" w:eastAsia="en-US"/>
              </w:rPr>
              <w:t xml:space="preserve">, y/y </w:t>
            </w:r>
            <w:r w:rsidR="009408E8" w:rsidRPr="00CB09D5">
              <w:rPr>
                <w:lang w:val="en-GB" w:eastAsia="en-US"/>
              </w:rPr>
              <w:t>in</w:t>
            </w:r>
            <w:r w:rsidRPr="00CB09D5">
              <w:rPr>
                <w:lang w:val="en-GB" w:eastAsia="en-US"/>
              </w:rPr>
              <w:t xml:space="preserve"> %)</w:t>
            </w:r>
          </w:p>
        </w:tc>
        <w:tc>
          <w:tcPr>
            <w:tcW w:w="507" w:type="pct"/>
          </w:tcPr>
          <w:p w:rsidR="007430AB" w:rsidRPr="00CB09D5" w:rsidRDefault="009408E8" w:rsidP="005B0262">
            <w:pPr>
              <w:pStyle w:val="Textpoznpodarou"/>
              <w:ind w:left="-77" w:right="-108"/>
              <w:rPr>
                <w:sz w:val="18"/>
                <w:szCs w:val="18"/>
                <w:lang w:val="en-GB" w:eastAsia="en-US"/>
              </w:rPr>
            </w:pPr>
            <w:r w:rsidRPr="00CB09D5">
              <w:rPr>
                <w:sz w:val="18"/>
                <w:szCs w:val="18"/>
                <w:lang w:val="en-GB" w:eastAsia="en-US"/>
              </w:rPr>
              <w:t>Chart</w:t>
            </w:r>
          </w:p>
          <w:p w:rsidR="0033229B" w:rsidRPr="00CB09D5" w:rsidRDefault="0033229B" w:rsidP="005B0262">
            <w:pPr>
              <w:pStyle w:val="Textpoznpodarou"/>
              <w:ind w:left="-77" w:right="-108"/>
              <w:rPr>
                <w:sz w:val="18"/>
                <w:szCs w:val="18"/>
                <w:lang w:val="en-GB" w:eastAsia="en-US"/>
              </w:rPr>
            </w:pPr>
            <w:r w:rsidRPr="00CB09D5">
              <w:rPr>
                <w:sz w:val="18"/>
                <w:szCs w:val="18"/>
                <w:lang w:val="en-GB" w:eastAsia="en-US"/>
              </w:rPr>
              <w:t>14</w:t>
            </w:r>
          </w:p>
        </w:tc>
        <w:tc>
          <w:tcPr>
            <w:tcW w:w="2029" w:type="pct"/>
            <w:gridSpan w:val="2"/>
          </w:tcPr>
          <w:p w:rsidR="0033229B" w:rsidRPr="00CB09D5" w:rsidRDefault="009408E8" w:rsidP="00BE264F">
            <w:pPr>
              <w:pStyle w:val="Textpoznpodarou"/>
              <w:ind w:right="-108"/>
              <w:rPr>
                <w:lang w:val="en-GB" w:eastAsia="en-US"/>
              </w:rPr>
            </w:pPr>
            <w:r w:rsidRPr="00CB09D5">
              <w:rPr>
                <w:b/>
                <w:lang w:val="en-GB" w:eastAsia="en-US"/>
              </w:rPr>
              <w:t xml:space="preserve">Producer prices </w:t>
            </w:r>
            <w:r w:rsidR="004F2A4D" w:rsidRPr="00CB09D5">
              <w:rPr>
                <w:lang w:val="en-GB" w:eastAsia="en-US"/>
              </w:rPr>
              <w:t xml:space="preserve">(y/y </w:t>
            </w:r>
            <w:r w:rsidRPr="00CB09D5">
              <w:rPr>
                <w:lang w:val="en-GB" w:eastAsia="en-US"/>
              </w:rPr>
              <w:t>in</w:t>
            </w:r>
            <w:r w:rsidR="004F2A4D" w:rsidRPr="00CB09D5">
              <w:rPr>
                <w:lang w:val="en-GB" w:eastAsia="en-US"/>
              </w:rPr>
              <w:t xml:space="preserve"> %, </w:t>
            </w:r>
            <w:r w:rsidR="00BE264F" w:rsidRPr="00CB09D5">
              <w:rPr>
                <w:lang w:val="en-GB" w:eastAsia="en-US"/>
              </w:rPr>
              <w:t>agricultural producer prices on the right axis</w:t>
            </w:r>
            <w:r w:rsidR="0033229B" w:rsidRPr="00CB09D5">
              <w:rPr>
                <w:lang w:val="en-GB" w:eastAsia="en-US"/>
              </w:rPr>
              <w:t>, o</w:t>
            </w:r>
            <w:r w:rsidR="00BE264F" w:rsidRPr="00CB09D5">
              <w:rPr>
                <w:lang w:val="en-GB" w:eastAsia="en-US"/>
              </w:rPr>
              <w:t>ther on left axis</w:t>
            </w:r>
            <w:r w:rsidR="0033229B" w:rsidRPr="00CB09D5">
              <w:rPr>
                <w:lang w:val="en-GB" w:eastAsia="en-US"/>
              </w:rPr>
              <w:t>)</w:t>
            </w:r>
          </w:p>
        </w:tc>
      </w:tr>
      <w:tr w:rsidR="00A05B91" w:rsidRPr="00CB09D5" w:rsidTr="00CC2A1E">
        <w:tblPrEx>
          <w:tblLook w:val="04A0"/>
        </w:tblPrEx>
        <w:tc>
          <w:tcPr>
            <w:tcW w:w="2464" w:type="pct"/>
            <w:gridSpan w:val="4"/>
          </w:tcPr>
          <w:p w:rsidR="0033229B" w:rsidRPr="00CB09D5" w:rsidRDefault="0029191C" w:rsidP="00F06C6F">
            <w:pPr>
              <w:pStyle w:val="Textpoznpodarou"/>
              <w:ind w:left="-108"/>
              <w:jc w:val="both"/>
              <w:rPr>
                <w:lang w:val="en-GB" w:eastAsia="en-US"/>
              </w:rPr>
            </w:pPr>
            <w:r>
              <w:rPr>
                <w:noProof/>
              </w:rPr>
              <w:drawing>
                <wp:inline distT="0" distB="0" distL="0" distR="0">
                  <wp:extent cx="3032478" cy="2400300"/>
                  <wp:effectExtent l="19050" t="0" r="0" b="0"/>
                  <wp:docPr id="28"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3032478" cy="2400300"/>
                          </a:xfrm>
                          <a:prstGeom prst="rect">
                            <a:avLst/>
                          </a:prstGeom>
                          <a:noFill/>
                          <a:ln w="9525">
                            <a:noFill/>
                            <a:miter lim="800000"/>
                            <a:headEnd/>
                            <a:tailEnd/>
                          </a:ln>
                        </pic:spPr>
                      </pic:pic>
                    </a:graphicData>
                  </a:graphic>
                </wp:inline>
              </w:drawing>
            </w:r>
          </w:p>
        </w:tc>
        <w:tc>
          <w:tcPr>
            <w:tcW w:w="2536" w:type="pct"/>
            <w:gridSpan w:val="3"/>
          </w:tcPr>
          <w:p w:rsidR="0033229B" w:rsidRPr="00CB09D5" w:rsidRDefault="0029191C" w:rsidP="00CC2A1E">
            <w:pPr>
              <w:pStyle w:val="Textpoznpodarou"/>
              <w:ind w:left="-77"/>
              <w:jc w:val="both"/>
              <w:rPr>
                <w:lang w:val="en-GB" w:eastAsia="en-US"/>
              </w:rPr>
            </w:pPr>
            <w:r>
              <w:rPr>
                <w:noProof/>
              </w:rPr>
              <w:drawing>
                <wp:inline distT="0" distB="0" distL="0" distR="0">
                  <wp:extent cx="3009900" cy="2400300"/>
                  <wp:effectExtent l="19050" t="0" r="0" b="0"/>
                  <wp:docPr id="1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3009900" cy="2400300"/>
                          </a:xfrm>
                          <a:prstGeom prst="rect">
                            <a:avLst/>
                          </a:prstGeom>
                          <a:noFill/>
                          <a:ln w="9525">
                            <a:noFill/>
                            <a:miter lim="800000"/>
                            <a:headEnd/>
                            <a:tailEnd/>
                          </a:ln>
                        </pic:spPr>
                      </pic:pic>
                    </a:graphicData>
                  </a:graphic>
                </wp:inline>
              </w:drawing>
            </w:r>
          </w:p>
        </w:tc>
      </w:tr>
      <w:tr w:rsidR="0033229B" w:rsidRPr="00CB09D5" w:rsidTr="00CC2A1E">
        <w:tblPrEx>
          <w:tblLook w:val="04A0"/>
        </w:tblPrEx>
        <w:tc>
          <w:tcPr>
            <w:tcW w:w="5000" w:type="pct"/>
            <w:gridSpan w:val="7"/>
          </w:tcPr>
          <w:p w:rsidR="0033229B" w:rsidRPr="00CB09D5" w:rsidRDefault="00930CFB" w:rsidP="00D94859">
            <w:pPr>
              <w:pStyle w:val="Textpoznpodarou"/>
              <w:jc w:val="right"/>
              <w:rPr>
                <w:sz w:val="18"/>
                <w:szCs w:val="18"/>
                <w:lang w:val="en-GB" w:eastAsia="en-US"/>
              </w:rPr>
            </w:pPr>
            <w:r w:rsidRPr="00CB09D5">
              <w:rPr>
                <w:sz w:val="18"/>
                <w:szCs w:val="18"/>
                <w:lang w:val="en-GB" w:eastAsia="en-US"/>
              </w:rPr>
              <w:t>Source</w:t>
            </w:r>
            <w:r w:rsidR="0033229B" w:rsidRPr="00CB09D5">
              <w:rPr>
                <w:sz w:val="18"/>
                <w:szCs w:val="18"/>
                <w:lang w:val="en-GB" w:eastAsia="en-US"/>
              </w:rPr>
              <w:t xml:space="preserve">: </w:t>
            </w:r>
            <w:r w:rsidRPr="00CB09D5">
              <w:rPr>
                <w:sz w:val="18"/>
                <w:szCs w:val="18"/>
                <w:lang w:val="en-GB" w:eastAsia="en-US"/>
              </w:rPr>
              <w:t>CZSO</w:t>
            </w:r>
          </w:p>
        </w:tc>
      </w:tr>
      <w:tr w:rsidR="00B128E5" w:rsidRPr="00CB09D5" w:rsidTr="00CC2A1E">
        <w:tblPrEx>
          <w:tblLook w:val="04A0"/>
        </w:tblPrEx>
        <w:tc>
          <w:tcPr>
            <w:tcW w:w="5000" w:type="pct"/>
            <w:gridSpan w:val="7"/>
          </w:tcPr>
          <w:p w:rsidR="00DE37C6" w:rsidRPr="00CB09D5" w:rsidRDefault="00DE37C6" w:rsidP="00A9497A">
            <w:pPr>
              <w:pStyle w:val="Textpoznpodarou"/>
              <w:rPr>
                <w:sz w:val="18"/>
                <w:szCs w:val="18"/>
                <w:lang w:val="en-GB" w:eastAsia="en-US"/>
              </w:rPr>
            </w:pPr>
          </w:p>
        </w:tc>
      </w:tr>
    </w:tbl>
    <w:p w:rsidR="00EB6063" w:rsidRDefault="00EB6063" w:rsidP="00EB6063">
      <w:pPr>
        <w:rPr>
          <w:lang w:val="en-GB"/>
        </w:rPr>
      </w:pPr>
      <w:bookmarkStart w:id="2" w:name="_Toc454185153"/>
      <w:bookmarkStart w:id="3" w:name="_Toc469327803"/>
      <w:bookmarkEnd w:id="2"/>
      <w:bookmarkEnd w:id="3"/>
    </w:p>
    <w:sectPr w:rsidR="00EB6063" w:rsidSect="009500E9">
      <w:headerReference w:type="even" r:id="rId13"/>
      <w:headerReference w:type="default" r:id="rId14"/>
      <w:footerReference w:type="even" r:id="rId15"/>
      <w:footerReference w:type="default" r:id="rId16"/>
      <w:type w:val="continuous"/>
      <w:pgSz w:w="11906" w:h="16838" w:code="9"/>
      <w:pgMar w:top="1134" w:right="1134" w:bottom="1418" w:left="1134" w:header="680" w:footer="680" w:gutter="0"/>
      <w:pgNumType w:start="1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205" w:rsidRDefault="001C7205" w:rsidP="00E71A58">
      <w:r>
        <w:separator/>
      </w:r>
    </w:p>
  </w:endnote>
  <w:endnote w:type="continuationSeparator" w:id="0">
    <w:p w:rsidR="001C7205" w:rsidRDefault="001C7205" w:rsidP="00E71A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C02" w:rsidRDefault="000A7C02" w:rsidP="00357449">
    <w:pPr>
      <w:pStyle w:val="Zpat"/>
      <w:tabs>
        <w:tab w:val="clear" w:pos="4536"/>
        <w:tab w:val="clear" w:pos="9072"/>
        <w:tab w:val="center" w:pos="4820"/>
        <w:tab w:val="right" w:pos="9639"/>
      </w:tabs>
    </w:pPr>
    <w:r>
      <w:rPr>
        <w:noProof/>
        <w:lang w:eastAsia="cs-CZ"/>
      </w:rPr>
      <w:drawing>
        <wp:anchor distT="0" distB="0" distL="114300" distR="114300" simplePos="0" relativeHeight="251657728" behindDoc="0" locked="0" layoutInCell="1" allowOverlap="1">
          <wp:simplePos x="0" y="0"/>
          <wp:positionH relativeFrom="column">
            <wp:posOffset>5660390</wp:posOffset>
          </wp:positionH>
          <wp:positionV relativeFrom="paragraph">
            <wp:posOffset>-52070</wp:posOffset>
          </wp:positionV>
          <wp:extent cx="466725" cy="219075"/>
          <wp:effectExtent l="19050" t="0" r="9525" b="0"/>
          <wp:wrapNone/>
          <wp:docPr id="2" name="obrázek 4"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Description: 3"/>
                  <pic:cNvPicPr>
                    <a:picLocks noChangeAspect="1" noChangeArrowheads="1"/>
                  </pic:cNvPicPr>
                </pic:nvPicPr>
                <pic:blipFill>
                  <a:blip r:embed="rId1"/>
                  <a:srcRect/>
                  <a:stretch>
                    <a:fillRect/>
                  </a:stretch>
                </pic:blipFill>
                <pic:spPr bwMode="auto">
                  <a:xfrm>
                    <a:off x="0" y="0"/>
                    <a:ext cx="466725" cy="219075"/>
                  </a:xfrm>
                  <a:prstGeom prst="rect">
                    <a:avLst/>
                  </a:prstGeom>
                  <a:noFill/>
                  <a:ln w="9525">
                    <a:noFill/>
                    <a:miter lim="800000"/>
                    <a:headEnd/>
                    <a:tailEnd/>
                  </a:ln>
                </pic:spPr>
              </pic:pic>
            </a:graphicData>
          </a:graphic>
        </wp:anchor>
      </w:drawing>
    </w:r>
    <w:r w:rsidR="0043587D" w:rsidRPr="005A21E0">
      <w:rPr>
        <w:rFonts w:ascii="Arial" w:hAnsi="Arial" w:cs="Arial"/>
        <w:sz w:val="16"/>
        <w:szCs w:val="16"/>
      </w:rPr>
      <w:fldChar w:fldCharType="begin"/>
    </w:r>
    <w:r w:rsidRPr="005A21E0">
      <w:rPr>
        <w:rFonts w:ascii="Arial" w:hAnsi="Arial" w:cs="Arial"/>
        <w:sz w:val="16"/>
        <w:szCs w:val="16"/>
      </w:rPr>
      <w:instrText>PAGE   \* MERGEFORMAT</w:instrText>
    </w:r>
    <w:r w:rsidR="0043587D" w:rsidRPr="005A21E0">
      <w:rPr>
        <w:rFonts w:ascii="Arial" w:hAnsi="Arial" w:cs="Arial"/>
        <w:sz w:val="16"/>
        <w:szCs w:val="16"/>
      </w:rPr>
      <w:fldChar w:fldCharType="separate"/>
    </w:r>
    <w:r w:rsidR="009500E9">
      <w:rPr>
        <w:rFonts w:ascii="Arial" w:hAnsi="Arial" w:cs="Arial"/>
        <w:noProof/>
        <w:sz w:val="16"/>
        <w:szCs w:val="16"/>
      </w:rPr>
      <w:t>18</w:t>
    </w:r>
    <w:r w:rsidR="0043587D" w:rsidRPr="005A21E0">
      <w:rPr>
        <w:rFonts w:ascii="Arial" w:hAnsi="Arial" w:cs="Arial"/>
        <w:sz w:val="16"/>
        <w:szCs w:val="16"/>
      </w:rPr>
      <w:fldChar w:fldCharType="end"/>
    </w:r>
    <w:r>
      <w:rPr>
        <w:rFonts w:ascii="Arial" w:hAnsi="Arial" w:cs="Arial"/>
        <w:sz w:val="16"/>
        <w:szCs w:val="16"/>
      </w:rPr>
      <w:tab/>
      <w:t>2017</w:t>
    </w:r>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C02" w:rsidRDefault="009743B9" w:rsidP="00357449">
    <w:pPr>
      <w:pStyle w:val="Zpat"/>
      <w:tabs>
        <w:tab w:val="clear" w:pos="4536"/>
        <w:tab w:val="clear" w:pos="9072"/>
        <w:tab w:val="left" w:pos="1134"/>
        <w:tab w:val="left" w:pos="1920"/>
        <w:tab w:val="center" w:pos="4820"/>
        <w:tab w:val="right" w:pos="9639"/>
      </w:tabs>
    </w:pPr>
    <w:r w:rsidRPr="009743B9">
      <w:rPr>
        <w:noProof/>
        <w:lang w:eastAsia="cs-CZ"/>
      </w:rPr>
      <w:drawing>
        <wp:anchor distT="0" distB="0" distL="114300" distR="114300" simplePos="0" relativeHeight="251662848" behindDoc="0" locked="0" layoutInCell="1" allowOverlap="1">
          <wp:simplePos x="0" y="0"/>
          <wp:positionH relativeFrom="column">
            <wp:posOffset>35560</wp:posOffset>
          </wp:positionH>
          <wp:positionV relativeFrom="paragraph">
            <wp:posOffset>155575</wp:posOffset>
          </wp:positionV>
          <wp:extent cx="692150" cy="203200"/>
          <wp:effectExtent l="19050" t="0" r="0" b="0"/>
          <wp:wrapNone/>
          <wp:docPr id="6" name="obrázek 7" descr="CSU RGB EN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SU RGB EN logo-02"/>
                  <pic:cNvPicPr>
                    <a:picLocks noChangeAspect="1" noChangeArrowheads="1"/>
                  </pic:cNvPicPr>
                </pic:nvPicPr>
                <pic:blipFill>
                  <a:blip r:embed="rId1"/>
                  <a:srcRect/>
                  <a:stretch>
                    <a:fillRect/>
                  </a:stretch>
                </pic:blipFill>
                <pic:spPr bwMode="auto">
                  <a:xfrm>
                    <a:off x="0" y="0"/>
                    <a:ext cx="692150" cy="203200"/>
                  </a:xfrm>
                  <a:prstGeom prst="rect">
                    <a:avLst/>
                  </a:prstGeom>
                  <a:noFill/>
                  <a:ln w="9525">
                    <a:noFill/>
                    <a:miter lim="800000"/>
                    <a:headEnd/>
                    <a:tailEnd/>
                  </a:ln>
                </pic:spPr>
              </pic:pic>
            </a:graphicData>
          </a:graphic>
        </wp:anchor>
      </w:drawing>
    </w:r>
    <w:r w:rsidR="000A7C02">
      <w:tab/>
    </w:r>
    <w:r w:rsidR="000A7C02">
      <w:tab/>
    </w:r>
    <w:r w:rsidR="000A7C02" w:rsidRPr="00DC5B3B">
      <w:t xml:space="preserve">                              </w:t>
    </w:r>
  </w:p>
  <w:p w:rsidR="000A7C02" w:rsidRPr="00223E00" w:rsidRDefault="000A7C02" w:rsidP="00357449">
    <w:pPr>
      <w:pStyle w:val="Zpat"/>
      <w:tabs>
        <w:tab w:val="clear" w:pos="4536"/>
        <w:tab w:val="clear" w:pos="9072"/>
        <w:tab w:val="left" w:pos="1134"/>
        <w:tab w:val="left" w:pos="1920"/>
        <w:tab w:val="center" w:pos="4820"/>
        <w:tab w:val="left" w:pos="9262"/>
        <w:tab w:val="left" w:pos="9495"/>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t>2017</w:t>
    </w:r>
    <w:r>
      <w:rPr>
        <w:rFonts w:ascii="Arial" w:hAnsi="Arial" w:cs="Arial"/>
        <w:sz w:val="16"/>
        <w:szCs w:val="16"/>
      </w:rPr>
      <w:tab/>
    </w:r>
    <w:r w:rsidR="0043587D" w:rsidRPr="00223E00">
      <w:rPr>
        <w:rFonts w:ascii="Arial" w:hAnsi="Arial" w:cs="Arial"/>
        <w:sz w:val="16"/>
        <w:szCs w:val="16"/>
      </w:rPr>
      <w:fldChar w:fldCharType="begin"/>
    </w:r>
    <w:r w:rsidRPr="00223E00">
      <w:rPr>
        <w:rFonts w:ascii="Arial" w:hAnsi="Arial" w:cs="Arial"/>
        <w:sz w:val="16"/>
        <w:szCs w:val="16"/>
      </w:rPr>
      <w:instrText xml:space="preserve"> PAGE   \* MERGEFORMAT </w:instrText>
    </w:r>
    <w:r w:rsidR="0043587D" w:rsidRPr="00223E00">
      <w:rPr>
        <w:rFonts w:ascii="Arial" w:hAnsi="Arial" w:cs="Arial"/>
        <w:sz w:val="16"/>
        <w:szCs w:val="16"/>
      </w:rPr>
      <w:fldChar w:fldCharType="separate"/>
    </w:r>
    <w:r w:rsidR="009500E9">
      <w:rPr>
        <w:rFonts w:ascii="Arial" w:hAnsi="Arial" w:cs="Arial"/>
        <w:noProof/>
        <w:sz w:val="16"/>
        <w:szCs w:val="16"/>
      </w:rPr>
      <w:t>15</w:t>
    </w:r>
    <w:r w:rsidR="0043587D" w:rsidRPr="00223E00">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205" w:rsidRDefault="001C7205" w:rsidP="00E71A58">
      <w:r>
        <w:separator/>
      </w:r>
    </w:p>
  </w:footnote>
  <w:footnote w:type="continuationSeparator" w:id="0">
    <w:p w:rsidR="001C7205" w:rsidRDefault="001C7205" w:rsidP="00E71A58">
      <w:r>
        <w:continuationSeparator/>
      </w:r>
    </w:p>
  </w:footnote>
  <w:footnote w:id="1">
    <w:p w:rsidR="000A7C02" w:rsidRPr="00E41A59" w:rsidRDefault="000A7C02" w:rsidP="000F43EB">
      <w:pPr>
        <w:pStyle w:val="Textpoznpodarou"/>
        <w:jc w:val="both"/>
        <w:rPr>
          <w:sz w:val="16"/>
          <w:szCs w:val="16"/>
        </w:rPr>
      </w:pPr>
      <w:r w:rsidRPr="00220838">
        <w:rPr>
          <w:rStyle w:val="Znakapoznpodarou"/>
          <w:sz w:val="16"/>
        </w:rPr>
        <w:footnoteRef/>
      </w:r>
      <w:r w:rsidRPr="00220838">
        <w:rPr>
          <w:sz w:val="16"/>
        </w:rPr>
        <w:t xml:space="preserve"> </w:t>
      </w:r>
      <w:proofErr w:type="gramStart"/>
      <w:r w:rsidRPr="003857CD">
        <w:rPr>
          <w:sz w:val="16"/>
          <w:lang w:val="en-GB"/>
        </w:rPr>
        <w:t xml:space="preserve">Expressed by the addition to the average consumer price index for the last twelve months against the average of the preceding </w:t>
      </w:r>
      <w:r w:rsidRPr="003857CD">
        <w:rPr>
          <w:sz w:val="16"/>
          <w:szCs w:val="16"/>
          <w:lang w:val="en-GB"/>
        </w:rPr>
        <w:t>12 months.</w:t>
      </w:r>
      <w:proofErr w:type="gramEnd"/>
      <w:r>
        <w:rPr>
          <w:sz w:val="16"/>
          <w:szCs w:val="16"/>
        </w:rPr>
        <w:t xml:space="preserve"> </w:t>
      </w:r>
    </w:p>
  </w:footnote>
  <w:footnote w:id="2">
    <w:p w:rsidR="000A7C02" w:rsidRPr="00C53EBE" w:rsidRDefault="000A7C02">
      <w:pPr>
        <w:pStyle w:val="Textpoznpodarou"/>
        <w:rPr>
          <w:sz w:val="16"/>
          <w:szCs w:val="16"/>
          <w:lang w:val="en-GB"/>
        </w:rPr>
      </w:pPr>
      <w:r w:rsidRPr="00C53EBE">
        <w:rPr>
          <w:rStyle w:val="Znakapoznpodarou"/>
          <w:sz w:val="16"/>
          <w:lang w:val="en-GB"/>
        </w:rPr>
        <w:footnoteRef/>
      </w:r>
      <w:r w:rsidRPr="00C53EBE">
        <w:rPr>
          <w:sz w:val="16"/>
          <w:lang w:val="en-GB"/>
        </w:rPr>
        <w:t xml:space="preserve"> Data surveyed only for Prague.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C02" w:rsidRPr="007F7A39" w:rsidRDefault="000A7C02" w:rsidP="007F7A39">
    <w:pPr>
      <w:pStyle w:val="Zhlav"/>
      <w:tabs>
        <w:tab w:val="clear" w:pos="4536"/>
        <w:tab w:val="clear" w:pos="9072"/>
        <w:tab w:val="left" w:pos="-6379"/>
        <w:tab w:val="center" w:pos="4820"/>
        <w:tab w:val="right" w:pos="9639"/>
      </w:tabs>
      <w:rPr>
        <w:rFonts w:ascii="Arial" w:hAnsi="Arial" w:cs="Arial"/>
        <w:sz w:val="16"/>
        <w:szCs w:val="16"/>
        <w:lang w:val="en-GB"/>
      </w:rPr>
    </w:pPr>
    <w:r w:rsidRPr="007F7A39">
      <w:rPr>
        <w:rFonts w:ascii="Arial" w:hAnsi="Arial" w:cs="Arial"/>
        <w:sz w:val="16"/>
        <w:szCs w:val="16"/>
        <w:lang w:val="en-GB"/>
      </w:rPr>
      <w:t>The Czech Economy Development in 2016</w:t>
    </w:r>
  </w:p>
  <w:p w:rsidR="000A7C02" w:rsidRPr="007F7A39" w:rsidRDefault="000A7C02" w:rsidP="007F7A39">
    <w:pPr>
      <w:pStyle w:val="Zhlav"/>
      <w:rPr>
        <w:szCs w:val="16"/>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C02" w:rsidRPr="007859BB" w:rsidRDefault="000A7C02" w:rsidP="007859BB">
    <w:pPr>
      <w:pStyle w:val="Zhlav"/>
      <w:tabs>
        <w:tab w:val="clear" w:pos="4536"/>
        <w:tab w:val="clear" w:pos="9072"/>
        <w:tab w:val="left" w:pos="-6379"/>
        <w:tab w:val="center" w:pos="4820"/>
        <w:tab w:val="right" w:pos="9639"/>
      </w:tabs>
      <w:rPr>
        <w:rFonts w:ascii="Arial" w:hAnsi="Arial" w:cs="Arial"/>
        <w:sz w:val="16"/>
        <w:szCs w:val="16"/>
        <w:lang w:val="en-GB"/>
      </w:rPr>
    </w:pPr>
    <w:r w:rsidRPr="007F7A39">
      <w:rPr>
        <w:rFonts w:ascii="Arial" w:hAnsi="Arial" w:cs="Arial"/>
        <w:sz w:val="16"/>
        <w:szCs w:val="16"/>
        <w:lang w:val="en-GB"/>
      </w:rPr>
      <w:t>The Czech Economy Development in 2016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F5BAB"/>
    <w:multiLevelType w:val="hybridMultilevel"/>
    <w:tmpl w:val="4150E6B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16FB457C"/>
    <w:multiLevelType w:val="hybridMultilevel"/>
    <w:tmpl w:val="286E7B2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19714A0B"/>
    <w:multiLevelType w:val="hybridMultilevel"/>
    <w:tmpl w:val="11CE6D64"/>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9CF62C9"/>
    <w:multiLevelType w:val="hybridMultilevel"/>
    <w:tmpl w:val="FFCA852E"/>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4">
    <w:nsid w:val="23A7708B"/>
    <w:multiLevelType w:val="hybridMultilevel"/>
    <w:tmpl w:val="9CF6FB5C"/>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26320703"/>
    <w:multiLevelType w:val="hybridMultilevel"/>
    <w:tmpl w:val="9CB2DAE6"/>
    <w:lvl w:ilvl="0" w:tplc="45ECC748">
      <w:start w:val="6"/>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6">
    <w:nsid w:val="31AD014E"/>
    <w:multiLevelType w:val="hybridMultilevel"/>
    <w:tmpl w:val="5A5ABD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33B18EA"/>
    <w:multiLevelType w:val="hybridMultilevel"/>
    <w:tmpl w:val="CFC2F5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C534B5E"/>
    <w:multiLevelType w:val="hybridMultilevel"/>
    <w:tmpl w:val="1180B77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5D4D0FE2"/>
    <w:multiLevelType w:val="hybridMultilevel"/>
    <w:tmpl w:val="ECDE86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0393E7F"/>
    <w:multiLevelType w:val="hybridMultilevel"/>
    <w:tmpl w:val="CEA2AC42"/>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3690D45"/>
    <w:multiLevelType w:val="hybridMultilevel"/>
    <w:tmpl w:val="7810A3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66255FDC"/>
    <w:multiLevelType w:val="hybridMultilevel"/>
    <w:tmpl w:val="14EC1500"/>
    <w:lvl w:ilvl="0" w:tplc="DAC09A1E">
      <w:start w:val="6"/>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3">
    <w:nsid w:val="696F0669"/>
    <w:multiLevelType w:val="hybridMultilevel"/>
    <w:tmpl w:val="6B98091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69C501C8"/>
    <w:multiLevelType w:val="hybridMultilevel"/>
    <w:tmpl w:val="0C043E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F805D16"/>
    <w:multiLevelType w:val="hybridMultilevel"/>
    <w:tmpl w:val="A12480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35261EC"/>
    <w:multiLevelType w:val="hybridMultilevel"/>
    <w:tmpl w:val="BFC0B07E"/>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76C940DA"/>
    <w:multiLevelType w:val="hybridMultilevel"/>
    <w:tmpl w:val="D2C67DD0"/>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ABC47DB"/>
    <w:multiLevelType w:val="hybridMultilevel"/>
    <w:tmpl w:val="AA506508"/>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nsid w:val="7C550A0F"/>
    <w:multiLevelType w:val="hybridMultilevel"/>
    <w:tmpl w:val="A6E66A4C"/>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hint="default"/>
      </w:rPr>
    </w:lvl>
    <w:lvl w:ilvl="8" w:tplc="04050005" w:tentative="1">
      <w:start w:val="1"/>
      <w:numFmt w:val="bullet"/>
      <w:lvlText w:val=""/>
      <w:lvlJc w:val="left"/>
      <w:pPr>
        <w:ind w:left="6262" w:hanging="360"/>
      </w:pPr>
      <w:rPr>
        <w:rFonts w:ascii="Wingdings" w:hAnsi="Wingdings" w:hint="default"/>
      </w:rPr>
    </w:lvl>
  </w:abstractNum>
  <w:num w:numId="1">
    <w:abstractNumId w:val="13"/>
  </w:num>
  <w:num w:numId="2">
    <w:abstractNumId w:val="19"/>
  </w:num>
  <w:num w:numId="3">
    <w:abstractNumId w:val="9"/>
  </w:num>
  <w:num w:numId="4">
    <w:abstractNumId w:val="17"/>
  </w:num>
  <w:num w:numId="5">
    <w:abstractNumId w:val="10"/>
  </w:num>
  <w:num w:numId="6">
    <w:abstractNumId w:val="14"/>
  </w:num>
  <w:num w:numId="7">
    <w:abstractNumId w:val="3"/>
  </w:num>
  <w:num w:numId="8">
    <w:abstractNumId w:val="8"/>
  </w:num>
  <w:num w:numId="9">
    <w:abstractNumId w:val="16"/>
  </w:num>
  <w:num w:numId="10">
    <w:abstractNumId w:val="2"/>
  </w:num>
  <w:num w:numId="11">
    <w:abstractNumId w:val="7"/>
  </w:num>
  <w:num w:numId="12">
    <w:abstractNumId w:val="1"/>
  </w:num>
  <w:num w:numId="13">
    <w:abstractNumId w:val="6"/>
  </w:num>
  <w:num w:numId="14">
    <w:abstractNumId w:val="0"/>
  </w:num>
  <w:num w:numId="15">
    <w:abstractNumId w:val="15"/>
  </w:num>
  <w:num w:numId="16">
    <w:abstractNumId w:val="11"/>
  </w:num>
  <w:num w:numId="17">
    <w:abstractNumId w:val="4"/>
  </w:num>
  <w:num w:numId="18">
    <w:abstractNumId w:val="18"/>
  </w:num>
  <w:num w:numId="19">
    <w:abstractNumId w:val="12"/>
  </w:num>
  <w:num w:numId="20">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stylePaneFormatFilter w:val="1024"/>
  <w:defaultTabStop w:val="708"/>
  <w:hyphenationZone w:val="425"/>
  <w:evenAndOddHeaders/>
  <w:drawingGridHorizontalSpacing w:val="100"/>
  <w:displayHorizontalDrawingGridEvery w:val="2"/>
  <w:characterSpacingControl w:val="doNotCompress"/>
  <w:hdrShapeDefaults>
    <o:shapedefaults v:ext="edit" spidmax="41986"/>
  </w:hdrShapeDefaults>
  <w:footnotePr>
    <w:footnote w:id="-1"/>
    <w:footnote w:id="0"/>
  </w:footnotePr>
  <w:endnotePr>
    <w:endnote w:id="-1"/>
    <w:endnote w:id="0"/>
  </w:endnotePr>
  <w:compat/>
  <w:rsids>
    <w:rsidRoot w:val="009B70BD"/>
    <w:rsid w:val="00000FA7"/>
    <w:rsid w:val="00001EFF"/>
    <w:rsid w:val="00003687"/>
    <w:rsid w:val="00003C43"/>
    <w:rsid w:val="00004CAA"/>
    <w:rsid w:val="00004EB0"/>
    <w:rsid w:val="00005BC0"/>
    <w:rsid w:val="000065B8"/>
    <w:rsid w:val="000065F9"/>
    <w:rsid w:val="00006FF3"/>
    <w:rsid w:val="00007498"/>
    <w:rsid w:val="0000767A"/>
    <w:rsid w:val="00007C85"/>
    <w:rsid w:val="000101F5"/>
    <w:rsid w:val="000104B9"/>
    <w:rsid w:val="00010702"/>
    <w:rsid w:val="00010770"/>
    <w:rsid w:val="00011191"/>
    <w:rsid w:val="0001159B"/>
    <w:rsid w:val="000117CA"/>
    <w:rsid w:val="00011C90"/>
    <w:rsid w:val="00012986"/>
    <w:rsid w:val="00013E59"/>
    <w:rsid w:val="00014028"/>
    <w:rsid w:val="00015195"/>
    <w:rsid w:val="0001519F"/>
    <w:rsid w:val="0001572B"/>
    <w:rsid w:val="0001573E"/>
    <w:rsid w:val="000157DA"/>
    <w:rsid w:val="0001589D"/>
    <w:rsid w:val="00016033"/>
    <w:rsid w:val="000162DB"/>
    <w:rsid w:val="00016315"/>
    <w:rsid w:val="00017F05"/>
    <w:rsid w:val="00020137"/>
    <w:rsid w:val="000202C6"/>
    <w:rsid w:val="00020946"/>
    <w:rsid w:val="00021E93"/>
    <w:rsid w:val="0002203C"/>
    <w:rsid w:val="00022081"/>
    <w:rsid w:val="0002292C"/>
    <w:rsid w:val="00022B41"/>
    <w:rsid w:val="00023FB5"/>
    <w:rsid w:val="0002434F"/>
    <w:rsid w:val="00024887"/>
    <w:rsid w:val="00024CBA"/>
    <w:rsid w:val="00025501"/>
    <w:rsid w:val="00025532"/>
    <w:rsid w:val="00026998"/>
    <w:rsid w:val="00026B06"/>
    <w:rsid w:val="000304C4"/>
    <w:rsid w:val="0003066A"/>
    <w:rsid w:val="00030BF0"/>
    <w:rsid w:val="00030F14"/>
    <w:rsid w:val="000311C5"/>
    <w:rsid w:val="00032838"/>
    <w:rsid w:val="00032C12"/>
    <w:rsid w:val="00032E0C"/>
    <w:rsid w:val="00035CCF"/>
    <w:rsid w:val="00035FC6"/>
    <w:rsid w:val="0003705E"/>
    <w:rsid w:val="00037667"/>
    <w:rsid w:val="00037961"/>
    <w:rsid w:val="00040682"/>
    <w:rsid w:val="0004075D"/>
    <w:rsid w:val="000411E1"/>
    <w:rsid w:val="00041E9C"/>
    <w:rsid w:val="00043C68"/>
    <w:rsid w:val="00043E05"/>
    <w:rsid w:val="0004694F"/>
    <w:rsid w:val="000500DC"/>
    <w:rsid w:val="0005025B"/>
    <w:rsid w:val="000509FD"/>
    <w:rsid w:val="0005171C"/>
    <w:rsid w:val="00051ADE"/>
    <w:rsid w:val="00052052"/>
    <w:rsid w:val="00052172"/>
    <w:rsid w:val="000534FD"/>
    <w:rsid w:val="00053CBA"/>
    <w:rsid w:val="000541D1"/>
    <w:rsid w:val="00054BB5"/>
    <w:rsid w:val="00054E43"/>
    <w:rsid w:val="00055059"/>
    <w:rsid w:val="000553E4"/>
    <w:rsid w:val="0005599E"/>
    <w:rsid w:val="0005670F"/>
    <w:rsid w:val="000567FA"/>
    <w:rsid w:val="00056A90"/>
    <w:rsid w:val="00056B26"/>
    <w:rsid w:val="00057708"/>
    <w:rsid w:val="00057C16"/>
    <w:rsid w:val="00060F26"/>
    <w:rsid w:val="00062D43"/>
    <w:rsid w:val="00062EC5"/>
    <w:rsid w:val="00064256"/>
    <w:rsid w:val="0006708D"/>
    <w:rsid w:val="000671C7"/>
    <w:rsid w:val="00067531"/>
    <w:rsid w:val="00067684"/>
    <w:rsid w:val="000706A4"/>
    <w:rsid w:val="00070A0C"/>
    <w:rsid w:val="0007104B"/>
    <w:rsid w:val="00071F80"/>
    <w:rsid w:val="00072118"/>
    <w:rsid w:val="00073173"/>
    <w:rsid w:val="00073192"/>
    <w:rsid w:val="00073461"/>
    <w:rsid w:val="000760AE"/>
    <w:rsid w:val="0007651D"/>
    <w:rsid w:val="00076FFF"/>
    <w:rsid w:val="000779AC"/>
    <w:rsid w:val="00080A41"/>
    <w:rsid w:val="00080AA8"/>
    <w:rsid w:val="00081C84"/>
    <w:rsid w:val="00082637"/>
    <w:rsid w:val="00082D56"/>
    <w:rsid w:val="00083803"/>
    <w:rsid w:val="00083D7F"/>
    <w:rsid w:val="00084393"/>
    <w:rsid w:val="00084807"/>
    <w:rsid w:val="00085070"/>
    <w:rsid w:val="000870F1"/>
    <w:rsid w:val="0008716A"/>
    <w:rsid w:val="00087634"/>
    <w:rsid w:val="000879B9"/>
    <w:rsid w:val="00091237"/>
    <w:rsid w:val="000916B1"/>
    <w:rsid w:val="0009191B"/>
    <w:rsid w:val="000920EC"/>
    <w:rsid w:val="00092208"/>
    <w:rsid w:val="00092505"/>
    <w:rsid w:val="000927EB"/>
    <w:rsid w:val="00092BD9"/>
    <w:rsid w:val="00092C9A"/>
    <w:rsid w:val="00094D55"/>
    <w:rsid w:val="000973B6"/>
    <w:rsid w:val="000976A6"/>
    <w:rsid w:val="00097BFC"/>
    <w:rsid w:val="00097D02"/>
    <w:rsid w:val="000A0BBE"/>
    <w:rsid w:val="000A1183"/>
    <w:rsid w:val="000A2121"/>
    <w:rsid w:val="000A2484"/>
    <w:rsid w:val="000A36CE"/>
    <w:rsid w:val="000A4021"/>
    <w:rsid w:val="000A59BF"/>
    <w:rsid w:val="000A66C2"/>
    <w:rsid w:val="000A68A2"/>
    <w:rsid w:val="000A68A7"/>
    <w:rsid w:val="000A742D"/>
    <w:rsid w:val="000A7C02"/>
    <w:rsid w:val="000B1458"/>
    <w:rsid w:val="000B1CFE"/>
    <w:rsid w:val="000B1F3D"/>
    <w:rsid w:val="000B210A"/>
    <w:rsid w:val="000B21AC"/>
    <w:rsid w:val="000B249B"/>
    <w:rsid w:val="000B2ADE"/>
    <w:rsid w:val="000B2C3D"/>
    <w:rsid w:val="000B3B01"/>
    <w:rsid w:val="000B3DB9"/>
    <w:rsid w:val="000B3F02"/>
    <w:rsid w:val="000B48A2"/>
    <w:rsid w:val="000B48E7"/>
    <w:rsid w:val="000B4F41"/>
    <w:rsid w:val="000B6E11"/>
    <w:rsid w:val="000B7663"/>
    <w:rsid w:val="000C09C1"/>
    <w:rsid w:val="000C1106"/>
    <w:rsid w:val="000C11D3"/>
    <w:rsid w:val="000C12F5"/>
    <w:rsid w:val="000C2C94"/>
    <w:rsid w:val="000C3408"/>
    <w:rsid w:val="000C3DFC"/>
    <w:rsid w:val="000C4AC8"/>
    <w:rsid w:val="000C54AF"/>
    <w:rsid w:val="000C5C0F"/>
    <w:rsid w:val="000C5D56"/>
    <w:rsid w:val="000C6498"/>
    <w:rsid w:val="000D0B22"/>
    <w:rsid w:val="000D0D51"/>
    <w:rsid w:val="000D14B3"/>
    <w:rsid w:val="000D1BFB"/>
    <w:rsid w:val="000D1F52"/>
    <w:rsid w:val="000D208B"/>
    <w:rsid w:val="000D263E"/>
    <w:rsid w:val="000D2B48"/>
    <w:rsid w:val="000D2B8D"/>
    <w:rsid w:val="000D2E41"/>
    <w:rsid w:val="000D342A"/>
    <w:rsid w:val="000D3DC0"/>
    <w:rsid w:val="000D43CB"/>
    <w:rsid w:val="000D5E7A"/>
    <w:rsid w:val="000D5FAA"/>
    <w:rsid w:val="000D65A4"/>
    <w:rsid w:val="000D6AEF"/>
    <w:rsid w:val="000D7D11"/>
    <w:rsid w:val="000E0098"/>
    <w:rsid w:val="000E025B"/>
    <w:rsid w:val="000E0ECB"/>
    <w:rsid w:val="000E153A"/>
    <w:rsid w:val="000E19A8"/>
    <w:rsid w:val="000E1EEA"/>
    <w:rsid w:val="000E4241"/>
    <w:rsid w:val="000E4A42"/>
    <w:rsid w:val="000E6476"/>
    <w:rsid w:val="000E77CC"/>
    <w:rsid w:val="000E78D2"/>
    <w:rsid w:val="000F06EF"/>
    <w:rsid w:val="000F3332"/>
    <w:rsid w:val="000F338D"/>
    <w:rsid w:val="000F33EE"/>
    <w:rsid w:val="000F401E"/>
    <w:rsid w:val="000F4191"/>
    <w:rsid w:val="000F43EB"/>
    <w:rsid w:val="000F5445"/>
    <w:rsid w:val="000F5673"/>
    <w:rsid w:val="000F67B2"/>
    <w:rsid w:val="000F6CFB"/>
    <w:rsid w:val="000F74B6"/>
    <w:rsid w:val="000F790F"/>
    <w:rsid w:val="000F7E1B"/>
    <w:rsid w:val="00100014"/>
    <w:rsid w:val="0010039A"/>
    <w:rsid w:val="001010CD"/>
    <w:rsid w:val="00101E94"/>
    <w:rsid w:val="00101FB2"/>
    <w:rsid w:val="00102CB8"/>
    <w:rsid w:val="00102F02"/>
    <w:rsid w:val="0010385D"/>
    <w:rsid w:val="00103B42"/>
    <w:rsid w:val="00103CE1"/>
    <w:rsid w:val="00103E41"/>
    <w:rsid w:val="001041B6"/>
    <w:rsid w:val="001048E0"/>
    <w:rsid w:val="001070EA"/>
    <w:rsid w:val="0011002A"/>
    <w:rsid w:val="001107CE"/>
    <w:rsid w:val="0011110A"/>
    <w:rsid w:val="001118AF"/>
    <w:rsid w:val="00111CA5"/>
    <w:rsid w:val="00112488"/>
    <w:rsid w:val="0011256E"/>
    <w:rsid w:val="0011274D"/>
    <w:rsid w:val="00112E13"/>
    <w:rsid w:val="0011352E"/>
    <w:rsid w:val="00113F43"/>
    <w:rsid w:val="00114A13"/>
    <w:rsid w:val="00114FC0"/>
    <w:rsid w:val="00115496"/>
    <w:rsid w:val="00116DB9"/>
    <w:rsid w:val="00116F28"/>
    <w:rsid w:val="00121C39"/>
    <w:rsid w:val="00123255"/>
    <w:rsid w:val="00123A5C"/>
    <w:rsid w:val="00124430"/>
    <w:rsid w:val="00124D2D"/>
    <w:rsid w:val="00124DA1"/>
    <w:rsid w:val="00124E9C"/>
    <w:rsid w:val="00125326"/>
    <w:rsid w:val="00125CB5"/>
    <w:rsid w:val="0012678C"/>
    <w:rsid w:val="00127535"/>
    <w:rsid w:val="00127965"/>
    <w:rsid w:val="001307BE"/>
    <w:rsid w:val="00130C8F"/>
    <w:rsid w:val="001314F2"/>
    <w:rsid w:val="001317DA"/>
    <w:rsid w:val="001322B4"/>
    <w:rsid w:val="001323BA"/>
    <w:rsid w:val="0013254D"/>
    <w:rsid w:val="00133AAC"/>
    <w:rsid w:val="00133FBD"/>
    <w:rsid w:val="00135008"/>
    <w:rsid w:val="001364C1"/>
    <w:rsid w:val="00136561"/>
    <w:rsid w:val="001400E1"/>
    <w:rsid w:val="001405FA"/>
    <w:rsid w:val="001413B3"/>
    <w:rsid w:val="001425C3"/>
    <w:rsid w:val="00142F16"/>
    <w:rsid w:val="00143E03"/>
    <w:rsid w:val="00143E93"/>
    <w:rsid w:val="00143FA3"/>
    <w:rsid w:val="0014428D"/>
    <w:rsid w:val="00144BEA"/>
    <w:rsid w:val="001468CC"/>
    <w:rsid w:val="001500FC"/>
    <w:rsid w:val="00151AAB"/>
    <w:rsid w:val="00151AC0"/>
    <w:rsid w:val="00151B27"/>
    <w:rsid w:val="00152046"/>
    <w:rsid w:val="001524FC"/>
    <w:rsid w:val="001528DF"/>
    <w:rsid w:val="00152E53"/>
    <w:rsid w:val="001536DD"/>
    <w:rsid w:val="00153ECF"/>
    <w:rsid w:val="00154147"/>
    <w:rsid w:val="00155089"/>
    <w:rsid w:val="001550F3"/>
    <w:rsid w:val="00155746"/>
    <w:rsid w:val="00156318"/>
    <w:rsid w:val="0015639A"/>
    <w:rsid w:val="00157410"/>
    <w:rsid w:val="0016081D"/>
    <w:rsid w:val="00160CF3"/>
    <w:rsid w:val="00160E61"/>
    <w:rsid w:val="00161300"/>
    <w:rsid w:val="00161CCF"/>
    <w:rsid w:val="001620FA"/>
    <w:rsid w:val="00162853"/>
    <w:rsid w:val="00163793"/>
    <w:rsid w:val="001640FB"/>
    <w:rsid w:val="00164B83"/>
    <w:rsid w:val="00165E1B"/>
    <w:rsid w:val="00167FB2"/>
    <w:rsid w:val="001707DE"/>
    <w:rsid w:val="00170B04"/>
    <w:rsid w:val="00170F47"/>
    <w:rsid w:val="001711F2"/>
    <w:rsid w:val="001714F2"/>
    <w:rsid w:val="00172F26"/>
    <w:rsid w:val="00173642"/>
    <w:rsid w:val="00173AF4"/>
    <w:rsid w:val="00173CB0"/>
    <w:rsid w:val="00174853"/>
    <w:rsid w:val="00174CE8"/>
    <w:rsid w:val="00174E7D"/>
    <w:rsid w:val="001752CB"/>
    <w:rsid w:val="00175351"/>
    <w:rsid w:val="00175F60"/>
    <w:rsid w:val="00176050"/>
    <w:rsid w:val="001764D8"/>
    <w:rsid w:val="00176A8F"/>
    <w:rsid w:val="00176C72"/>
    <w:rsid w:val="00180D58"/>
    <w:rsid w:val="00181938"/>
    <w:rsid w:val="00182981"/>
    <w:rsid w:val="00184CF9"/>
    <w:rsid w:val="00185010"/>
    <w:rsid w:val="001852EC"/>
    <w:rsid w:val="001857D6"/>
    <w:rsid w:val="00185D70"/>
    <w:rsid w:val="00186447"/>
    <w:rsid w:val="001874CF"/>
    <w:rsid w:val="00190214"/>
    <w:rsid w:val="00190D9B"/>
    <w:rsid w:val="00191461"/>
    <w:rsid w:val="00191BAE"/>
    <w:rsid w:val="00193432"/>
    <w:rsid w:val="0019346C"/>
    <w:rsid w:val="00194AE3"/>
    <w:rsid w:val="00194D9B"/>
    <w:rsid w:val="00195335"/>
    <w:rsid w:val="00195444"/>
    <w:rsid w:val="0019579E"/>
    <w:rsid w:val="0019797A"/>
    <w:rsid w:val="001A0A79"/>
    <w:rsid w:val="001A199D"/>
    <w:rsid w:val="001A2BDB"/>
    <w:rsid w:val="001A30F4"/>
    <w:rsid w:val="001A44F9"/>
    <w:rsid w:val="001A47AB"/>
    <w:rsid w:val="001A4930"/>
    <w:rsid w:val="001A4A37"/>
    <w:rsid w:val="001A4C0D"/>
    <w:rsid w:val="001A552F"/>
    <w:rsid w:val="001A56F3"/>
    <w:rsid w:val="001A737B"/>
    <w:rsid w:val="001A750C"/>
    <w:rsid w:val="001A7769"/>
    <w:rsid w:val="001A7A4E"/>
    <w:rsid w:val="001A7BBB"/>
    <w:rsid w:val="001B1D89"/>
    <w:rsid w:val="001B2143"/>
    <w:rsid w:val="001B2B24"/>
    <w:rsid w:val="001B3110"/>
    <w:rsid w:val="001B4198"/>
    <w:rsid w:val="001B44BC"/>
    <w:rsid w:val="001B46D6"/>
    <w:rsid w:val="001B5215"/>
    <w:rsid w:val="001B5888"/>
    <w:rsid w:val="001B618F"/>
    <w:rsid w:val="001B6277"/>
    <w:rsid w:val="001B6545"/>
    <w:rsid w:val="001B681B"/>
    <w:rsid w:val="001B6A49"/>
    <w:rsid w:val="001B7231"/>
    <w:rsid w:val="001B74FB"/>
    <w:rsid w:val="001B77A1"/>
    <w:rsid w:val="001C0422"/>
    <w:rsid w:val="001C049B"/>
    <w:rsid w:val="001C0E0E"/>
    <w:rsid w:val="001C0EB9"/>
    <w:rsid w:val="001C1219"/>
    <w:rsid w:val="001C24D7"/>
    <w:rsid w:val="001C2816"/>
    <w:rsid w:val="001C357A"/>
    <w:rsid w:val="001C3A37"/>
    <w:rsid w:val="001C4384"/>
    <w:rsid w:val="001C55F5"/>
    <w:rsid w:val="001C6024"/>
    <w:rsid w:val="001C65FF"/>
    <w:rsid w:val="001C7205"/>
    <w:rsid w:val="001C78A2"/>
    <w:rsid w:val="001D05CF"/>
    <w:rsid w:val="001D3787"/>
    <w:rsid w:val="001D47E5"/>
    <w:rsid w:val="001D48A5"/>
    <w:rsid w:val="001D584C"/>
    <w:rsid w:val="001D5E1B"/>
    <w:rsid w:val="001D66C1"/>
    <w:rsid w:val="001D74E8"/>
    <w:rsid w:val="001D7C6F"/>
    <w:rsid w:val="001E0024"/>
    <w:rsid w:val="001E0C65"/>
    <w:rsid w:val="001E2377"/>
    <w:rsid w:val="001E23E3"/>
    <w:rsid w:val="001E29AF"/>
    <w:rsid w:val="001E387A"/>
    <w:rsid w:val="001E3DA4"/>
    <w:rsid w:val="001E5469"/>
    <w:rsid w:val="001E5830"/>
    <w:rsid w:val="001E59D5"/>
    <w:rsid w:val="001E684C"/>
    <w:rsid w:val="001E701C"/>
    <w:rsid w:val="001E7552"/>
    <w:rsid w:val="001E7C03"/>
    <w:rsid w:val="001F02AF"/>
    <w:rsid w:val="001F0649"/>
    <w:rsid w:val="001F1C99"/>
    <w:rsid w:val="001F21A6"/>
    <w:rsid w:val="001F28F4"/>
    <w:rsid w:val="001F2CC6"/>
    <w:rsid w:val="001F3055"/>
    <w:rsid w:val="001F31BC"/>
    <w:rsid w:val="001F378E"/>
    <w:rsid w:val="001F3C79"/>
    <w:rsid w:val="001F3E68"/>
    <w:rsid w:val="001F4597"/>
    <w:rsid w:val="001F56A9"/>
    <w:rsid w:val="001F5C6A"/>
    <w:rsid w:val="001F63A7"/>
    <w:rsid w:val="001F670A"/>
    <w:rsid w:val="001F6A2E"/>
    <w:rsid w:val="001F6CC0"/>
    <w:rsid w:val="00200D15"/>
    <w:rsid w:val="002012FC"/>
    <w:rsid w:val="0020223B"/>
    <w:rsid w:val="0020294A"/>
    <w:rsid w:val="00203074"/>
    <w:rsid w:val="00203B46"/>
    <w:rsid w:val="002048E1"/>
    <w:rsid w:val="00207DB6"/>
    <w:rsid w:val="00210278"/>
    <w:rsid w:val="00210CC2"/>
    <w:rsid w:val="00210F5B"/>
    <w:rsid w:val="00210FFA"/>
    <w:rsid w:val="00211262"/>
    <w:rsid w:val="002115F5"/>
    <w:rsid w:val="00211AC9"/>
    <w:rsid w:val="00212292"/>
    <w:rsid w:val="002131D4"/>
    <w:rsid w:val="0021329E"/>
    <w:rsid w:val="0021355B"/>
    <w:rsid w:val="00215A2C"/>
    <w:rsid w:val="00215CC3"/>
    <w:rsid w:val="002169D2"/>
    <w:rsid w:val="00217980"/>
    <w:rsid w:val="002179F9"/>
    <w:rsid w:val="00217B00"/>
    <w:rsid w:val="00217F7E"/>
    <w:rsid w:val="002205F2"/>
    <w:rsid w:val="0022080E"/>
    <w:rsid w:val="00220838"/>
    <w:rsid w:val="00220B20"/>
    <w:rsid w:val="00220CF8"/>
    <w:rsid w:val="0022139E"/>
    <w:rsid w:val="0022272B"/>
    <w:rsid w:val="00222A99"/>
    <w:rsid w:val="002234CA"/>
    <w:rsid w:val="00223678"/>
    <w:rsid w:val="002236F7"/>
    <w:rsid w:val="00223E00"/>
    <w:rsid w:val="00223ECF"/>
    <w:rsid w:val="00224546"/>
    <w:rsid w:val="002252E0"/>
    <w:rsid w:val="002255F6"/>
    <w:rsid w:val="002261DD"/>
    <w:rsid w:val="00226466"/>
    <w:rsid w:val="002266D0"/>
    <w:rsid w:val="00226887"/>
    <w:rsid w:val="00227771"/>
    <w:rsid w:val="00227991"/>
    <w:rsid w:val="0023093E"/>
    <w:rsid w:val="00230DAD"/>
    <w:rsid w:val="00231EE1"/>
    <w:rsid w:val="0023229C"/>
    <w:rsid w:val="0023301B"/>
    <w:rsid w:val="002334DF"/>
    <w:rsid w:val="0023355C"/>
    <w:rsid w:val="002340A2"/>
    <w:rsid w:val="00234280"/>
    <w:rsid w:val="00234DD5"/>
    <w:rsid w:val="00235000"/>
    <w:rsid w:val="002350E3"/>
    <w:rsid w:val="00235330"/>
    <w:rsid w:val="00236443"/>
    <w:rsid w:val="0024074D"/>
    <w:rsid w:val="00240773"/>
    <w:rsid w:val="00240815"/>
    <w:rsid w:val="00240A5B"/>
    <w:rsid w:val="00240C76"/>
    <w:rsid w:val="002411EF"/>
    <w:rsid w:val="00241446"/>
    <w:rsid w:val="00241FAA"/>
    <w:rsid w:val="00242730"/>
    <w:rsid w:val="00242C0B"/>
    <w:rsid w:val="002436BA"/>
    <w:rsid w:val="002444ED"/>
    <w:rsid w:val="00244A15"/>
    <w:rsid w:val="00244D40"/>
    <w:rsid w:val="00246AE9"/>
    <w:rsid w:val="0024799E"/>
    <w:rsid w:val="00250C59"/>
    <w:rsid w:val="00250E0D"/>
    <w:rsid w:val="002518F6"/>
    <w:rsid w:val="00251D59"/>
    <w:rsid w:val="00252602"/>
    <w:rsid w:val="00252FDC"/>
    <w:rsid w:val="002532E2"/>
    <w:rsid w:val="002550D8"/>
    <w:rsid w:val="00257613"/>
    <w:rsid w:val="0026117D"/>
    <w:rsid w:val="0026138C"/>
    <w:rsid w:val="00261A0F"/>
    <w:rsid w:val="00261E5B"/>
    <w:rsid w:val="00262F34"/>
    <w:rsid w:val="00263470"/>
    <w:rsid w:val="00263733"/>
    <w:rsid w:val="00264000"/>
    <w:rsid w:val="00264676"/>
    <w:rsid w:val="0026507C"/>
    <w:rsid w:val="00265536"/>
    <w:rsid w:val="00265772"/>
    <w:rsid w:val="00265E54"/>
    <w:rsid w:val="00266040"/>
    <w:rsid w:val="00266F3E"/>
    <w:rsid w:val="00270785"/>
    <w:rsid w:val="00270B56"/>
    <w:rsid w:val="00271BEF"/>
    <w:rsid w:val="00272464"/>
    <w:rsid w:val="002726B8"/>
    <w:rsid w:val="00272B0B"/>
    <w:rsid w:val="00272CC5"/>
    <w:rsid w:val="00273C60"/>
    <w:rsid w:val="00273CBE"/>
    <w:rsid w:val="00273DCD"/>
    <w:rsid w:val="00274291"/>
    <w:rsid w:val="00275D3C"/>
    <w:rsid w:val="00276C09"/>
    <w:rsid w:val="00276CFE"/>
    <w:rsid w:val="00277071"/>
    <w:rsid w:val="0027786C"/>
    <w:rsid w:val="00277BF7"/>
    <w:rsid w:val="00277C94"/>
    <w:rsid w:val="00280E67"/>
    <w:rsid w:val="00281416"/>
    <w:rsid w:val="00283C61"/>
    <w:rsid w:val="00285CD3"/>
    <w:rsid w:val="0028633E"/>
    <w:rsid w:val="0028686A"/>
    <w:rsid w:val="00286E66"/>
    <w:rsid w:val="002870B7"/>
    <w:rsid w:val="002879DE"/>
    <w:rsid w:val="002903C9"/>
    <w:rsid w:val="00290423"/>
    <w:rsid w:val="002907F1"/>
    <w:rsid w:val="00290870"/>
    <w:rsid w:val="0029191C"/>
    <w:rsid w:val="002919B5"/>
    <w:rsid w:val="00292137"/>
    <w:rsid w:val="002926EF"/>
    <w:rsid w:val="00293441"/>
    <w:rsid w:val="00293EA0"/>
    <w:rsid w:val="00294238"/>
    <w:rsid w:val="0029493E"/>
    <w:rsid w:val="00294A5F"/>
    <w:rsid w:val="002962E0"/>
    <w:rsid w:val="00296C2E"/>
    <w:rsid w:val="00297C8C"/>
    <w:rsid w:val="002A01B2"/>
    <w:rsid w:val="002A1B05"/>
    <w:rsid w:val="002A267F"/>
    <w:rsid w:val="002A3354"/>
    <w:rsid w:val="002A35EA"/>
    <w:rsid w:val="002A37B6"/>
    <w:rsid w:val="002A3A75"/>
    <w:rsid w:val="002A3BD5"/>
    <w:rsid w:val="002A43A2"/>
    <w:rsid w:val="002A44ED"/>
    <w:rsid w:val="002A4612"/>
    <w:rsid w:val="002A4F70"/>
    <w:rsid w:val="002A51BD"/>
    <w:rsid w:val="002A5263"/>
    <w:rsid w:val="002A66AF"/>
    <w:rsid w:val="002A6821"/>
    <w:rsid w:val="002A74D2"/>
    <w:rsid w:val="002A7CDA"/>
    <w:rsid w:val="002A7F47"/>
    <w:rsid w:val="002B1544"/>
    <w:rsid w:val="002B195A"/>
    <w:rsid w:val="002B1AA2"/>
    <w:rsid w:val="002B1DC1"/>
    <w:rsid w:val="002B36C8"/>
    <w:rsid w:val="002B385B"/>
    <w:rsid w:val="002B3A9C"/>
    <w:rsid w:val="002B556B"/>
    <w:rsid w:val="002B6D1E"/>
    <w:rsid w:val="002B71B4"/>
    <w:rsid w:val="002B7240"/>
    <w:rsid w:val="002C0FF4"/>
    <w:rsid w:val="002C125A"/>
    <w:rsid w:val="002C2668"/>
    <w:rsid w:val="002C43BD"/>
    <w:rsid w:val="002C493D"/>
    <w:rsid w:val="002C4E5A"/>
    <w:rsid w:val="002C5261"/>
    <w:rsid w:val="002C6091"/>
    <w:rsid w:val="002C7FC5"/>
    <w:rsid w:val="002D0562"/>
    <w:rsid w:val="002D1B5A"/>
    <w:rsid w:val="002D1BFF"/>
    <w:rsid w:val="002D2500"/>
    <w:rsid w:val="002D338A"/>
    <w:rsid w:val="002D3A1A"/>
    <w:rsid w:val="002D3F00"/>
    <w:rsid w:val="002D4D59"/>
    <w:rsid w:val="002D549A"/>
    <w:rsid w:val="002D54BF"/>
    <w:rsid w:val="002D58F6"/>
    <w:rsid w:val="002D5C3D"/>
    <w:rsid w:val="002D5E94"/>
    <w:rsid w:val="002D632D"/>
    <w:rsid w:val="002D68E6"/>
    <w:rsid w:val="002D6E8B"/>
    <w:rsid w:val="002D6FC7"/>
    <w:rsid w:val="002E02A1"/>
    <w:rsid w:val="002E0982"/>
    <w:rsid w:val="002E0B7A"/>
    <w:rsid w:val="002E0DB9"/>
    <w:rsid w:val="002E2CE4"/>
    <w:rsid w:val="002E34F3"/>
    <w:rsid w:val="002E383E"/>
    <w:rsid w:val="002E4217"/>
    <w:rsid w:val="002E435E"/>
    <w:rsid w:val="002E5958"/>
    <w:rsid w:val="002E73F2"/>
    <w:rsid w:val="002F0457"/>
    <w:rsid w:val="002F291A"/>
    <w:rsid w:val="002F33FB"/>
    <w:rsid w:val="002F3FBA"/>
    <w:rsid w:val="002F663A"/>
    <w:rsid w:val="002F68A4"/>
    <w:rsid w:val="002F7594"/>
    <w:rsid w:val="002F7902"/>
    <w:rsid w:val="003003E7"/>
    <w:rsid w:val="00300D6F"/>
    <w:rsid w:val="00301357"/>
    <w:rsid w:val="00301D04"/>
    <w:rsid w:val="00302C69"/>
    <w:rsid w:val="003035D4"/>
    <w:rsid w:val="00303A3C"/>
    <w:rsid w:val="00303DCB"/>
    <w:rsid w:val="00304771"/>
    <w:rsid w:val="00305736"/>
    <w:rsid w:val="0030599E"/>
    <w:rsid w:val="00305C33"/>
    <w:rsid w:val="00306C5B"/>
    <w:rsid w:val="00306E3B"/>
    <w:rsid w:val="00310ADB"/>
    <w:rsid w:val="003119B6"/>
    <w:rsid w:val="003119B7"/>
    <w:rsid w:val="00312C3D"/>
    <w:rsid w:val="003138E0"/>
    <w:rsid w:val="00314331"/>
    <w:rsid w:val="00314808"/>
    <w:rsid w:val="00316231"/>
    <w:rsid w:val="00317E31"/>
    <w:rsid w:val="00320146"/>
    <w:rsid w:val="00320214"/>
    <w:rsid w:val="003209D6"/>
    <w:rsid w:val="0032109A"/>
    <w:rsid w:val="0032214F"/>
    <w:rsid w:val="00322164"/>
    <w:rsid w:val="0032279C"/>
    <w:rsid w:val="00322949"/>
    <w:rsid w:val="00322CEB"/>
    <w:rsid w:val="00322D09"/>
    <w:rsid w:val="00322D80"/>
    <w:rsid w:val="00323CF7"/>
    <w:rsid w:val="00323E61"/>
    <w:rsid w:val="0032513D"/>
    <w:rsid w:val="00326251"/>
    <w:rsid w:val="0032739C"/>
    <w:rsid w:val="003277A6"/>
    <w:rsid w:val="00327DEE"/>
    <w:rsid w:val="003302DA"/>
    <w:rsid w:val="00330EB0"/>
    <w:rsid w:val="00331574"/>
    <w:rsid w:val="0033229B"/>
    <w:rsid w:val="003329F3"/>
    <w:rsid w:val="0033352E"/>
    <w:rsid w:val="00333690"/>
    <w:rsid w:val="0033390C"/>
    <w:rsid w:val="00333D20"/>
    <w:rsid w:val="00333F53"/>
    <w:rsid w:val="003340EF"/>
    <w:rsid w:val="0033463E"/>
    <w:rsid w:val="00334A49"/>
    <w:rsid w:val="0033536F"/>
    <w:rsid w:val="00335BB0"/>
    <w:rsid w:val="0033627B"/>
    <w:rsid w:val="003370B9"/>
    <w:rsid w:val="003406BD"/>
    <w:rsid w:val="00340D38"/>
    <w:rsid w:val="00342753"/>
    <w:rsid w:val="00342D7B"/>
    <w:rsid w:val="00343474"/>
    <w:rsid w:val="00343F84"/>
    <w:rsid w:val="00344135"/>
    <w:rsid w:val="00344533"/>
    <w:rsid w:val="003450E2"/>
    <w:rsid w:val="003460E3"/>
    <w:rsid w:val="00347F1E"/>
    <w:rsid w:val="00350053"/>
    <w:rsid w:val="003508B0"/>
    <w:rsid w:val="00351B63"/>
    <w:rsid w:val="00352E57"/>
    <w:rsid w:val="003541B0"/>
    <w:rsid w:val="0035422B"/>
    <w:rsid w:val="0035457E"/>
    <w:rsid w:val="00355885"/>
    <w:rsid w:val="00355A57"/>
    <w:rsid w:val="00355B5A"/>
    <w:rsid w:val="0035605E"/>
    <w:rsid w:val="00356244"/>
    <w:rsid w:val="00357449"/>
    <w:rsid w:val="00357CC2"/>
    <w:rsid w:val="00361CEF"/>
    <w:rsid w:val="0036238B"/>
    <w:rsid w:val="003630B0"/>
    <w:rsid w:val="00364173"/>
    <w:rsid w:val="003649FC"/>
    <w:rsid w:val="003651A4"/>
    <w:rsid w:val="00365680"/>
    <w:rsid w:val="003657F3"/>
    <w:rsid w:val="00365FBC"/>
    <w:rsid w:val="00366D4D"/>
    <w:rsid w:val="00367038"/>
    <w:rsid w:val="003676C4"/>
    <w:rsid w:val="0037077A"/>
    <w:rsid w:val="00370963"/>
    <w:rsid w:val="0037144E"/>
    <w:rsid w:val="00372272"/>
    <w:rsid w:val="00373689"/>
    <w:rsid w:val="003736B5"/>
    <w:rsid w:val="00374798"/>
    <w:rsid w:val="00374F1E"/>
    <w:rsid w:val="003750BC"/>
    <w:rsid w:val="003750CF"/>
    <w:rsid w:val="0037529E"/>
    <w:rsid w:val="00375A22"/>
    <w:rsid w:val="00376DEC"/>
    <w:rsid w:val="00377200"/>
    <w:rsid w:val="00377666"/>
    <w:rsid w:val="00377FE1"/>
    <w:rsid w:val="0038034A"/>
    <w:rsid w:val="00380E04"/>
    <w:rsid w:val="00380E6C"/>
    <w:rsid w:val="00381479"/>
    <w:rsid w:val="00383227"/>
    <w:rsid w:val="003839C9"/>
    <w:rsid w:val="0038422D"/>
    <w:rsid w:val="003843F5"/>
    <w:rsid w:val="00384D8F"/>
    <w:rsid w:val="00384EEA"/>
    <w:rsid w:val="003857A2"/>
    <w:rsid w:val="003857CD"/>
    <w:rsid w:val="0038595F"/>
    <w:rsid w:val="00385D98"/>
    <w:rsid w:val="00385EC5"/>
    <w:rsid w:val="0038625E"/>
    <w:rsid w:val="0038658E"/>
    <w:rsid w:val="00387507"/>
    <w:rsid w:val="003875C2"/>
    <w:rsid w:val="0039066E"/>
    <w:rsid w:val="00391C95"/>
    <w:rsid w:val="00392110"/>
    <w:rsid w:val="00393D74"/>
    <w:rsid w:val="00394D49"/>
    <w:rsid w:val="0039598F"/>
    <w:rsid w:val="00395A52"/>
    <w:rsid w:val="00396DAC"/>
    <w:rsid w:val="003971D0"/>
    <w:rsid w:val="003A0214"/>
    <w:rsid w:val="003A027D"/>
    <w:rsid w:val="003A1D74"/>
    <w:rsid w:val="003A2B4D"/>
    <w:rsid w:val="003A2D2B"/>
    <w:rsid w:val="003A2DD4"/>
    <w:rsid w:val="003A31A9"/>
    <w:rsid w:val="003A3B1C"/>
    <w:rsid w:val="003A4088"/>
    <w:rsid w:val="003A478C"/>
    <w:rsid w:val="003A4F82"/>
    <w:rsid w:val="003A5525"/>
    <w:rsid w:val="003A57A4"/>
    <w:rsid w:val="003A663F"/>
    <w:rsid w:val="003A6B38"/>
    <w:rsid w:val="003A73EA"/>
    <w:rsid w:val="003B1781"/>
    <w:rsid w:val="003B2142"/>
    <w:rsid w:val="003B2580"/>
    <w:rsid w:val="003B2E63"/>
    <w:rsid w:val="003B2F0A"/>
    <w:rsid w:val="003B3189"/>
    <w:rsid w:val="003B3A9D"/>
    <w:rsid w:val="003B3DDD"/>
    <w:rsid w:val="003B42A1"/>
    <w:rsid w:val="003B5031"/>
    <w:rsid w:val="003B5A32"/>
    <w:rsid w:val="003B5B61"/>
    <w:rsid w:val="003B5E14"/>
    <w:rsid w:val="003B6105"/>
    <w:rsid w:val="003C0122"/>
    <w:rsid w:val="003C03CC"/>
    <w:rsid w:val="003C04C4"/>
    <w:rsid w:val="003C1F8B"/>
    <w:rsid w:val="003C26F4"/>
    <w:rsid w:val="003C2809"/>
    <w:rsid w:val="003C3686"/>
    <w:rsid w:val="003C38D4"/>
    <w:rsid w:val="003C4852"/>
    <w:rsid w:val="003C486D"/>
    <w:rsid w:val="003C505A"/>
    <w:rsid w:val="003C5BC7"/>
    <w:rsid w:val="003C601E"/>
    <w:rsid w:val="003C66C4"/>
    <w:rsid w:val="003C7928"/>
    <w:rsid w:val="003C797A"/>
    <w:rsid w:val="003C7A95"/>
    <w:rsid w:val="003C7B97"/>
    <w:rsid w:val="003D15C3"/>
    <w:rsid w:val="003D17A6"/>
    <w:rsid w:val="003D2C4E"/>
    <w:rsid w:val="003D2D51"/>
    <w:rsid w:val="003D33FD"/>
    <w:rsid w:val="003D3600"/>
    <w:rsid w:val="003D3825"/>
    <w:rsid w:val="003D3EC4"/>
    <w:rsid w:val="003D44E2"/>
    <w:rsid w:val="003D4760"/>
    <w:rsid w:val="003D49DC"/>
    <w:rsid w:val="003D4DD9"/>
    <w:rsid w:val="003D4FB5"/>
    <w:rsid w:val="003D5D7A"/>
    <w:rsid w:val="003D5E4B"/>
    <w:rsid w:val="003D653F"/>
    <w:rsid w:val="003E00D4"/>
    <w:rsid w:val="003E0663"/>
    <w:rsid w:val="003E133F"/>
    <w:rsid w:val="003E194E"/>
    <w:rsid w:val="003E42C9"/>
    <w:rsid w:val="003E49F6"/>
    <w:rsid w:val="003E4FD4"/>
    <w:rsid w:val="003E5488"/>
    <w:rsid w:val="003E699C"/>
    <w:rsid w:val="003E69F3"/>
    <w:rsid w:val="003E6EB0"/>
    <w:rsid w:val="003E7550"/>
    <w:rsid w:val="003E782E"/>
    <w:rsid w:val="003E7A0B"/>
    <w:rsid w:val="003E7B2B"/>
    <w:rsid w:val="003F116D"/>
    <w:rsid w:val="003F1749"/>
    <w:rsid w:val="003F181F"/>
    <w:rsid w:val="003F1A48"/>
    <w:rsid w:val="003F1E23"/>
    <w:rsid w:val="003F22F6"/>
    <w:rsid w:val="003F2B0A"/>
    <w:rsid w:val="003F313C"/>
    <w:rsid w:val="003F32AB"/>
    <w:rsid w:val="003F341B"/>
    <w:rsid w:val="003F37FC"/>
    <w:rsid w:val="003F3A26"/>
    <w:rsid w:val="003F49A6"/>
    <w:rsid w:val="003F5047"/>
    <w:rsid w:val="003F5098"/>
    <w:rsid w:val="003F5568"/>
    <w:rsid w:val="003F5A95"/>
    <w:rsid w:val="003F6015"/>
    <w:rsid w:val="003F6C74"/>
    <w:rsid w:val="003F6D19"/>
    <w:rsid w:val="003F7F67"/>
    <w:rsid w:val="004000D5"/>
    <w:rsid w:val="00400244"/>
    <w:rsid w:val="004005C1"/>
    <w:rsid w:val="004010ED"/>
    <w:rsid w:val="00401716"/>
    <w:rsid w:val="004018F7"/>
    <w:rsid w:val="00401A09"/>
    <w:rsid w:val="0040273A"/>
    <w:rsid w:val="00402C25"/>
    <w:rsid w:val="004036FB"/>
    <w:rsid w:val="00403CE3"/>
    <w:rsid w:val="004050D7"/>
    <w:rsid w:val="0040633F"/>
    <w:rsid w:val="0040758A"/>
    <w:rsid w:val="004078BD"/>
    <w:rsid w:val="00410132"/>
    <w:rsid w:val="004104E4"/>
    <w:rsid w:val="00410A97"/>
    <w:rsid w:val="00410BCD"/>
    <w:rsid w:val="00410DE5"/>
    <w:rsid w:val="00410E40"/>
    <w:rsid w:val="00410F03"/>
    <w:rsid w:val="00410FF4"/>
    <w:rsid w:val="0041175D"/>
    <w:rsid w:val="004117CE"/>
    <w:rsid w:val="004123BE"/>
    <w:rsid w:val="00412CC0"/>
    <w:rsid w:val="00414757"/>
    <w:rsid w:val="00414CE5"/>
    <w:rsid w:val="0041548B"/>
    <w:rsid w:val="00416673"/>
    <w:rsid w:val="00416F9E"/>
    <w:rsid w:val="004174FD"/>
    <w:rsid w:val="0042094A"/>
    <w:rsid w:val="004211D7"/>
    <w:rsid w:val="0042160D"/>
    <w:rsid w:val="00421A52"/>
    <w:rsid w:val="00421E7A"/>
    <w:rsid w:val="004233DB"/>
    <w:rsid w:val="00423A3C"/>
    <w:rsid w:val="00423C04"/>
    <w:rsid w:val="00423D69"/>
    <w:rsid w:val="004257F9"/>
    <w:rsid w:val="0042681B"/>
    <w:rsid w:val="00427193"/>
    <w:rsid w:val="0043068A"/>
    <w:rsid w:val="004306E0"/>
    <w:rsid w:val="004309CD"/>
    <w:rsid w:val="00431D54"/>
    <w:rsid w:val="00431F98"/>
    <w:rsid w:val="004325AA"/>
    <w:rsid w:val="004329BE"/>
    <w:rsid w:val="00432C38"/>
    <w:rsid w:val="00432F8F"/>
    <w:rsid w:val="004342EC"/>
    <w:rsid w:val="00434C84"/>
    <w:rsid w:val="00434DC4"/>
    <w:rsid w:val="0043587D"/>
    <w:rsid w:val="00437C76"/>
    <w:rsid w:val="00437F4A"/>
    <w:rsid w:val="0044105C"/>
    <w:rsid w:val="00441542"/>
    <w:rsid w:val="00442197"/>
    <w:rsid w:val="00442B3C"/>
    <w:rsid w:val="00442FD6"/>
    <w:rsid w:val="00443646"/>
    <w:rsid w:val="00443DDE"/>
    <w:rsid w:val="00443E95"/>
    <w:rsid w:val="004441A0"/>
    <w:rsid w:val="00444268"/>
    <w:rsid w:val="00444326"/>
    <w:rsid w:val="004443BF"/>
    <w:rsid w:val="00444983"/>
    <w:rsid w:val="00444C19"/>
    <w:rsid w:val="00445218"/>
    <w:rsid w:val="00445CDD"/>
    <w:rsid w:val="00446892"/>
    <w:rsid w:val="00446C9F"/>
    <w:rsid w:val="00447E36"/>
    <w:rsid w:val="004504E0"/>
    <w:rsid w:val="00450700"/>
    <w:rsid w:val="00450C30"/>
    <w:rsid w:val="004529C7"/>
    <w:rsid w:val="00453C62"/>
    <w:rsid w:val="00453FD7"/>
    <w:rsid w:val="004540FF"/>
    <w:rsid w:val="004541F1"/>
    <w:rsid w:val="00455ECA"/>
    <w:rsid w:val="00457296"/>
    <w:rsid w:val="00457320"/>
    <w:rsid w:val="0045761F"/>
    <w:rsid w:val="00460164"/>
    <w:rsid w:val="0046039A"/>
    <w:rsid w:val="00460A6B"/>
    <w:rsid w:val="00461873"/>
    <w:rsid w:val="00461977"/>
    <w:rsid w:val="00461A3F"/>
    <w:rsid w:val="004629FD"/>
    <w:rsid w:val="00462AD2"/>
    <w:rsid w:val="00463B4B"/>
    <w:rsid w:val="00463F4D"/>
    <w:rsid w:val="00464658"/>
    <w:rsid w:val="0046471F"/>
    <w:rsid w:val="00464BE8"/>
    <w:rsid w:val="00464DE7"/>
    <w:rsid w:val="00465019"/>
    <w:rsid w:val="00465FA4"/>
    <w:rsid w:val="0046613F"/>
    <w:rsid w:val="0046655D"/>
    <w:rsid w:val="00466808"/>
    <w:rsid w:val="00466AAE"/>
    <w:rsid w:val="00466CE1"/>
    <w:rsid w:val="0046765E"/>
    <w:rsid w:val="004676E2"/>
    <w:rsid w:val="0047020E"/>
    <w:rsid w:val="00471EDD"/>
    <w:rsid w:val="00472B52"/>
    <w:rsid w:val="00473E94"/>
    <w:rsid w:val="0047400C"/>
    <w:rsid w:val="004745D9"/>
    <w:rsid w:val="00474B94"/>
    <w:rsid w:val="004761D2"/>
    <w:rsid w:val="004762D8"/>
    <w:rsid w:val="004765B3"/>
    <w:rsid w:val="00476D29"/>
    <w:rsid w:val="00477241"/>
    <w:rsid w:val="0047728F"/>
    <w:rsid w:val="004774F5"/>
    <w:rsid w:val="00477EAF"/>
    <w:rsid w:val="00477EE0"/>
    <w:rsid w:val="00480AB8"/>
    <w:rsid w:val="0048139F"/>
    <w:rsid w:val="00481C00"/>
    <w:rsid w:val="00483053"/>
    <w:rsid w:val="00483BFB"/>
    <w:rsid w:val="00484874"/>
    <w:rsid w:val="00484AE4"/>
    <w:rsid w:val="00485230"/>
    <w:rsid w:val="00487127"/>
    <w:rsid w:val="004879E9"/>
    <w:rsid w:val="00487BCB"/>
    <w:rsid w:val="00487F81"/>
    <w:rsid w:val="00490247"/>
    <w:rsid w:val="00490BD8"/>
    <w:rsid w:val="0049104F"/>
    <w:rsid w:val="00491218"/>
    <w:rsid w:val="00491CFD"/>
    <w:rsid w:val="00492991"/>
    <w:rsid w:val="00493362"/>
    <w:rsid w:val="00494343"/>
    <w:rsid w:val="00494AAB"/>
    <w:rsid w:val="00495456"/>
    <w:rsid w:val="004966D7"/>
    <w:rsid w:val="00496C2F"/>
    <w:rsid w:val="00496CEC"/>
    <w:rsid w:val="0049740D"/>
    <w:rsid w:val="0049778A"/>
    <w:rsid w:val="004978D3"/>
    <w:rsid w:val="004A11F8"/>
    <w:rsid w:val="004A1871"/>
    <w:rsid w:val="004A22BD"/>
    <w:rsid w:val="004A22FA"/>
    <w:rsid w:val="004A269A"/>
    <w:rsid w:val="004A26DB"/>
    <w:rsid w:val="004A2A16"/>
    <w:rsid w:val="004A30FB"/>
    <w:rsid w:val="004A35DD"/>
    <w:rsid w:val="004A37D3"/>
    <w:rsid w:val="004A3AD6"/>
    <w:rsid w:val="004A5865"/>
    <w:rsid w:val="004A6092"/>
    <w:rsid w:val="004A6EA4"/>
    <w:rsid w:val="004A7670"/>
    <w:rsid w:val="004A77DF"/>
    <w:rsid w:val="004B0295"/>
    <w:rsid w:val="004B0803"/>
    <w:rsid w:val="004B10A8"/>
    <w:rsid w:val="004B1F58"/>
    <w:rsid w:val="004B1F9D"/>
    <w:rsid w:val="004B22DA"/>
    <w:rsid w:val="004B2591"/>
    <w:rsid w:val="004B30E2"/>
    <w:rsid w:val="004B3CB7"/>
    <w:rsid w:val="004B3D55"/>
    <w:rsid w:val="004B55B7"/>
    <w:rsid w:val="004B5836"/>
    <w:rsid w:val="004B5F05"/>
    <w:rsid w:val="004B7A90"/>
    <w:rsid w:val="004C00A6"/>
    <w:rsid w:val="004C0BBB"/>
    <w:rsid w:val="004C1AD6"/>
    <w:rsid w:val="004C1B86"/>
    <w:rsid w:val="004C2316"/>
    <w:rsid w:val="004C2F2D"/>
    <w:rsid w:val="004C3382"/>
    <w:rsid w:val="004C3867"/>
    <w:rsid w:val="004C4AB7"/>
    <w:rsid w:val="004C4B88"/>
    <w:rsid w:val="004C4CD0"/>
    <w:rsid w:val="004C5186"/>
    <w:rsid w:val="004C57B5"/>
    <w:rsid w:val="004C5ADB"/>
    <w:rsid w:val="004C5C25"/>
    <w:rsid w:val="004C6717"/>
    <w:rsid w:val="004C6CFF"/>
    <w:rsid w:val="004C70DC"/>
    <w:rsid w:val="004C7268"/>
    <w:rsid w:val="004C7628"/>
    <w:rsid w:val="004C7C5C"/>
    <w:rsid w:val="004D0211"/>
    <w:rsid w:val="004D1C9C"/>
    <w:rsid w:val="004D458D"/>
    <w:rsid w:val="004D4F13"/>
    <w:rsid w:val="004D504B"/>
    <w:rsid w:val="004D536E"/>
    <w:rsid w:val="004D70B1"/>
    <w:rsid w:val="004D76CC"/>
    <w:rsid w:val="004E1839"/>
    <w:rsid w:val="004E230C"/>
    <w:rsid w:val="004E4A75"/>
    <w:rsid w:val="004E541A"/>
    <w:rsid w:val="004E5A5C"/>
    <w:rsid w:val="004E7007"/>
    <w:rsid w:val="004E76D6"/>
    <w:rsid w:val="004E7F57"/>
    <w:rsid w:val="004F06F5"/>
    <w:rsid w:val="004F15E5"/>
    <w:rsid w:val="004F191F"/>
    <w:rsid w:val="004F2A4D"/>
    <w:rsid w:val="004F2A73"/>
    <w:rsid w:val="004F33A0"/>
    <w:rsid w:val="004F4353"/>
    <w:rsid w:val="004F447D"/>
    <w:rsid w:val="004F4C28"/>
    <w:rsid w:val="004F4E82"/>
    <w:rsid w:val="004F5470"/>
    <w:rsid w:val="004F5CC5"/>
    <w:rsid w:val="004F6350"/>
    <w:rsid w:val="004F674E"/>
    <w:rsid w:val="004F7170"/>
    <w:rsid w:val="005028E1"/>
    <w:rsid w:val="00503C34"/>
    <w:rsid w:val="00504937"/>
    <w:rsid w:val="00505989"/>
    <w:rsid w:val="00506309"/>
    <w:rsid w:val="0050692E"/>
    <w:rsid w:val="00507040"/>
    <w:rsid w:val="005079F8"/>
    <w:rsid w:val="00510189"/>
    <w:rsid w:val="005108C0"/>
    <w:rsid w:val="00510DA4"/>
    <w:rsid w:val="00511873"/>
    <w:rsid w:val="00512603"/>
    <w:rsid w:val="0051367B"/>
    <w:rsid w:val="00513A89"/>
    <w:rsid w:val="00513B7E"/>
    <w:rsid w:val="005140DE"/>
    <w:rsid w:val="0051412B"/>
    <w:rsid w:val="00514474"/>
    <w:rsid w:val="005147E9"/>
    <w:rsid w:val="005151B5"/>
    <w:rsid w:val="00515400"/>
    <w:rsid w:val="00515402"/>
    <w:rsid w:val="0051593C"/>
    <w:rsid w:val="00515A90"/>
    <w:rsid w:val="00517567"/>
    <w:rsid w:val="0051778B"/>
    <w:rsid w:val="0051778E"/>
    <w:rsid w:val="005215EF"/>
    <w:rsid w:val="00521923"/>
    <w:rsid w:val="00523FA1"/>
    <w:rsid w:val="00524637"/>
    <w:rsid w:val="00524FDD"/>
    <w:rsid w:val="00525137"/>
    <w:rsid w:val="005251DD"/>
    <w:rsid w:val="00526DB6"/>
    <w:rsid w:val="0053017A"/>
    <w:rsid w:val="00530492"/>
    <w:rsid w:val="0053055E"/>
    <w:rsid w:val="005308E4"/>
    <w:rsid w:val="00532854"/>
    <w:rsid w:val="00532935"/>
    <w:rsid w:val="00533AB1"/>
    <w:rsid w:val="005350F2"/>
    <w:rsid w:val="00535152"/>
    <w:rsid w:val="00535359"/>
    <w:rsid w:val="005357A2"/>
    <w:rsid w:val="005359E3"/>
    <w:rsid w:val="00535D87"/>
    <w:rsid w:val="00535EF0"/>
    <w:rsid w:val="005363DF"/>
    <w:rsid w:val="00536BCA"/>
    <w:rsid w:val="0053734B"/>
    <w:rsid w:val="005375B1"/>
    <w:rsid w:val="00537737"/>
    <w:rsid w:val="00537AFD"/>
    <w:rsid w:val="00537CB4"/>
    <w:rsid w:val="00542636"/>
    <w:rsid w:val="005447DC"/>
    <w:rsid w:val="0054516B"/>
    <w:rsid w:val="0054559E"/>
    <w:rsid w:val="005459BD"/>
    <w:rsid w:val="00546234"/>
    <w:rsid w:val="005501E1"/>
    <w:rsid w:val="005502D6"/>
    <w:rsid w:val="00550ACF"/>
    <w:rsid w:val="005513D5"/>
    <w:rsid w:val="005523B9"/>
    <w:rsid w:val="0055240C"/>
    <w:rsid w:val="005532E5"/>
    <w:rsid w:val="005545E0"/>
    <w:rsid w:val="00554865"/>
    <w:rsid w:val="00554D1E"/>
    <w:rsid w:val="00554E57"/>
    <w:rsid w:val="0055601A"/>
    <w:rsid w:val="00557E36"/>
    <w:rsid w:val="00557E6A"/>
    <w:rsid w:val="00562749"/>
    <w:rsid w:val="00562DE9"/>
    <w:rsid w:val="00563191"/>
    <w:rsid w:val="005638A5"/>
    <w:rsid w:val="0056474F"/>
    <w:rsid w:val="00564DBF"/>
    <w:rsid w:val="00566381"/>
    <w:rsid w:val="00566837"/>
    <w:rsid w:val="00566A03"/>
    <w:rsid w:val="005703D0"/>
    <w:rsid w:val="00571932"/>
    <w:rsid w:val="00572B2C"/>
    <w:rsid w:val="00573C97"/>
    <w:rsid w:val="00574240"/>
    <w:rsid w:val="0057454C"/>
    <w:rsid w:val="005752EB"/>
    <w:rsid w:val="00575CDC"/>
    <w:rsid w:val="005765D5"/>
    <w:rsid w:val="005767FE"/>
    <w:rsid w:val="00576A3E"/>
    <w:rsid w:val="00576B86"/>
    <w:rsid w:val="0057703D"/>
    <w:rsid w:val="00581892"/>
    <w:rsid w:val="00582C84"/>
    <w:rsid w:val="00582F04"/>
    <w:rsid w:val="0058366F"/>
    <w:rsid w:val="00583D5B"/>
    <w:rsid w:val="00583FFD"/>
    <w:rsid w:val="00584150"/>
    <w:rsid w:val="0058621A"/>
    <w:rsid w:val="005867AE"/>
    <w:rsid w:val="00587451"/>
    <w:rsid w:val="00587CCD"/>
    <w:rsid w:val="005908AE"/>
    <w:rsid w:val="00590FCF"/>
    <w:rsid w:val="0059176E"/>
    <w:rsid w:val="00592854"/>
    <w:rsid w:val="00593152"/>
    <w:rsid w:val="005934CE"/>
    <w:rsid w:val="00593CA3"/>
    <w:rsid w:val="00594161"/>
    <w:rsid w:val="00594969"/>
    <w:rsid w:val="00594B91"/>
    <w:rsid w:val="00594D2B"/>
    <w:rsid w:val="00595035"/>
    <w:rsid w:val="00596AC6"/>
    <w:rsid w:val="00596C5E"/>
    <w:rsid w:val="005A2194"/>
    <w:rsid w:val="005A21E0"/>
    <w:rsid w:val="005A3210"/>
    <w:rsid w:val="005A33A1"/>
    <w:rsid w:val="005A3687"/>
    <w:rsid w:val="005A54EE"/>
    <w:rsid w:val="005A563B"/>
    <w:rsid w:val="005A5F82"/>
    <w:rsid w:val="005A6E85"/>
    <w:rsid w:val="005A7500"/>
    <w:rsid w:val="005A77E4"/>
    <w:rsid w:val="005B0262"/>
    <w:rsid w:val="005B0B8F"/>
    <w:rsid w:val="005B1BDB"/>
    <w:rsid w:val="005B22A7"/>
    <w:rsid w:val="005B2929"/>
    <w:rsid w:val="005B2944"/>
    <w:rsid w:val="005B2BAA"/>
    <w:rsid w:val="005B2D53"/>
    <w:rsid w:val="005B3247"/>
    <w:rsid w:val="005B3409"/>
    <w:rsid w:val="005B498A"/>
    <w:rsid w:val="005B7B12"/>
    <w:rsid w:val="005B7F75"/>
    <w:rsid w:val="005C16CB"/>
    <w:rsid w:val="005C21D6"/>
    <w:rsid w:val="005C3F9F"/>
    <w:rsid w:val="005C406F"/>
    <w:rsid w:val="005C4978"/>
    <w:rsid w:val="005C4A23"/>
    <w:rsid w:val="005C562C"/>
    <w:rsid w:val="005C5812"/>
    <w:rsid w:val="005C591E"/>
    <w:rsid w:val="005C6400"/>
    <w:rsid w:val="005C7F1E"/>
    <w:rsid w:val="005D073B"/>
    <w:rsid w:val="005D1966"/>
    <w:rsid w:val="005D25B4"/>
    <w:rsid w:val="005D374F"/>
    <w:rsid w:val="005D5802"/>
    <w:rsid w:val="005D6CFC"/>
    <w:rsid w:val="005D73E2"/>
    <w:rsid w:val="005D757A"/>
    <w:rsid w:val="005D7C4B"/>
    <w:rsid w:val="005E1E4B"/>
    <w:rsid w:val="005E362D"/>
    <w:rsid w:val="005E3A0C"/>
    <w:rsid w:val="005E3FAC"/>
    <w:rsid w:val="005E4483"/>
    <w:rsid w:val="005E492C"/>
    <w:rsid w:val="005E4BAA"/>
    <w:rsid w:val="005E52EF"/>
    <w:rsid w:val="005E5B56"/>
    <w:rsid w:val="005E6088"/>
    <w:rsid w:val="005E61DF"/>
    <w:rsid w:val="005E6AB8"/>
    <w:rsid w:val="005E6B65"/>
    <w:rsid w:val="005E6B78"/>
    <w:rsid w:val="005E75B8"/>
    <w:rsid w:val="005F0976"/>
    <w:rsid w:val="005F26CE"/>
    <w:rsid w:val="005F38D3"/>
    <w:rsid w:val="005F4057"/>
    <w:rsid w:val="005F4088"/>
    <w:rsid w:val="005F42F4"/>
    <w:rsid w:val="005F4C83"/>
    <w:rsid w:val="005F5916"/>
    <w:rsid w:val="005F5AD6"/>
    <w:rsid w:val="005F601D"/>
    <w:rsid w:val="005F6119"/>
    <w:rsid w:val="005F74B2"/>
    <w:rsid w:val="005F76F8"/>
    <w:rsid w:val="005F7940"/>
    <w:rsid w:val="005F7A9D"/>
    <w:rsid w:val="0060107A"/>
    <w:rsid w:val="00601AFF"/>
    <w:rsid w:val="00602D1D"/>
    <w:rsid w:val="00603BAF"/>
    <w:rsid w:val="00604307"/>
    <w:rsid w:val="0060487F"/>
    <w:rsid w:val="00605814"/>
    <w:rsid w:val="00606B93"/>
    <w:rsid w:val="00607119"/>
    <w:rsid w:val="006074D7"/>
    <w:rsid w:val="00607727"/>
    <w:rsid w:val="00607934"/>
    <w:rsid w:val="00610504"/>
    <w:rsid w:val="00610578"/>
    <w:rsid w:val="00610BD5"/>
    <w:rsid w:val="00611363"/>
    <w:rsid w:val="00611531"/>
    <w:rsid w:val="006118AA"/>
    <w:rsid w:val="00611C28"/>
    <w:rsid w:val="00612192"/>
    <w:rsid w:val="006139C7"/>
    <w:rsid w:val="006150EA"/>
    <w:rsid w:val="006153E3"/>
    <w:rsid w:val="006167AB"/>
    <w:rsid w:val="0061718A"/>
    <w:rsid w:val="00617C6F"/>
    <w:rsid w:val="00617D2D"/>
    <w:rsid w:val="00617D83"/>
    <w:rsid w:val="00620430"/>
    <w:rsid w:val="00620AC5"/>
    <w:rsid w:val="00621575"/>
    <w:rsid w:val="006215FC"/>
    <w:rsid w:val="00623EB2"/>
    <w:rsid w:val="00624093"/>
    <w:rsid w:val="00624198"/>
    <w:rsid w:val="006250B5"/>
    <w:rsid w:val="006279F0"/>
    <w:rsid w:val="00630F66"/>
    <w:rsid w:val="00631FC2"/>
    <w:rsid w:val="00632171"/>
    <w:rsid w:val="0063252F"/>
    <w:rsid w:val="006325CC"/>
    <w:rsid w:val="00632D86"/>
    <w:rsid w:val="0063332A"/>
    <w:rsid w:val="006347F9"/>
    <w:rsid w:val="0063494E"/>
    <w:rsid w:val="00634C90"/>
    <w:rsid w:val="00635818"/>
    <w:rsid w:val="00635E79"/>
    <w:rsid w:val="00636E5E"/>
    <w:rsid w:val="006379E0"/>
    <w:rsid w:val="006403DC"/>
    <w:rsid w:val="006404A7"/>
    <w:rsid w:val="006407F3"/>
    <w:rsid w:val="006408EC"/>
    <w:rsid w:val="0064129B"/>
    <w:rsid w:val="00641849"/>
    <w:rsid w:val="00641DF7"/>
    <w:rsid w:val="00643145"/>
    <w:rsid w:val="00643497"/>
    <w:rsid w:val="00643735"/>
    <w:rsid w:val="00643A80"/>
    <w:rsid w:val="006448C2"/>
    <w:rsid w:val="00644DFC"/>
    <w:rsid w:val="006451E4"/>
    <w:rsid w:val="006454B4"/>
    <w:rsid w:val="0064575F"/>
    <w:rsid w:val="00645A9C"/>
    <w:rsid w:val="00646042"/>
    <w:rsid w:val="006460B8"/>
    <w:rsid w:val="00650260"/>
    <w:rsid w:val="006504A0"/>
    <w:rsid w:val="006515D6"/>
    <w:rsid w:val="006520C7"/>
    <w:rsid w:val="006520D5"/>
    <w:rsid w:val="0065271C"/>
    <w:rsid w:val="00652CBB"/>
    <w:rsid w:val="006530B8"/>
    <w:rsid w:val="006535D6"/>
    <w:rsid w:val="006539ED"/>
    <w:rsid w:val="00655197"/>
    <w:rsid w:val="006555FE"/>
    <w:rsid w:val="00656716"/>
    <w:rsid w:val="0065692B"/>
    <w:rsid w:val="006572ED"/>
    <w:rsid w:val="00657E87"/>
    <w:rsid w:val="00660457"/>
    <w:rsid w:val="00660CB4"/>
    <w:rsid w:val="00660E1E"/>
    <w:rsid w:val="00661416"/>
    <w:rsid w:val="006621EB"/>
    <w:rsid w:val="00662E05"/>
    <w:rsid w:val="0066328A"/>
    <w:rsid w:val="006637B1"/>
    <w:rsid w:val="00663CFD"/>
    <w:rsid w:val="00664B64"/>
    <w:rsid w:val="00665587"/>
    <w:rsid w:val="00665D67"/>
    <w:rsid w:val="00665D77"/>
    <w:rsid w:val="006660BB"/>
    <w:rsid w:val="006660CD"/>
    <w:rsid w:val="00666EC8"/>
    <w:rsid w:val="00666F4B"/>
    <w:rsid w:val="006676D0"/>
    <w:rsid w:val="0066796E"/>
    <w:rsid w:val="00667ED1"/>
    <w:rsid w:val="00670FAC"/>
    <w:rsid w:val="006710C9"/>
    <w:rsid w:val="006716A5"/>
    <w:rsid w:val="00672271"/>
    <w:rsid w:val="00673904"/>
    <w:rsid w:val="00674B96"/>
    <w:rsid w:val="00674D93"/>
    <w:rsid w:val="00675E37"/>
    <w:rsid w:val="006764ED"/>
    <w:rsid w:val="00676AFC"/>
    <w:rsid w:val="00676F11"/>
    <w:rsid w:val="00680079"/>
    <w:rsid w:val="00680ECC"/>
    <w:rsid w:val="00680F68"/>
    <w:rsid w:val="0068260E"/>
    <w:rsid w:val="0068373D"/>
    <w:rsid w:val="00683BFE"/>
    <w:rsid w:val="0068437D"/>
    <w:rsid w:val="006857DF"/>
    <w:rsid w:val="00685E66"/>
    <w:rsid w:val="00686B72"/>
    <w:rsid w:val="00686BF1"/>
    <w:rsid w:val="006877CC"/>
    <w:rsid w:val="00687AE5"/>
    <w:rsid w:val="0069087E"/>
    <w:rsid w:val="00690A09"/>
    <w:rsid w:val="00690A25"/>
    <w:rsid w:val="00691008"/>
    <w:rsid w:val="006927C4"/>
    <w:rsid w:val="0069281B"/>
    <w:rsid w:val="006936AD"/>
    <w:rsid w:val="00693EA1"/>
    <w:rsid w:val="00693FEA"/>
    <w:rsid w:val="00694930"/>
    <w:rsid w:val="00695170"/>
    <w:rsid w:val="00695BEF"/>
    <w:rsid w:val="006960D6"/>
    <w:rsid w:val="00696AA5"/>
    <w:rsid w:val="006977F6"/>
    <w:rsid w:val="00697A13"/>
    <w:rsid w:val="006A109C"/>
    <w:rsid w:val="006A18AE"/>
    <w:rsid w:val="006A2EE8"/>
    <w:rsid w:val="006A3CF3"/>
    <w:rsid w:val="006A4409"/>
    <w:rsid w:val="006A45B6"/>
    <w:rsid w:val="006A568F"/>
    <w:rsid w:val="006A5BA8"/>
    <w:rsid w:val="006A5C97"/>
    <w:rsid w:val="006A65EF"/>
    <w:rsid w:val="006A672B"/>
    <w:rsid w:val="006A7B27"/>
    <w:rsid w:val="006B08BB"/>
    <w:rsid w:val="006B1781"/>
    <w:rsid w:val="006B23A9"/>
    <w:rsid w:val="006B23D8"/>
    <w:rsid w:val="006B281D"/>
    <w:rsid w:val="006B2F6D"/>
    <w:rsid w:val="006B385C"/>
    <w:rsid w:val="006B3F8A"/>
    <w:rsid w:val="006B5CA3"/>
    <w:rsid w:val="006B6B3B"/>
    <w:rsid w:val="006B7248"/>
    <w:rsid w:val="006B7714"/>
    <w:rsid w:val="006B781B"/>
    <w:rsid w:val="006B78D8"/>
    <w:rsid w:val="006C07D6"/>
    <w:rsid w:val="006C090F"/>
    <w:rsid w:val="006C0935"/>
    <w:rsid w:val="006C0BCE"/>
    <w:rsid w:val="006C113F"/>
    <w:rsid w:val="006C1B8C"/>
    <w:rsid w:val="006C2AED"/>
    <w:rsid w:val="006C38DD"/>
    <w:rsid w:val="006C457F"/>
    <w:rsid w:val="006C53C7"/>
    <w:rsid w:val="006C5577"/>
    <w:rsid w:val="006C559A"/>
    <w:rsid w:val="006C58FA"/>
    <w:rsid w:val="006C5FB6"/>
    <w:rsid w:val="006D004F"/>
    <w:rsid w:val="006D0366"/>
    <w:rsid w:val="006D042D"/>
    <w:rsid w:val="006D06BF"/>
    <w:rsid w:val="006D06EF"/>
    <w:rsid w:val="006D142E"/>
    <w:rsid w:val="006D1B43"/>
    <w:rsid w:val="006D3B87"/>
    <w:rsid w:val="006D4178"/>
    <w:rsid w:val="006D4497"/>
    <w:rsid w:val="006D4E6F"/>
    <w:rsid w:val="006D61F6"/>
    <w:rsid w:val="006D710C"/>
    <w:rsid w:val="006E0EB0"/>
    <w:rsid w:val="006E182C"/>
    <w:rsid w:val="006E1F4C"/>
    <w:rsid w:val="006E22C8"/>
    <w:rsid w:val="006E279A"/>
    <w:rsid w:val="006E2C28"/>
    <w:rsid w:val="006E2F3F"/>
    <w:rsid w:val="006E313B"/>
    <w:rsid w:val="006E3B2F"/>
    <w:rsid w:val="006E442A"/>
    <w:rsid w:val="006E4434"/>
    <w:rsid w:val="006E59FC"/>
    <w:rsid w:val="006E5CFD"/>
    <w:rsid w:val="006E7E2C"/>
    <w:rsid w:val="006F0367"/>
    <w:rsid w:val="006F1326"/>
    <w:rsid w:val="006F1A67"/>
    <w:rsid w:val="006F21A0"/>
    <w:rsid w:val="006F2280"/>
    <w:rsid w:val="006F2BEE"/>
    <w:rsid w:val="006F3531"/>
    <w:rsid w:val="006F3708"/>
    <w:rsid w:val="006F376C"/>
    <w:rsid w:val="006F3E6B"/>
    <w:rsid w:val="006F4619"/>
    <w:rsid w:val="006F4A59"/>
    <w:rsid w:val="006F6968"/>
    <w:rsid w:val="006F69A1"/>
    <w:rsid w:val="0070009B"/>
    <w:rsid w:val="00700232"/>
    <w:rsid w:val="00701382"/>
    <w:rsid w:val="007014C7"/>
    <w:rsid w:val="007016E8"/>
    <w:rsid w:val="00702100"/>
    <w:rsid w:val="00702401"/>
    <w:rsid w:val="00702D6F"/>
    <w:rsid w:val="00703B6C"/>
    <w:rsid w:val="00703B9F"/>
    <w:rsid w:val="00703C6B"/>
    <w:rsid w:val="007047D5"/>
    <w:rsid w:val="00704A71"/>
    <w:rsid w:val="00705CA7"/>
    <w:rsid w:val="00705D98"/>
    <w:rsid w:val="00707891"/>
    <w:rsid w:val="00707D43"/>
    <w:rsid w:val="00710F7C"/>
    <w:rsid w:val="00711D33"/>
    <w:rsid w:val="00711D7C"/>
    <w:rsid w:val="00711EF1"/>
    <w:rsid w:val="007120ED"/>
    <w:rsid w:val="0071229A"/>
    <w:rsid w:val="00712572"/>
    <w:rsid w:val="00713355"/>
    <w:rsid w:val="00713477"/>
    <w:rsid w:val="00713495"/>
    <w:rsid w:val="00713EEB"/>
    <w:rsid w:val="007159D2"/>
    <w:rsid w:val="007175F6"/>
    <w:rsid w:val="00717726"/>
    <w:rsid w:val="0072050E"/>
    <w:rsid w:val="00720958"/>
    <w:rsid w:val="00720FA2"/>
    <w:rsid w:val="007211F5"/>
    <w:rsid w:val="00721B11"/>
    <w:rsid w:val="00722286"/>
    <w:rsid w:val="00724428"/>
    <w:rsid w:val="00724666"/>
    <w:rsid w:val="00724E80"/>
    <w:rsid w:val="0072526D"/>
    <w:rsid w:val="00725492"/>
    <w:rsid w:val="007256B7"/>
    <w:rsid w:val="00726043"/>
    <w:rsid w:val="007268D0"/>
    <w:rsid w:val="0072704A"/>
    <w:rsid w:val="00727457"/>
    <w:rsid w:val="007274A9"/>
    <w:rsid w:val="00730AE8"/>
    <w:rsid w:val="007315DA"/>
    <w:rsid w:val="00731963"/>
    <w:rsid w:val="00732706"/>
    <w:rsid w:val="00732F10"/>
    <w:rsid w:val="00734321"/>
    <w:rsid w:val="0073532E"/>
    <w:rsid w:val="00735B01"/>
    <w:rsid w:val="007374FC"/>
    <w:rsid w:val="00740310"/>
    <w:rsid w:val="00740652"/>
    <w:rsid w:val="00740F02"/>
    <w:rsid w:val="00740FEC"/>
    <w:rsid w:val="0074132E"/>
    <w:rsid w:val="00741493"/>
    <w:rsid w:val="0074261C"/>
    <w:rsid w:val="007426B3"/>
    <w:rsid w:val="007426FD"/>
    <w:rsid w:val="007430AB"/>
    <w:rsid w:val="0074329D"/>
    <w:rsid w:val="007436AD"/>
    <w:rsid w:val="00744376"/>
    <w:rsid w:val="007449EA"/>
    <w:rsid w:val="00744D00"/>
    <w:rsid w:val="00744D2B"/>
    <w:rsid w:val="00745273"/>
    <w:rsid w:val="00745F3C"/>
    <w:rsid w:val="007468BC"/>
    <w:rsid w:val="00746AA2"/>
    <w:rsid w:val="00746DC9"/>
    <w:rsid w:val="00746DD9"/>
    <w:rsid w:val="0075057A"/>
    <w:rsid w:val="007515E0"/>
    <w:rsid w:val="00751771"/>
    <w:rsid w:val="00751C1C"/>
    <w:rsid w:val="00752180"/>
    <w:rsid w:val="007521A1"/>
    <w:rsid w:val="00752BC3"/>
    <w:rsid w:val="0075315D"/>
    <w:rsid w:val="00753518"/>
    <w:rsid w:val="007538F9"/>
    <w:rsid w:val="00754253"/>
    <w:rsid w:val="00754593"/>
    <w:rsid w:val="007552BB"/>
    <w:rsid w:val="007558D3"/>
    <w:rsid w:val="007559D7"/>
    <w:rsid w:val="00755D3A"/>
    <w:rsid w:val="0075747F"/>
    <w:rsid w:val="00760141"/>
    <w:rsid w:val="007609C6"/>
    <w:rsid w:val="007610A0"/>
    <w:rsid w:val="00762036"/>
    <w:rsid w:val="007620F2"/>
    <w:rsid w:val="00762EBA"/>
    <w:rsid w:val="0076359D"/>
    <w:rsid w:val="007678F9"/>
    <w:rsid w:val="0077058D"/>
    <w:rsid w:val="00770931"/>
    <w:rsid w:val="00772536"/>
    <w:rsid w:val="007732D4"/>
    <w:rsid w:val="00773613"/>
    <w:rsid w:val="00774782"/>
    <w:rsid w:val="00775219"/>
    <w:rsid w:val="00776476"/>
    <w:rsid w:val="00776527"/>
    <w:rsid w:val="00777268"/>
    <w:rsid w:val="007805E1"/>
    <w:rsid w:val="0078113E"/>
    <w:rsid w:val="00781834"/>
    <w:rsid w:val="007821DB"/>
    <w:rsid w:val="00782818"/>
    <w:rsid w:val="0078337E"/>
    <w:rsid w:val="007838F1"/>
    <w:rsid w:val="007845FB"/>
    <w:rsid w:val="007846DB"/>
    <w:rsid w:val="00784AE5"/>
    <w:rsid w:val="00784C4A"/>
    <w:rsid w:val="007856E9"/>
    <w:rsid w:val="007859BB"/>
    <w:rsid w:val="00787432"/>
    <w:rsid w:val="00787507"/>
    <w:rsid w:val="007877B5"/>
    <w:rsid w:val="007879F2"/>
    <w:rsid w:val="00787AC5"/>
    <w:rsid w:val="00790393"/>
    <w:rsid w:val="007909B8"/>
    <w:rsid w:val="00791804"/>
    <w:rsid w:val="00791CF8"/>
    <w:rsid w:val="00791D4B"/>
    <w:rsid w:val="00791EF9"/>
    <w:rsid w:val="00792262"/>
    <w:rsid w:val="00793387"/>
    <w:rsid w:val="00793BAE"/>
    <w:rsid w:val="00794216"/>
    <w:rsid w:val="00794870"/>
    <w:rsid w:val="00794E0A"/>
    <w:rsid w:val="00795B04"/>
    <w:rsid w:val="00796642"/>
    <w:rsid w:val="007A11D9"/>
    <w:rsid w:val="007A186E"/>
    <w:rsid w:val="007A327B"/>
    <w:rsid w:val="007A4048"/>
    <w:rsid w:val="007A45B1"/>
    <w:rsid w:val="007A4606"/>
    <w:rsid w:val="007A4C99"/>
    <w:rsid w:val="007A4D58"/>
    <w:rsid w:val="007A4FAF"/>
    <w:rsid w:val="007A51A8"/>
    <w:rsid w:val="007A7976"/>
    <w:rsid w:val="007A7EA4"/>
    <w:rsid w:val="007B011D"/>
    <w:rsid w:val="007B0D67"/>
    <w:rsid w:val="007B1584"/>
    <w:rsid w:val="007B1966"/>
    <w:rsid w:val="007B1A8F"/>
    <w:rsid w:val="007B1BA5"/>
    <w:rsid w:val="007B2257"/>
    <w:rsid w:val="007B2779"/>
    <w:rsid w:val="007B2AF7"/>
    <w:rsid w:val="007B3A9B"/>
    <w:rsid w:val="007B3DCC"/>
    <w:rsid w:val="007B400B"/>
    <w:rsid w:val="007B4427"/>
    <w:rsid w:val="007B4518"/>
    <w:rsid w:val="007B5031"/>
    <w:rsid w:val="007B573F"/>
    <w:rsid w:val="007B58A7"/>
    <w:rsid w:val="007B72AC"/>
    <w:rsid w:val="007B78F8"/>
    <w:rsid w:val="007C0065"/>
    <w:rsid w:val="007C010B"/>
    <w:rsid w:val="007C0BF1"/>
    <w:rsid w:val="007C2C5A"/>
    <w:rsid w:val="007C3191"/>
    <w:rsid w:val="007C32B6"/>
    <w:rsid w:val="007C3AE3"/>
    <w:rsid w:val="007C605B"/>
    <w:rsid w:val="007C6EBA"/>
    <w:rsid w:val="007D08EF"/>
    <w:rsid w:val="007D2A5A"/>
    <w:rsid w:val="007D2AD8"/>
    <w:rsid w:val="007D2C47"/>
    <w:rsid w:val="007D2C61"/>
    <w:rsid w:val="007D2F81"/>
    <w:rsid w:val="007D3167"/>
    <w:rsid w:val="007D3CF7"/>
    <w:rsid w:val="007D4128"/>
    <w:rsid w:val="007D4281"/>
    <w:rsid w:val="007D42F5"/>
    <w:rsid w:val="007D44C3"/>
    <w:rsid w:val="007D5947"/>
    <w:rsid w:val="007D5A68"/>
    <w:rsid w:val="007D65C1"/>
    <w:rsid w:val="007E00F7"/>
    <w:rsid w:val="007E030F"/>
    <w:rsid w:val="007E0D49"/>
    <w:rsid w:val="007E0E59"/>
    <w:rsid w:val="007E0F4B"/>
    <w:rsid w:val="007E12C1"/>
    <w:rsid w:val="007E1EF7"/>
    <w:rsid w:val="007E24C1"/>
    <w:rsid w:val="007E3715"/>
    <w:rsid w:val="007E5F3D"/>
    <w:rsid w:val="007E6588"/>
    <w:rsid w:val="007E69F5"/>
    <w:rsid w:val="007E7063"/>
    <w:rsid w:val="007E74EA"/>
    <w:rsid w:val="007E7E61"/>
    <w:rsid w:val="007E7E88"/>
    <w:rsid w:val="007F0316"/>
    <w:rsid w:val="007F0845"/>
    <w:rsid w:val="007F1092"/>
    <w:rsid w:val="007F12B6"/>
    <w:rsid w:val="007F16F9"/>
    <w:rsid w:val="007F27D2"/>
    <w:rsid w:val="007F2801"/>
    <w:rsid w:val="007F3D55"/>
    <w:rsid w:val="007F3E3E"/>
    <w:rsid w:val="007F42E0"/>
    <w:rsid w:val="007F500D"/>
    <w:rsid w:val="007F5F14"/>
    <w:rsid w:val="007F6CEB"/>
    <w:rsid w:val="007F7A39"/>
    <w:rsid w:val="007F7B54"/>
    <w:rsid w:val="007F7C60"/>
    <w:rsid w:val="00800073"/>
    <w:rsid w:val="008000EB"/>
    <w:rsid w:val="008005D7"/>
    <w:rsid w:val="00801FB7"/>
    <w:rsid w:val="00801FDD"/>
    <w:rsid w:val="008020C2"/>
    <w:rsid w:val="00802259"/>
    <w:rsid w:val="0080255C"/>
    <w:rsid w:val="00802D68"/>
    <w:rsid w:val="00806088"/>
    <w:rsid w:val="00806231"/>
    <w:rsid w:val="00806D07"/>
    <w:rsid w:val="008100E2"/>
    <w:rsid w:val="0081019B"/>
    <w:rsid w:val="00810A42"/>
    <w:rsid w:val="0081100A"/>
    <w:rsid w:val="0081187C"/>
    <w:rsid w:val="00811E24"/>
    <w:rsid w:val="00812386"/>
    <w:rsid w:val="00812A9C"/>
    <w:rsid w:val="00812E2B"/>
    <w:rsid w:val="00813A70"/>
    <w:rsid w:val="00813FE6"/>
    <w:rsid w:val="00815C6E"/>
    <w:rsid w:val="00815DD0"/>
    <w:rsid w:val="00815F10"/>
    <w:rsid w:val="0081645F"/>
    <w:rsid w:val="00816D15"/>
    <w:rsid w:val="008173D2"/>
    <w:rsid w:val="00817755"/>
    <w:rsid w:val="008178C2"/>
    <w:rsid w:val="008178CF"/>
    <w:rsid w:val="00817C98"/>
    <w:rsid w:val="00820C9F"/>
    <w:rsid w:val="00821AAE"/>
    <w:rsid w:val="00821FF6"/>
    <w:rsid w:val="00823AAF"/>
    <w:rsid w:val="00824081"/>
    <w:rsid w:val="0082409A"/>
    <w:rsid w:val="008252D7"/>
    <w:rsid w:val="00825B92"/>
    <w:rsid w:val="00825C0F"/>
    <w:rsid w:val="00826376"/>
    <w:rsid w:val="00826ED1"/>
    <w:rsid w:val="00827181"/>
    <w:rsid w:val="0082733C"/>
    <w:rsid w:val="00827746"/>
    <w:rsid w:val="00830191"/>
    <w:rsid w:val="0083102D"/>
    <w:rsid w:val="00831296"/>
    <w:rsid w:val="0083143E"/>
    <w:rsid w:val="0083159D"/>
    <w:rsid w:val="008318FF"/>
    <w:rsid w:val="00832187"/>
    <w:rsid w:val="00832493"/>
    <w:rsid w:val="008329BD"/>
    <w:rsid w:val="0083330B"/>
    <w:rsid w:val="008334C3"/>
    <w:rsid w:val="008336D8"/>
    <w:rsid w:val="008339C4"/>
    <w:rsid w:val="008339DC"/>
    <w:rsid w:val="008341B5"/>
    <w:rsid w:val="00834F0A"/>
    <w:rsid w:val="00834FAA"/>
    <w:rsid w:val="00835181"/>
    <w:rsid w:val="00835606"/>
    <w:rsid w:val="00835991"/>
    <w:rsid w:val="00836086"/>
    <w:rsid w:val="00837280"/>
    <w:rsid w:val="00837763"/>
    <w:rsid w:val="00840699"/>
    <w:rsid w:val="00841924"/>
    <w:rsid w:val="00841D9F"/>
    <w:rsid w:val="00842078"/>
    <w:rsid w:val="00842604"/>
    <w:rsid w:val="008426B1"/>
    <w:rsid w:val="00843ECF"/>
    <w:rsid w:val="00844AFC"/>
    <w:rsid w:val="00845AB1"/>
    <w:rsid w:val="00846673"/>
    <w:rsid w:val="008508A9"/>
    <w:rsid w:val="0085188D"/>
    <w:rsid w:val="008525F9"/>
    <w:rsid w:val="0085281A"/>
    <w:rsid w:val="00852939"/>
    <w:rsid w:val="00853421"/>
    <w:rsid w:val="00853A25"/>
    <w:rsid w:val="00853F33"/>
    <w:rsid w:val="008544C2"/>
    <w:rsid w:val="00854A82"/>
    <w:rsid w:val="00854BD5"/>
    <w:rsid w:val="008550EA"/>
    <w:rsid w:val="008559FE"/>
    <w:rsid w:val="00857339"/>
    <w:rsid w:val="00857A2F"/>
    <w:rsid w:val="00860706"/>
    <w:rsid w:val="008612B0"/>
    <w:rsid w:val="00862A7A"/>
    <w:rsid w:val="00862FBD"/>
    <w:rsid w:val="00863104"/>
    <w:rsid w:val="008636CD"/>
    <w:rsid w:val="00863702"/>
    <w:rsid w:val="00863D9E"/>
    <w:rsid w:val="00863FDC"/>
    <w:rsid w:val="0086405D"/>
    <w:rsid w:val="008642AF"/>
    <w:rsid w:val="00865286"/>
    <w:rsid w:val="00865729"/>
    <w:rsid w:val="00865ED4"/>
    <w:rsid w:val="008669A7"/>
    <w:rsid w:val="00867464"/>
    <w:rsid w:val="00867D15"/>
    <w:rsid w:val="00867E29"/>
    <w:rsid w:val="00870F2B"/>
    <w:rsid w:val="00871594"/>
    <w:rsid w:val="00873B2E"/>
    <w:rsid w:val="008746E6"/>
    <w:rsid w:val="0087515D"/>
    <w:rsid w:val="0087594C"/>
    <w:rsid w:val="00876086"/>
    <w:rsid w:val="008765FA"/>
    <w:rsid w:val="008768D6"/>
    <w:rsid w:val="008775D1"/>
    <w:rsid w:val="008777A6"/>
    <w:rsid w:val="008777BB"/>
    <w:rsid w:val="00877BA6"/>
    <w:rsid w:val="00877D68"/>
    <w:rsid w:val="00877E5D"/>
    <w:rsid w:val="00880150"/>
    <w:rsid w:val="00880ABA"/>
    <w:rsid w:val="00880BD4"/>
    <w:rsid w:val="00882D1B"/>
    <w:rsid w:val="008834D6"/>
    <w:rsid w:val="00883A67"/>
    <w:rsid w:val="00883CB5"/>
    <w:rsid w:val="00883D45"/>
    <w:rsid w:val="0088446A"/>
    <w:rsid w:val="00884D69"/>
    <w:rsid w:val="00884E13"/>
    <w:rsid w:val="0088503D"/>
    <w:rsid w:val="008850F7"/>
    <w:rsid w:val="008856E1"/>
    <w:rsid w:val="00885891"/>
    <w:rsid w:val="00885EC6"/>
    <w:rsid w:val="008869D2"/>
    <w:rsid w:val="00886A8F"/>
    <w:rsid w:val="0088733A"/>
    <w:rsid w:val="00890114"/>
    <w:rsid w:val="0089107B"/>
    <w:rsid w:val="00891BE0"/>
    <w:rsid w:val="00893302"/>
    <w:rsid w:val="00893648"/>
    <w:rsid w:val="0089368A"/>
    <w:rsid w:val="00893F3C"/>
    <w:rsid w:val="008945A1"/>
    <w:rsid w:val="00894A63"/>
    <w:rsid w:val="00895A54"/>
    <w:rsid w:val="00896776"/>
    <w:rsid w:val="0089690C"/>
    <w:rsid w:val="00896916"/>
    <w:rsid w:val="00896BDE"/>
    <w:rsid w:val="0089763E"/>
    <w:rsid w:val="008A03DE"/>
    <w:rsid w:val="008A0861"/>
    <w:rsid w:val="008A0BB2"/>
    <w:rsid w:val="008A1662"/>
    <w:rsid w:val="008A1AB3"/>
    <w:rsid w:val="008A1D5C"/>
    <w:rsid w:val="008A3047"/>
    <w:rsid w:val="008A3292"/>
    <w:rsid w:val="008A349F"/>
    <w:rsid w:val="008A3A85"/>
    <w:rsid w:val="008A43E9"/>
    <w:rsid w:val="008A4CB1"/>
    <w:rsid w:val="008A6103"/>
    <w:rsid w:val="008A615E"/>
    <w:rsid w:val="008A632B"/>
    <w:rsid w:val="008A69A7"/>
    <w:rsid w:val="008A6BFE"/>
    <w:rsid w:val="008A73DA"/>
    <w:rsid w:val="008A76BD"/>
    <w:rsid w:val="008B00C2"/>
    <w:rsid w:val="008B051B"/>
    <w:rsid w:val="008B05E8"/>
    <w:rsid w:val="008B07EF"/>
    <w:rsid w:val="008B0862"/>
    <w:rsid w:val="008B16DE"/>
    <w:rsid w:val="008B190E"/>
    <w:rsid w:val="008B1A8A"/>
    <w:rsid w:val="008B1FC9"/>
    <w:rsid w:val="008B24AF"/>
    <w:rsid w:val="008B2D93"/>
    <w:rsid w:val="008B531F"/>
    <w:rsid w:val="008B54A3"/>
    <w:rsid w:val="008B634C"/>
    <w:rsid w:val="008B6B67"/>
    <w:rsid w:val="008B7306"/>
    <w:rsid w:val="008B775F"/>
    <w:rsid w:val="008B7C02"/>
    <w:rsid w:val="008B7D13"/>
    <w:rsid w:val="008B7F9E"/>
    <w:rsid w:val="008C034E"/>
    <w:rsid w:val="008C0595"/>
    <w:rsid w:val="008C083D"/>
    <w:rsid w:val="008C0E88"/>
    <w:rsid w:val="008C1399"/>
    <w:rsid w:val="008C173D"/>
    <w:rsid w:val="008C1AA8"/>
    <w:rsid w:val="008C22A8"/>
    <w:rsid w:val="008C2BDA"/>
    <w:rsid w:val="008C46D8"/>
    <w:rsid w:val="008C478D"/>
    <w:rsid w:val="008C5B43"/>
    <w:rsid w:val="008C5DC6"/>
    <w:rsid w:val="008C63FD"/>
    <w:rsid w:val="008C6B40"/>
    <w:rsid w:val="008C6CB8"/>
    <w:rsid w:val="008C6D92"/>
    <w:rsid w:val="008C777A"/>
    <w:rsid w:val="008C7815"/>
    <w:rsid w:val="008C7A07"/>
    <w:rsid w:val="008C7E90"/>
    <w:rsid w:val="008C7EB3"/>
    <w:rsid w:val="008D0171"/>
    <w:rsid w:val="008D0462"/>
    <w:rsid w:val="008D068A"/>
    <w:rsid w:val="008D0AC2"/>
    <w:rsid w:val="008D13EA"/>
    <w:rsid w:val="008D1DD9"/>
    <w:rsid w:val="008D2671"/>
    <w:rsid w:val="008D2A16"/>
    <w:rsid w:val="008D2ECF"/>
    <w:rsid w:val="008D347D"/>
    <w:rsid w:val="008D3F3D"/>
    <w:rsid w:val="008D3F95"/>
    <w:rsid w:val="008D4376"/>
    <w:rsid w:val="008D4D5E"/>
    <w:rsid w:val="008D5058"/>
    <w:rsid w:val="008D6244"/>
    <w:rsid w:val="008E0367"/>
    <w:rsid w:val="008E1FBE"/>
    <w:rsid w:val="008E308D"/>
    <w:rsid w:val="008E31FF"/>
    <w:rsid w:val="008E46A3"/>
    <w:rsid w:val="008E4E44"/>
    <w:rsid w:val="008E4FC2"/>
    <w:rsid w:val="008E5DE6"/>
    <w:rsid w:val="008E6113"/>
    <w:rsid w:val="008E6AB3"/>
    <w:rsid w:val="008E6AD3"/>
    <w:rsid w:val="008E6EBD"/>
    <w:rsid w:val="008E71A6"/>
    <w:rsid w:val="008E77B6"/>
    <w:rsid w:val="008E7C55"/>
    <w:rsid w:val="008F032E"/>
    <w:rsid w:val="008F0F14"/>
    <w:rsid w:val="008F2097"/>
    <w:rsid w:val="008F2342"/>
    <w:rsid w:val="008F2F44"/>
    <w:rsid w:val="008F4FCE"/>
    <w:rsid w:val="008F5301"/>
    <w:rsid w:val="008F6967"/>
    <w:rsid w:val="008F6A0C"/>
    <w:rsid w:val="008F6F38"/>
    <w:rsid w:val="008F7721"/>
    <w:rsid w:val="008F77B5"/>
    <w:rsid w:val="008F7D28"/>
    <w:rsid w:val="009003A8"/>
    <w:rsid w:val="009010A7"/>
    <w:rsid w:val="009010E3"/>
    <w:rsid w:val="00901703"/>
    <w:rsid w:val="00901AF3"/>
    <w:rsid w:val="009029C8"/>
    <w:rsid w:val="00902CBE"/>
    <w:rsid w:val="00902D74"/>
    <w:rsid w:val="00902EFF"/>
    <w:rsid w:val="009030F3"/>
    <w:rsid w:val="00903126"/>
    <w:rsid w:val="00903E06"/>
    <w:rsid w:val="00903F54"/>
    <w:rsid w:val="009045D1"/>
    <w:rsid w:val="00904B9D"/>
    <w:rsid w:val="009050C0"/>
    <w:rsid w:val="00905A11"/>
    <w:rsid w:val="00905FE8"/>
    <w:rsid w:val="009060A1"/>
    <w:rsid w:val="00906225"/>
    <w:rsid w:val="009066E1"/>
    <w:rsid w:val="00906F67"/>
    <w:rsid w:val="00907A41"/>
    <w:rsid w:val="009102BD"/>
    <w:rsid w:val="00910F93"/>
    <w:rsid w:val="0091174F"/>
    <w:rsid w:val="00911E87"/>
    <w:rsid w:val="0091255A"/>
    <w:rsid w:val="0091339E"/>
    <w:rsid w:val="00913547"/>
    <w:rsid w:val="00914426"/>
    <w:rsid w:val="00914962"/>
    <w:rsid w:val="0091675F"/>
    <w:rsid w:val="00917709"/>
    <w:rsid w:val="00917918"/>
    <w:rsid w:val="00920874"/>
    <w:rsid w:val="009209D9"/>
    <w:rsid w:val="00921F14"/>
    <w:rsid w:val="00923750"/>
    <w:rsid w:val="00923C17"/>
    <w:rsid w:val="009243A5"/>
    <w:rsid w:val="0092500F"/>
    <w:rsid w:val="009250D2"/>
    <w:rsid w:val="0092519D"/>
    <w:rsid w:val="0092540B"/>
    <w:rsid w:val="009256C5"/>
    <w:rsid w:val="00926283"/>
    <w:rsid w:val="009262D6"/>
    <w:rsid w:val="009306BE"/>
    <w:rsid w:val="00930CFB"/>
    <w:rsid w:val="00931208"/>
    <w:rsid w:val="00931324"/>
    <w:rsid w:val="00931C13"/>
    <w:rsid w:val="00934963"/>
    <w:rsid w:val="00934D36"/>
    <w:rsid w:val="009360FE"/>
    <w:rsid w:val="00937B11"/>
    <w:rsid w:val="009408E8"/>
    <w:rsid w:val="00940F1F"/>
    <w:rsid w:val="00941250"/>
    <w:rsid w:val="00941339"/>
    <w:rsid w:val="009416D5"/>
    <w:rsid w:val="0094396E"/>
    <w:rsid w:val="0094427A"/>
    <w:rsid w:val="00944380"/>
    <w:rsid w:val="009459C5"/>
    <w:rsid w:val="00945E5E"/>
    <w:rsid w:val="0094626C"/>
    <w:rsid w:val="0094681E"/>
    <w:rsid w:val="009475DB"/>
    <w:rsid w:val="009500E9"/>
    <w:rsid w:val="0095013A"/>
    <w:rsid w:val="00953070"/>
    <w:rsid w:val="00953AEF"/>
    <w:rsid w:val="00953F0A"/>
    <w:rsid w:val="009546B0"/>
    <w:rsid w:val="009551E2"/>
    <w:rsid w:val="00955783"/>
    <w:rsid w:val="009558A6"/>
    <w:rsid w:val="00955E5F"/>
    <w:rsid w:val="009560B0"/>
    <w:rsid w:val="00956722"/>
    <w:rsid w:val="00956F23"/>
    <w:rsid w:val="009576AC"/>
    <w:rsid w:val="00957871"/>
    <w:rsid w:val="00960077"/>
    <w:rsid w:val="00960719"/>
    <w:rsid w:val="00960769"/>
    <w:rsid w:val="00962D2E"/>
    <w:rsid w:val="009632E3"/>
    <w:rsid w:val="00963724"/>
    <w:rsid w:val="00963F41"/>
    <w:rsid w:val="00964498"/>
    <w:rsid w:val="00964AF4"/>
    <w:rsid w:val="0096504D"/>
    <w:rsid w:val="00965795"/>
    <w:rsid w:val="00965830"/>
    <w:rsid w:val="00965A2D"/>
    <w:rsid w:val="009663EB"/>
    <w:rsid w:val="0096650F"/>
    <w:rsid w:val="00967801"/>
    <w:rsid w:val="00967AD2"/>
    <w:rsid w:val="009700DB"/>
    <w:rsid w:val="009714B0"/>
    <w:rsid w:val="00971DC6"/>
    <w:rsid w:val="00972263"/>
    <w:rsid w:val="00972502"/>
    <w:rsid w:val="00972B1B"/>
    <w:rsid w:val="00972D8D"/>
    <w:rsid w:val="00973AAE"/>
    <w:rsid w:val="009743B9"/>
    <w:rsid w:val="0097476C"/>
    <w:rsid w:val="00974923"/>
    <w:rsid w:val="00974A3C"/>
    <w:rsid w:val="00974D48"/>
    <w:rsid w:val="00974D5F"/>
    <w:rsid w:val="00975017"/>
    <w:rsid w:val="009757E6"/>
    <w:rsid w:val="009759DF"/>
    <w:rsid w:val="00977A58"/>
    <w:rsid w:val="00977EAC"/>
    <w:rsid w:val="00980373"/>
    <w:rsid w:val="00980621"/>
    <w:rsid w:val="0098095B"/>
    <w:rsid w:val="0098121F"/>
    <w:rsid w:val="00982072"/>
    <w:rsid w:val="009833FA"/>
    <w:rsid w:val="00983DBB"/>
    <w:rsid w:val="00983ECF"/>
    <w:rsid w:val="00985767"/>
    <w:rsid w:val="00985A99"/>
    <w:rsid w:val="00986375"/>
    <w:rsid w:val="00986745"/>
    <w:rsid w:val="009867BC"/>
    <w:rsid w:val="00987109"/>
    <w:rsid w:val="00987309"/>
    <w:rsid w:val="0099012D"/>
    <w:rsid w:val="00990363"/>
    <w:rsid w:val="00993BE6"/>
    <w:rsid w:val="00993D9C"/>
    <w:rsid w:val="00993F56"/>
    <w:rsid w:val="00994C29"/>
    <w:rsid w:val="009954FF"/>
    <w:rsid w:val="00995E2F"/>
    <w:rsid w:val="00995FEC"/>
    <w:rsid w:val="009961BC"/>
    <w:rsid w:val="00996355"/>
    <w:rsid w:val="00996D79"/>
    <w:rsid w:val="0099788F"/>
    <w:rsid w:val="00997ADD"/>
    <w:rsid w:val="009A1374"/>
    <w:rsid w:val="009A2014"/>
    <w:rsid w:val="009A2030"/>
    <w:rsid w:val="009A3A87"/>
    <w:rsid w:val="009A4E12"/>
    <w:rsid w:val="009A5C68"/>
    <w:rsid w:val="009A5DE2"/>
    <w:rsid w:val="009A6EF7"/>
    <w:rsid w:val="009B04D0"/>
    <w:rsid w:val="009B052C"/>
    <w:rsid w:val="009B093D"/>
    <w:rsid w:val="009B0975"/>
    <w:rsid w:val="009B0B1C"/>
    <w:rsid w:val="009B0EF2"/>
    <w:rsid w:val="009B23A3"/>
    <w:rsid w:val="009B24D3"/>
    <w:rsid w:val="009B2C0E"/>
    <w:rsid w:val="009B4925"/>
    <w:rsid w:val="009B4B41"/>
    <w:rsid w:val="009B4B4B"/>
    <w:rsid w:val="009B4CE3"/>
    <w:rsid w:val="009B6FD3"/>
    <w:rsid w:val="009B70BD"/>
    <w:rsid w:val="009B7B36"/>
    <w:rsid w:val="009C07A5"/>
    <w:rsid w:val="009C24A3"/>
    <w:rsid w:val="009C32EC"/>
    <w:rsid w:val="009C3705"/>
    <w:rsid w:val="009C41EA"/>
    <w:rsid w:val="009C63FE"/>
    <w:rsid w:val="009C7388"/>
    <w:rsid w:val="009C74C2"/>
    <w:rsid w:val="009C76F6"/>
    <w:rsid w:val="009D0CFF"/>
    <w:rsid w:val="009D1551"/>
    <w:rsid w:val="009D1796"/>
    <w:rsid w:val="009D2859"/>
    <w:rsid w:val="009D2958"/>
    <w:rsid w:val="009D36EC"/>
    <w:rsid w:val="009D3CD0"/>
    <w:rsid w:val="009D4173"/>
    <w:rsid w:val="009D51CA"/>
    <w:rsid w:val="009D57D7"/>
    <w:rsid w:val="009D6095"/>
    <w:rsid w:val="009D6306"/>
    <w:rsid w:val="009D6A6F"/>
    <w:rsid w:val="009E048A"/>
    <w:rsid w:val="009E0CB1"/>
    <w:rsid w:val="009E1124"/>
    <w:rsid w:val="009E198E"/>
    <w:rsid w:val="009E1FBA"/>
    <w:rsid w:val="009E22F0"/>
    <w:rsid w:val="009E2C54"/>
    <w:rsid w:val="009E3710"/>
    <w:rsid w:val="009E4826"/>
    <w:rsid w:val="009E6698"/>
    <w:rsid w:val="009E6F65"/>
    <w:rsid w:val="009E7340"/>
    <w:rsid w:val="009E7B1F"/>
    <w:rsid w:val="009F2A39"/>
    <w:rsid w:val="009F346F"/>
    <w:rsid w:val="009F371A"/>
    <w:rsid w:val="009F3F25"/>
    <w:rsid w:val="009F3FC3"/>
    <w:rsid w:val="009F41C4"/>
    <w:rsid w:val="009F458F"/>
    <w:rsid w:val="009F4DA8"/>
    <w:rsid w:val="009F5846"/>
    <w:rsid w:val="009F63D2"/>
    <w:rsid w:val="009F6537"/>
    <w:rsid w:val="009F777A"/>
    <w:rsid w:val="009F7B52"/>
    <w:rsid w:val="009F7D77"/>
    <w:rsid w:val="00A0019E"/>
    <w:rsid w:val="00A00476"/>
    <w:rsid w:val="00A004D2"/>
    <w:rsid w:val="00A015EA"/>
    <w:rsid w:val="00A02257"/>
    <w:rsid w:val="00A03996"/>
    <w:rsid w:val="00A05B91"/>
    <w:rsid w:val="00A10D66"/>
    <w:rsid w:val="00A12BA8"/>
    <w:rsid w:val="00A12F7C"/>
    <w:rsid w:val="00A133F2"/>
    <w:rsid w:val="00A13993"/>
    <w:rsid w:val="00A13BA6"/>
    <w:rsid w:val="00A1420C"/>
    <w:rsid w:val="00A1456C"/>
    <w:rsid w:val="00A14821"/>
    <w:rsid w:val="00A1698D"/>
    <w:rsid w:val="00A17754"/>
    <w:rsid w:val="00A2055B"/>
    <w:rsid w:val="00A20995"/>
    <w:rsid w:val="00A20E22"/>
    <w:rsid w:val="00A2253C"/>
    <w:rsid w:val="00A23545"/>
    <w:rsid w:val="00A23A55"/>
    <w:rsid w:val="00A23DE5"/>
    <w:rsid w:val="00A23E43"/>
    <w:rsid w:val="00A23EF0"/>
    <w:rsid w:val="00A24136"/>
    <w:rsid w:val="00A24F8C"/>
    <w:rsid w:val="00A25F1A"/>
    <w:rsid w:val="00A262BF"/>
    <w:rsid w:val="00A26802"/>
    <w:rsid w:val="00A271AD"/>
    <w:rsid w:val="00A276D5"/>
    <w:rsid w:val="00A30336"/>
    <w:rsid w:val="00A3041C"/>
    <w:rsid w:val="00A30BB5"/>
    <w:rsid w:val="00A3128F"/>
    <w:rsid w:val="00A326D0"/>
    <w:rsid w:val="00A35287"/>
    <w:rsid w:val="00A378F8"/>
    <w:rsid w:val="00A40965"/>
    <w:rsid w:val="00A40B19"/>
    <w:rsid w:val="00A41D07"/>
    <w:rsid w:val="00A42487"/>
    <w:rsid w:val="00A424F8"/>
    <w:rsid w:val="00A42883"/>
    <w:rsid w:val="00A437B7"/>
    <w:rsid w:val="00A43EA2"/>
    <w:rsid w:val="00A457B8"/>
    <w:rsid w:val="00A46A7F"/>
    <w:rsid w:val="00A46C70"/>
    <w:rsid w:val="00A46D48"/>
    <w:rsid w:val="00A46DE0"/>
    <w:rsid w:val="00A4778A"/>
    <w:rsid w:val="00A47C74"/>
    <w:rsid w:val="00A47C94"/>
    <w:rsid w:val="00A504C0"/>
    <w:rsid w:val="00A5067F"/>
    <w:rsid w:val="00A508A2"/>
    <w:rsid w:val="00A5171F"/>
    <w:rsid w:val="00A517C1"/>
    <w:rsid w:val="00A518E0"/>
    <w:rsid w:val="00A537CA"/>
    <w:rsid w:val="00A5408A"/>
    <w:rsid w:val="00A55301"/>
    <w:rsid w:val="00A56DD4"/>
    <w:rsid w:val="00A572FB"/>
    <w:rsid w:val="00A57B3C"/>
    <w:rsid w:val="00A57F1B"/>
    <w:rsid w:val="00A600D2"/>
    <w:rsid w:val="00A6128E"/>
    <w:rsid w:val="00A62CE1"/>
    <w:rsid w:val="00A631FA"/>
    <w:rsid w:val="00A63EE7"/>
    <w:rsid w:val="00A64203"/>
    <w:rsid w:val="00A64348"/>
    <w:rsid w:val="00A644E1"/>
    <w:rsid w:val="00A65E41"/>
    <w:rsid w:val="00A700C4"/>
    <w:rsid w:val="00A711B0"/>
    <w:rsid w:val="00A71279"/>
    <w:rsid w:val="00A718BC"/>
    <w:rsid w:val="00A721FB"/>
    <w:rsid w:val="00A727BA"/>
    <w:rsid w:val="00A72D4B"/>
    <w:rsid w:val="00A730A5"/>
    <w:rsid w:val="00A732AE"/>
    <w:rsid w:val="00A74192"/>
    <w:rsid w:val="00A75837"/>
    <w:rsid w:val="00A75E40"/>
    <w:rsid w:val="00A76B12"/>
    <w:rsid w:val="00A76EF2"/>
    <w:rsid w:val="00A7727E"/>
    <w:rsid w:val="00A77654"/>
    <w:rsid w:val="00A77E9F"/>
    <w:rsid w:val="00A77EB2"/>
    <w:rsid w:val="00A80458"/>
    <w:rsid w:val="00A80E64"/>
    <w:rsid w:val="00A81094"/>
    <w:rsid w:val="00A810BA"/>
    <w:rsid w:val="00A82B66"/>
    <w:rsid w:val="00A83308"/>
    <w:rsid w:val="00A83B58"/>
    <w:rsid w:val="00A84179"/>
    <w:rsid w:val="00A84FAF"/>
    <w:rsid w:val="00A851B6"/>
    <w:rsid w:val="00A85729"/>
    <w:rsid w:val="00A8574B"/>
    <w:rsid w:val="00A857C0"/>
    <w:rsid w:val="00A90343"/>
    <w:rsid w:val="00A91336"/>
    <w:rsid w:val="00A9221C"/>
    <w:rsid w:val="00A92277"/>
    <w:rsid w:val="00A92916"/>
    <w:rsid w:val="00A93106"/>
    <w:rsid w:val="00A94628"/>
    <w:rsid w:val="00A94954"/>
    <w:rsid w:val="00A9497A"/>
    <w:rsid w:val="00A950B5"/>
    <w:rsid w:val="00A96463"/>
    <w:rsid w:val="00A97E3F"/>
    <w:rsid w:val="00AA0243"/>
    <w:rsid w:val="00AA09D3"/>
    <w:rsid w:val="00AA220F"/>
    <w:rsid w:val="00AA23FB"/>
    <w:rsid w:val="00AA29BB"/>
    <w:rsid w:val="00AA34FE"/>
    <w:rsid w:val="00AA42AB"/>
    <w:rsid w:val="00AA5283"/>
    <w:rsid w:val="00AA559A"/>
    <w:rsid w:val="00AA57A4"/>
    <w:rsid w:val="00AA5F10"/>
    <w:rsid w:val="00AB043E"/>
    <w:rsid w:val="00AB0BB9"/>
    <w:rsid w:val="00AB104D"/>
    <w:rsid w:val="00AB1441"/>
    <w:rsid w:val="00AB24E7"/>
    <w:rsid w:val="00AB2797"/>
    <w:rsid w:val="00AB2AF1"/>
    <w:rsid w:val="00AB2EE8"/>
    <w:rsid w:val="00AB2FF7"/>
    <w:rsid w:val="00AB38B7"/>
    <w:rsid w:val="00AB440B"/>
    <w:rsid w:val="00AB47E3"/>
    <w:rsid w:val="00AB6383"/>
    <w:rsid w:val="00AB74C5"/>
    <w:rsid w:val="00AB7BEE"/>
    <w:rsid w:val="00AB7DF2"/>
    <w:rsid w:val="00AC1E3F"/>
    <w:rsid w:val="00AC219A"/>
    <w:rsid w:val="00AC3D02"/>
    <w:rsid w:val="00AC4F18"/>
    <w:rsid w:val="00AC556E"/>
    <w:rsid w:val="00AC7965"/>
    <w:rsid w:val="00AD0B46"/>
    <w:rsid w:val="00AD1094"/>
    <w:rsid w:val="00AD2565"/>
    <w:rsid w:val="00AD2C0A"/>
    <w:rsid w:val="00AD306C"/>
    <w:rsid w:val="00AD3424"/>
    <w:rsid w:val="00AD3E3F"/>
    <w:rsid w:val="00AD4E15"/>
    <w:rsid w:val="00AD4FEF"/>
    <w:rsid w:val="00AD50D1"/>
    <w:rsid w:val="00AD54F4"/>
    <w:rsid w:val="00AD59BB"/>
    <w:rsid w:val="00AD5D68"/>
    <w:rsid w:val="00AD6C73"/>
    <w:rsid w:val="00AD72A6"/>
    <w:rsid w:val="00AD7D49"/>
    <w:rsid w:val="00AE06D0"/>
    <w:rsid w:val="00AE1207"/>
    <w:rsid w:val="00AE1B8A"/>
    <w:rsid w:val="00AE20E2"/>
    <w:rsid w:val="00AE39DC"/>
    <w:rsid w:val="00AE3CDA"/>
    <w:rsid w:val="00AE43C2"/>
    <w:rsid w:val="00AE481D"/>
    <w:rsid w:val="00AE6734"/>
    <w:rsid w:val="00AE76E4"/>
    <w:rsid w:val="00AE7968"/>
    <w:rsid w:val="00AE7B2B"/>
    <w:rsid w:val="00AE7C46"/>
    <w:rsid w:val="00AE7DFF"/>
    <w:rsid w:val="00AF082A"/>
    <w:rsid w:val="00AF0B8E"/>
    <w:rsid w:val="00AF128B"/>
    <w:rsid w:val="00AF1AEA"/>
    <w:rsid w:val="00AF2536"/>
    <w:rsid w:val="00AF2852"/>
    <w:rsid w:val="00AF2B31"/>
    <w:rsid w:val="00AF3225"/>
    <w:rsid w:val="00AF4590"/>
    <w:rsid w:val="00AF4983"/>
    <w:rsid w:val="00AF4FD6"/>
    <w:rsid w:val="00AF518B"/>
    <w:rsid w:val="00AF5275"/>
    <w:rsid w:val="00AF581A"/>
    <w:rsid w:val="00AF5D62"/>
    <w:rsid w:val="00AF6367"/>
    <w:rsid w:val="00AF6684"/>
    <w:rsid w:val="00AF6753"/>
    <w:rsid w:val="00AF6A79"/>
    <w:rsid w:val="00AF724E"/>
    <w:rsid w:val="00AF73A9"/>
    <w:rsid w:val="00B00724"/>
    <w:rsid w:val="00B01436"/>
    <w:rsid w:val="00B019C6"/>
    <w:rsid w:val="00B01C2C"/>
    <w:rsid w:val="00B0231C"/>
    <w:rsid w:val="00B05E75"/>
    <w:rsid w:val="00B07372"/>
    <w:rsid w:val="00B07C2A"/>
    <w:rsid w:val="00B11BEE"/>
    <w:rsid w:val="00B128E5"/>
    <w:rsid w:val="00B12CC1"/>
    <w:rsid w:val="00B13681"/>
    <w:rsid w:val="00B13D32"/>
    <w:rsid w:val="00B153F4"/>
    <w:rsid w:val="00B15DCD"/>
    <w:rsid w:val="00B16F0F"/>
    <w:rsid w:val="00B17E71"/>
    <w:rsid w:val="00B17FDE"/>
    <w:rsid w:val="00B208FC"/>
    <w:rsid w:val="00B209FC"/>
    <w:rsid w:val="00B20C65"/>
    <w:rsid w:val="00B22E17"/>
    <w:rsid w:val="00B243A3"/>
    <w:rsid w:val="00B25567"/>
    <w:rsid w:val="00B266C5"/>
    <w:rsid w:val="00B27293"/>
    <w:rsid w:val="00B278E8"/>
    <w:rsid w:val="00B301BB"/>
    <w:rsid w:val="00B310C4"/>
    <w:rsid w:val="00B321E3"/>
    <w:rsid w:val="00B3229E"/>
    <w:rsid w:val="00B326A9"/>
    <w:rsid w:val="00B32DDB"/>
    <w:rsid w:val="00B337AA"/>
    <w:rsid w:val="00B33D0C"/>
    <w:rsid w:val="00B3447A"/>
    <w:rsid w:val="00B3448C"/>
    <w:rsid w:val="00B34931"/>
    <w:rsid w:val="00B34CCE"/>
    <w:rsid w:val="00B35174"/>
    <w:rsid w:val="00B35BEA"/>
    <w:rsid w:val="00B35F7F"/>
    <w:rsid w:val="00B36817"/>
    <w:rsid w:val="00B37915"/>
    <w:rsid w:val="00B3793D"/>
    <w:rsid w:val="00B41BE6"/>
    <w:rsid w:val="00B42831"/>
    <w:rsid w:val="00B428A4"/>
    <w:rsid w:val="00B42D8A"/>
    <w:rsid w:val="00B4516E"/>
    <w:rsid w:val="00B457E7"/>
    <w:rsid w:val="00B45969"/>
    <w:rsid w:val="00B45D1B"/>
    <w:rsid w:val="00B46D25"/>
    <w:rsid w:val="00B47430"/>
    <w:rsid w:val="00B47AC6"/>
    <w:rsid w:val="00B506BE"/>
    <w:rsid w:val="00B52D2D"/>
    <w:rsid w:val="00B534EF"/>
    <w:rsid w:val="00B53EA6"/>
    <w:rsid w:val="00B54645"/>
    <w:rsid w:val="00B55BA8"/>
    <w:rsid w:val="00B55F15"/>
    <w:rsid w:val="00B561A6"/>
    <w:rsid w:val="00B56FCD"/>
    <w:rsid w:val="00B57CC4"/>
    <w:rsid w:val="00B60062"/>
    <w:rsid w:val="00B62960"/>
    <w:rsid w:val="00B62A47"/>
    <w:rsid w:val="00B63A11"/>
    <w:rsid w:val="00B63FD0"/>
    <w:rsid w:val="00B651EC"/>
    <w:rsid w:val="00B6553E"/>
    <w:rsid w:val="00B65C84"/>
    <w:rsid w:val="00B6608F"/>
    <w:rsid w:val="00B73180"/>
    <w:rsid w:val="00B74317"/>
    <w:rsid w:val="00B74B99"/>
    <w:rsid w:val="00B75700"/>
    <w:rsid w:val="00B75AC6"/>
    <w:rsid w:val="00B760C1"/>
    <w:rsid w:val="00B767DF"/>
    <w:rsid w:val="00B76D1E"/>
    <w:rsid w:val="00B77BC8"/>
    <w:rsid w:val="00B800EB"/>
    <w:rsid w:val="00B80BB5"/>
    <w:rsid w:val="00B822D2"/>
    <w:rsid w:val="00B823F1"/>
    <w:rsid w:val="00B83D46"/>
    <w:rsid w:val="00B84820"/>
    <w:rsid w:val="00B848B8"/>
    <w:rsid w:val="00B84A41"/>
    <w:rsid w:val="00B84D57"/>
    <w:rsid w:val="00B84E5C"/>
    <w:rsid w:val="00B8504B"/>
    <w:rsid w:val="00B853C2"/>
    <w:rsid w:val="00B854A8"/>
    <w:rsid w:val="00B85689"/>
    <w:rsid w:val="00B86748"/>
    <w:rsid w:val="00B907EA"/>
    <w:rsid w:val="00B9167B"/>
    <w:rsid w:val="00B9183E"/>
    <w:rsid w:val="00B91EC9"/>
    <w:rsid w:val="00B924CA"/>
    <w:rsid w:val="00B929A5"/>
    <w:rsid w:val="00B92A4B"/>
    <w:rsid w:val="00B93384"/>
    <w:rsid w:val="00B93616"/>
    <w:rsid w:val="00B9423B"/>
    <w:rsid w:val="00B94417"/>
    <w:rsid w:val="00B95566"/>
    <w:rsid w:val="00B95940"/>
    <w:rsid w:val="00B95EF8"/>
    <w:rsid w:val="00B95F50"/>
    <w:rsid w:val="00B96BD9"/>
    <w:rsid w:val="00B979A0"/>
    <w:rsid w:val="00BA0DED"/>
    <w:rsid w:val="00BA0F99"/>
    <w:rsid w:val="00BB0274"/>
    <w:rsid w:val="00BB0B13"/>
    <w:rsid w:val="00BB1CFD"/>
    <w:rsid w:val="00BB2C53"/>
    <w:rsid w:val="00BB32DA"/>
    <w:rsid w:val="00BB3A54"/>
    <w:rsid w:val="00BB4D26"/>
    <w:rsid w:val="00BB4E21"/>
    <w:rsid w:val="00BB65DD"/>
    <w:rsid w:val="00BB7707"/>
    <w:rsid w:val="00BB7746"/>
    <w:rsid w:val="00BB7AF1"/>
    <w:rsid w:val="00BC00E5"/>
    <w:rsid w:val="00BC1484"/>
    <w:rsid w:val="00BC1D93"/>
    <w:rsid w:val="00BC22EB"/>
    <w:rsid w:val="00BC2E09"/>
    <w:rsid w:val="00BC4B2D"/>
    <w:rsid w:val="00BC4FB2"/>
    <w:rsid w:val="00BC682B"/>
    <w:rsid w:val="00BC68BA"/>
    <w:rsid w:val="00BC6B04"/>
    <w:rsid w:val="00BC6D27"/>
    <w:rsid w:val="00BD059A"/>
    <w:rsid w:val="00BD0BAF"/>
    <w:rsid w:val="00BD0D6D"/>
    <w:rsid w:val="00BD186B"/>
    <w:rsid w:val="00BD1EAC"/>
    <w:rsid w:val="00BD254C"/>
    <w:rsid w:val="00BD2F39"/>
    <w:rsid w:val="00BD3428"/>
    <w:rsid w:val="00BD366B"/>
    <w:rsid w:val="00BD5298"/>
    <w:rsid w:val="00BD534C"/>
    <w:rsid w:val="00BD55A9"/>
    <w:rsid w:val="00BD56BC"/>
    <w:rsid w:val="00BD5BE0"/>
    <w:rsid w:val="00BD5D91"/>
    <w:rsid w:val="00BD6445"/>
    <w:rsid w:val="00BD65BF"/>
    <w:rsid w:val="00BD6615"/>
    <w:rsid w:val="00BD6967"/>
    <w:rsid w:val="00BD6D50"/>
    <w:rsid w:val="00BD7C60"/>
    <w:rsid w:val="00BE0D79"/>
    <w:rsid w:val="00BE0DB0"/>
    <w:rsid w:val="00BE15B9"/>
    <w:rsid w:val="00BE264F"/>
    <w:rsid w:val="00BE2C15"/>
    <w:rsid w:val="00BE3381"/>
    <w:rsid w:val="00BE3F09"/>
    <w:rsid w:val="00BE4A3B"/>
    <w:rsid w:val="00BE670A"/>
    <w:rsid w:val="00BE6906"/>
    <w:rsid w:val="00BE6EA2"/>
    <w:rsid w:val="00BE7AB8"/>
    <w:rsid w:val="00BF18F4"/>
    <w:rsid w:val="00BF1A69"/>
    <w:rsid w:val="00BF3BC8"/>
    <w:rsid w:val="00BF3DF1"/>
    <w:rsid w:val="00BF4BEE"/>
    <w:rsid w:val="00BF4C31"/>
    <w:rsid w:val="00BF4C48"/>
    <w:rsid w:val="00BF4E57"/>
    <w:rsid w:val="00BF53B8"/>
    <w:rsid w:val="00BF786A"/>
    <w:rsid w:val="00BF7CB8"/>
    <w:rsid w:val="00C00831"/>
    <w:rsid w:val="00C00F20"/>
    <w:rsid w:val="00C01354"/>
    <w:rsid w:val="00C01700"/>
    <w:rsid w:val="00C01B84"/>
    <w:rsid w:val="00C034E6"/>
    <w:rsid w:val="00C041FA"/>
    <w:rsid w:val="00C05715"/>
    <w:rsid w:val="00C05926"/>
    <w:rsid w:val="00C05CCD"/>
    <w:rsid w:val="00C0784A"/>
    <w:rsid w:val="00C07DF0"/>
    <w:rsid w:val="00C108CE"/>
    <w:rsid w:val="00C10B28"/>
    <w:rsid w:val="00C10D62"/>
    <w:rsid w:val="00C10EC1"/>
    <w:rsid w:val="00C10FAE"/>
    <w:rsid w:val="00C1135D"/>
    <w:rsid w:val="00C11DAF"/>
    <w:rsid w:val="00C123B4"/>
    <w:rsid w:val="00C12A69"/>
    <w:rsid w:val="00C13150"/>
    <w:rsid w:val="00C132F3"/>
    <w:rsid w:val="00C13737"/>
    <w:rsid w:val="00C13BE8"/>
    <w:rsid w:val="00C14A8D"/>
    <w:rsid w:val="00C14BDD"/>
    <w:rsid w:val="00C150BE"/>
    <w:rsid w:val="00C158B0"/>
    <w:rsid w:val="00C15A0C"/>
    <w:rsid w:val="00C15CEB"/>
    <w:rsid w:val="00C15DCB"/>
    <w:rsid w:val="00C16208"/>
    <w:rsid w:val="00C1711F"/>
    <w:rsid w:val="00C17E38"/>
    <w:rsid w:val="00C20100"/>
    <w:rsid w:val="00C2038A"/>
    <w:rsid w:val="00C20549"/>
    <w:rsid w:val="00C205BF"/>
    <w:rsid w:val="00C20744"/>
    <w:rsid w:val="00C20B1C"/>
    <w:rsid w:val="00C20C4D"/>
    <w:rsid w:val="00C21D46"/>
    <w:rsid w:val="00C21F94"/>
    <w:rsid w:val="00C222A1"/>
    <w:rsid w:val="00C2299F"/>
    <w:rsid w:val="00C22C59"/>
    <w:rsid w:val="00C23371"/>
    <w:rsid w:val="00C23CBD"/>
    <w:rsid w:val="00C23D22"/>
    <w:rsid w:val="00C2463B"/>
    <w:rsid w:val="00C24E77"/>
    <w:rsid w:val="00C250AF"/>
    <w:rsid w:val="00C26D9B"/>
    <w:rsid w:val="00C2732D"/>
    <w:rsid w:val="00C273C6"/>
    <w:rsid w:val="00C27773"/>
    <w:rsid w:val="00C27913"/>
    <w:rsid w:val="00C300C6"/>
    <w:rsid w:val="00C30828"/>
    <w:rsid w:val="00C30924"/>
    <w:rsid w:val="00C31DD8"/>
    <w:rsid w:val="00C3271C"/>
    <w:rsid w:val="00C34E6F"/>
    <w:rsid w:val="00C34FDE"/>
    <w:rsid w:val="00C3543D"/>
    <w:rsid w:val="00C35530"/>
    <w:rsid w:val="00C35C16"/>
    <w:rsid w:val="00C36EA7"/>
    <w:rsid w:val="00C37A94"/>
    <w:rsid w:val="00C40E09"/>
    <w:rsid w:val="00C40F33"/>
    <w:rsid w:val="00C40F81"/>
    <w:rsid w:val="00C41463"/>
    <w:rsid w:val="00C41A72"/>
    <w:rsid w:val="00C4216C"/>
    <w:rsid w:val="00C42714"/>
    <w:rsid w:val="00C42D45"/>
    <w:rsid w:val="00C42F9C"/>
    <w:rsid w:val="00C4341C"/>
    <w:rsid w:val="00C4422D"/>
    <w:rsid w:val="00C44A71"/>
    <w:rsid w:val="00C44B84"/>
    <w:rsid w:val="00C45BA1"/>
    <w:rsid w:val="00C476C5"/>
    <w:rsid w:val="00C4775E"/>
    <w:rsid w:val="00C503B0"/>
    <w:rsid w:val="00C5076B"/>
    <w:rsid w:val="00C511C2"/>
    <w:rsid w:val="00C525A5"/>
    <w:rsid w:val="00C527C6"/>
    <w:rsid w:val="00C53CDB"/>
    <w:rsid w:val="00C53D82"/>
    <w:rsid w:val="00C53EBE"/>
    <w:rsid w:val="00C54748"/>
    <w:rsid w:val="00C55C5D"/>
    <w:rsid w:val="00C564B9"/>
    <w:rsid w:val="00C574CF"/>
    <w:rsid w:val="00C575FB"/>
    <w:rsid w:val="00C60696"/>
    <w:rsid w:val="00C60943"/>
    <w:rsid w:val="00C60EEF"/>
    <w:rsid w:val="00C6121D"/>
    <w:rsid w:val="00C615F1"/>
    <w:rsid w:val="00C61627"/>
    <w:rsid w:val="00C63B1A"/>
    <w:rsid w:val="00C64453"/>
    <w:rsid w:val="00C64E60"/>
    <w:rsid w:val="00C657A4"/>
    <w:rsid w:val="00C66589"/>
    <w:rsid w:val="00C6736C"/>
    <w:rsid w:val="00C70422"/>
    <w:rsid w:val="00C709FD"/>
    <w:rsid w:val="00C7179C"/>
    <w:rsid w:val="00C71A1D"/>
    <w:rsid w:val="00C71EC4"/>
    <w:rsid w:val="00C726EA"/>
    <w:rsid w:val="00C73485"/>
    <w:rsid w:val="00C7410A"/>
    <w:rsid w:val="00C743FD"/>
    <w:rsid w:val="00C74791"/>
    <w:rsid w:val="00C7591E"/>
    <w:rsid w:val="00C75C7E"/>
    <w:rsid w:val="00C75C9B"/>
    <w:rsid w:val="00C75F90"/>
    <w:rsid w:val="00C76D8E"/>
    <w:rsid w:val="00C77833"/>
    <w:rsid w:val="00C77E7B"/>
    <w:rsid w:val="00C80C9B"/>
    <w:rsid w:val="00C81019"/>
    <w:rsid w:val="00C82DEC"/>
    <w:rsid w:val="00C8335E"/>
    <w:rsid w:val="00C83C1A"/>
    <w:rsid w:val="00C83F9C"/>
    <w:rsid w:val="00C84CE3"/>
    <w:rsid w:val="00C85614"/>
    <w:rsid w:val="00C85686"/>
    <w:rsid w:val="00C86127"/>
    <w:rsid w:val="00C9068F"/>
    <w:rsid w:val="00C90975"/>
    <w:rsid w:val="00C90CF4"/>
    <w:rsid w:val="00C91C19"/>
    <w:rsid w:val="00C929A0"/>
    <w:rsid w:val="00C92AE8"/>
    <w:rsid w:val="00C93389"/>
    <w:rsid w:val="00C937DB"/>
    <w:rsid w:val="00C94519"/>
    <w:rsid w:val="00C94847"/>
    <w:rsid w:val="00C94E11"/>
    <w:rsid w:val="00C94E83"/>
    <w:rsid w:val="00C9567E"/>
    <w:rsid w:val="00C97038"/>
    <w:rsid w:val="00C975FC"/>
    <w:rsid w:val="00CA02B2"/>
    <w:rsid w:val="00CA0883"/>
    <w:rsid w:val="00CA1085"/>
    <w:rsid w:val="00CA140F"/>
    <w:rsid w:val="00CA25C2"/>
    <w:rsid w:val="00CA37BB"/>
    <w:rsid w:val="00CA37CA"/>
    <w:rsid w:val="00CA3C24"/>
    <w:rsid w:val="00CA5016"/>
    <w:rsid w:val="00CA5724"/>
    <w:rsid w:val="00CA6508"/>
    <w:rsid w:val="00CA6BA1"/>
    <w:rsid w:val="00CA6CD5"/>
    <w:rsid w:val="00CA6D0B"/>
    <w:rsid w:val="00CA799B"/>
    <w:rsid w:val="00CB09D5"/>
    <w:rsid w:val="00CB0AE1"/>
    <w:rsid w:val="00CB0F6B"/>
    <w:rsid w:val="00CB1910"/>
    <w:rsid w:val="00CB1F9F"/>
    <w:rsid w:val="00CB2150"/>
    <w:rsid w:val="00CB28EE"/>
    <w:rsid w:val="00CB43A7"/>
    <w:rsid w:val="00CB4CD7"/>
    <w:rsid w:val="00CB4DF1"/>
    <w:rsid w:val="00CB55C2"/>
    <w:rsid w:val="00CB5695"/>
    <w:rsid w:val="00CB5996"/>
    <w:rsid w:val="00CB6809"/>
    <w:rsid w:val="00CB6CE5"/>
    <w:rsid w:val="00CB7452"/>
    <w:rsid w:val="00CB76C9"/>
    <w:rsid w:val="00CC0E10"/>
    <w:rsid w:val="00CC1DAF"/>
    <w:rsid w:val="00CC2642"/>
    <w:rsid w:val="00CC2967"/>
    <w:rsid w:val="00CC2A1E"/>
    <w:rsid w:val="00CC2A36"/>
    <w:rsid w:val="00CC2E15"/>
    <w:rsid w:val="00CC3440"/>
    <w:rsid w:val="00CC351B"/>
    <w:rsid w:val="00CC3908"/>
    <w:rsid w:val="00CC41BF"/>
    <w:rsid w:val="00CC44C9"/>
    <w:rsid w:val="00CC4DF5"/>
    <w:rsid w:val="00CC509A"/>
    <w:rsid w:val="00CC62AD"/>
    <w:rsid w:val="00CC67E5"/>
    <w:rsid w:val="00CC6CA2"/>
    <w:rsid w:val="00CC7968"/>
    <w:rsid w:val="00CC7B80"/>
    <w:rsid w:val="00CD2B3C"/>
    <w:rsid w:val="00CD30F6"/>
    <w:rsid w:val="00CD3469"/>
    <w:rsid w:val="00CD4B29"/>
    <w:rsid w:val="00CD5E48"/>
    <w:rsid w:val="00CD67CA"/>
    <w:rsid w:val="00CD6954"/>
    <w:rsid w:val="00CD6DA3"/>
    <w:rsid w:val="00CD6EF1"/>
    <w:rsid w:val="00CD715D"/>
    <w:rsid w:val="00CD7A45"/>
    <w:rsid w:val="00CD7E35"/>
    <w:rsid w:val="00CD7EEE"/>
    <w:rsid w:val="00CE21C7"/>
    <w:rsid w:val="00CE2682"/>
    <w:rsid w:val="00CE2756"/>
    <w:rsid w:val="00CE3F72"/>
    <w:rsid w:val="00CE442A"/>
    <w:rsid w:val="00CE4674"/>
    <w:rsid w:val="00CE57D8"/>
    <w:rsid w:val="00CE5B96"/>
    <w:rsid w:val="00CE5F03"/>
    <w:rsid w:val="00CE617A"/>
    <w:rsid w:val="00CE692E"/>
    <w:rsid w:val="00CE6E3C"/>
    <w:rsid w:val="00CE76A1"/>
    <w:rsid w:val="00CE797F"/>
    <w:rsid w:val="00CF107E"/>
    <w:rsid w:val="00CF15BF"/>
    <w:rsid w:val="00CF25D2"/>
    <w:rsid w:val="00CF28C2"/>
    <w:rsid w:val="00CF294A"/>
    <w:rsid w:val="00CF42BD"/>
    <w:rsid w:val="00CF51EC"/>
    <w:rsid w:val="00CF6A9D"/>
    <w:rsid w:val="00CF6CD7"/>
    <w:rsid w:val="00CF7276"/>
    <w:rsid w:val="00CF75EC"/>
    <w:rsid w:val="00D002DF"/>
    <w:rsid w:val="00D0037A"/>
    <w:rsid w:val="00D0061E"/>
    <w:rsid w:val="00D006AD"/>
    <w:rsid w:val="00D00DAF"/>
    <w:rsid w:val="00D017EC"/>
    <w:rsid w:val="00D01CDA"/>
    <w:rsid w:val="00D020FC"/>
    <w:rsid w:val="00D03866"/>
    <w:rsid w:val="00D040DD"/>
    <w:rsid w:val="00D04E1B"/>
    <w:rsid w:val="00D0547B"/>
    <w:rsid w:val="00D076DB"/>
    <w:rsid w:val="00D07EFF"/>
    <w:rsid w:val="00D1067C"/>
    <w:rsid w:val="00D11329"/>
    <w:rsid w:val="00D11CBB"/>
    <w:rsid w:val="00D136D4"/>
    <w:rsid w:val="00D13830"/>
    <w:rsid w:val="00D13ECF"/>
    <w:rsid w:val="00D141CA"/>
    <w:rsid w:val="00D142E5"/>
    <w:rsid w:val="00D148CD"/>
    <w:rsid w:val="00D1611E"/>
    <w:rsid w:val="00D163CC"/>
    <w:rsid w:val="00D16E69"/>
    <w:rsid w:val="00D177E9"/>
    <w:rsid w:val="00D17F4A"/>
    <w:rsid w:val="00D205A9"/>
    <w:rsid w:val="00D217EE"/>
    <w:rsid w:val="00D24299"/>
    <w:rsid w:val="00D245BA"/>
    <w:rsid w:val="00D25411"/>
    <w:rsid w:val="00D25E9E"/>
    <w:rsid w:val="00D26923"/>
    <w:rsid w:val="00D27856"/>
    <w:rsid w:val="00D27D34"/>
    <w:rsid w:val="00D3006B"/>
    <w:rsid w:val="00D301CA"/>
    <w:rsid w:val="00D30740"/>
    <w:rsid w:val="00D31075"/>
    <w:rsid w:val="00D31445"/>
    <w:rsid w:val="00D31932"/>
    <w:rsid w:val="00D32AE0"/>
    <w:rsid w:val="00D33273"/>
    <w:rsid w:val="00D360DA"/>
    <w:rsid w:val="00D37689"/>
    <w:rsid w:val="00D378CC"/>
    <w:rsid w:val="00D4042C"/>
    <w:rsid w:val="00D40B9E"/>
    <w:rsid w:val="00D41281"/>
    <w:rsid w:val="00D42312"/>
    <w:rsid w:val="00D431F4"/>
    <w:rsid w:val="00D433F5"/>
    <w:rsid w:val="00D43998"/>
    <w:rsid w:val="00D439C2"/>
    <w:rsid w:val="00D451E0"/>
    <w:rsid w:val="00D45A1D"/>
    <w:rsid w:val="00D4615E"/>
    <w:rsid w:val="00D4651F"/>
    <w:rsid w:val="00D478E2"/>
    <w:rsid w:val="00D507A3"/>
    <w:rsid w:val="00D5082E"/>
    <w:rsid w:val="00D50ED8"/>
    <w:rsid w:val="00D5264C"/>
    <w:rsid w:val="00D53987"/>
    <w:rsid w:val="00D547BA"/>
    <w:rsid w:val="00D55626"/>
    <w:rsid w:val="00D556BC"/>
    <w:rsid w:val="00D5626D"/>
    <w:rsid w:val="00D56631"/>
    <w:rsid w:val="00D60277"/>
    <w:rsid w:val="00D60336"/>
    <w:rsid w:val="00D6126B"/>
    <w:rsid w:val="00D61F88"/>
    <w:rsid w:val="00D62688"/>
    <w:rsid w:val="00D62901"/>
    <w:rsid w:val="00D62CB2"/>
    <w:rsid w:val="00D6345E"/>
    <w:rsid w:val="00D6470C"/>
    <w:rsid w:val="00D64853"/>
    <w:rsid w:val="00D64CB5"/>
    <w:rsid w:val="00D66076"/>
    <w:rsid w:val="00D6607C"/>
    <w:rsid w:val="00D661B3"/>
    <w:rsid w:val="00D66D48"/>
    <w:rsid w:val="00D703E1"/>
    <w:rsid w:val="00D7128B"/>
    <w:rsid w:val="00D7162F"/>
    <w:rsid w:val="00D720DB"/>
    <w:rsid w:val="00D72897"/>
    <w:rsid w:val="00D73256"/>
    <w:rsid w:val="00D73A30"/>
    <w:rsid w:val="00D747AA"/>
    <w:rsid w:val="00D74985"/>
    <w:rsid w:val="00D74C65"/>
    <w:rsid w:val="00D74F21"/>
    <w:rsid w:val="00D75240"/>
    <w:rsid w:val="00D756C0"/>
    <w:rsid w:val="00D758D0"/>
    <w:rsid w:val="00D75DC2"/>
    <w:rsid w:val="00D75DC3"/>
    <w:rsid w:val="00D75E60"/>
    <w:rsid w:val="00D75FEA"/>
    <w:rsid w:val="00D766EF"/>
    <w:rsid w:val="00D76C03"/>
    <w:rsid w:val="00D77F8D"/>
    <w:rsid w:val="00D80E07"/>
    <w:rsid w:val="00D8119B"/>
    <w:rsid w:val="00D821BF"/>
    <w:rsid w:val="00D82462"/>
    <w:rsid w:val="00D831C6"/>
    <w:rsid w:val="00D831F5"/>
    <w:rsid w:val="00D83EF3"/>
    <w:rsid w:val="00D85886"/>
    <w:rsid w:val="00D868CE"/>
    <w:rsid w:val="00D86DAE"/>
    <w:rsid w:val="00D87732"/>
    <w:rsid w:val="00D8785B"/>
    <w:rsid w:val="00D90116"/>
    <w:rsid w:val="00D909FE"/>
    <w:rsid w:val="00D90C1E"/>
    <w:rsid w:val="00D91B07"/>
    <w:rsid w:val="00D91BDF"/>
    <w:rsid w:val="00D91F2C"/>
    <w:rsid w:val="00D92527"/>
    <w:rsid w:val="00D92B5A"/>
    <w:rsid w:val="00D93F09"/>
    <w:rsid w:val="00D94859"/>
    <w:rsid w:val="00D954C2"/>
    <w:rsid w:val="00D97BB8"/>
    <w:rsid w:val="00DA1318"/>
    <w:rsid w:val="00DA1382"/>
    <w:rsid w:val="00DA28B7"/>
    <w:rsid w:val="00DA2FE8"/>
    <w:rsid w:val="00DA41E0"/>
    <w:rsid w:val="00DA4AF6"/>
    <w:rsid w:val="00DB016E"/>
    <w:rsid w:val="00DB06E9"/>
    <w:rsid w:val="00DB0BF3"/>
    <w:rsid w:val="00DB19BD"/>
    <w:rsid w:val="00DB1D55"/>
    <w:rsid w:val="00DB2692"/>
    <w:rsid w:val="00DB36D7"/>
    <w:rsid w:val="00DB378E"/>
    <w:rsid w:val="00DB3E9D"/>
    <w:rsid w:val="00DB47B9"/>
    <w:rsid w:val="00DB4FB8"/>
    <w:rsid w:val="00DB51D8"/>
    <w:rsid w:val="00DB53CE"/>
    <w:rsid w:val="00DB549D"/>
    <w:rsid w:val="00DB5792"/>
    <w:rsid w:val="00DB63F2"/>
    <w:rsid w:val="00DB6A88"/>
    <w:rsid w:val="00DB6DA6"/>
    <w:rsid w:val="00DB7431"/>
    <w:rsid w:val="00DB74ED"/>
    <w:rsid w:val="00DB7BA4"/>
    <w:rsid w:val="00DC08D7"/>
    <w:rsid w:val="00DC18B6"/>
    <w:rsid w:val="00DC226A"/>
    <w:rsid w:val="00DC257F"/>
    <w:rsid w:val="00DC2A9F"/>
    <w:rsid w:val="00DC2FA9"/>
    <w:rsid w:val="00DC333E"/>
    <w:rsid w:val="00DC350B"/>
    <w:rsid w:val="00DC3790"/>
    <w:rsid w:val="00DC408A"/>
    <w:rsid w:val="00DC436D"/>
    <w:rsid w:val="00DC519B"/>
    <w:rsid w:val="00DC52F9"/>
    <w:rsid w:val="00DC5B3B"/>
    <w:rsid w:val="00DC5BAA"/>
    <w:rsid w:val="00DC6796"/>
    <w:rsid w:val="00DC6AA2"/>
    <w:rsid w:val="00DC6CC6"/>
    <w:rsid w:val="00DC767B"/>
    <w:rsid w:val="00DC78DF"/>
    <w:rsid w:val="00DC7928"/>
    <w:rsid w:val="00DC7D4C"/>
    <w:rsid w:val="00DD003B"/>
    <w:rsid w:val="00DD0365"/>
    <w:rsid w:val="00DD0821"/>
    <w:rsid w:val="00DD093D"/>
    <w:rsid w:val="00DD0E32"/>
    <w:rsid w:val="00DD10F4"/>
    <w:rsid w:val="00DD1878"/>
    <w:rsid w:val="00DD2872"/>
    <w:rsid w:val="00DD2A62"/>
    <w:rsid w:val="00DD2BD0"/>
    <w:rsid w:val="00DD2BFE"/>
    <w:rsid w:val="00DD373E"/>
    <w:rsid w:val="00DD3867"/>
    <w:rsid w:val="00DD57AD"/>
    <w:rsid w:val="00DD57B7"/>
    <w:rsid w:val="00DD7435"/>
    <w:rsid w:val="00DD7C6D"/>
    <w:rsid w:val="00DE009B"/>
    <w:rsid w:val="00DE08F8"/>
    <w:rsid w:val="00DE0C31"/>
    <w:rsid w:val="00DE27CE"/>
    <w:rsid w:val="00DE2ED9"/>
    <w:rsid w:val="00DE319A"/>
    <w:rsid w:val="00DE37C6"/>
    <w:rsid w:val="00DE5ABD"/>
    <w:rsid w:val="00DF046A"/>
    <w:rsid w:val="00DF0615"/>
    <w:rsid w:val="00DF07CE"/>
    <w:rsid w:val="00DF0833"/>
    <w:rsid w:val="00DF0DC3"/>
    <w:rsid w:val="00DF0E38"/>
    <w:rsid w:val="00DF21FD"/>
    <w:rsid w:val="00DF2847"/>
    <w:rsid w:val="00DF2873"/>
    <w:rsid w:val="00DF293C"/>
    <w:rsid w:val="00DF4C74"/>
    <w:rsid w:val="00DF5578"/>
    <w:rsid w:val="00DF6CF8"/>
    <w:rsid w:val="00DF78DD"/>
    <w:rsid w:val="00DF7FEC"/>
    <w:rsid w:val="00E01C0E"/>
    <w:rsid w:val="00E02086"/>
    <w:rsid w:val="00E023BE"/>
    <w:rsid w:val="00E02740"/>
    <w:rsid w:val="00E03B27"/>
    <w:rsid w:val="00E04694"/>
    <w:rsid w:val="00E049F6"/>
    <w:rsid w:val="00E04CA9"/>
    <w:rsid w:val="00E05B2B"/>
    <w:rsid w:val="00E05EAD"/>
    <w:rsid w:val="00E06A2A"/>
    <w:rsid w:val="00E06D4A"/>
    <w:rsid w:val="00E06EC9"/>
    <w:rsid w:val="00E07F05"/>
    <w:rsid w:val="00E1230E"/>
    <w:rsid w:val="00E127E1"/>
    <w:rsid w:val="00E1291F"/>
    <w:rsid w:val="00E12BCE"/>
    <w:rsid w:val="00E144D2"/>
    <w:rsid w:val="00E144D6"/>
    <w:rsid w:val="00E15346"/>
    <w:rsid w:val="00E15B7D"/>
    <w:rsid w:val="00E17233"/>
    <w:rsid w:val="00E17C5F"/>
    <w:rsid w:val="00E17F8F"/>
    <w:rsid w:val="00E202D6"/>
    <w:rsid w:val="00E2097E"/>
    <w:rsid w:val="00E215EA"/>
    <w:rsid w:val="00E2196F"/>
    <w:rsid w:val="00E21CAB"/>
    <w:rsid w:val="00E221FC"/>
    <w:rsid w:val="00E2245C"/>
    <w:rsid w:val="00E22E78"/>
    <w:rsid w:val="00E23DA4"/>
    <w:rsid w:val="00E24619"/>
    <w:rsid w:val="00E25223"/>
    <w:rsid w:val="00E25999"/>
    <w:rsid w:val="00E263A8"/>
    <w:rsid w:val="00E27B33"/>
    <w:rsid w:val="00E30BEA"/>
    <w:rsid w:val="00E3154D"/>
    <w:rsid w:val="00E3167A"/>
    <w:rsid w:val="00E31764"/>
    <w:rsid w:val="00E3288A"/>
    <w:rsid w:val="00E32BC2"/>
    <w:rsid w:val="00E33C0E"/>
    <w:rsid w:val="00E34985"/>
    <w:rsid w:val="00E34E4A"/>
    <w:rsid w:val="00E365B3"/>
    <w:rsid w:val="00E366BB"/>
    <w:rsid w:val="00E372FD"/>
    <w:rsid w:val="00E37C45"/>
    <w:rsid w:val="00E37E7D"/>
    <w:rsid w:val="00E40AAA"/>
    <w:rsid w:val="00E4152B"/>
    <w:rsid w:val="00E41A59"/>
    <w:rsid w:val="00E42444"/>
    <w:rsid w:val="00E42CB0"/>
    <w:rsid w:val="00E43276"/>
    <w:rsid w:val="00E438CF"/>
    <w:rsid w:val="00E43B06"/>
    <w:rsid w:val="00E43C41"/>
    <w:rsid w:val="00E43F01"/>
    <w:rsid w:val="00E4500E"/>
    <w:rsid w:val="00E450CE"/>
    <w:rsid w:val="00E4517F"/>
    <w:rsid w:val="00E45A00"/>
    <w:rsid w:val="00E45CE7"/>
    <w:rsid w:val="00E4631F"/>
    <w:rsid w:val="00E46A4A"/>
    <w:rsid w:val="00E47CB8"/>
    <w:rsid w:val="00E522BB"/>
    <w:rsid w:val="00E525BD"/>
    <w:rsid w:val="00E527A0"/>
    <w:rsid w:val="00E52A3D"/>
    <w:rsid w:val="00E52A9C"/>
    <w:rsid w:val="00E539E4"/>
    <w:rsid w:val="00E53C14"/>
    <w:rsid w:val="00E54D65"/>
    <w:rsid w:val="00E5515D"/>
    <w:rsid w:val="00E55E84"/>
    <w:rsid w:val="00E569C7"/>
    <w:rsid w:val="00E56D2B"/>
    <w:rsid w:val="00E571F2"/>
    <w:rsid w:val="00E57429"/>
    <w:rsid w:val="00E60FCE"/>
    <w:rsid w:val="00E61C31"/>
    <w:rsid w:val="00E61EA8"/>
    <w:rsid w:val="00E63221"/>
    <w:rsid w:val="00E63EC6"/>
    <w:rsid w:val="00E64AE4"/>
    <w:rsid w:val="00E64CFB"/>
    <w:rsid w:val="00E64CFF"/>
    <w:rsid w:val="00E64EA1"/>
    <w:rsid w:val="00E6582D"/>
    <w:rsid w:val="00E6636D"/>
    <w:rsid w:val="00E669C7"/>
    <w:rsid w:val="00E67611"/>
    <w:rsid w:val="00E70510"/>
    <w:rsid w:val="00E71262"/>
    <w:rsid w:val="00E71A58"/>
    <w:rsid w:val="00E724C6"/>
    <w:rsid w:val="00E737F6"/>
    <w:rsid w:val="00E75545"/>
    <w:rsid w:val="00E7568F"/>
    <w:rsid w:val="00E764AE"/>
    <w:rsid w:val="00E7724B"/>
    <w:rsid w:val="00E77435"/>
    <w:rsid w:val="00E80E31"/>
    <w:rsid w:val="00E81543"/>
    <w:rsid w:val="00E83DAB"/>
    <w:rsid w:val="00E84F21"/>
    <w:rsid w:val="00E8618A"/>
    <w:rsid w:val="00E90A4B"/>
    <w:rsid w:val="00E90D67"/>
    <w:rsid w:val="00E90F73"/>
    <w:rsid w:val="00E910A7"/>
    <w:rsid w:val="00E91607"/>
    <w:rsid w:val="00E921C7"/>
    <w:rsid w:val="00E92799"/>
    <w:rsid w:val="00E92995"/>
    <w:rsid w:val="00E9446C"/>
    <w:rsid w:val="00E94612"/>
    <w:rsid w:val="00E95797"/>
    <w:rsid w:val="00E962F3"/>
    <w:rsid w:val="00E9682F"/>
    <w:rsid w:val="00E96A8D"/>
    <w:rsid w:val="00E972BA"/>
    <w:rsid w:val="00E97FA2"/>
    <w:rsid w:val="00EA06CB"/>
    <w:rsid w:val="00EA0AF3"/>
    <w:rsid w:val="00EA0C68"/>
    <w:rsid w:val="00EA19E2"/>
    <w:rsid w:val="00EA2F06"/>
    <w:rsid w:val="00EA3EBE"/>
    <w:rsid w:val="00EA3FAC"/>
    <w:rsid w:val="00EA4153"/>
    <w:rsid w:val="00EA421A"/>
    <w:rsid w:val="00EA5CD6"/>
    <w:rsid w:val="00EA76FD"/>
    <w:rsid w:val="00EA77CA"/>
    <w:rsid w:val="00EA78FE"/>
    <w:rsid w:val="00EA7B7D"/>
    <w:rsid w:val="00EB03D4"/>
    <w:rsid w:val="00EB0555"/>
    <w:rsid w:val="00EB20A0"/>
    <w:rsid w:val="00EB220E"/>
    <w:rsid w:val="00EB30B6"/>
    <w:rsid w:val="00EB4FA4"/>
    <w:rsid w:val="00EB5146"/>
    <w:rsid w:val="00EB522B"/>
    <w:rsid w:val="00EB55E9"/>
    <w:rsid w:val="00EB5641"/>
    <w:rsid w:val="00EB5CA9"/>
    <w:rsid w:val="00EB5ED4"/>
    <w:rsid w:val="00EB6063"/>
    <w:rsid w:val="00EB6537"/>
    <w:rsid w:val="00EB6DD2"/>
    <w:rsid w:val="00EB70E1"/>
    <w:rsid w:val="00EB7EB5"/>
    <w:rsid w:val="00EC0860"/>
    <w:rsid w:val="00EC0C89"/>
    <w:rsid w:val="00EC0EC1"/>
    <w:rsid w:val="00EC4133"/>
    <w:rsid w:val="00EC424C"/>
    <w:rsid w:val="00EC454B"/>
    <w:rsid w:val="00EC4941"/>
    <w:rsid w:val="00EC5626"/>
    <w:rsid w:val="00EC6153"/>
    <w:rsid w:val="00EC7F92"/>
    <w:rsid w:val="00ED00A8"/>
    <w:rsid w:val="00ED0A79"/>
    <w:rsid w:val="00ED229E"/>
    <w:rsid w:val="00ED2989"/>
    <w:rsid w:val="00ED2CA5"/>
    <w:rsid w:val="00ED2D46"/>
    <w:rsid w:val="00ED336F"/>
    <w:rsid w:val="00ED3A94"/>
    <w:rsid w:val="00ED40F0"/>
    <w:rsid w:val="00ED4AC0"/>
    <w:rsid w:val="00ED54D6"/>
    <w:rsid w:val="00ED5726"/>
    <w:rsid w:val="00ED7384"/>
    <w:rsid w:val="00EE0113"/>
    <w:rsid w:val="00EE0298"/>
    <w:rsid w:val="00EE0384"/>
    <w:rsid w:val="00EE043A"/>
    <w:rsid w:val="00EE0473"/>
    <w:rsid w:val="00EE1057"/>
    <w:rsid w:val="00EE10AA"/>
    <w:rsid w:val="00EE1637"/>
    <w:rsid w:val="00EE29C7"/>
    <w:rsid w:val="00EE2A98"/>
    <w:rsid w:val="00EE3547"/>
    <w:rsid w:val="00EE3B7A"/>
    <w:rsid w:val="00EE3E78"/>
    <w:rsid w:val="00EE4534"/>
    <w:rsid w:val="00EE495A"/>
    <w:rsid w:val="00EE4E8F"/>
    <w:rsid w:val="00EE5A5A"/>
    <w:rsid w:val="00EE5E02"/>
    <w:rsid w:val="00EE617D"/>
    <w:rsid w:val="00EE61BF"/>
    <w:rsid w:val="00EE6538"/>
    <w:rsid w:val="00EE6748"/>
    <w:rsid w:val="00EE6C6B"/>
    <w:rsid w:val="00EE7B94"/>
    <w:rsid w:val="00EE7C03"/>
    <w:rsid w:val="00EF0E75"/>
    <w:rsid w:val="00EF1DAA"/>
    <w:rsid w:val="00EF1F5A"/>
    <w:rsid w:val="00EF22F6"/>
    <w:rsid w:val="00EF3486"/>
    <w:rsid w:val="00EF4685"/>
    <w:rsid w:val="00EF5397"/>
    <w:rsid w:val="00EF563D"/>
    <w:rsid w:val="00EF6BE3"/>
    <w:rsid w:val="00EF6DDD"/>
    <w:rsid w:val="00EF7B70"/>
    <w:rsid w:val="00F00071"/>
    <w:rsid w:val="00F00D0E"/>
    <w:rsid w:val="00F00D3C"/>
    <w:rsid w:val="00F04811"/>
    <w:rsid w:val="00F0488C"/>
    <w:rsid w:val="00F0496E"/>
    <w:rsid w:val="00F04D10"/>
    <w:rsid w:val="00F053EA"/>
    <w:rsid w:val="00F0625B"/>
    <w:rsid w:val="00F06944"/>
    <w:rsid w:val="00F06C6F"/>
    <w:rsid w:val="00F06C89"/>
    <w:rsid w:val="00F10033"/>
    <w:rsid w:val="00F101FF"/>
    <w:rsid w:val="00F104DF"/>
    <w:rsid w:val="00F10A33"/>
    <w:rsid w:val="00F10B64"/>
    <w:rsid w:val="00F1186C"/>
    <w:rsid w:val="00F11AD5"/>
    <w:rsid w:val="00F126D0"/>
    <w:rsid w:val="00F12A83"/>
    <w:rsid w:val="00F14ACD"/>
    <w:rsid w:val="00F15309"/>
    <w:rsid w:val="00F15BEF"/>
    <w:rsid w:val="00F164A8"/>
    <w:rsid w:val="00F16807"/>
    <w:rsid w:val="00F16C43"/>
    <w:rsid w:val="00F172BE"/>
    <w:rsid w:val="00F1776C"/>
    <w:rsid w:val="00F2037E"/>
    <w:rsid w:val="00F20786"/>
    <w:rsid w:val="00F20D17"/>
    <w:rsid w:val="00F2103E"/>
    <w:rsid w:val="00F214FC"/>
    <w:rsid w:val="00F21C31"/>
    <w:rsid w:val="00F222AD"/>
    <w:rsid w:val="00F23825"/>
    <w:rsid w:val="00F2389A"/>
    <w:rsid w:val="00F23FFF"/>
    <w:rsid w:val="00F2441D"/>
    <w:rsid w:val="00F24467"/>
    <w:rsid w:val="00F24FAA"/>
    <w:rsid w:val="00F25226"/>
    <w:rsid w:val="00F25B99"/>
    <w:rsid w:val="00F26197"/>
    <w:rsid w:val="00F273D4"/>
    <w:rsid w:val="00F27482"/>
    <w:rsid w:val="00F307DD"/>
    <w:rsid w:val="00F30C2E"/>
    <w:rsid w:val="00F30CB4"/>
    <w:rsid w:val="00F318FC"/>
    <w:rsid w:val="00F31D53"/>
    <w:rsid w:val="00F31F76"/>
    <w:rsid w:val="00F325A3"/>
    <w:rsid w:val="00F3364D"/>
    <w:rsid w:val="00F353AE"/>
    <w:rsid w:val="00F35ACD"/>
    <w:rsid w:val="00F36598"/>
    <w:rsid w:val="00F365BF"/>
    <w:rsid w:val="00F36BF8"/>
    <w:rsid w:val="00F36FB3"/>
    <w:rsid w:val="00F375BA"/>
    <w:rsid w:val="00F37760"/>
    <w:rsid w:val="00F403D1"/>
    <w:rsid w:val="00F43921"/>
    <w:rsid w:val="00F44E1B"/>
    <w:rsid w:val="00F4524F"/>
    <w:rsid w:val="00F45530"/>
    <w:rsid w:val="00F4591F"/>
    <w:rsid w:val="00F47321"/>
    <w:rsid w:val="00F4736B"/>
    <w:rsid w:val="00F47997"/>
    <w:rsid w:val="00F47D05"/>
    <w:rsid w:val="00F50030"/>
    <w:rsid w:val="00F502F5"/>
    <w:rsid w:val="00F50B9D"/>
    <w:rsid w:val="00F51FC9"/>
    <w:rsid w:val="00F52AE1"/>
    <w:rsid w:val="00F53243"/>
    <w:rsid w:val="00F53644"/>
    <w:rsid w:val="00F541ED"/>
    <w:rsid w:val="00F54365"/>
    <w:rsid w:val="00F54641"/>
    <w:rsid w:val="00F54B31"/>
    <w:rsid w:val="00F54FD3"/>
    <w:rsid w:val="00F55605"/>
    <w:rsid w:val="00F568C5"/>
    <w:rsid w:val="00F57CD7"/>
    <w:rsid w:val="00F608FF"/>
    <w:rsid w:val="00F61637"/>
    <w:rsid w:val="00F61BFE"/>
    <w:rsid w:val="00F62F02"/>
    <w:rsid w:val="00F6339F"/>
    <w:rsid w:val="00F63DDE"/>
    <w:rsid w:val="00F63FB7"/>
    <w:rsid w:val="00F64460"/>
    <w:rsid w:val="00F64726"/>
    <w:rsid w:val="00F64F44"/>
    <w:rsid w:val="00F6561A"/>
    <w:rsid w:val="00F66243"/>
    <w:rsid w:val="00F67BDA"/>
    <w:rsid w:val="00F70309"/>
    <w:rsid w:val="00F7078A"/>
    <w:rsid w:val="00F70E45"/>
    <w:rsid w:val="00F72638"/>
    <w:rsid w:val="00F727D5"/>
    <w:rsid w:val="00F72F44"/>
    <w:rsid w:val="00F737AB"/>
    <w:rsid w:val="00F73A0C"/>
    <w:rsid w:val="00F759DC"/>
    <w:rsid w:val="00F76563"/>
    <w:rsid w:val="00F7717C"/>
    <w:rsid w:val="00F771A5"/>
    <w:rsid w:val="00F7738B"/>
    <w:rsid w:val="00F77990"/>
    <w:rsid w:val="00F80826"/>
    <w:rsid w:val="00F80D1E"/>
    <w:rsid w:val="00F817A4"/>
    <w:rsid w:val="00F81C3A"/>
    <w:rsid w:val="00F82727"/>
    <w:rsid w:val="00F835E1"/>
    <w:rsid w:val="00F835FC"/>
    <w:rsid w:val="00F8373A"/>
    <w:rsid w:val="00F83E21"/>
    <w:rsid w:val="00F83FA4"/>
    <w:rsid w:val="00F8473C"/>
    <w:rsid w:val="00F84E18"/>
    <w:rsid w:val="00F84F40"/>
    <w:rsid w:val="00F85024"/>
    <w:rsid w:val="00F852E5"/>
    <w:rsid w:val="00F86767"/>
    <w:rsid w:val="00F8750E"/>
    <w:rsid w:val="00F90350"/>
    <w:rsid w:val="00F90987"/>
    <w:rsid w:val="00F92347"/>
    <w:rsid w:val="00F9310A"/>
    <w:rsid w:val="00F94681"/>
    <w:rsid w:val="00F94C3F"/>
    <w:rsid w:val="00F95117"/>
    <w:rsid w:val="00F959AF"/>
    <w:rsid w:val="00F968ED"/>
    <w:rsid w:val="00F97ED2"/>
    <w:rsid w:val="00FA05D7"/>
    <w:rsid w:val="00FA16BD"/>
    <w:rsid w:val="00FA1992"/>
    <w:rsid w:val="00FA1C6C"/>
    <w:rsid w:val="00FA2447"/>
    <w:rsid w:val="00FA2582"/>
    <w:rsid w:val="00FA2A5B"/>
    <w:rsid w:val="00FA2C2A"/>
    <w:rsid w:val="00FA309A"/>
    <w:rsid w:val="00FA6936"/>
    <w:rsid w:val="00FA6B3F"/>
    <w:rsid w:val="00FA7132"/>
    <w:rsid w:val="00FA7644"/>
    <w:rsid w:val="00FB0A9A"/>
    <w:rsid w:val="00FB16AD"/>
    <w:rsid w:val="00FB1746"/>
    <w:rsid w:val="00FB1F21"/>
    <w:rsid w:val="00FB3D72"/>
    <w:rsid w:val="00FB40EE"/>
    <w:rsid w:val="00FB483B"/>
    <w:rsid w:val="00FB56F1"/>
    <w:rsid w:val="00FB5D61"/>
    <w:rsid w:val="00FB5FD4"/>
    <w:rsid w:val="00FB67F3"/>
    <w:rsid w:val="00FB6AF4"/>
    <w:rsid w:val="00FB6D4A"/>
    <w:rsid w:val="00FC0D8A"/>
    <w:rsid w:val="00FC0E5F"/>
    <w:rsid w:val="00FC135D"/>
    <w:rsid w:val="00FC26FB"/>
    <w:rsid w:val="00FC2AEC"/>
    <w:rsid w:val="00FC2CF4"/>
    <w:rsid w:val="00FC3C84"/>
    <w:rsid w:val="00FC4660"/>
    <w:rsid w:val="00FC56DE"/>
    <w:rsid w:val="00FC5E01"/>
    <w:rsid w:val="00FC6140"/>
    <w:rsid w:val="00FD0F51"/>
    <w:rsid w:val="00FD1261"/>
    <w:rsid w:val="00FD1627"/>
    <w:rsid w:val="00FD1BBD"/>
    <w:rsid w:val="00FD2FF9"/>
    <w:rsid w:val="00FD301F"/>
    <w:rsid w:val="00FD38B2"/>
    <w:rsid w:val="00FD419D"/>
    <w:rsid w:val="00FD43A0"/>
    <w:rsid w:val="00FD45DB"/>
    <w:rsid w:val="00FD473D"/>
    <w:rsid w:val="00FD55BA"/>
    <w:rsid w:val="00FD594D"/>
    <w:rsid w:val="00FD61C8"/>
    <w:rsid w:val="00FD63CE"/>
    <w:rsid w:val="00FD7D49"/>
    <w:rsid w:val="00FE1251"/>
    <w:rsid w:val="00FE16E6"/>
    <w:rsid w:val="00FE2F78"/>
    <w:rsid w:val="00FE3510"/>
    <w:rsid w:val="00FE371D"/>
    <w:rsid w:val="00FE375F"/>
    <w:rsid w:val="00FE3D8B"/>
    <w:rsid w:val="00FE42D4"/>
    <w:rsid w:val="00FE4BD3"/>
    <w:rsid w:val="00FE4FCB"/>
    <w:rsid w:val="00FE5BCA"/>
    <w:rsid w:val="00FE688F"/>
    <w:rsid w:val="00FE705E"/>
    <w:rsid w:val="00FF02EB"/>
    <w:rsid w:val="00FF152D"/>
    <w:rsid w:val="00FF1738"/>
    <w:rsid w:val="00FF1D20"/>
    <w:rsid w:val="00FF28E0"/>
    <w:rsid w:val="00FF2FB4"/>
    <w:rsid w:val="00FF30B3"/>
    <w:rsid w:val="00FF3DF3"/>
    <w:rsid w:val="00FF4027"/>
    <w:rsid w:val="00FF45A2"/>
    <w:rsid w:val="00FF5250"/>
    <w:rsid w:val="00FF55B1"/>
    <w:rsid w:val="00FF65DF"/>
    <w:rsid w:val="00FF7D9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ln">
    <w:name w:val="Normal"/>
    <w:qFormat/>
    <w:rsid w:val="005E492C"/>
    <w:pPr>
      <w:spacing w:line="288" w:lineRule="auto"/>
    </w:pPr>
    <w:rPr>
      <w:rFonts w:ascii="Arial" w:hAnsi="Arial"/>
      <w:szCs w:val="24"/>
    </w:rPr>
  </w:style>
  <w:style w:type="paragraph" w:styleId="Nadpis1">
    <w:name w:val="heading 1"/>
    <w:basedOn w:val="Normln"/>
    <w:next w:val="Normln"/>
    <w:link w:val="Nadpis1Char"/>
    <w:uiPriority w:val="9"/>
    <w:qFormat/>
    <w:rsid w:val="005E492C"/>
    <w:pPr>
      <w:keepNext/>
      <w:keepLines/>
      <w:spacing w:after="200"/>
      <w:outlineLvl w:val="0"/>
    </w:pPr>
    <w:rPr>
      <w:rFonts w:eastAsia="MS Gothic"/>
      <w:b/>
      <w:bCs/>
      <w:color w:val="71818C"/>
      <w:sz w:val="32"/>
      <w:szCs w:val="28"/>
    </w:rPr>
  </w:style>
  <w:style w:type="paragraph" w:styleId="Nadpis2">
    <w:name w:val="heading 2"/>
    <w:basedOn w:val="Normln"/>
    <w:next w:val="Normln"/>
    <w:link w:val="Nadpis2Char"/>
    <w:uiPriority w:val="99"/>
    <w:qFormat/>
    <w:rsid w:val="005E492C"/>
    <w:pPr>
      <w:keepNext/>
      <w:keepLines/>
      <w:outlineLvl w:val="1"/>
    </w:pPr>
    <w:rPr>
      <w:rFonts w:eastAsia="MS Gothic"/>
      <w:b/>
      <w:bCs/>
      <w:color w:val="71818C"/>
      <w:sz w:val="28"/>
      <w:szCs w:val="26"/>
    </w:rPr>
  </w:style>
  <w:style w:type="paragraph" w:styleId="Nadpis3">
    <w:name w:val="heading 3"/>
    <w:basedOn w:val="Normln"/>
    <w:next w:val="Normln"/>
    <w:link w:val="Nadpis3Char"/>
    <w:uiPriority w:val="99"/>
    <w:qFormat/>
    <w:rsid w:val="005E492C"/>
    <w:pPr>
      <w:keepNext/>
      <w:keepLines/>
      <w:outlineLvl w:val="2"/>
    </w:pPr>
    <w:rPr>
      <w:rFonts w:eastAsia="MS Gothic"/>
      <w:b/>
      <w:bCs/>
      <w:color w:val="71818C"/>
      <w:sz w:val="24"/>
    </w:rPr>
  </w:style>
  <w:style w:type="paragraph" w:styleId="Nadpis4">
    <w:name w:val="heading 4"/>
    <w:basedOn w:val="Normln"/>
    <w:next w:val="Normln"/>
    <w:link w:val="Nadpis4Char"/>
    <w:uiPriority w:val="99"/>
    <w:qFormat/>
    <w:rsid w:val="005E492C"/>
    <w:pPr>
      <w:keepNext/>
      <w:keepLines/>
      <w:outlineLvl w:val="3"/>
    </w:pPr>
    <w:rPr>
      <w:rFonts w:eastAsia="MS Gothic"/>
      <w:b/>
      <w:bCs/>
      <w:iCs/>
    </w:rPr>
  </w:style>
  <w:style w:type="paragraph" w:styleId="Nadpis5">
    <w:name w:val="heading 5"/>
    <w:basedOn w:val="Normln"/>
    <w:next w:val="Normln"/>
    <w:link w:val="Nadpis5Char"/>
    <w:uiPriority w:val="99"/>
    <w:qFormat/>
    <w:rsid w:val="007521A1"/>
    <w:p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9"/>
    <w:qFormat/>
    <w:rsid w:val="007521A1"/>
    <w:pPr>
      <w:spacing w:before="240" w:after="60"/>
      <w:outlineLvl w:val="5"/>
    </w:pPr>
    <w:rPr>
      <w:rFonts w:ascii="Calibri" w:eastAsia="Times New Roman"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E492C"/>
    <w:rPr>
      <w:rFonts w:ascii="Arial" w:eastAsia="MS Gothic" w:hAnsi="Arial" w:cs="Times New Roman"/>
      <w:b/>
      <w:color w:val="71818C"/>
      <w:sz w:val="28"/>
    </w:rPr>
  </w:style>
  <w:style w:type="character" w:customStyle="1" w:styleId="Nadpis2Char">
    <w:name w:val="Nadpis 2 Char"/>
    <w:basedOn w:val="Standardnpsmoodstavce"/>
    <w:link w:val="Nadpis2"/>
    <w:uiPriority w:val="99"/>
    <w:locked/>
    <w:rsid w:val="005E492C"/>
    <w:rPr>
      <w:rFonts w:ascii="Arial" w:eastAsia="MS Gothic" w:hAnsi="Arial" w:cs="Times New Roman"/>
      <w:b/>
      <w:color w:val="71818C"/>
      <w:sz w:val="26"/>
    </w:rPr>
  </w:style>
  <w:style w:type="character" w:customStyle="1" w:styleId="Nadpis3Char">
    <w:name w:val="Nadpis 3 Char"/>
    <w:basedOn w:val="Standardnpsmoodstavce"/>
    <w:link w:val="Nadpis3"/>
    <w:uiPriority w:val="99"/>
    <w:locked/>
    <w:rsid w:val="005E492C"/>
    <w:rPr>
      <w:rFonts w:ascii="Arial" w:eastAsia="MS Gothic" w:hAnsi="Arial" w:cs="Times New Roman"/>
      <w:b/>
      <w:color w:val="71818C"/>
      <w:sz w:val="24"/>
    </w:rPr>
  </w:style>
  <w:style w:type="character" w:customStyle="1" w:styleId="Nadpis4Char">
    <w:name w:val="Nadpis 4 Char"/>
    <w:basedOn w:val="Standardnpsmoodstavce"/>
    <w:link w:val="Nadpis4"/>
    <w:uiPriority w:val="99"/>
    <w:locked/>
    <w:rsid w:val="005E492C"/>
    <w:rPr>
      <w:rFonts w:ascii="Arial" w:eastAsia="MS Gothic" w:hAnsi="Arial" w:cs="Times New Roman"/>
      <w:b/>
      <w:sz w:val="24"/>
    </w:rPr>
  </w:style>
  <w:style w:type="character" w:customStyle="1" w:styleId="Nadpis5Char">
    <w:name w:val="Nadpis 5 Char"/>
    <w:basedOn w:val="Standardnpsmoodstavce"/>
    <w:link w:val="Nadpis5"/>
    <w:uiPriority w:val="99"/>
    <w:semiHidden/>
    <w:locked/>
    <w:rsid w:val="007521A1"/>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7521A1"/>
    <w:rPr>
      <w:rFonts w:ascii="Calibri" w:hAnsi="Calibri" w:cs="Times New Roman"/>
      <w:b/>
      <w:bCs/>
      <w:sz w:val="22"/>
      <w:szCs w:val="22"/>
    </w:rPr>
  </w:style>
  <w:style w:type="character" w:styleId="Hypertextovodkaz">
    <w:name w:val="Hyperlink"/>
    <w:basedOn w:val="Standardnpsmoodstavce"/>
    <w:uiPriority w:val="99"/>
    <w:rsid w:val="00E71A58"/>
    <w:rPr>
      <w:rFonts w:cs="Times New Roman"/>
      <w:color w:val="0000FF"/>
      <w:u w:val="single"/>
    </w:rPr>
  </w:style>
  <w:style w:type="paragraph" w:customStyle="1" w:styleId="Styl1">
    <w:name w:val="Styl1"/>
    <w:uiPriority w:val="99"/>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rsid w:val="00E71A58"/>
    <w:pPr>
      <w:tabs>
        <w:tab w:val="center" w:pos="4536"/>
        <w:tab w:val="right" w:pos="9072"/>
      </w:tabs>
    </w:pPr>
    <w:rPr>
      <w:rFonts w:ascii="Calibri" w:hAnsi="Calibri"/>
      <w:sz w:val="22"/>
      <w:szCs w:val="22"/>
      <w:lang w:eastAsia="en-US"/>
    </w:rPr>
  </w:style>
  <w:style w:type="character" w:customStyle="1" w:styleId="ZhlavChar">
    <w:name w:val="Záhlaví Char"/>
    <w:basedOn w:val="Standardnpsmoodstavce"/>
    <w:link w:val="Zhlav"/>
    <w:uiPriority w:val="99"/>
    <w:locked/>
    <w:rsid w:val="00E71A58"/>
    <w:rPr>
      <w:rFonts w:cs="Times New Roman"/>
    </w:rPr>
  </w:style>
  <w:style w:type="paragraph" w:styleId="Zpat">
    <w:name w:val="footer"/>
    <w:basedOn w:val="Normln"/>
    <w:link w:val="ZpatChar"/>
    <w:uiPriority w:val="99"/>
    <w:rsid w:val="00E71A58"/>
    <w:pPr>
      <w:tabs>
        <w:tab w:val="center" w:pos="4536"/>
        <w:tab w:val="right" w:pos="9072"/>
      </w:tabs>
    </w:pPr>
    <w:rPr>
      <w:rFonts w:ascii="Calibri" w:hAnsi="Calibri"/>
      <w:sz w:val="22"/>
      <w:szCs w:val="22"/>
      <w:lang w:eastAsia="en-US"/>
    </w:rPr>
  </w:style>
  <w:style w:type="character" w:customStyle="1" w:styleId="ZpatChar">
    <w:name w:val="Zápatí Char"/>
    <w:basedOn w:val="Standardnpsmoodstavce"/>
    <w:link w:val="Zpat"/>
    <w:uiPriority w:val="99"/>
    <w:locked/>
    <w:rsid w:val="00E71A58"/>
    <w:rPr>
      <w:rFonts w:cs="Times New Roman"/>
    </w:rPr>
  </w:style>
  <w:style w:type="paragraph" w:styleId="Textbubliny">
    <w:name w:val="Balloon Text"/>
    <w:basedOn w:val="Normln"/>
    <w:link w:val="TextbublinyChar"/>
    <w:uiPriority w:val="99"/>
    <w:rsid w:val="00E71A58"/>
    <w:rPr>
      <w:rFonts w:ascii="Tahoma" w:hAnsi="Tahoma"/>
      <w:sz w:val="16"/>
      <w:szCs w:val="16"/>
    </w:rPr>
  </w:style>
  <w:style w:type="character" w:customStyle="1" w:styleId="TextbublinyChar">
    <w:name w:val="Text bubliny Char"/>
    <w:basedOn w:val="Standardnpsmoodstavce"/>
    <w:link w:val="Textbubliny"/>
    <w:uiPriority w:val="99"/>
    <w:semiHidden/>
    <w:locked/>
    <w:rsid w:val="00E71A58"/>
    <w:rPr>
      <w:rFonts w:ascii="Tahoma" w:hAnsi="Tahoma" w:cs="Times New Roman"/>
      <w:sz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hAnsi="Minion Pro"/>
      <w:color w:val="000000"/>
      <w:sz w:val="24"/>
      <w:szCs w:val="20"/>
    </w:rPr>
  </w:style>
  <w:style w:type="paragraph" w:styleId="Nzev">
    <w:name w:val="Title"/>
    <w:basedOn w:val="Normln"/>
    <w:next w:val="Normln"/>
    <w:link w:val="NzevChar"/>
    <w:uiPriority w:val="99"/>
    <w:qFormat/>
    <w:rsid w:val="005E492C"/>
    <w:pPr>
      <w:contextualSpacing/>
      <w:outlineLvl w:val="0"/>
    </w:pPr>
    <w:rPr>
      <w:rFonts w:eastAsia="MS Gothic"/>
      <w:b/>
      <w:caps/>
      <w:color w:val="71818C"/>
      <w:sz w:val="56"/>
      <w:szCs w:val="52"/>
    </w:rPr>
  </w:style>
  <w:style w:type="character" w:customStyle="1" w:styleId="NzevChar">
    <w:name w:val="Název Char"/>
    <w:basedOn w:val="Standardnpsmoodstavce"/>
    <w:link w:val="Nzev"/>
    <w:uiPriority w:val="99"/>
    <w:locked/>
    <w:rsid w:val="005E492C"/>
    <w:rPr>
      <w:rFonts w:ascii="Arial" w:eastAsia="MS Gothic" w:hAnsi="Arial" w:cs="Times New Roman"/>
      <w:b/>
      <w:caps/>
      <w:color w:val="71818C"/>
      <w:sz w:val="52"/>
    </w:rPr>
  </w:style>
  <w:style w:type="paragraph" w:styleId="Podtitul">
    <w:name w:val="Subtitle"/>
    <w:basedOn w:val="Normln"/>
    <w:next w:val="Normln"/>
    <w:link w:val="PodtitulChar"/>
    <w:uiPriority w:val="99"/>
    <w:qFormat/>
    <w:rsid w:val="005E492C"/>
    <w:pPr>
      <w:numPr>
        <w:ilvl w:val="1"/>
      </w:numPr>
    </w:pPr>
    <w:rPr>
      <w:rFonts w:eastAsia="MS Gothic"/>
      <w:b/>
      <w:iCs/>
      <w:color w:val="71818C"/>
      <w:sz w:val="28"/>
    </w:rPr>
  </w:style>
  <w:style w:type="character" w:customStyle="1" w:styleId="PodtitulChar">
    <w:name w:val="Podtitul Char"/>
    <w:basedOn w:val="Standardnpsmoodstavce"/>
    <w:link w:val="Podtitul"/>
    <w:uiPriority w:val="99"/>
    <w:locked/>
    <w:rsid w:val="005E492C"/>
    <w:rPr>
      <w:rFonts w:ascii="Arial" w:eastAsia="MS Gothic" w:hAnsi="Arial" w:cs="Times New Roman"/>
      <w:b/>
      <w:color w:val="71818C"/>
      <w:sz w:val="24"/>
    </w:rPr>
  </w:style>
  <w:style w:type="paragraph" w:customStyle="1" w:styleId="Bezmezer1">
    <w:name w:val="Bez mezer1"/>
    <w:aliases w:val="Bez zarážky"/>
    <w:link w:val="NoSpacingChar"/>
    <w:uiPriority w:val="99"/>
    <w:rsid w:val="005E492C"/>
    <w:pPr>
      <w:spacing w:line="288" w:lineRule="auto"/>
    </w:pPr>
    <w:rPr>
      <w:rFonts w:ascii="Arial" w:hAnsi="Arial"/>
      <w:sz w:val="22"/>
      <w:szCs w:val="22"/>
    </w:rPr>
  </w:style>
  <w:style w:type="paragraph" w:customStyle="1" w:styleId="Box1">
    <w:name w:val="Box 1"/>
    <w:basedOn w:val="Zkladnodstavec"/>
    <w:next w:val="Normln"/>
    <w:uiPriority w:val="99"/>
    <w:rsid w:val="005E492C"/>
    <w:pPr>
      <w:ind w:left="1134"/>
    </w:pPr>
    <w:rPr>
      <w:rFonts w:ascii="Arial" w:hAnsi="Arial" w:cs="Arial"/>
      <w:color w:val="71818C"/>
      <w:sz w:val="20"/>
    </w:rPr>
  </w:style>
  <w:style w:type="paragraph" w:customStyle="1" w:styleId="Box2">
    <w:name w:val="Box 2"/>
    <w:basedOn w:val="Zkladnodstavec"/>
    <w:link w:val="Box2Char"/>
    <w:uiPriority w:val="99"/>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uiPriority w:val="99"/>
    <w:rsid w:val="005E492C"/>
    <w:pPr>
      <w:shd w:val="clear" w:color="auto" w:fill="EAECEE"/>
      <w:spacing w:line="288" w:lineRule="auto"/>
      <w:ind w:left="1134"/>
    </w:pPr>
    <w:rPr>
      <w:rFonts w:ascii="Arial" w:hAnsi="Arial"/>
      <w:color w:val="000000"/>
      <w:sz w:val="22"/>
      <w:szCs w:val="22"/>
    </w:rPr>
  </w:style>
  <w:style w:type="paragraph" w:customStyle="1" w:styleId="TL-Kontakty">
    <w:name w:val="TL - Kontakty"/>
    <w:next w:val="Normln"/>
    <w:link w:val="TL-KontaktyChar"/>
    <w:uiPriority w:val="99"/>
    <w:rsid w:val="005E492C"/>
    <w:pPr>
      <w:spacing w:after="80"/>
    </w:pPr>
    <w:rPr>
      <w:rFonts w:ascii="Arial" w:hAnsi="Arial"/>
      <w:b/>
      <w:caps/>
      <w:color w:val="BD1B21"/>
      <w:sz w:val="22"/>
      <w:szCs w:val="22"/>
    </w:rPr>
  </w:style>
  <w:style w:type="character" w:customStyle="1" w:styleId="ZkladnodstavecChar">
    <w:name w:val="[Základní odstavec] Char"/>
    <w:link w:val="Zkladnodstavec"/>
    <w:uiPriority w:val="99"/>
    <w:locked/>
    <w:rsid w:val="006710C9"/>
    <w:rPr>
      <w:rFonts w:ascii="Minion Pro" w:hAnsi="Minion Pro"/>
      <w:color w:val="000000"/>
      <w:sz w:val="24"/>
    </w:rPr>
  </w:style>
  <w:style w:type="character" w:customStyle="1" w:styleId="Box2Char">
    <w:name w:val="Box 2 Char"/>
    <w:link w:val="Box2"/>
    <w:uiPriority w:val="99"/>
    <w:locked/>
    <w:rsid w:val="006710C9"/>
    <w:rPr>
      <w:rFonts w:ascii="Arial" w:hAnsi="Arial"/>
      <w:b/>
      <w:color w:val="000000"/>
      <w:sz w:val="24"/>
      <w:shd w:val="clear" w:color="auto" w:fill="CCC0D9"/>
    </w:rPr>
  </w:style>
  <w:style w:type="character" w:customStyle="1" w:styleId="BoxChar">
    <w:name w:val="Box Char"/>
    <w:link w:val="Box"/>
    <w:uiPriority w:val="99"/>
    <w:locked/>
    <w:rsid w:val="005E492C"/>
    <w:rPr>
      <w:rFonts w:ascii="Arial" w:hAnsi="Arial"/>
      <w:color w:val="000000"/>
      <w:sz w:val="22"/>
      <w:szCs w:val="22"/>
      <w:shd w:val="clear" w:color="auto" w:fill="EAECEE"/>
      <w:lang w:bidi="ar-SA"/>
    </w:rPr>
  </w:style>
  <w:style w:type="paragraph" w:customStyle="1" w:styleId="TL-Identifikace">
    <w:name w:val="TL - Identifikace"/>
    <w:next w:val="Normln"/>
    <w:link w:val="TL-IdentifikaceChar"/>
    <w:uiPriority w:val="99"/>
    <w:rsid w:val="005E492C"/>
    <w:pPr>
      <w:spacing w:after="200" w:line="288" w:lineRule="auto"/>
    </w:pPr>
    <w:rPr>
      <w:rFonts w:ascii="Arial" w:hAnsi="Arial"/>
      <w:sz w:val="22"/>
      <w:szCs w:val="22"/>
    </w:rPr>
  </w:style>
  <w:style w:type="character" w:customStyle="1" w:styleId="TL-KontaktyChar">
    <w:name w:val="TL - Kontakty Char"/>
    <w:link w:val="TL-Kontakty"/>
    <w:uiPriority w:val="99"/>
    <w:locked/>
    <w:rsid w:val="005E492C"/>
    <w:rPr>
      <w:rFonts w:ascii="Arial" w:hAnsi="Arial"/>
      <w:b/>
      <w:caps/>
      <w:color w:val="BD1B21"/>
      <w:sz w:val="22"/>
      <w:szCs w:val="22"/>
      <w:lang w:bidi="ar-SA"/>
    </w:rPr>
  </w:style>
  <w:style w:type="character" w:customStyle="1" w:styleId="TL-IdentifikaceChar">
    <w:name w:val="TL - Identifikace Char"/>
    <w:link w:val="TL-Identifikace"/>
    <w:uiPriority w:val="99"/>
    <w:locked/>
    <w:rsid w:val="005E492C"/>
    <w:rPr>
      <w:rFonts w:ascii="Arial" w:hAnsi="Arial"/>
      <w:sz w:val="22"/>
      <w:szCs w:val="22"/>
      <w:lang w:bidi="ar-SA"/>
    </w:rPr>
  </w:style>
  <w:style w:type="paragraph" w:customStyle="1" w:styleId="3372873BB58A4DED866D2BE34882C06C">
    <w:name w:val="3372873BB58A4DED866D2BE34882C06C"/>
    <w:uiPriority w:val="99"/>
    <w:rsid w:val="00EE3E78"/>
    <w:pPr>
      <w:spacing w:after="200" w:line="276" w:lineRule="auto"/>
    </w:pPr>
    <w:rPr>
      <w:rFonts w:eastAsia="MS Mincho"/>
      <w:sz w:val="22"/>
      <w:szCs w:val="22"/>
    </w:rPr>
  </w:style>
  <w:style w:type="paragraph" w:customStyle="1" w:styleId="233E5CD5853943F4BD7E8C4B124C0E1D">
    <w:name w:val="233E5CD5853943F4BD7E8C4B124C0E1D"/>
    <w:uiPriority w:val="99"/>
    <w:rsid w:val="00EE3E78"/>
    <w:pPr>
      <w:spacing w:after="200" w:line="276" w:lineRule="auto"/>
    </w:pPr>
    <w:rPr>
      <w:rFonts w:eastAsia="MS Mincho"/>
      <w:sz w:val="22"/>
      <w:szCs w:val="22"/>
    </w:rPr>
  </w:style>
  <w:style w:type="paragraph" w:customStyle="1" w:styleId="D345FF3D873148C5AE3FBF3267827368">
    <w:name w:val="D345FF3D873148C5AE3FBF3267827368"/>
    <w:uiPriority w:val="99"/>
    <w:rsid w:val="00EE3E78"/>
    <w:pPr>
      <w:spacing w:after="200" w:line="276" w:lineRule="auto"/>
    </w:pPr>
    <w:rPr>
      <w:rFonts w:eastAsia="MS Mincho"/>
      <w:sz w:val="22"/>
      <w:szCs w:val="22"/>
    </w:rPr>
  </w:style>
  <w:style w:type="character" w:customStyle="1" w:styleId="NoSpacingChar">
    <w:name w:val="No Spacing Char"/>
    <w:aliases w:val="Bez zarážky Char"/>
    <w:link w:val="Bezmezer1"/>
    <w:uiPriority w:val="99"/>
    <w:locked/>
    <w:rsid w:val="005E492C"/>
    <w:rPr>
      <w:rFonts w:ascii="Arial" w:hAnsi="Arial"/>
      <w:sz w:val="22"/>
      <w:szCs w:val="22"/>
      <w:lang w:bidi="ar-SA"/>
    </w:rPr>
  </w:style>
  <w:style w:type="paragraph" w:customStyle="1" w:styleId="TL-identifikace-sted">
    <w:name w:val="TL - identifikace - střed"/>
    <w:basedOn w:val="Normln"/>
    <w:link w:val="TL-identifikace-stedChar"/>
    <w:uiPriority w:val="99"/>
    <w:rsid w:val="005E492C"/>
    <w:pPr>
      <w:spacing w:after="200"/>
    </w:pPr>
    <w:rPr>
      <w:sz w:val="24"/>
      <w:szCs w:val="20"/>
    </w:rPr>
  </w:style>
  <w:style w:type="paragraph" w:customStyle="1" w:styleId="TL-Identifikace-dole">
    <w:name w:val="TL - Identifikace - dole"/>
    <w:basedOn w:val="Normln"/>
    <w:link w:val="TL-Identifikace-doleChar"/>
    <w:uiPriority w:val="99"/>
    <w:rsid w:val="005E492C"/>
    <w:pPr>
      <w:spacing w:after="200"/>
    </w:pPr>
    <w:rPr>
      <w:szCs w:val="20"/>
      <w:lang w:eastAsia="ar-SA"/>
    </w:rPr>
  </w:style>
  <w:style w:type="character" w:customStyle="1" w:styleId="TL-identifikace-stedChar">
    <w:name w:val="TL - identifikace - střed Char"/>
    <w:link w:val="TL-identifikace-sted"/>
    <w:uiPriority w:val="99"/>
    <w:locked/>
    <w:rsid w:val="005E492C"/>
    <w:rPr>
      <w:rFonts w:ascii="Arial" w:hAnsi="Arial"/>
      <w:sz w:val="24"/>
    </w:rPr>
  </w:style>
  <w:style w:type="character" w:customStyle="1" w:styleId="TL-Identifikace-doleChar">
    <w:name w:val="TL - Identifikace - dole Char"/>
    <w:link w:val="TL-Identifikace-dole"/>
    <w:uiPriority w:val="99"/>
    <w:locked/>
    <w:rsid w:val="005E492C"/>
    <w:rPr>
      <w:rFonts w:ascii="Arial" w:hAnsi="Arial"/>
      <w:lang w:eastAsia="ar-SA" w:bidi="ar-SA"/>
    </w:rPr>
  </w:style>
  <w:style w:type="paragraph" w:styleId="Nadpisobsahu">
    <w:name w:val="TOC Heading"/>
    <w:basedOn w:val="Nadpis1"/>
    <w:next w:val="Normln"/>
    <w:uiPriority w:val="99"/>
    <w:qFormat/>
    <w:rsid w:val="007521A1"/>
    <w:pPr>
      <w:keepLines w:val="0"/>
      <w:spacing w:before="240" w:after="60"/>
      <w:outlineLvl w:val="9"/>
    </w:pPr>
    <w:rPr>
      <w:rFonts w:ascii="Cambria" w:eastAsia="Times New Roman" w:hAnsi="Cambria"/>
      <w:color w:val="auto"/>
      <w:kern w:val="32"/>
      <w:szCs w:val="32"/>
    </w:rPr>
  </w:style>
  <w:style w:type="paragraph" w:styleId="Obsah1">
    <w:name w:val="toc 1"/>
    <w:basedOn w:val="Normln"/>
    <w:next w:val="Normln"/>
    <w:autoRedefine/>
    <w:uiPriority w:val="39"/>
    <w:rsid w:val="005B22A7"/>
    <w:pPr>
      <w:tabs>
        <w:tab w:val="left" w:pos="660"/>
        <w:tab w:val="right" w:leader="dot" w:pos="9628"/>
      </w:tabs>
      <w:spacing w:after="100" w:line="360" w:lineRule="auto"/>
      <w:jc w:val="both"/>
    </w:pPr>
    <w:rPr>
      <w:rFonts w:cs="Arial"/>
      <w:b/>
      <w:noProof/>
      <w:szCs w:val="20"/>
      <w:lang w:eastAsia="en-US"/>
    </w:rPr>
  </w:style>
  <w:style w:type="paragraph" w:styleId="Obsah2">
    <w:name w:val="toc 2"/>
    <w:basedOn w:val="Normln"/>
    <w:next w:val="Normln"/>
    <w:autoRedefine/>
    <w:uiPriority w:val="99"/>
    <w:rsid w:val="00D142E5"/>
    <w:pPr>
      <w:ind w:left="200"/>
    </w:pPr>
  </w:style>
  <w:style w:type="paragraph" w:styleId="Obsah3">
    <w:name w:val="toc 3"/>
    <w:basedOn w:val="Normln"/>
    <w:next w:val="Normln"/>
    <w:autoRedefine/>
    <w:uiPriority w:val="99"/>
    <w:rsid w:val="00D142E5"/>
    <w:pPr>
      <w:ind w:left="400"/>
    </w:pPr>
  </w:style>
  <w:style w:type="paragraph" w:styleId="Textpoznpodarou">
    <w:name w:val="footnote text"/>
    <w:aliases w:val="Text pozn. pod čarou_martin_ang"/>
    <w:basedOn w:val="Normln"/>
    <w:link w:val="TextpoznpodarouChar"/>
    <w:rsid w:val="00972263"/>
    <w:pPr>
      <w:spacing w:line="240" w:lineRule="auto"/>
    </w:pPr>
    <w:rPr>
      <w:szCs w:val="20"/>
    </w:rPr>
  </w:style>
  <w:style w:type="character" w:customStyle="1" w:styleId="TextpoznpodarouChar">
    <w:name w:val="Text pozn. pod čarou Char"/>
    <w:aliases w:val="Text pozn. pod čarou_martin_ang Char"/>
    <w:basedOn w:val="Standardnpsmoodstavce"/>
    <w:link w:val="Textpoznpodarou"/>
    <w:locked/>
    <w:rsid w:val="00972263"/>
    <w:rPr>
      <w:rFonts w:ascii="Arial" w:hAnsi="Arial" w:cs="Times New Roman"/>
    </w:rPr>
  </w:style>
  <w:style w:type="character" w:styleId="Znakapoznpodarou">
    <w:name w:val="footnote reference"/>
    <w:basedOn w:val="Standardnpsmoodstavce"/>
    <w:rsid w:val="00972263"/>
    <w:rPr>
      <w:rFonts w:cs="Times New Roman"/>
      <w:vertAlign w:val="superscript"/>
    </w:rPr>
  </w:style>
  <w:style w:type="paragraph" w:styleId="Rozvrendokumentu">
    <w:name w:val="Document Map"/>
    <w:basedOn w:val="Normln"/>
    <w:link w:val="RozvrendokumentuChar"/>
    <w:uiPriority w:val="99"/>
    <w:semiHidden/>
    <w:rsid w:val="00D5626D"/>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locked/>
    <w:rsid w:val="00D5626D"/>
    <w:rPr>
      <w:rFonts w:ascii="Tahoma" w:hAnsi="Tahoma" w:cs="Tahoma"/>
      <w:sz w:val="16"/>
      <w:szCs w:val="16"/>
    </w:rPr>
  </w:style>
  <w:style w:type="character" w:styleId="Siln">
    <w:name w:val="Strong"/>
    <w:basedOn w:val="Standardnpsmoodstavce"/>
    <w:uiPriority w:val="99"/>
    <w:qFormat/>
    <w:rsid w:val="00E921C7"/>
    <w:rPr>
      <w:rFonts w:cs="Times New Roman"/>
      <w:b/>
      <w:bCs/>
    </w:rPr>
  </w:style>
  <w:style w:type="paragraph" w:styleId="Odstavecseseznamem">
    <w:name w:val="List Paragraph"/>
    <w:basedOn w:val="Normln"/>
    <w:uiPriority w:val="34"/>
    <w:qFormat/>
    <w:rsid w:val="0046039A"/>
    <w:pPr>
      <w:ind w:left="708"/>
    </w:pPr>
  </w:style>
  <w:style w:type="table" w:styleId="Mkatabulky">
    <w:name w:val="Table Grid"/>
    <w:basedOn w:val="Normlntabulka"/>
    <w:uiPriority w:val="59"/>
    <w:rsid w:val="000779A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
    <w:name w:val="Mřížka tabulky1"/>
    <w:uiPriority w:val="59"/>
    <w:rsid w:val="003D476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uiPriority w:val="1"/>
    <w:qFormat/>
    <w:rsid w:val="007D4281"/>
    <w:pPr>
      <w:jc w:val="both"/>
    </w:pPr>
    <w:rPr>
      <w:rFonts w:ascii="Arial" w:eastAsia="Times New Roman" w:hAnsi="Arial"/>
      <w:szCs w:val="24"/>
    </w:rPr>
  </w:style>
  <w:style w:type="character" w:customStyle="1" w:styleId="ssfpaarticletext">
    <w:name w:val="ssfpaarticletext"/>
    <w:basedOn w:val="Standardnpsmoodstavce"/>
    <w:rsid w:val="00EE0473"/>
  </w:style>
</w:styles>
</file>

<file path=word/webSettings.xml><?xml version="1.0" encoding="utf-8"?>
<w:webSettings xmlns:r="http://schemas.openxmlformats.org/officeDocument/2006/relationships" xmlns:w="http://schemas.openxmlformats.org/wordprocessingml/2006/main">
  <w:divs>
    <w:div w:id="891159435">
      <w:marLeft w:val="0"/>
      <w:marRight w:val="0"/>
      <w:marTop w:val="0"/>
      <w:marBottom w:val="0"/>
      <w:divBdr>
        <w:top w:val="none" w:sz="0" w:space="0" w:color="auto"/>
        <w:left w:val="none" w:sz="0" w:space="0" w:color="auto"/>
        <w:bottom w:val="none" w:sz="0" w:space="0" w:color="auto"/>
        <w:right w:val="none" w:sz="0" w:space="0" w:color="auto"/>
      </w:divBdr>
    </w:div>
    <w:div w:id="891159436">
      <w:marLeft w:val="0"/>
      <w:marRight w:val="0"/>
      <w:marTop w:val="0"/>
      <w:marBottom w:val="0"/>
      <w:divBdr>
        <w:top w:val="none" w:sz="0" w:space="0" w:color="auto"/>
        <w:left w:val="none" w:sz="0" w:space="0" w:color="auto"/>
        <w:bottom w:val="none" w:sz="0" w:space="0" w:color="auto"/>
        <w:right w:val="none" w:sz="0" w:space="0" w:color="auto"/>
      </w:divBdr>
    </w:div>
    <w:div w:id="891159437">
      <w:marLeft w:val="0"/>
      <w:marRight w:val="0"/>
      <w:marTop w:val="0"/>
      <w:marBottom w:val="0"/>
      <w:divBdr>
        <w:top w:val="none" w:sz="0" w:space="0" w:color="auto"/>
        <w:left w:val="none" w:sz="0" w:space="0" w:color="auto"/>
        <w:bottom w:val="none" w:sz="0" w:space="0" w:color="auto"/>
        <w:right w:val="none" w:sz="0" w:space="0" w:color="auto"/>
      </w:divBdr>
    </w:div>
    <w:div w:id="891159438">
      <w:marLeft w:val="0"/>
      <w:marRight w:val="0"/>
      <w:marTop w:val="0"/>
      <w:marBottom w:val="0"/>
      <w:divBdr>
        <w:top w:val="none" w:sz="0" w:space="0" w:color="auto"/>
        <w:left w:val="none" w:sz="0" w:space="0" w:color="auto"/>
        <w:bottom w:val="none" w:sz="0" w:space="0" w:color="auto"/>
        <w:right w:val="none" w:sz="0" w:space="0" w:color="auto"/>
      </w:divBdr>
    </w:div>
    <w:div w:id="891159439">
      <w:marLeft w:val="0"/>
      <w:marRight w:val="0"/>
      <w:marTop w:val="0"/>
      <w:marBottom w:val="0"/>
      <w:divBdr>
        <w:top w:val="none" w:sz="0" w:space="0" w:color="auto"/>
        <w:left w:val="none" w:sz="0" w:space="0" w:color="auto"/>
        <w:bottom w:val="none" w:sz="0" w:space="0" w:color="auto"/>
        <w:right w:val="none" w:sz="0" w:space="0" w:color="auto"/>
      </w:divBdr>
    </w:div>
    <w:div w:id="891159440">
      <w:marLeft w:val="0"/>
      <w:marRight w:val="0"/>
      <w:marTop w:val="0"/>
      <w:marBottom w:val="0"/>
      <w:divBdr>
        <w:top w:val="none" w:sz="0" w:space="0" w:color="auto"/>
        <w:left w:val="none" w:sz="0" w:space="0" w:color="auto"/>
        <w:bottom w:val="none" w:sz="0" w:space="0" w:color="auto"/>
        <w:right w:val="none" w:sz="0" w:space="0" w:color="auto"/>
      </w:divBdr>
    </w:div>
    <w:div w:id="891159441">
      <w:marLeft w:val="0"/>
      <w:marRight w:val="0"/>
      <w:marTop w:val="0"/>
      <w:marBottom w:val="0"/>
      <w:divBdr>
        <w:top w:val="none" w:sz="0" w:space="0" w:color="auto"/>
        <w:left w:val="none" w:sz="0" w:space="0" w:color="auto"/>
        <w:bottom w:val="none" w:sz="0" w:space="0" w:color="auto"/>
        <w:right w:val="none" w:sz="0" w:space="0" w:color="auto"/>
      </w:divBdr>
    </w:div>
    <w:div w:id="891159442">
      <w:marLeft w:val="0"/>
      <w:marRight w:val="0"/>
      <w:marTop w:val="0"/>
      <w:marBottom w:val="0"/>
      <w:divBdr>
        <w:top w:val="none" w:sz="0" w:space="0" w:color="auto"/>
        <w:left w:val="none" w:sz="0" w:space="0" w:color="auto"/>
        <w:bottom w:val="none" w:sz="0" w:space="0" w:color="auto"/>
        <w:right w:val="none" w:sz="0" w:space="0" w:color="auto"/>
      </w:divBdr>
    </w:div>
    <w:div w:id="891159443">
      <w:marLeft w:val="0"/>
      <w:marRight w:val="0"/>
      <w:marTop w:val="0"/>
      <w:marBottom w:val="0"/>
      <w:divBdr>
        <w:top w:val="none" w:sz="0" w:space="0" w:color="auto"/>
        <w:left w:val="none" w:sz="0" w:space="0" w:color="auto"/>
        <w:bottom w:val="none" w:sz="0" w:space="0" w:color="auto"/>
        <w:right w:val="none" w:sz="0" w:space="0" w:color="auto"/>
      </w:divBdr>
    </w:div>
    <w:div w:id="891159444">
      <w:marLeft w:val="0"/>
      <w:marRight w:val="0"/>
      <w:marTop w:val="0"/>
      <w:marBottom w:val="0"/>
      <w:divBdr>
        <w:top w:val="none" w:sz="0" w:space="0" w:color="auto"/>
        <w:left w:val="none" w:sz="0" w:space="0" w:color="auto"/>
        <w:bottom w:val="none" w:sz="0" w:space="0" w:color="auto"/>
        <w:right w:val="none" w:sz="0" w:space="0" w:color="auto"/>
      </w:divBdr>
    </w:div>
    <w:div w:id="891159445">
      <w:marLeft w:val="0"/>
      <w:marRight w:val="0"/>
      <w:marTop w:val="0"/>
      <w:marBottom w:val="0"/>
      <w:divBdr>
        <w:top w:val="none" w:sz="0" w:space="0" w:color="auto"/>
        <w:left w:val="none" w:sz="0" w:space="0" w:color="auto"/>
        <w:bottom w:val="none" w:sz="0" w:space="0" w:color="auto"/>
        <w:right w:val="none" w:sz="0" w:space="0" w:color="auto"/>
      </w:divBdr>
    </w:div>
    <w:div w:id="8911594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w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VA~1\AppData\Local\Temp\publikace%20bar_vicetematicke.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125C50-00AA-479C-9C99-C5C5FF6F2241}">
  <ds:schemaRefs>
    <ds:schemaRef ds:uri="http://schemas.openxmlformats.org/officeDocument/2006/bibliography"/>
  </ds:schemaRefs>
</ds:datastoreItem>
</file>

<file path=customXml/itemProps2.xml><?xml version="1.0" encoding="utf-8"?>
<ds:datastoreItem xmlns:ds="http://schemas.openxmlformats.org/officeDocument/2006/customXml" ds:itemID="{440B1BC2-B7F0-4133-A603-C6700F1BB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bar_vicetematicke</Template>
  <TotalTime>1</TotalTime>
  <Pages>4</Pages>
  <Words>1918</Words>
  <Characters>11322</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13214</CharactersWithSpaces>
  <SharedDoc>false</SharedDoc>
  <HLinks>
    <vt:vector size="66" baseType="variant">
      <vt:variant>
        <vt:i4>1376311</vt:i4>
      </vt:variant>
      <vt:variant>
        <vt:i4>50</vt:i4>
      </vt:variant>
      <vt:variant>
        <vt:i4>0</vt:i4>
      </vt:variant>
      <vt:variant>
        <vt:i4>5</vt:i4>
      </vt:variant>
      <vt:variant>
        <vt:lpwstr/>
      </vt:variant>
      <vt:variant>
        <vt:lpwstr>_Toc469327805</vt:lpwstr>
      </vt:variant>
      <vt:variant>
        <vt:i4>1376311</vt:i4>
      </vt:variant>
      <vt:variant>
        <vt:i4>44</vt:i4>
      </vt:variant>
      <vt:variant>
        <vt:i4>0</vt:i4>
      </vt:variant>
      <vt:variant>
        <vt:i4>5</vt:i4>
      </vt:variant>
      <vt:variant>
        <vt:lpwstr/>
      </vt:variant>
      <vt:variant>
        <vt:lpwstr>_Toc469327804</vt:lpwstr>
      </vt:variant>
      <vt:variant>
        <vt:i4>1376311</vt:i4>
      </vt:variant>
      <vt:variant>
        <vt:i4>38</vt:i4>
      </vt:variant>
      <vt:variant>
        <vt:i4>0</vt:i4>
      </vt:variant>
      <vt:variant>
        <vt:i4>5</vt:i4>
      </vt:variant>
      <vt:variant>
        <vt:lpwstr/>
      </vt:variant>
      <vt:variant>
        <vt:lpwstr>_Toc469327803</vt:lpwstr>
      </vt:variant>
      <vt:variant>
        <vt:i4>1376311</vt:i4>
      </vt:variant>
      <vt:variant>
        <vt:i4>32</vt:i4>
      </vt:variant>
      <vt:variant>
        <vt:i4>0</vt:i4>
      </vt:variant>
      <vt:variant>
        <vt:i4>5</vt:i4>
      </vt:variant>
      <vt:variant>
        <vt:lpwstr/>
      </vt:variant>
      <vt:variant>
        <vt:lpwstr>_Toc469327802</vt:lpwstr>
      </vt:variant>
      <vt:variant>
        <vt:i4>1376311</vt:i4>
      </vt:variant>
      <vt:variant>
        <vt:i4>26</vt:i4>
      </vt:variant>
      <vt:variant>
        <vt:i4>0</vt:i4>
      </vt:variant>
      <vt:variant>
        <vt:i4>5</vt:i4>
      </vt:variant>
      <vt:variant>
        <vt:lpwstr/>
      </vt:variant>
      <vt:variant>
        <vt:lpwstr>_Toc469327801</vt:lpwstr>
      </vt:variant>
      <vt:variant>
        <vt:i4>1376311</vt:i4>
      </vt:variant>
      <vt:variant>
        <vt:i4>20</vt:i4>
      </vt:variant>
      <vt:variant>
        <vt:i4>0</vt:i4>
      </vt:variant>
      <vt:variant>
        <vt:i4>5</vt:i4>
      </vt:variant>
      <vt:variant>
        <vt:lpwstr/>
      </vt:variant>
      <vt:variant>
        <vt:lpwstr>_Toc469327800</vt:lpwstr>
      </vt:variant>
      <vt:variant>
        <vt:i4>1835064</vt:i4>
      </vt:variant>
      <vt:variant>
        <vt:i4>14</vt:i4>
      </vt:variant>
      <vt:variant>
        <vt:i4>0</vt:i4>
      </vt:variant>
      <vt:variant>
        <vt:i4>5</vt:i4>
      </vt:variant>
      <vt:variant>
        <vt:lpwstr/>
      </vt:variant>
      <vt:variant>
        <vt:lpwstr>_Toc469327799</vt:lpwstr>
      </vt:variant>
      <vt:variant>
        <vt:i4>1835064</vt:i4>
      </vt:variant>
      <vt:variant>
        <vt:i4>8</vt:i4>
      </vt:variant>
      <vt:variant>
        <vt:i4>0</vt:i4>
      </vt:variant>
      <vt:variant>
        <vt:i4>5</vt:i4>
      </vt:variant>
      <vt:variant>
        <vt:lpwstr/>
      </vt:variant>
      <vt:variant>
        <vt:lpwstr>_Toc469327798</vt:lpwstr>
      </vt:variant>
      <vt:variant>
        <vt:i4>1835064</vt:i4>
      </vt:variant>
      <vt:variant>
        <vt:i4>2</vt:i4>
      </vt:variant>
      <vt:variant>
        <vt:i4>0</vt:i4>
      </vt:variant>
      <vt:variant>
        <vt:i4>5</vt:i4>
      </vt:variant>
      <vt:variant>
        <vt:lpwstr/>
      </vt:variant>
      <vt:variant>
        <vt:lpwstr>_Toc469327797</vt:lpwstr>
      </vt:variant>
      <vt:variant>
        <vt:i4>6553606</vt:i4>
      </vt:variant>
      <vt:variant>
        <vt:i4>3</vt:i4>
      </vt:variant>
      <vt:variant>
        <vt:i4>0</vt:i4>
      </vt:variant>
      <vt:variant>
        <vt:i4>5</vt:i4>
      </vt:variant>
      <vt:variant>
        <vt:lpwstr>mailto:jiri.kamenicky@czso.cz</vt:lpwstr>
      </vt:variant>
      <vt:variant>
        <vt:lpwstr/>
      </vt:variant>
      <vt:variant>
        <vt:i4>6553606</vt:i4>
      </vt:variant>
      <vt:variant>
        <vt:i4>0</vt:i4>
      </vt:variant>
      <vt:variant>
        <vt:i4>0</vt:i4>
      </vt:variant>
      <vt:variant>
        <vt:i4>5</vt:i4>
      </vt:variant>
      <vt:variant>
        <vt:lpwstr>mailto:jiri.kamenicky@czso.cz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Jašová</dc:creator>
  <cp:lastModifiedBy>kamenicky3604</cp:lastModifiedBy>
  <cp:revision>3</cp:revision>
  <cp:lastPrinted>2017-03-16T10:07:00Z</cp:lastPrinted>
  <dcterms:created xsi:type="dcterms:W3CDTF">2017-04-24T10:12:00Z</dcterms:created>
  <dcterms:modified xsi:type="dcterms:W3CDTF">2017-04-24T10:13:00Z</dcterms:modified>
</cp:coreProperties>
</file>