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0" w:rsidRPr="000A3A2C" w:rsidRDefault="003B224A" w:rsidP="00E67696">
      <w:pPr>
        <w:rPr>
          <w:lang w:eastAsia="ar-SA"/>
        </w:rPr>
        <w:sectPr w:rsidR="00A75E40" w:rsidRPr="000A3A2C" w:rsidSect="0085114D">
          <w:pgSz w:w="11906" w:h="16838" w:code="9"/>
          <w:pgMar w:top="1134" w:right="1134" w:bottom="1418" w:left="1134" w:header="709" w:footer="709" w:gutter="0"/>
          <w:pgNumType w:start="1"/>
          <w:cols w:space="708"/>
          <w:docGrid w:linePitch="360"/>
        </w:sectPr>
      </w:pPr>
      <w:r w:rsidRPr="003B224A">
        <w:rPr>
          <w:noProof/>
          <w:lang w:val="en-US" w:eastAsia="en-US"/>
        </w:rPr>
        <w:pict>
          <v:group id="Group 24" o:spid="_x0000_s1026" style="position:absolute;margin-left:45pt;margin-top:36.7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">
            <o:lock v:ext="edit" aspectratio="t"/>
            <v:rect id="Rectangle 9" o:spid="_x0000_s1027"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0" o:spid="_x0000_s1028"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okPwQAA&#10;ANoAAAAPAAAAZHJzL2Rvd25yZXYueG1sRI9Bi8IwFITvgv8hPMGbpnpQqUZZVoSFXQ+2gtdn87YN&#10;27yUJtruvzeC4HGYmW+Yza63tbhT641jBbNpAoK4cNpwqeCcHyYrED4ga6wdk4J/8rDbDgcbTLXr&#10;+ET3LJQiQtinqKAKoUml9EVFFv3UNcTR+3WtxRBlW0rdYhfhtpbzJFlIi4bjQoUNfVZU/GU3q8DI&#10;n85mx8veJbcmN5fldeXDt1LjUf+xBhGoD+/wq/2lFSzheSXeALl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l6JD8EAAADaAAAADwAAAAAAAAAAAAAAAACXAgAAZHJzL2Rvd25y&#10;ZXYueG1sUEsFBgAAAAAEAAQA9QAAAIUDAAAAAA==&#10;" fillcolor="#0071bc" stroked="f">
              <o:lock v:ext="edit" aspectratio="t"/>
            </v:rect>
            <v:rect id="Rectangle 11" o:spid="_x0000_s1029"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R19vgAA&#10;ANoAAAAPAAAAZHJzL2Rvd25yZXYueG1sRE9Ni8IwEL0v+B/CCN7WVA+uVNMiiiC4HrYKXsdmbIPN&#10;pDTRdv+9OSzs8fG+1/lgG/GizhvHCmbTBARx6bThSsHlvP9cgvABWWPjmBT8koc8G32sMdWu5x96&#10;FaESMYR9igrqENpUSl/WZNFPXUscubvrLIYIu0rqDvsYbhs5T5KFtGg4NtTY0ram8lE8rQIjv3tb&#10;nK47lzzbs7l+3ZY+HJWajIfNCkSgIfyL/9wHrSBujVfiDZDZ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8Edfb4AAADaAAAADwAAAAAAAAAAAAAAAACXAgAAZHJzL2Rvd25yZXYu&#10;eG1sUEsFBgAAAAAEAAQA9QAAAIIDAAAAAA==&#10;" fillcolor="#0071bc" stroked="f">
              <o:lock v:ext="edit" aspectratio="t"/>
            </v:rect>
            <v:shape id="Freeform 12" o:spid="_x0000_s1030"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F73wQAA&#10;ANoAAAAPAAAAZHJzL2Rvd25yZXYueG1sRI9Ba8JAFITvBf/D8oTe6kYPpUbXEIKlDZ6Men9kn9lg&#10;9m3Ibk38926h0OMwM98w22yynbjT4FvHCpaLBARx7XTLjYLz6fPtA4QPyBo7x6TgQR6y3exli6l2&#10;Ix/pXoVGRAj7FBWYEPpUSl8bsugXrieO3tUNFkOUQyP1gGOE206ukuRdWmw5LhjsqTBU36ofq2Cf&#10;k6H83BcVl93l63I7rNryoNTrfMo3IAJN4T/81/7WCtbweyXeAL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8dBe98EAAADa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75a+xAAA&#10;ANsAAAAPAAAAZHJzL2Rvd25yZXYueG1sRE9Na8JAEL0X+h+WKfQidVMFKdFNKJaCaAU1evA2ZKdJ&#10;aHY27G5N/PddQehtHu9zFvlgWnEh5xvLCl7HCQji0uqGKwXH4vPlDYQPyBpby6TgSh7y7PFhgam2&#10;Pe/pcgiViCHsU1RQh9ClUvqyJoN+bDviyH1bZzBE6CqpHfYx3LRykiQzabDh2FBjR8uayp/Dr1Gw&#10;LNqTm371m70bfazW520li+1Oqeen4X0OItAQ/sV390rH+RO4/RIP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u+WvsQAAADbAAAADwAAAAAAAAAAAAAAAACXAgAAZHJzL2Rv&#10;d25yZXYueG1sUEsFBgAAAAAEAAQA9QAAAIg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kwgAA&#10;ANsAAAAPAAAAZHJzL2Rvd25yZXYueG1sRE9Na8JAEL0X/A/LCF5EN1qQEl2lKlFvpSqex+yYhGZn&#10;4+5q0n/fLRR6m8f7nMWqM7V4kvOVZQWTcQKCOLe64kLB+ZSN3kD4gKyxtkwKvsnDatl7WWCqbcuf&#10;9DyGQsQQ9ikqKENoUil9XpJBP7YNceRu1hkMEbpCaodtDDe1nCbJTBqsODaU2NCmpPzr+DAKprPL&#10;dZ8divVHvbsPnb5ts2G7VWrQ797nIAJ14V/85z7oOP8Vfn+JB8j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f/6TCAAAA2wAAAA8AAAAAAAAAAAAAAAAAlwIAAGRycy9kb3du&#10;cmV2LnhtbFBLBQYAAAAABAAEAPUAAACGAw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w:r>
      <w:r w:rsidRPr="003B224A">
        <w:rPr>
          <w:noProof/>
          <w:lang w:val="en-US" w:eastAsia="en-US"/>
        </w:rPr>
        <w:pict>
          <v:shapetype id="_x0000_t202" coordsize="21600,21600" o:spt="202" path="m,l,21600r21600,l21600,xe">
            <v:stroke joinstyle="miter"/>
            <v:path gradientshapeok="t" o:connecttype="rect"/>
          </v:shapetype>
          <v:shape id="Textové pole 2" o:spid="_x0000_s1040" type="#_x0000_t202" style="position:absolute;margin-left:134.3pt;margin-top:643.55pt;width:403.95pt;height:72.85pt;z-index:25165670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" filled="f" stroked="f">
            <v:textbox inset="0,0,0,0">
              <w:txbxContent>
                <w:p w:rsidR="002A3339" w:rsidRPr="006C5577" w:rsidRDefault="002A3339" w:rsidP="004924DC">
                  <w:r>
                    <w:t>Z</w:t>
                  </w:r>
                  <w:r w:rsidRPr="006C5577">
                    <w:t xml:space="preserve">pracoval: Odbor </w:t>
                  </w:r>
                  <w:r>
                    <w:t>statistik rozvoje společnosti</w:t>
                  </w:r>
                </w:p>
                <w:p w:rsidR="002A3339" w:rsidRPr="006C5577" w:rsidRDefault="002A3339" w:rsidP="004924DC">
                  <w:r w:rsidRPr="006C5577">
                    <w:t xml:space="preserve">Ředitel odboru: </w:t>
                  </w:r>
                  <w:r>
                    <w:t>Martin Mana</w:t>
                  </w:r>
                </w:p>
                <w:p w:rsidR="002A3339" w:rsidRPr="006C5577" w:rsidRDefault="002A3339" w:rsidP="004924DC">
                  <w:r w:rsidRPr="006C5577">
                    <w:t xml:space="preserve">Kontaktní osoba: </w:t>
                  </w:r>
                  <w:r>
                    <w:t>Božena Půbalová</w:t>
                  </w:r>
                  <w:r w:rsidRPr="006C5577">
                    <w:t>,</w:t>
                  </w:r>
                  <w:r>
                    <w:t xml:space="preserve"> e-mail: bozena.pubalova@czso.cz</w:t>
                  </w:r>
                </w:p>
              </w:txbxContent>
            </v:textbox>
            <w10:wrap anchorx="page" anchory="page"/>
            <w10:anchorlock/>
          </v:shape>
        </w:pict>
      </w:r>
      <w:r w:rsidRPr="003B224A">
        <w:rPr>
          <w:noProof/>
          <w:lang w:val="en-US" w:eastAsia="en-US"/>
        </w:rPr>
        <w:pict>
          <v:shape id="_x0000_s1039" type="#_x0000_t202" style="position:absolute;margin-left:134.65pt;margin-top:368.55pt;width:403.9pt;height:132.8pt;z-index:25165568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" filled="f" stroked="f">
            <v:textbox style="mso-fit-shape-to-text:t" inset="0,0,0,0">
              <w:txbxContent>
                <w:p w:rsidR="002A3339" w:rsidRPr="004924DC" w:rsidRDefault="002A3339" w:rsidP="004924DC">
                  <w:pPr>
                    <w:pStyle w:val="TLIdentifikace-sted"/>
                  </w:pPr>
                  <w:r>
                    <w:t>Lidé a společnost</w:t>
                  </w:r>
                </w:p>
                <w:p w:rsidR="002A3339" w:rsidRPr="004924DC" w:rsidRDefault="002A3339" w:rsidP="004924DC">
                  <w:pPr>
                    <w:pStyle w:val="TLIdentifikace-sted"/>
                  </w:pPr>
                  <w:r>
                    <w:t>Praha</w:t>
                  </w:r>
                  <w:r w:rsidRPr="004924DC">
                    <w:t xml:space="preserve">, </w:t>
                  </w:r>
                  <w:r>
                    <w:t>1. června 2017</w:t>
                  </w:r>
                </w:p>
                <w:p w:rsidR="002A3339" w:rsidRPr="004924DC" w:rsidRDefault="002A3339" w:rsidP="004924DC">
                  <w:pPr>
                    <w:pStyle w:val="TLIdentifikace-sted"/>
                  </w:pPr>
                  <w:r w:rsidRPr="004924DC">
                    <w:t xml:space="preserve">Kód publikace: </w:t>
                  </w:r>
                  <w:r w:rsidR="00945C47" w:rsidRPr="00945C47">
                    <w:t>26004-</w:t>
                  </w:r>
                  <w:r w:rsidR="00945C47">
                    <w:t>16</w:t>
                  </w:r>
                </w:p>
                <w:p w:rsidR="002A3339" w:rsidRPr="004924DC" w:rsidRDefault="002A3339" w:rsidP="004924DC">
                  <w:pPr>
                    <w:pStyle w:val="TLIdentifikace-sted"/>
                  </w:pPr>
                  <w:r w:rsidRPr="004924DC">
                    <w:t xml:space="preserve">Č. </w:t>
                  </w:r>
                  <w:proofErr w:type="spellStart"/>
                  <w:r w:rsidRPr="004924DC">
                    <w:t>j</w:t>
                  </w:r>
                  <w:proofErr w:type="spellEnd"/>
                  <w:r w:rsidRPr="00DF5FBC">
                    <w:t xml:space="preserve">.: </w:t>
                  </w:r>
                  <w:r w:rsidR="00DF5FBC" w:rsidRPr="00DF5FBC">
                    <w:t>1328</w:t>
                  </w:r>
                  <w:r w:rsidRPr="00DF5FBC">
                    <w:t>/</w:t>
                  </w:r>
                  <w:r w:rsidR="00DF5FBC" w:rsidRPr="00DF5FBC">
                    <w:t>2017</w:t>
                  </w:r>
                  <w:r w:rsidR="00DF5FBC">
                    <w:t xml:space="preserve"> – </w:t>
                  </w:r>
                  <w:r w:rsidR="00DF5FBC" w:rsidRPr="00DF5FBC">
                    <w:t>63</w:t>
                  </w:r>
                </w:p>
                <w:p w:rsidR="002A3339" w:rsidRPr="004924DC" w:rsidRDefault="002A3339" w:rsidP="004924DC">
                  <w:pPr>
                    <w:pStyle w:val="TLIdentifikace-sted"/>
                  </w:pPr>
                  <w:r w:rsidRPr="004924DC">
                    <w:t xml:space="preserve">Pořadové číslo v roce: </w:t>
                  </w:r>
                  <w:r w:rsidR="00945C47">
                    <w:t>1</w:t>
                  </w:r>
                </w:p>
              </w:txbxContent>
            </v:textbox>
            <w10:wrap anchorx="page" anchory="page"/>
            <w10:anchorlock/>
          </v:shape>
        </w:pict>
      </w:r>
      <w:r w:rsidRPr="003B224A">
        <w:rPr>
          <w:noProof/>
          <w:lang w:val="en-US" w:eastAsia="en-US"/>
        </w:rPr>
        <w:pict>
          <v:shape id="_x0000_s1038" type="#_x0000_t202" style="position:absolute;margin-left:134.65pt;margin-top:116.25pt;width:403.9pt;height:154.55pt;z-index:25165465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Vfk7k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" filled="f" stroked="f">
            <v:textbox style="mso-fit-shape-to-text:t" inset="0,0,0,0">
              <w:txbxContent>
                <w:p w:rsidR="002A3339" w:rsidRPr="000E6FBD" w:rsidRDefault="002A3339" w:rsidP="000E6FBD">
                  <w:pPr>
                    <w:pStyle w:val="Nzev"/>
                  </w:pPr>
                  <w:r>
                    <w:t>Pracovní neschopnost pro nemoc a úraz v České republice</w:t>
                  </w:r>
                </w:p>
                <w:p w:rsidR="002A3339" w:rsidRPr="0012192F" w:rsidRDefault="002A3339" w:rsidP="0012192F">
                  <w:pPr>
                    <w:pStyle w:val="Podtitul"/>
                  </w:pPr>
                </w:p>
                <w:p w:rsidR="002A3339" w:rsidRPr="0012192F" w:rsidRDefault="002A3339" w:rsidP="0012192F">
                  <w:pPr>
                    <w:pStyle w:val="Podtitul"/>
                  </w:pPr>
                  <w:r>
                    <w:t>za rok 2016</w:t>
                  </w:r>
                </w:p>
              </w:txbxContent>
            </v:textbox>
            <w10:wrap anchorx="page" anchory="page"/>
            <w10:anchorlock/>
          </v:shape>
        </w:pict>
      </w:r>
      <w:r w:rsidRPr="003B224A">
        <w:rPr>
          <w:noProof/>
          <w:lang w:val="en-US" w:eastAsia="en-US"/>
        </w:rPr>
        <w:pict>
          <v:shape id="_x0000_s1037" type="#_x0000_t202" style="position:absolute;margin-left:134.65pt;margin-top:759.8pt;width:403.95pt;height:14.15pt;z-index:25165875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K3UjWO5&#10;AgAAtQUAAA4AAAAAAAAAAAAAAAAALAIAAGRycy9lMm9Eb2MueG1sUEsBAi0AFAAGAAgAAAAhAAdl&#10;cHfhAAAADgEAAA8AAAAAAAAAAAAAAAAAEQUAAGRycy9kb3ducmV2LnhtbFBLBQYAAAAABAAEAPMA&#10;AAAfBgAAAAA=&#10;" filled="f" stroked="f">
            <v:textbox inset="0,0,0,0">
              <w:txbxContent>
                <w:p w:rsidR="002A3339" w:rsidRPr="004924DC" w:rsidRDefault="002A3339" w:rsidP="004924DC">
                  <w:r w:rsidRPr="004924DC">
                    <w:t xml:space="preserve">© Český statistický úřad, </w:t>
                  </w:r>
                  <w:r>
                    <w:t>Praha</w:t>
                  </w:r>
                  <w:r w:rsidRPr="004924DC">
                    <w:t xml:space="preserve">, </w:t>
                  </w:r>
                  <w:r>
                    <w:t>2017</w:t>
                  </w:r>
                </w:p>
                <w:p w:rsidR="002A3339" w:rsidRPr="005251DD" w:rsidRDefault="002A3339" w:rsidP="00665BA4"/>
                <w:p w:rsidR="002A3339" w:rsidRPr="005251DD" w:rsidRDefault="002A3339" w:rsidP="00FC684B"/>
                <w:p w:rsidR="002A3339" w:rsidRDefault="002A3339"/>
                <w:p w:rsidR="002A3339" w:rsidRPr="00097407" w:rsidRDefault="002A3339" w:rsidP="00665BA4">
                  <w:r w:rsidRPr="00097407">
                    <w:t xml:space="preserve">© </w:t>
                  </w:r>
                  <w:r w:rsidRPr="005251DD">
                    <w:t>Český statistický úřad</w:t>
                  </w:r>
                  <w:r>
                    <w:t xml:space="preserve">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2A3339" w:rsidRPr="005251DD" w:rsidRDefault="002A3339" w:rsidP="00665BA4"/>
                <w:p w:rsidR="002A3339" w:rsidRPr="005251DD" w:rsidRDefault="002A3339" w:rsidP="00FC684B"/>
              </w:txbxContent>
            </v:textbox>
            <w10:wrap anchorx="page" anchory="page"/>
            <w10:anchorlock/>
          </v:shape>
        </w:pict>
      </w:r>
      <w:r w:rsidRPr="003B224A">
        <w:rPr>
          <w:noProof/>
          <w:lang w:val="en-US" w:eastAsia="en-US"/>
        </w:rPr>
        <w:pict>
          <v:line id="Přímá spojnice 33" o:spid="_x0000_s1036" style="position:absolute;z-index:251653632;visibility:visible;mso-wrap-distance-top:-6e-5mm;mso-wrap-distance-bottom:-6e-5mm;mso-position-horizontal-relative:page;mso-position-vertical-relative:page;mso-width-relative:margin;mso-height-relative:margin"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" o:allowincell="f" strokecolor="windowText" strokeweight="1pt">
            <o:lock v:ext="edit" shapetype="f"/>
            <w10:wrap anchorx="page" anchory="page"/>
            <w10:anchorlock/>
          </v:line>
        </w:pict>
      </w:r>
      <w:r w:rsidR="00F63FB7">
        <w:br w:type="page"/>
      </w:r>
      <w:r w:rsidR="00016992">
        <w:lastRenderedPageBreak/>
        <w:br w:type="page"/>
      </w:r>
      <w:r w:rsidRPr="003B224A">
        <w:rPr>
          <w:noProof/>
          <w:lang w:val="en-US" w:eastAsia="en-US"/>
        </w:rPr>
        <w:pict>
          <v:shape id="_x0000_s1035" type="#_x0000_t202" style="position:absolute;margin-left:57pt;margin-top:113.4pt;width:481.85pt;height:605.55pt;z-index:25165977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" filled="f" stroked="f">
            <v:textbox style="mso-fit-shape-to-text:t" inset="0,0,0,0">
              <w:txbxContent>
                <w:p w:rsidR="002A3339" w:rsidRPr="006F5416" w:rsidRDefault="002A3339" w:rsidP="006F5416">
                  <w:pPr>
                    <w:pStyle w:val="TLKontaktyerven"/>
                  </w:pPr>
                  <w:r w:rsidRPr="006F5416">
                    <w:t>KONTAKTY V ÚSTŘEDÍ</w:t>
                  </w:r>
                </w:p>
                <w:p w:rsidR="002A3339" w:rsidRPr="007D40DF" w:rsidRDefault="002A3339"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2A3339" w:rsidRPr="00D235B7" w:rsidRDefault="002A3339"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274 052 648, 274 052 304, 274 052 451 | e-mail: infoservis@czso.cz</w:t>
                  </w:r>
                </w:p>
                <w:p w:rsidR="002A3339" w:rsidRPr="00D235B7" w:rsidRDefault="002A3339"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2A3339" w:rsidRPr="00D235B7" w:rsidRDefault="002A3339"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2A3339" w:rsidRPr="00D235B7" w:rsidRDefault="002A3339"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2A3339" w:rsidRPr="004A61C5" w:rsidRDefault="002A3339" w:rsidP="00825C4D">
                  <w:pPr>
                    <w:pStyle w:val="TLKontakty"/>
                    <w:spacing w:after="80" w:line="240" w:lineRule="auto"/>
                    <w:contextualSpacing w:val="0"/>
                    <w:rPr>
                      <w:color w:val="auto"/>
                    </w:rPr>
                  </w:pPr>
                </w:p>
                <w:p w:rsidR="002A3339" w:rsidRPr="00D66223" w:rsidRDefault="002A3339" w:rsidP="00D66223">
                  <w:pPr>
                    <w:pStyle w:val="TLKontaktyerven"/>
                  </w:pPr>
                  <w:r w:rsidRPr="00D66223">
                    <w:t>INFORMAČNÍ SLUŽBY V REGIONECH</w:t>
                  </w:r>
                </w:p>
                <w:p w:rsidR="002A3339" w:rsidRPr="00992CF3" w:rsidRDefault="002A3339"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2A3339" w:rsidRPr="00992CF3" w:rsidRDefault="002A3339"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2A3339" w:rsidRPr="004A61C5" w:rsidRDefault="002A3339" w:rsidP="00825C4D">
                  <w:pPr>
                    <w:pStyle w:val="TLKontakty"/>
                    <w:spacing w:after="80" w:line="240" w:lineRule="auto"/>
                    <w:rPr>
                      <w:color w:val="auto"/>
                    </w:rPr>
                  </w:pPr>
                </w:p>
                <w:p w:rsidR="002A3339" w:rsidRPr="00992CF3" w:rsidRDefault="002A3339" w:rsidP="00825C4D">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2A3339" w:rsidRPr="00992CF3" w:rsidRDefault="002A3339"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2A3339" w:rsidRPr="004A61C5" w:rsidRDefault="002A3339" w:rsidP="00825C4D">
                  <w:pPr>
                    <w:pStyle w:val="TLKontakty"/>
                    <w:spacing w:after="80" w:line="240" w:lineRule="auto"/>
                    <w:rPr>
                      <w:color w:val="auto"/>
                    </w:rPr>
                  </w:pPr>
                </w:p>
                <w:p w:rsidR="002A3339" w:rsidRPr="00992CF3" w:rsidRDefault="002A3339" w:rsidP="00825C4D">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2A3339" w:rsidRPr="00992CF3" w:rsidRDefault="002A3339"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2A3339" w:rsidRPr="004A61C5" w:rsidRDefault="002A3339" w:rsidP="00825C4D">
                  <w:pPr>
                    <w:pStyle w:val="TLKontakty"/>
                    <w:spacing w:after="80" w:line="240" w:lineRule="auto"/>
                    <w:rPr>
                      <w:color w:val="auto"/>
                    </w:rPr>
                  </w:pPr>
                </w:p>
                <w:p w:rsidR="002A3339" w:rsidRPr="004A61C5" w:rsidRDefault="002A3339" w:rsidP="00825C4D">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377 612 108, 377 612 249</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2A3339" w:rsidRPr="004A61C5" w:rsidRDefault="002A3339" w:rsidP="00825C4D">
                  <w:pPr>
                    <w:pStyle w:val="TLKontakty"/>
                    <w:spacing w:after="80" w:line="240" w:lineRule="auto"/>
                    <w:rPr>
                      <w:color w:val="auto"/>
                    </w:rPr>
                  </w:pPr>
                </w:p>
                <w:p w:rsidR="002A3339" w:rsidRPr="004A61C5" w:rsidRDefault="002A3339" w:rsidP="00825C4D">
                  <w:pPr>
                    <w:pStyle w:val="TLKontakty"/>
                    <w:spacing w:after="80" w:line="240" w:lineRule="auto"/>
                    <w:rPr>
                      <w:b w:val="0"/>
                      <w:color w:val="auto"/>
                    </w:rPr>
                  </w:pPr>
                  <w:r w:rsidRPr="00D66223">
                    <w:t>Karlovy Vary</w:t>
                  </w:r>
                  <w:r w:rsidRPr="004A61C5">
                    <w:rPr>
                      <w:b w:val="0"/>
                      <w:color w:val="auto"/>
                    </w:rPr>
                    <w:t xml:space="preserve"> | </w:t>
                  </w:r>
                  <w:r w:rsidRPr="0010437D">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2A3339" w:rsidRPr="004A61C5" w:rsidRDefault="002A3339" w:rsidP="00825C4D">
                  <w:pPr>
                    <w:pStyle w:val="TLKontakty"/>
                    <w:spacing w:after="80" w:line="240" w:lineRule="auto"/>
                    <w:rPr>
                      <w:color w:val="auto"/>
                    </w:rPr>
                  </w:pPr>
                </w:p>
                <w:p w:rsidR="002A3339" w:rsidRPr="004A61C5" w:rsidRDefault="002A3339" w:rsidP="00825C4D">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2A3339" w:rsidRPr="004A61C5" w:rsidRDefault="002A3339" w:rsidP="00825C4D">
                  <w:pPr>
                    <w:pStyle w:val="TLKontakty"/>
                    <w:spacing w:after="80" w:line="240" w:lineRule="auto"/>
                    <w:rPr>
                      <w:color w:val="auto"/>
                    </w:rPr>
                  </w:pPr>
                </w:p>
                <w:p w:rsidR="002A3339" w:rsidRPr="004A61C5" w:rsidRDefault="002A3339" w:rsidP="00825C4D">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2A3339" w:rsidRPr="004A61C5" w:rsidRDefault="002A3339" w:rsidP="00825C4D">
                  <w:pPr>
                    <w:pStyle w:val="TLKontakty"/>
                    <w:spacing w:after="80" w:line="240" w:lineRule="auto"/>
                    <w:rPr>
                      <w:b w:val="0"/>
                      <w:color w:val="auto"/>
                    </w:rPr>
                  </w:pPr>
                </w:p>
                <w:p w:rsidR="002A3339" w:rsidRPr="004A61C5" w:rsidRDefault="002A3339" w:rsidP="00825C4D">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2A3339" w:rsidRPr="004A61C5" w:rsidRDefault="002A3339" w:rsidP="00825C4D">
                  <w:pPr>
                    <w:pStyle w:val="TLKontakty"/>
                    <w:spacing w:after="80" w:line="240" w:lineRule="auto"/>
                    <w:rPr>
                      <w:color w:val="auto"/>
                    </w:rPr>
                  </w:pPr>
                </w:p>
                <w:p w:rsidR="002A3339" w:rsidRPr="004A61C5" w:rsidRDefault="002A3339" w:rsidP="00825C4D">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2A3339" w:rsidRPr="004A61C5" w:rsidRDefault="002A3339" w:rsidP="00825C4D">
                  <w:pPr>
                    <w:pStyle w:val="TLKontakty"/>
                    <w:spacing w:after="80" w:line="240" w:lineRule="auto"/>
                    <w:rPr>
                      <w:b w:val="0"/>
                      <w:color w:val="auto"/>
                    </w:rPr>
                  </w:pPr>
                </w:p>
                <w:p w:rsidR="002A3339" w:rsidRPr="004A61C5" w:rsidRDefault="002A3339" w:rsidP="00825C4D">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567 109 062, 567 109 080</w:t>
                  </w:r>
                </w:p>
                <w:p w:rsidR="002A3339" w:rsidRPr="004A61C5" w:rsidRDefault="002A3339"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2A3339" w:rsidRDefault="002A3339" w:rsidP="00825C4D">
                  <w:pPr>
                    <w:pStyle w:val="TLKontakty"/>
                    <w:spacing w:after="80" w:line="240" w:lineRule="auto"/>
                  </w:pPr>
                </w:p>
                <w:p w:rsidR="002A3339" w:rsidRPr="004A61C5" w:rsidRDefault="002A3339" w:rsidP="00825C4D">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542 528 115, 542 528 105</w:t>
                  </w:r>
                </w:p>
                <w:p w:rsidR="002A3339" w:rsidRPr="004A61C5" w:rsidRDefault="002A3339"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2A3339" w:rsidRPr="004A61C5" w:rsidRDefault="002A3339" w:rsidP="00825C4D">
                  <w:pPr>
                    <w:pStyle w:val="TLKontakty"/>
                    <w:spacing w:after="80" w:line="240" w:lineRule="auto"/>
                    <w:rPr>
                      <w:b w:val="0"/>
                      <w:color w:val="auto"/>
                    </w:rPr>
                  </w:pPr>
                </w:p>
                <w:p w:rsidR="002A3339" w:rsidRPr="005E7C78" w:rsidRDefault="002A3339" w:rsidP="00825C4D">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585 731 516,</w:t>
                  </w:r>
                  <w:r>
                    <w:rPr>
                      <w:b w:val="0"/>
                      <w:color w:val="auto"/>
                    </w:rPr>
                    <w:t xml:space="preserve"> </w:t>
                  </w:r>
                  <w:r w:rsidRPr="005E7C78">
                    <w:rPr>
                      <w:b w:val="0"/>
                      <w:color w:val="auto"/>
                    </w:rPr>
                    <w:t>585 731 509</w:t>
                  </w:r>
                </w:p>
                <w:p w:rsidR="002A3339" w:rsidRPr="005E7C78" w:rsidRDefault="002A3339"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2A3339" w:rsidRPr="005E7C78" w:rsidRDefault="002A3339" w:rsidP="00825C4D">
                  <w:pPr>
                    <w:pStyle w:val="TLKontakty"/>
                    <w:spacing w:after="80" w:line="240" w:lineRule="auto"/>
                    <w:rPr>
                      <w:b w:val="0"/>
                      <w:color w:val="auto"/>
                    </w:rPr>
                  </w:pPr>
                </w:p>
                <w:p w:rsidR="002A3339" w:rsidRPr="005E7C78" w:rsidRDefault="002A3339" w:rsidP="00825C4D">
                  <w:pPr>
                    <w:pStyle w:val="TLKontakty"/>
                    <w:spacing w:after="80" w:line="240" w:lineRule="auto"/>
                    <w:rPr>
                      <w:b w:val="0"/>
                      <w:color w:val="auto"/>
                    </w:rPr>
                  </w:pPr>
                  <w:r w:rsidRPr="00D66223">
                    <w:t>Zlín</w:t>
                  </w:r>
                  <w:r w:rsidRPr="005E7C78">
                    <w:rPr>
                      <w:b w:val="0"/>
                      <w:color w:val="auto"/>
                    </w:rPr>
                    <w:t xml:space="preserve"> | tř. Tomáše Bati 1565, 761 76 Zlín, </w:t>
                  </w:r>
                  <w:r>
                    <w:rPr>
                      <w:b w:val="0"/>
                      <w:color w:val="auto"/>
                    </w:rPr>
                    <w:t xml:space="preserve">tel.: </w:t>
                  </w:r>
                  <w:r w:rsidRPr="005E7C78">
                    <w:rPr>
                      <w:b w:val="0"/>
                      <w:color w:val="auto"/>
                    </w:rPr>
                    <w:t>577 004 931, 577 004 935</w:t>
                  </w:r>
                </w:p>
                <w:p w:rsidR="002A3339" w:rsidRDefault="002A3339"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2A3339" w:rsidRPr="005E7C78" w:rsidRDefault="002A3339" w:rsidP="0010437D">
                  <w:pPr>
                    <w:pStyle w:val="TLKontakty"/>
                    <w:spacing w:after="80" w:line="240" w:lineRule="auto"/>
                    <w:rPr>
                      <w:b w:val="0"/>
                      <w:color w:val="auto"/>
                    </w:rPr>
                  </w:pPr>
                </w:p>
                <w:p w:rsidR="002A3339" w:rsidRPr="005E7C78" w:rsidRDefault="002A3339" w:rsidP="0010437D">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rsidR="002A3339" w:rsidRPr="0010437D" w:rsidRDefault="002A3339"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w:r>
      <w:r w:rsidRPr="003B224A">
        <w:rPr>
          <w:noProof/>
          <w:lang w:val="en-US" w:eastAsia="en-US"/>
        </w:rPr>
        <w:pict>
          <v:shape id="_x0000_s1034" type="#_x0000_t202" style="position:absolute;margin-left:56.7pt;margin-top:747pt;width:481.9pt;height:28.35pt;z-index:25166182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" filled="f" stroked="f">
            <v:textbox inset="0,0,0,0">
              <w:txbxContent>
                <w:p w:rsidR="002A3339" w:rsidRPr="00321924" w:rsidRDefault="002A3339" w:rsidP="008F029B">
                  <w:r w:rsidRPr="00321924">
                    <w:br/>
                    <w:t xml:space="preserve">© Český statistický úřad, </w:t>
                  </w:r>
                  <w:r>
                    <w:t>Praha</w:t>
                  </w:r>
                  <w:r w:rsidRPr="00321924">
                    <w:t xml:space="preserve">, </w:t>
                  </w:r>
                  <w:r>
                    <w:t>2017</w:t>
                  </w:r>
                </w:p>
                <w:p w:rsidR="002A3339" w:rsidRDefault="002A3339"/>
                <w:p w:rsidR="002A3339" w:rsidRPr="00841D9F" w:rsidRDefault="002A3339" w:rsidP="000A3A2C">
                  <w:r w:rsidRPr="00841D9F">
                    <w:rPr>
                      <w:szCs w:val="26"/>
                    </w:rPr>
                    <w:t xml:space="preserve">ISBN XX-XXXX-XXX-X  </w:t>
                  </w:r>
                  <w:r w:rsidRPr="00841D9F">
                    <w:t>(pouze u nepravidelných a ročních publikací)</w:t>
                  </w:r>
                </w:p>
                <w:p w:rsidR="002A3339" w:rsidRPr="00AF2852" w:rsidRDefault="002A3339" w:rsidP="000A3A2C">
                  <w:r w:rsidRPr="00841D9F">
                    <w:t>© Český sta</w:t>
                  </w:r>
                  <w:r>
                    <w:t xml:space="preserve">tistický úřad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w:r>
      <w:r w:rsidRPr="003B224A">
        <w:rPr>
          <w:noProof/>
          <w:lang w:val="en-US" w:eastAsia="en-US"/>
        </w:rPr>
        <w:pict>
          <v:shape id="_x0000_s1033" type="#_x0000_t202" style="position:absolute;margin-left:56.95pt;margin-top:56.95pt;width:481.85pt;height:45.1pt;z-index:25166080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" filled="f" stroked="f">
            <v:textbox style="mso-fit-shape-to-text:t" inset="0,0,0,0">
              <w:txbxContent>
                <w:p w:rsidR="002A3339" w:rsidRPr="009A1902" w:rsidRDefault="002A3339"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w:r>
    </w:p>
    <w:p w:rsidR="00EE4B1B" w:rsidRPr="006F5416" w:rsidRDefault="00EE4B1B" w:rsidP="006F5416">
      <w:pPr>
        <w:pStyle w:val="Obsah"/>
      </w:pPr>
      <w:r w:rsidRPr="006F5416">
        <w:lastRenderedPageBreak/>
        <w:t>Obsah</w:t>
      </w:r>
    </w:p>
    <w:sdt>
      <w:sdtPr>
        <w:id w:val="6416493"/>
        <w:docPartObj>
          <w:docPartGallery w:val="Table of Contents"/>
          <w:docPartUnique/>
        </w:docPartObj>
      </w:sdtPr>
      <w:sdtEndPr>
        <w:rPr>
          <w:rFonts w:ascii="Arial" w:eastAsia="Times New Roman" w:hAnsi="Arial" w:cs="Times New Roman"/>
          <w:b w:val="0"/>
          <w:bCs w:val="0"/>
          <w:color w:val="auto"/>
          <w:sz w:val="20"/>
          <w:szCs w:val="24"/>
          <w:lang w:eastAsia="cs-CZ"/>
        </w:rPr>
      </w:sdtEndPr>
      <w:sdtContent>
        <w:p w:rsidR="005578C1" w:rsidRPr="005578C1" w:rsidRDefault="005578C1">
          <w:pPr>
            <w:pStyle w:val="Nadpisobsahu"/>
            <w:rPr>
              <w:sz w:val="2"/>
            </w:rPr>
          </w:pPr>
        </w:p>
        <w:p w:rsidR="005578C1" w:rsidRDefault="005578C1">
          <w:pPr>
            <w:pStyle w:val="Obsah1"/>
            <w:tabs>
              <w:tab w:val="left" w:pos="4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3901812" w:history="1">
            <w:r w:rsidRPr="00167166">
              <w:rPr>
                <w:rStyle w:val="Hypertextovodkaz"/>
                <w:noProof/>
              </w:rPr>
              <w:t>1.</w:t>
            </w:r>
            <w:r>
              <w:rPr>
                <w:rFonts w:asciiTheme="minorHAnsi" w:eastAsiaTheme="minorEastAsia" w:hAnsiTheme="minorHAnsi" w:cstheme="minorBidi"/>
                <w:noProof/>
                <w:sz w:val="22"/>
                <w:szCs w:val="22"/>
              </w:rPr>
              <w:t xml:space="preserve"> </w:t>
            </w:r>
            <w:r w:rsidRPr="00167166">
              <w:rPr>
                <w:rStyle w:val="Hypertextovodkaz"/>
                <w:noProof/>
              </w:rPr>
              <w:t>Úvod</w:t>
            </w:r>
            <w:r>
              <w:rPr>
                <w:noProof/>
                <w:webHidden/>
              </w:rPr>
              <w:tab/>
            </w:r>
            <w:r>
              <w:rPr>
                <w:noProof/>
                <w:webHidden/>
              </w:rPr>
              <w:fldChar w:fldCharType="begin"/>
            </w:r>
            <w:r>
              <w:rPr>
                <w:noProof/>
                <w:webHidden/>
              </w:rPr>
              <w:instrText xml:space="preserve"> PAGEREF _Toc483901812 \h </w:instrText>
            </w:r>
            <w:r>
              <w:rPr>
                <w:noProof/>
                <w:webHidden/>
              </w:rPr>
            </w:r>
            <w:r>
              <w:rPr>
                <w:noProof/>
                <w:webHidden/>
              </w:rPr>
              <w:fldChar w:fldCharType="separate"/>
            </w:r>
            <w:r>
              <w:rPr>
                <w:noProof/>
                <w:webHidden/>
              </w:rPr>
              <w:t>4</w:t>
            </w:r>
            <w:r>
              <w:rPr>
                <w:noProof/>
                <w:webHidden/>
              </w:rPr>
              <w:fldChar w:fldCharType="end"/>
            </w:r>
          </w:hyperlink>
        </w:p>
        <w:p w:rsidR="005578C1" w:rsidRDefault="005578C1">
          <w:pPr>
            <w:pStyle w:val="Obsah1"/>
            <w:rPr>
              <w:rFonts w:asciiTheme="minorHAnsi" w:eastAsiaTheme="minorEastAsia" w:hAnsiTheme="minorHAnsi" w:cstheme="minorBidi"/>
              <w:noProof/>
              <w:sz w:val="22"/>
              <w:szCs w:val="22"/>
            </w:rPr>
          </w:pPr>
          <w:hyperlink w:anchor="_Toc483901813" w:history="1">
            <w:r w:rsidRPr="00167166">
              <w:rPr>
                <w:rStyle w:val="Hypertextovodkaz"/>
                <w:noProof/>
              </w:rPr>
              <w:t>2. Metodika, sledované ukazatele</w:t>
            </w:r>
            <w:r>
              <w:rPr>
                <w:noProof/>
                <w:webHidden/>
              </w:rPr>
              <w:tab/>
            </w:r>
            <w:r>
              <w:rPr>
                <w:noProof/>
                <w:webHidden/>
              </w:rPr>
              <w:fldChar w:fldCharType="begin"/>
            </w:r>
            <w:r>
              <w:rPr>
                <w:noProof/>
                <w:webHidden/>
              </w:rPr>
              <w:instrText xml:space="preserve"> PAGEREF _Toc483901813 \h </w:instrText>
            </w:r>
            <w:r>
              <w:rPr>
                <w:noProof/>
                <w:webHidden/>
              </w:rPr>
            </w:r>
            <w:r>
              <w:rPr>
                <w:noProof/>
                <w:webHidden/>
              </w:rPr>
              <w:fldChar w:fldCharType="separate"/>
            </w:r>
            <w:r>
              <w:rPr>
                <w:noProof/>
                <w:webHidden/>
              </w:rPr>
              <w:t>6</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14" w:history="1">
            <w:r w:rsidRPr="00167166">
              <w:rPr>
                <w:rStyle w:val="Hypertextovodkaz"/>
                <w:noProof/>
              </w:rPr>
              <w:t>2.1 Metodika</w:t>
            </w:r>
            <w:r>
              <w:rPr>
                <w:noProof/>
                <w:webHidden/>
              </w:rPr>
              <w:tab/>
            </w:r>
            <w:r>
              <w:rPr>
                <w:noProof/>
                <w:webHidden/>
              </w:rPr>
              <w:fldChar w:fldCharType="begin"/>
            </w:r>
            <w:r>
              <w:rPr>
                <w:noProof/>
                <w:webHidden/>
              </w:rPr>
              <w:instrText xml:space="preserve"> PAGEREF _Toc483901814 \h </w:instrText>
            </w:r>
            <w:r>
              <w:rPr>
                <w:noProof/>
                <w:webHidden/>
              </w:rPr>
            </w:r>
            <w:r>
              <w:rPr>
                <w:noProof/>
                <w:webHidden/>
              </w:rPr>
              <w:fldChar w:fldCharType="separate"/>
            </w:r>
            <w:r>
              <w:rPr>
                <w:noProof/>
                <w:webHidden/>
              </w:rPr>
              <w:t>6</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15" w:history="1">
            <w:r w:rsidRPr="00167166">
              <w:rPr>
                <w:rStyle w:val="Hypertextovodkaz"/>
                <w:noProof/>
              </w:rPr>
              <w:t>2.2 Sledované ukazatele</w:t>
            </w:r>
            <w:r>
              <w:rPr>
                <w:noProof/>
                <w:webHidden/>
              </w:rPr>
              <w:tab/>
            </w:r>
            <w:r>
              <w:rPr>
                <w:noProof/>
                <w:webHidden/>
              </w:rPr>
              <w:fldChar w:fldCharType="begin"/>
            </w:r>
            <w:r>
              <w:rPr>
                <w:noProof/>
                <w:webHidden/>
              </w:rPr>
              <w:instrText xml:space="preserve"> PAGEREF _Toc483901815 \h </w:instrText>
            </w:r>
            <w:r>
              <w:rPr>
                <w:noProof/>
                <w:webHidden/>
              </w:rPr>
            </w:r>
            <w:r>
              <w:rPr>
                <w:noProof/>
                <w:webHidden/>
              </w:rPr>
              <w:fldChar w:fldCharType="separate"/>
            </w:r>
            <w:r>
              <w:rPr>
                <w:noProof/>
                <w:webHidden/>
              </w:rPr>
              <w:t>7</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16" w:history="1">
            <w:r w:rsidRPr="00167166">
              <w:rPr>
                <w:rStyle w:val="Hypertextovodkaz"/>
                <w:noProof/>
              </w:rPr>
              <w:t>Dočasná pracovní neschopnost (DPN)</w:t>
            </w:r>
            <w:r>
              <w:rPr>
                <w:noProof/>
                <w:webHidden/>
              </w:rPr>
              <w:tab/>
            </w:r>
            <w:r>
              <w:rPr>
                <w:noProof/>
                <w:webHidden/>
              </w:rPr>
              <w:fldChar w:fldCharType="begin"/>
            </w:r>
            <w:r>
              <w:rPr>
                <w:noProof/>
                <w:webHidden/>
              </w:rPr>
              <w:instrText xml:space="preserve"> PAGEREF _Toc483901816 \h </w:instrText>
            </w:r>
            <w:r>
              <w:rPr>
                <w:noProof/>
                <w:webHidden/>
              </w:rPr>
            </w:r>
            <w:r>
              <w:rPr>
                <w:noProof/>
                <w:webHidden/>
              </w:rPr>
              <w:fldChar w:fldCharType="separate"/>
            </w:r>
            <w:r>
              <w:rPr>
                <w:noProof/>
                <w:webHidden/>
              </w:rPr>
              <w:t>7</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17" w:history="1">
            <w:r w:rsidRPr="00167166">
              <w:rPr>
                <w:rStyle w:val="Hypertextovodkaz"/>
                <w:noProof/>
              </w:rPr>
              <w:t>Průměrný počet nemocensky pojištěných</w:t>
            </w:r>
            <w:r>
              <w:rPr>
                <w:noProof/>
                <w:webHidden/>
              </w:rPr>
              <w:tab/>
            </w:r>
            <w:r>
              <w:rPr>
                <w:noProof/>
                <w:webHidden/>
              </w:rPr>
              <w:fldChar w:fldCharType="begin"/>
            </w:r>
            <w:r>
              <w:rPr>
                <w:noProof/>
                <w:webHidden/>
              </w:rPr>
              <w:instrText xml:space="preserve"> PAGEREF _Toc483901817 \h </w:instrText>
            </w:r>
            <w:r>
              <w:rPr>
                <w:noProof/>
                <w:webHidden/>
              </w:rPr>
            </w:r>
            <w:r>
              <w:rPr>
                <w:noProof/>
                <w:webHidden/>
              </w:rPr>
              <w:fldChar w:fldCharType="separate"/>
            </w:r>
            <w:r>
              <w:rPr>
                <w:noProof/>
                <w:webHidden/>
              </w:rPr>
              <w:t>7</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18" w:history="1">
            <w:r w:rsidRPr="00167166">
              <w:rPr>
                <w:rStyle w:val="Hypertextovodkaz"/>
                <w:noProof/>
              </w:rPr>
              <w:t>Průměrný počet nemocensky pojištěných mladistvých</w:t>
            </w:r>
            <w:r>
              <w:rPr>
                <w:noProof/>
                <w:webHidden/>
              </w:rPr>
              <w:tab/>
            </w:r>
            <w:r>
              <w:rPr>
                <w:noProof/>
                <w:webHidden/>
              </w:rPr>
              <w:fldChar w:fldCharType="begin"/>
            </w:r>
            <w:r>
              <w:rPr>
                <w:noProof/>
                <w:webHidden/>
              </w:rPr>
              <w:instrText xml:space="preserve"> PAGEREF _Toc483901818 \h </w:instrText>
            </w:r>
            <w:r>
              <w:rPr>
                <w:noProof/>
                <w:webHidden/>
              </w:rPr>
            </w:r>
            <w:r>
              <w:rPr>
                <w:noProof/>
                <w:webHidden/>
              </w:rPr>
              <w:fldChar w:fldCharType="separate"/>
            </w:r>
            <w:r>
              <w:rPr>
                <w:noProof/>
                <w:webHidden/>
              </w:rPr>
              <w:t>8</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19" w:history="1">
            <w:r w:rsidRPr="00167166">
              <w:rPr>
                <w:rStyle w:val="Hypertextovodkaz"/>
                <w:noProof/>
              </w:rPr>
              <w:t>Počet pracovně právních pojistných vztahů</w:t>
            </w:r>
            <w:r>
              <w:rPr>
                <w:noProof/>
                <w:webHidden/>
              </w:rPr>
              <w:tab/>
            </w:r>
            <w:r>
              <w:rPr>
                <w:noProof/>
                <w:webHidden/>
              </w:rPr>
              <w:fldChar w:fldCharType="begin"/>
            </w:r>
            <w:r>
              <w:rPr>
                <w:noProof/>
                <w:webHidden/>
              </w:rPr>
              <w:instrText xml:space="preserve"> PAGEREF _Toc483901819 \h </w:instrText>
            </w:r>
            <w:r>
              <w:rPr>
                <w:noProof/>
                <w:webHidden/>
              </w:rPr>
            </w:r>
            <w:r>
              <w:rPr>
                <w:noProof/>
                <w:webHidden/>
              </w:rPr>
              <w:fldChar w:fldCharType="separate"/>
            </w:r>
            <w:r>
              <w:rPr>
                <w:noProof/>
                <w:webHidden/>
              </w:rPr>
              <w:t>8</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0" w:history="1">
            <w:r w:rsidRPr="00167166">
              <w:rPr>
                <w:rStyle w:val="Hypertextovodkaz"/>
                <w:noProof/>
              </w:rPr>
              <w:t>Počet nově hlášených případů dočasné pracovní neschopnosti</w:t>
            </w:r>
            <w:r>
              <w:rPr>
                <w:noProof/>
                <w:webHidden/>
              </w:rPr>
              <w:tab/>
            </w:r>
            <w:r>
              <w:rPr>
                <w:noProof/>
                <w:webHidden/>
              </w:rPr>
              <w:fldChar w:fldCharType="begin"/>
            </w:r>
            <w:r>
              <w:rPr>
                <w:noProof/>
                <w:webHidden/>
              </w:rPr>
              <w:instrText xml:space="preserve"> PAGEREF _Toc483901820 \h </w:instrText>
            </w:r>
            <w:r>
              <w:rPr>
                <w:noProof/>
                <w:webHidden/>
              </w:rPr>
            </w:r>
            <w:r>
              <w:rPr>
                <w:noProof/>
                <w:webHidden/>
              </w:rPr>
              <w:fldChar w:fldCharType="separate"/>
            </w:r>
            <w:r>
              <w:rPr>
                <w:noProof/>
                <w:webHidden/>
              </w:rPr>
              <w:t>8</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1" w:history="1">
            <w:r w:rsidRPr="00167166">
              <w:rPr>
                <w:rStyle w:val="Hypertextovodkaz"/>
                <w:noProof/>
              </w:rPr>
              <w:t>Počet kalendářních dnů dočasné pracovní neschopnosti</w:t>
            </w:r>
            <w:r>
              <w:rPr>
                <w:noProof/>
                <w:webHidden/>
              </w:rPr>
              <w:tab/>
            </w:r>
            <w:r>
              <w:rPr>
                <w:noProof/>
                <w:webHidden/>
              </w:rPr>
              <w:fldChar w:fldCharType="begin"/>
            </w:r>
            <w:r>
              <w:rPr>
                <w:noProof/>
                <w:webHidden/>
              </w:rPr>
              <w:instrText xml:space="preserve"> PAGEREF _Toc483901821 \h </w:instrText>
            </w:r>
            <w:r>
              <w:rPr>
                <w:noProof/>
                <w:webHidden/>
              </w:rPr>
            </w:r>
            <w:r>
              <w:rPr>
                <w:noProof/>
                <w:webHidden/>
              </w:rPr>
              <w:fldChar w:fldCharType="separate"/>
            </w:r>
            <w:r>
              <w:rPr>
                <w:noProof/>
                <w:webHidden/>
              </w:rPr>
              <w:t>8</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2" w:history="1">
            <w:r w:rsidRPr="00167166">
              <w:rPr>
                <w:rStyle w:val="Hypertextovodkaz"/>
                <w:noProof/>
              </w:rPr>
              <w:t>Pracovní úrazy s pracovní neschopností delší než 3 dny</w:t>
            </w:r>
            <w:r>
              <w:rPr>
                <w:noProof/>
                <w:webHidden/>
              </w:rPr>
              <w:tab/>
            </w:r>
            <w:r>
              <w:rPr>
                <w:noProof/>
                <w:webHidden/>
              </w:rPr>
              <w:fldChar w:fldCharType="begin"/>
            </w:r>
            <w:r>
              <w:rPr>
                <w:noProof/>
                <w:webHidden/>
              </w:rPr>
              <w:instrText xml:space="preserve"> PAGEREF _Toc483901822 \h </w:instrText>
            </w:r>
            <w:r>
              <w:rPr>
                <w:noProof/>
                <w:webHidden/>
              </w:rPr>
            </w:r>
            <w:r>
              <w:rPr>
                <w:noProof/>
                <w:webHidden/>
              </w:rPr>
              <w:fldChar w:fldCharType="separate"/>
            </w:r>
            <w:r>
              <w:rPr>
                <w:noProof/>
                <w:webHidden/>
              </w:rPr>
              <w:t>9</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3" w:history="1">
            <w:r w:rsidRPr="00167166">
              <w:rPr>
                <w:rStyle w:val="Hypertextovodkaz"/>
                <w:noProof/>
              </w:rPr>
              <w:t>Počet případů pracovní neschopnosti na 100 pojištěnců</w:t>
            </w:r>
            <w:r>
              <w:rPr>
                <w:noProof/>
                <w:webHidden/>
              </w:rPr>
              <w:tab/>
            </w:r>
            <w:r>
              <w:rPr>
                <w:noProof/>
                <w:webHidden/>
              </w:rPr>
              <w:fldChar w:fldCharType="begin"/>
            </w:r>
            <w:r>
              <w:rPr>
                <w:noProof/>
                <w:webHidden/>
              </w:rPr>
              <w:instrText xml:space="preserve"> PAGEREF _Toc483901823 \h </w:instrText>
            </w:r>
            <w:r>
              <w:rPr>
                <w:noProof/>
                <w:webHidden/>
              </w:rPr>
            </w:r>
            <w:r>
              <w:rPr>
                <w:noProof/>
                <w:webHidden/>
              </w:rPr>
              <w:fldChar w:fldCharType="separate"/>
            </w:r>
            <w:r>
              <w:rPr>
                <w:noProof/>
                <w:webHidden/>
              </w:rPr>
              <w:t>9</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4" w:history="1">
            <w:r w:rsidRPr="00167166">
              <w:rPr>
                <w:rStyle w:val="Hypertextovodkaz"/>
                <w:noProof/>
              </w:rPr>
              <w:t>Průměrná délka trvání pracovní neschopnosti ve dnech</w:t>
            </w:r>
            <w:r>
              <w:rPr>
                <w:noProof/>
                <w:webHidden/>
              </w:rPr>
              <w:tab/>
            </w:r>
            <w:r>
              <w:rPr>
                <w:noProof/>
                <w:webHidden/>
              </w:rPr>
              <w:fldChar w:fldCharType="begin"/>
            </w:r>
            <w:r>
              <w:rPr>
                <w:noProof/>
                <w:webHidden/>
              </w:rPr>
              <w:instrText xml:space="preserve"> PAGEREF _Toc483901824 \h </w:instrText>
            </w:r>
            <w:r>
              <w:rPr>
                <w:noProof/>
                <w:webHidden/>
              </w:rPr>
            </w:r>
            <w:r>
              <w:rPr>
                <w:noProof/>
                <w:webHidden/>
              </w:rPr>
              <w:fldChar w:fldCharType="separate"/>
            </w:r>
            <w:r>
              <w:rPr>
                <w:noProof/>
                <w:webHidden/>
              </w:rPr>
              <w:t>9</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5" w:history="1">
            <w:r w:rsidRPr="00167166">
              <w:rPr>
                <w:rStyle w:val="Hypertextovodkaz"/>
                <w:noProof/>
              </w:rPr>
              <w:t>Průměrné procento dočasné pracovní neschopnosti</w:t>
            </w:r>
            <w:r>
              <w:rPr>
                <w:noProof/>
                <w:webHidden/>
              </w:rPr>
              <w:tab/>
            </w:r>
            <w:r>
              <w:rPr>
                <w:noProof/>
                <w:webHidden/>
              </w:rPr>
              <w:fldChar w:fldCharType="begin"/>
            </w:r>
            <w:r>
              <w:rPr>
                <w:noProof/>
                <w:webHidden/>
              </w:rPr>
              <w:instrText xml:space="preserve"> PAGEREF _Toc483901825 \h </w:instrText>
            </w:r>
            <w:r>
              <w:rPr>
                <w:noProof/>
                <w:webHidden/>
              </w:rPr>
            </w:r>
            <w:r>
              <w:rPr>
                <w:noProof/>
                <w:webHidden/>
              </w:rPr>
              <w:fldChar w:fldCharType="separate"/>
            </w:r>
            <w:r>
              <w:rPr>
                <w:noProof/>
                <w:webHidden/>
              </w:rPr>
              <w:t>9</w:t>
            </w:r>
            <w:r>
              <w:rPr>
                <w:noProof/>
                <w:webHidden/>
              </w:rPr>
              <w:fldChar w:fldCharType="end"/>
            </w:r>
          </w:hyperlink>
        </w:p>
        <w:p w:rsidR="005578C1" w:rsidRDefault="005578C1">
          <w:pPr>
            <w:pStyle w:val="Obsah3"/>
            <w:rPr>
              <w:rFonts w:asciiTheme="minorHAnsi" w:eastAsiaTheme="minorEastAsia" w:hAnsiTheme="minorHAnsi" w:cstheme="minorBidi"/>
              <w:noProof/>
              <w:sz w:val="22"/>
              <w:szCs w:val="22"/>
            </w:rPr>
          </w:pPr>
          <w:hyperlink w:anchor="_Toc483901826" w:history="1">
            <w:r w:rsidRPr="00167166">
              <w:rPr>
                <w:rStyle w:val="Hypertextovodkaz"/>
                <w:noProof/>
              </w:rPr>
              <w:t>Průměrný denní stav práce neschopných</w:t>
            </w:r>
            <w:r>
              <w:rPr>
                <w:noProof/>
                <w:webHidden/>
              </w:rPr>
              <w:tab/>
            </w:r>
            <w:r>
              <w:rPr>
                <w:noProof/>
                <w:webHidden/>
              </w:rPr>
              <w:fldChar w:fldCharType="begin"/>
            </w:r>
            <w:r>
              <w:rPr>
                <w:noProof/>
                <w:webHidden/>
              </w:rPr>
              <w:instrText xml:space="preserve"> PAGEREF _Toc483901826 \h </w:instrText>
            </w:r>
            <w:r>
              <w:rPr>
                <w:noProof/>
                <w:webHidden/>
              </w:rPr>
            </w:r>
            <w:r>
              <w:rPr>
                <w:noProof/>
                <w:webHidden/>
              </w:rPr>
              <w:fldChar w:fldCharType="separate"/>
            </w:r>
            <w:r>
              <w:rPr>
                <w:noProof/>
                <w:webHidden/>
              </w:rPr>
              <w:t>9</w:t>
            </w:r>
            <w:r>
              <w:rPr>
                <w:noProof/>
                <w:webHidden/>
              </w:rPr>
              <w:fldChar w:fldCharType="end"/>
            </w:r>
          </w:hyperlink>
        </w:p>
        <w:p w:rsidR="005578C1" w:rsidRDefault="005578C1">
          <w:pPr>
            <w:pStyle w:val="Obsah1"/>
            <w:rPr>
              <w:rFonts w:asciiTheme="minorHAnsi" w:eastAsiaTheme="minorEastAsia" w:hAnsiTheme="minorHAnsi" w:cstheme="minorBidi"/>
              <w:noProof/>
              <w:sz w:val="22"/>
              <w:szCs w:val="22"/>
            </w:rPr>
          </w:pPr>
          <w:hyperlink w:anchor="_Toc483901827" w:history="1">
            <w:r w:rsidRPr="00167166">
              <w:rPr>
                <w:rStyle w:val="Hypertextovodkaz"/>
                <w:noProof/>
              </w:rPr>
              <w:t>3. Pracovní neschopnost pro nemoc a úraz v České republice za rok 2016</w:t>
            </w:r>
            <w:r>
              <w:rPr>
                <w:noProof/>
                <w:webHidden/>
              </w:rPr>
              <w:tab/>
            </w:r>
            <w:r>
              <w:rPr>
                <w:noProof/>
                <w:webHidden/>
              </w:rPr>
              <w:fldChar w:fldCharType="begin"/>
            </w:r>
            <w:r>
              <w:rPr>
                <w:noProof/>
                <w:webHidden/>
              </w:rPr>
              <w:instrText xml:space="preserve"> PAGEREF _Toc483901827 \h </w:instrText>
            </w:r>
            <w:r>
              <w:rPr>
                <w:noProof/>
                <w:webHidden/>
              </w:rPr>
            </w:r>
            <w:r>
              <w:rPr>
                <w:noProof/>
                <w:webHidden/>
              </w:rPr>
              <w:fldChar w:fldCharType="separate"/>
            </w:r>
            <w:r>
              <w:rPr>
                <w:noProof/>
                <w:webHidden/>
              </w:rPr>
              <w:t>10</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28" w:history="1">
            <w:r w:rsidRPr="00167166">
              <w:rPr>
                <w:rStyle w:val="Hypertextovodkaz"/>
                <w:noProof/>
              </w:rPr>
              <w:t>3.1 Nemocensky pojištěné osoby</w:t>
            </w:r>
            <w:r>
              <w:rPr>
                <w:noProof/>
                <w:webHidden/>
              </w:rPr>
              <w:tab/>
            </w:r>
            <w:r>
              <w:rPr>
                <w:noProof/>
                <w:webHidden/>
              </w:rPr>
              <w:fldChar w:fldCharType="begin"/>
            </w:r>
            <w:r>
              <w:rPr>
                <w:noProof/>
                <w:webHidden/>
              </w:rPr>
              <w:instrText xml:space="preserve"> PAGEREF _Toc483901828 \h </w:instrText>
            </w:r>
            <w:r>
              <w:rPr>
                <w:noProof/>
                <w:webHidden/>
              </w:rPr>
            </w:r>
            <w:r>
              <w:rPr>
                <w:noProof/>
                <w:webHidden/>
              </w:rPr>
              <w:fldChar w:fldCharType="separate"/>
            </w:r>
            <w:r>
              <w:rPr>
                <w:noProof/>
                <w:webHidden/>
              </w:rPr>
              <w:t>10</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29" w:history="1">
            <w:r w:rsidRPr="00167166">
              <w:rPr>
                <w:rStyle w:val="Hypertextovodkaz"/>
                <w:noProof/>
              </w:rPr>
              <w:t>3.2 Počet nově hlášených případů dočasné pracovní neschopnosti</w:t>
            </w:r>
            <w:r>
              <w:rPr>
                <w:noProof/>
                <w:webHidden/>
              </w:rPr>
              <w:tab/>
            </w:r>
            <w:r>
              <w:rPr>
                <w:noProof/>
                <w:webHidden/>
              </w:rPr>
              <w:fldChar w:fldCharType="begin"/>
            </w:r>
            <w:r>
              <w:rPr>
                <w:noProof/>
                <w:webHidden/>
              </w:rPr>
              <w:instrText xml:space="preserve"> PAGEREF _Toc483901829 \h </w:instrText>
            </w:r>
            <w:r>
              <w:rPr>
                <w:noProof/>
                <w:webHidden/>
              </w:rPr>
            </w:r>
            <w:r>
              <w:rPr>
                <w:noProof/>
                <w:webHidden/>
              </w:rPr>
              <w:fldChar w:fldCharType="separate"/>
            </w:r>
            <w:r>
              <w:rPr>
                <w:noProof/>
                <w:webHidden/>
              </w:rPr>
              <w:t>11</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30" w:history="1">
            <w:r w:rsidRPr="00167166">
              <w:rPr>
                <w:rStyle w:val="Hypertextovodkaz"/>
                <w:noProof/>
              </w:rPr>
              <w:t>3.3 Počet kalendářních dnů a průměrná délka trvání 1 případu dočasné pracovní neschopnosti</w:t>
            </w:r>
            <w:r>
              <w:rPr>
                <w:noProof/>
                <w:webHidden/>
              </w:rPr>
              <w:tab/>
            </w:r>
            <w:r>
              <w:rPr>
                <w:noProof/>
                <w:webHidden/>
              </w:rPr>
              <w:fldChar w:fldCharType="begin"/>
            </w:r>
            <w:r>
              <w:rPr>
                <w:noProof/>
                <w:webHidden/>
              </w:rPr>
              <w:instrText xml:space="preserve"> PAGEREF _Toc483901830 \h </w:instrText>
            </w:r>
            <w:r>
              <w:rPr>
                <w:noProof/>
                <w:webHidden/>
              </w:rPr>
            </w:r>
            <w:r>
              <w:rPr>
                <w:noProof/>
                <w:webHidden/>
              </w:rPr>
              <w:fldChar w:fldCharType="separate"/>
            </w:r>
            <w:r>
              <w:rPr>
                <w:noProof/>
                <w:webHidden/>
              </w:rPr>
              <w:t>17</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31" w:history="1">
            <w:r w:rsidRPr="00167166">
              <w:rPr>
                <w:rStyle w:val="Hypertextovodkaz"/>
                <w:noProof/>
              </w:rPr>
              <w:t>3.4 Průměrné procento dočasné pracovní neschopnosti</w:t>
            </w:r>
            <w:r>
              <w:rPr>
                <w:noProof/>
                <w:webHidden/>
              </w:rPr>
              <w:tab/>
            </w:r>
            <w:r>
              <w:rPr>
                <w:noProof/>
                <w:webHidden/>
              </w:rPr>
              <w:fldChar w:fldCharType="begin"/>
            </w:r>
            <w:r>
              <w:rPr>
                <w:noProof/>
                <w:webHidden/>
              </w:rPr>
              <w:instrText xml:space="preserve"> PAGEREF _Toc483901831 \h </w:instrText>
            </w:r>
            <w:r>
              <w:rPr>
                <w:noProof/>
                <w:webHidden/>
              </w:rPr>
            </w:r>
            <w:r>
              <w:rPr>
                <w:noProof/>
                <w:webHidden/>
              </w:rPr>
              <w:fldChar w:fldCharType="separate"/>
            </w:r>
            <w:r>
              <w:rPr>
                <w:noProof/>
                <w:webHidden/>
              </w:rPr>
              <w:t>19</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32" w:history="1">
            <w:r w:rsidRPr="00167166">
              <w:rPr>
                <w:rStyle w:val="Hypertextovodkaz"/>
                <w:noProof/>
              </w:rPr>
              <w:t>3.5 Průměrný denní stav dočasně práce neschopných</w:t>
            </w:r>
            <w:r>
              <w:rPr>
                <w:noProof/>
                <w:webHidden/>
              </w:rPr>
              <w:tab/>
            </w:r>
            <w:r>
              <w:rPr>
                <w:noProof/>
                <w:webHidden/>
              </w:rPr>
              <w:fldChar w:fldCharType="begin"/>
            </w:r>
            <w:r>
              <w:rPr>
                <w:noProof/>
                <w:webHidden/>
              </w:rPr>
              <w:instrText xml:space="preserve"> PAGEREF _Toc483901832 \h </w:instrText>
            </w:r>
            <w:r>
              <w:rPr>
                <w:noProof/>
                <w:webHidden/>
              </w:rPr>
            </w:r>
            <w:r>
              <w:rPr>
                <w:noProof/>
                <w:webHidden/>
              </w:rPr>
              <w:fldChar w:fldCharType="separate"/>
            </w:r>
            <w:r>
              <w:rPr>
                <w:noProof/>
                <w:webHidden/>
              </w:rPr>
              <w:t>20</w:t>
            </w:r>
            <w:r>
              <w:rPr>
                <w:noProof/>
                <w:webHidden/>
              </w:rPr>
              <w:fldChar w:fldCharType="end"/>
            </w:r>
          </w:hyperlink>
        </w:p>
        <w:p w:rsidR="005578C1" w:rsidRDefault="005578C1">
          <w:pPr>
            <w:pStyle w:val="Obsah1"/>
            <w:rPr>
              <w:rFonts w:asciiTheme="minorHAnsi" w:eastAsiaTheme="minorEastAsia" w:hAnsiTheme="minorHAnsi" w:cstheme="minorBidi"/>
              <w:noProof/>
              <w:sz w:val="22"/>
              <w:szCs w:val="22"/>
            </w:rPr>
          </w:pPr>
          <w:hyperlink w:anchor="_Toc483901833" w:history="1">
            <w:r w:rsidRPr="00167166">
              <w:rPr>
                <w:rStyle w:val="Hypertextovodkaz"/>
                <w:noProof/>
              </w:rPr>
              <w:t>4. Přílohy</w:t>
            </w:r>
            <w:r>
              <w:rPr>
                <w:noProof/>
                <w:webHidden/>
              </w:rPr>
              <w:tab/>
            </w:r>
            <w:r>
              <w:rPr>
                <w:noProof/>
                <w:webHidden/>
              </w:rPr>
              <w:fldChar w:fldCharType="begin"/>
            </w:r>
            <w:r>
              <w:rPr>
                <w:noProof/>
                <w:webHidden/>
              </w:rPr>
              <w:instrText xml:space="preserve"> PAGEREF _Toc483901833 \h </w:instrText>
            </w:r>
            <w:r>
              <w:rPr>
                <w:noProof/>
                <w:webHidden/>
              </w:rPr>
            </w:r>
            <w:r>
              <w:rPr>
                <w:noProof/>
                <w:webHidden/>
              </w:rPr>
              <w:fldChar w:fldCharType="separate"/>
            </w:r>
            <w:r>
              <w:rPr>
                <w:noProof/>
                <w:webHidden/>
              </w:rPr>
              <w:t>22</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34" w:history="1">
            <w:r w:rsidRPr="00167166">
              <w:rPr>
                <w:rStyle w:val="Hypertextovodkaz"/>
                <w:noProof/>
              </w:rPr>
              <w:t>Příloha č. 1 - Nemocenské pojištění v roce 2016</w:t>
            </w:r>
            <w:r>
              <w:rPr>
                <w:noProof/>
                <w:webHidden/>
              </w:rPr>
              <w:tab/>
            </w:r>
            <w:r>
              <w:rPr>
                <w:noProof/>
                <w:webHidden/>
              </w:rPr>
              <w:fldChar w:fldCharType="begin"/>
            </w:r>
            <w:r>
              <w:rPr>
                <w:noProof/>
                <w:webHidden/>
              </w:rPr>
              <w:instrText xml:space="preserve"> PAGEREF _Toc483901834 \h </w:instrText>
            </w:r>
            <w:r>
              <w:rPr>
                <w:noProof/>
                <w:webHidden/>
              </w:rPr>
            </w:r>
            <w:r>
              <w:rPr>
                <w:noProof/>
                <w:webHidden/>
              </w:rPr>
              <w:fldChar w:fldCharType="separate"/>
            </w:r>
            <w:r>
              <w:rPr>
                <w:noProof/>
                <w:webHidden/>
              </w:rPr>
              <w:t>22</w:t>
            </w:r>
            <w:r>
              <w:rPr>
                <w:noProof/>
                <w:webHidden/>
              </w:rPr>
              <w:fldChar w:fldCharType="end"/>
            </w:r>
          </w:hyperlink>
        </w:p>
        <w:p w:rsidR="005578C1" w:rsidRDefault="005578C1">
          <w:pPr>
            <w:pStyle w:val="Obsah2"/>
            <w:rPr>
              <w:rFonts w:asciiTheme="minorHAnsi" w:eastAsiaTheme="minorEastAsia" w:hAnsiTheme="minorHAnsi" w:cstheme="minorBidi"/>
              <w:noProof/>
              <w:sz w:val="22"/>
              <w:szCs w:val="22"/>
            </w:rPr>
          </w:pPr>
          <w:hyperlink w:anchor="_Toc483901835" w:history="1">
            <w:r w:rsidRPr="00167166">
              <w:rPr>
                <w:rStyle w:val="Hypertextovodkaz"/>
                <w:noProof/>
              </w:rPr>
              <w:t>Příloha č. 2 - Legislativní změny v nemocenském pojištění v období 1999 - 2016</w:t>
            </w:r>
            <w:r>
              <w:rPr>
                <w:noProof/>
                <w:webHidden/>
              </w:rPr>
              <w:tab/>
            </w:r>
            <w:r>
              <w:rPr>
                <w:noProof/>
                <w:webHidden/>
              </w:rPr>
              <w:fldChar w:fldCharType="begin"/>
            </w:r>
            <w:r>
              <w:rPr>
                <w:noProof/>
                <w:webHidden/>
              </w:rPr>
              <w:instrText xml:space="preserve"> PAGEREF _Toc483901835 \h </w:instrText>
            </w:r>
            <w:r>
              <w:rPr>
                <w:noProof/>
                <w:webHidden/>
              </w:rPr>
            </w:r>
            <w:r>
              <w:rPr>
                <w:noProof/>
                <w:webHidden/>
              </w:rPr>
              <w:fldChar w:fldCharType="separate"/>
            </w:r>
            <w:r>
              <w:rPr>
                <w:noProof/>
                <w:webHidden/>
              </w:rPr>
              <w:t>25</w:t>
            </w:r>
            <w:r>
              <w:rPr>
                <w:noProof/>
                <w:webHidden/>
              </w:rPr>
              <w:fldChar w:fldCharType="end"/>
            </w:r>
          </w:hyperlink>
        </w:p>
        <w:p w:rsidR="005578C1" w:rsidRDefault="005578C1">
          <w:pPr>
            <w:pStyle w:val="Obsah1"/>
            <w:rPr>
              <w:rFonts w:asciiTheme="minorHAnsi" w:eastAsiaTheme="minorEastAsia" w:hAnsiTheme="minorHAnsi" w:cstheme="minorBidi"/>
              <w:noProof/>
              <w:sz w:val="22"/>
              <w:szCs w:val="22"/>
            </w:rPr>
          </w:pPr>
          <w:hyperlink w:anchor="_Toc483901836" w:history="1">
            <w:r w:rsidRPr="00167166">
              <w:rPr>
                <w:rStyle w:val="Hypertextovodkaz"/>
                <w:noProof/>
              </w:rPr>
              <w:t>5. Použité značky, zkratky</w:t>
            </w:r>
            <w:r>
              <w:rPr>
                <w:noProof/>
                <w:webHidden/>
              </w:rPr>
              <w:tab/>
            </w:r>
            <w:r>
              <w:rPr>
                <w:noProof/>
                <w:webHidden/>
              </w:rPr>
              <w:fldChar w:fldCharType="begin"/>
            </w:r>
            <w:r>
              <w:rPr>
                <w:noProof/>
                <w:webHidden/>
              </w:rPr>
              <w:instrText xml:space="preserve"> PAGEREF _Toc483901836 \h </w:instrText>
            </w:r>
            <w:r>
              <w:rPr>
                <w:noProof/>
                <w:webHidden/>
              </w:rPr>
            </w:r>
            <w:r>
              <w:rPr>
                <w:noProof/>
                <w:webHidden/>
              </w:rPr>
              <w:fldChar w:fldCharType="separate"/>
            </w:r>
            <w:r>
              <w:rPr>
                <w:noProof/>
                <w:webHidden/>
              </w:rPr>
              <w:t>30</w:t>
            </w:r>
            <w:r>
              <w:rPr>
                <w:noProof/>
                <w:webHidden/>
              </w:rPr>
              <w:fldChar w:fldCharType="end"/>
            </w:r>
          </w:hyperlink>
        </w:p>
        <w:p w:rsidR="005578C1" w:rsidRDefault="005578C1">
          <w:r>
            <w:fldChar w:fldCharType="end"/>
          </w:r>
        </w:p>
      </w:sdtContent>
    </w:sdt>
    <w:p w:rsidR="00A333BA" w:rsidRDefault="00A333BA" w:rsidP="00483609">
      <w:pPr>
        <w:tabs>
          <w:tab w:val="left" w:pos="567"/>
          <w:tab w:val="left" w:pos="9214"/>
        </w:tabs>
        <w:spacing w:after="0" w:line="240" w:lineRule="auto"/>
        <w:rPr>
          <w:rFonts w:eastAsia="MS Gothic"/>
          <w:b/>
          <w:bCs/>
          <w:color w:val="C00000"/>
          <w:sz w:val="32"/>
          <w:szCs w:val="28"/>
        </w:rPr>
      </w:pPr>
      <w:r>
        <w:br w:type="page"/>
      </w:r>
    </w:p>
    <w:p w:rsidR="00F443D9" w:rsidRDefault="00F443D9" w:rsidP="003E6827">
      <w:pPr>
        <w:pStyle w:val="Nadpis1"/>
        <w:numPr>
          <w:ilvl w:val="0"/>
          <w:numId w:val="38"/>
        </w:numPr>
        <w:spacing w:after="360"/>
        <w:ind w:left="357" w:hanging="357"/>
      </w:pPr>
      <w:bookmarkStart w:id="0" w:name="_Toc483838324"/>
      <w:bookmarkStart w:id="1" w:name="_Toc483901812"/>
      <w:r>
        <w:lastRenderedPageBreak/>
        <w:t>Úvod</w:t>
      </w:r>
      <w:bookmarkEnd w:id="0"/>
      <w:bookmarkEnd w:id="1"/>
    </w:p>
    <w:p w:rsidR="00F443D9" w:rsidRDefault="00F443D9" w:rsidP="00F443D9">
      <w:pPr>
        <w:autoSpaceDE w:val="0"/>
        <w:autoSpaceDN w:val="0"/>
        <w:adjustRightInd w:val="0"/>
        <w:jc w:val="both"/>
        <w:rPr>
          <w:rFonts w:cs="Arial"/>
        </w:rPr>
      </w:pPr>
      <w:r>
        <w:rPr>
          <w:rFonts w:cs="Arial"/>
        </w:rPr>
        <w:t>Publikace Pracovní ne</w:t>
      </w:r>
      <w:r w:rsidR="00D26C95">
        <w:rPr>
          <w:rFonts w:cs="Arial"/>
        </w:rPr>
        <w:t>schopnost pro nemoc a úraz v ČR</w:t>
      </w:r>
      <w:r>
        <w:rPr>
          <w:rFonts w:cs="Arial"/>
        </w:rPr>
        <w:t xml:space="preserve"> za rok 2016 nabízí základní přehled o dočasné pracovní neschopnosti obyvatel ČR z důvodu nemoci či úrazu v roce 2016. </w:t>
      </w:r>
    </w:p>
    <w:p w:rsidR="00F443D9" w:rsidRDefault="00F443D9" w:rsidP="00F443D9">
      <w:pPr>
        <w:autoSpaceDE w:val="0"/>
        <w:autoSpaceDN w:val="0"/>
        <w:adjustRightInd w:val="0"/>
        <w:jc w:val="both"/>
        <w:rPr>
          <w:rFonts w:cs="Arial"/>
        </w:rPr>
      </w:pPr>
      <w:r>
        <w:rPr>
          <w:rFonts w:cs="Arial"/>
        </w:rPr>
        <w:t xml:space="preserve">Data o pracovní neschopnosti pro nemoc a úraz vycházejí ze </w:t>
      </w:r>
      <w:r w:rsidR="00984FF2" w:rsidRPr="00984FF2">
        <w:rPr>
          <w:rFonts w:cs="Arial"/>
        </w:rPr>
        <w:t>společného zpracování údajů</w:t>
      </w:r>
      <w:r w:rsidRPr="004C1671">
        <w:rPr>
          <w:rFonts w:cs="Arial"/>
          <w:b/>
        </w:rPr>
        <w:t xml:space="preserve"> České správy sociálního zabezpečení (ČSSZ) </w:t>
      </w:r>
      <w:r w:rsidR="00984FF2" w:rsidRPr="00984FF2">
        <w:rPr>
          <w:rFonts w:cs="Arial"/>
        </w:rPr>
        <w:t>a</w:t>
      </w:r>
      <w:r w:rsidRPr="004C1671">
        <w:rPr>
          <w:rFonts w:cs="Arial"/>
          <w:b/>
        </w:rPr>
        <w:t xml:space="preserve"> Českého statistického úřadu (ČSÚ)</w:t>
      </w:r>
      <w:r>
        <w:rPr>
          <w:rFonts w:cs="Arial"/>
        </w:rPr>
        <w:t xml:space="preserve"> a jsou publikována vždy za 1. pololetí sledovaného roku (v termínu 31. 10. 2016)</w:t>
      </w:r>
      <w:r w:rsidRPr="00D820ED">
        <w:rPr>
          <w:rFonts w:cs="Arial"/>
          <w:vertAlign w:val="superscript"/>
        </w:rPr>
        <w:t xml:space="preserve"> </w:t>
      </w:r>
      <w:r>
        <w:rPr>
          <w:rFonts w:cs="Arial"/>
        </w:rPr>
        <w:t xml:space="preserve">a v kumulaci za celý rok (v termínu </w:t>
      </w:r>
      <w:r w:rsidR="00E94AB3">
        <w:rPr>
          <w:rFonts w:cs="Arial"/>
        </w:rPr>
        <w:t>1</w:t>
      </w:r>
      <w:r>
        <w:rPr>
          <w:rFonts w:cs="Arial"/>
        </w:rPr>
        <w:t xml:space="preserve">. </w:t>
      </w:r>
      <w:r w:rsidR="00E94AB3">
        <w:rPr>
          <w:rFonts w:cs="Arial"/>
        </w:rPr>
        <w:t>6</w:t>
      </w:r>
      <w:r>
        <w:rPr>
          <w:rFonts w:cs="Arial"/>
        </w:rPr>
        <w:t>. 2017)</w:t>
      </w:r>
      <w:r>
        <w:rPr>
          <w:rStyle w:val="Znakapoznpodarou"/>
          <w:rFonts w:cs="Arial"/>
        </w:rPr>
        <w:footnoteReference w:id="1"/>
      </w:r>
      <w:r>
        <w:rPr>
          <w:rFonts w:cs="Arial"/>
        </w:rPr>
        <w:t xml:space="preserve">. </w:t>
      </w:r>
    </w:p>
    <w:p w:rsidR="00F443D9" w:rsidRDefault="00F443D9" w:rsidP="00F443D9">
      <w:pPr>
        <w:autoSpaceDE w:val="0"/>
        <w:autoSpaceDN w:val="0"/>
        <w:adjustRightInd w:val="0"/>
        <w:jc w:val="both"/>
        <w:rPr>
          <w:rFonts w:cs="Arial"/>
        </w:rPr>
      </w:pPr>
      <w:r>
        <w:rPr>
          <w:rFonts w:cs="Arial"/>
        </w:rPr>
        <w:t xml:space="preserve">Publikace přináší data o </w:t>
      </w:r>
      <w:r w:rsidR="00984FF2" w:rsidRPr="00984FF2">
        <w:rPr>
          <w:rFonts w:cs="Arial"/>
          <w:b/>
        </w:rPr>
        <w:t>nově hlášených případech dočasné pracovní neschopnosti pro nemoc a úraz</w:t>
      </w:r>
      <w:r>
        <w:rPr>
          <w:rFonts w:cs="Arial"/>
        </w:rPr>
        <w:t xml:space="preserve"> a související ukazatele, např. průměrný počet nemocensky pojištěných osob, průměrné procento pracovní neschopnosti, počet kalendářních dnů pracovní neschopnosti, průměrnou dobu trvání jednoho případu pracovní neschopnosti, počet nově hlášených případů pracovní neschopnosti na 100 nemocensky pojištěných osob či počet pracovních úrazů s pracovní neschopností delší než tři dny.</w:t>
      </w:r>
    </w:p>
    <w:p w:rsidR="00F443D9" w:rsidRDefault="00F443D9" w:rsidP="00F443D9">
      <w:pPr>
        <w:autoSpaceDE w:val="0"/>
        <w:autoSpaceDN w:val="0"/>
        <w:adjustRightInd w:val="0"/>
        <w:jc w:val="both"/>
        <w:rPr>
          <w:rFonts w:cs="Arial"/>
        </w:rPr>
      </w:pPr>
      <w:r>
        <w:rPr>
          <w:rFonts w:cs="Arial"/>
          <w:szCs w:val="20"/>
        </w:rPr>
        <w:t xml:space="preserve">Evidované případy dočasné pracovní neschopnosti a související ukazatele jsou ČSÚ zpracovány </w:t>
      </w:r>
      <w:r w:rsidR="00984FF2" w:rsidRPr="00D26C95">
        <w:rPr>
          <w:rFonts w:cs="Arial"/>
          <w:szCs w:val="20"/>
        </w:rPr>
        <w:t>v členění</w:t>
      </w:r>
      <w:r>
        <w:rPr>
          <w:rFonts w:cs="Arial"/>
          <w:szCs w:val="20"/>
        </w:rPr>
        <w:t xml:space="preserve"> podle sídla (na úrovní krajů a okresů dle klasifikace CZ-NUTS), velikosti (dle počtu zaměstnanců) a 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F443D9" w:rsidRDefault="00F443D9" w:rsidP="00F443D9">
      <w:pPr>
        <w:autoSpaceDE w:val="0"/>
        <w:autoSpaceDN w:val="0"/>
        <w:adjustRightInd w:val="0"/>
        <w:jc w:val="both"/>
        <w:rPr>
          <w:rFonts w:cs="Arial"/>
        </w:rPr>
      </w:pPr>
      <w:r>
        <w:rPr>
          <w:rFonts w:cs="Arial"/>
        </w:rPr>
        <w:t xml:space="preserve">Základní časové řady statistik dočasné pracovní neschopnosti pro nemoc a úraz v ČR jsou sledovány Českým statistickým úřadem již od roku 1963. Do roku 2011 byly statistické údaje o dočasné pracovní neschopnosti pro nemoc a úraz zjišťovány prostřednictvím státního statistického výkazu </w:t>
      </w:r>
      <w:proofErr w:type="spellStart"/>
      <w:r>
        <w:rPr>
          <w:rFonts w:cs="Arial"/>
        </w:rPr>
        <w:t>Nem</w:t>
      </w:r>
      <w:proofErr w:type="spellEnd"/>
      <w:r>
        <w:rPr>
          <w:rFonts w:cs="Arial"/>
        </w:rPr>
        <w:t xml:space="preserve"> </w:t>
      </w:r>
      <w:proofErr w:type="spellStart"/>
      <w:r>
        <w:rPr>
          <w:rFonts w:cs="Arial"/>
        </w:rPr>
        <w:t>Úr</w:t>
      </w:r>
      <w:proofErr w:type="spellEnd"/>
      <w:r>
        <w:rPr>
          <w:rFonts w:cs="Arial"/>
        </w:rPr>
        <w:t xml:space="preserve"> 1-02. V důsledku snižování administrativní náročnosti a zátěže zpravodajských jednotek byl Výkaz o pracovní neschopnosti pro nemoc a úraz </w:t>
      </w:r>
      <w:proofErr w:type="spellStart"/>
      <w:r>
        <w:rPr>
          <w:rFonts w:cs="Arial"/>
        </w:rPr>
        <w:t>Nem</w:t>
      </w:r>
      <w:proofErr w:type="spellEnd"/>
      <w:r>
        <w:rPr>
          <w:rFonts w:cs="Arial"/>
        </w:rPr>
        <w:t xml:space="preserve"> </w:t>
      </w:r>
      <w:proofErr w:type="spellStart"/>
      <w:r>
        <w:rPr>
          <w:rFonts w:cs="Arial"/>
        </w:rPr>
        <w:t>Úr</w:t>
      </w:r>
      <w:proofErr w:type="spellEnd"/>
      <w:r>
        <w:rPr>
          <w:rFonts w:cs="Arial"/>
        </w:rPr>
        <w:t xml:space="preserve"> 1-02 nahrazen údaji dostupnými z administrativních zdrojů. </w:t>
      </w:r>
    </w:p>
    <w:p w:rsidR="00F443D9" w:rsidRDefault="00F443D9" w:rsidP="00F443D9">
      <w:pPr>
        <w:autoSpaceDE w:val="0"/>
        <w:autoSpaceDN w:val="0"/>
        <w:adjustRightInd w:val="0"/>
        <w:jc w:val="both"/>
        <w:rPr>
          <w:rFonts w:cs="Arial"/>
        </w:rPr>
      </w:pPr>
      <w:r>
        <w:rPr>
          <w:rFonts w:cs="Arial"/>
        </w:rPr>
        <w:t xml:space="preserve">Počínaje rokem 2012, zajišťuje Český statistický úřad na základě smluvního ujednání s Ministerstvem práce a sociálních věcí a Českou správou sociálního zabezpečení údaje pro statistiku dočasné pracovní neschopnosti pro nemoc a úraz zpracováním dat z administrativního zdroje Informačního systému ČSSZ. </w:t>
      </w:r>
    </w:p>
    <w:p w:rsidR="00F443D9" w:rsidRDefault="00F443D9" w:rsidP="00F443D9">
      <w:pPr>
        <w:autoSpaceDE w:val="0"/>
        <w:autoSpaceDN w:val="0"/>
        <w:adjustRightInd w:val="0"/>
        <w:jc w:val="both"/>
        <w:rPr>
          <w:rFonts w:cs="Arial"/>
        </w:rPr>
      </w:pPr>
      <w:r>
        <w:rPr>
          <w:rFonts w:cs="Arial"/>
        </w:rPr>
        <w:t>Vstupním zdrojem a podkladem pro zpracování dat této publikace jsou údaje o dočasné pracovní neschopnosti pro nemoc a úraz nahlášené České správě sociálního zabezpečení prostřednictvím formuláře „</w:t>
      </w:r>
      <w:r w:rsidRPr="006D66F2">
        <w:rPr>
          <w:rFonts w:cs="Arial"/>
          <w:i/>
        </w:rPr>
        <w:t>Rozhodnutí o dočasné pracovní neschopnosti</w:t>
      </w:r>
      <w:r>
        <w:rPr>
          <w:rFonts w:cs="Arial"/>
        </w:rPr>
        <w:t>“ (tzv. „neschopenka“), který vyplňuje ošetřující lékař. Jsou tak evidována veškerá onemocnění a úrazy, které zapříčinily alespoň jednodenní pracovní neschopnost u nemocensky pojištěných osob. Administrativní data Informačního systému ČSSZ obsahují údaje za všechny zaměstnance, ať již zaměstnané právnickou či fyzickou osobou</w:t>
      </w:r>
      <w:r w:rsidRPr="00694B42">
        <w:rPr>
          <w:rFonts w:cs="Arial"/>
          <w:vertAlign w:val="superscript"/>
        </w:rPr>
        <w:footnoteReference w:id="2"/>
      </w:r>
      <w:r>
        <w:rPr>
          <w:rFonts w:cs="Arial"/>
        </w:rPr>
        <w:t xml:space="preserve"> i data za osoby samostatně výdělečně činné (OSVČ). Zaměstnanci jsou povinně účastni nemocenského pojištění, na rozdíl od OSVČ, jejichž nemocenské pojištění zůstává dobrovolné.</w:t>
      </w:r>
    </w:p>
    <w:p w:rsidR="009516EA" w:rsidRDefault="00F443D9" w:rsidP="00F443D9">
      <w:pPr>
        <w:jc w:val="both"/>
      </w:pPr>
      <w:r>
        <w:rPr>
          <w:rFonts w:cs="Arial"/>
          <w:szCs w:val="20"/>
        </w:rPr>
        <w:t>Kromě statistiky nově hlášených případů dočasné pracovní neschopnosti zpracovávané ČSÚ jsou z evidence ČSSZ zpracovávány a publikovány také údaje o ukončených případech pracovní</w:t>
      </w:r>
      <w:r>
        <w:rPr>
          <w:rFonts w:cs="Arial"/>
          <w:b/>
          <w:szCs w:val="20"/>
        </w:rPr>
        <w:t xml:space="preserve"> </w:t>
      </w:r>
      <w:r>
        <w:rPr>
          <w:rFonts w:cs="Arial"/>
          <w:szCs w:val="20"/>
        </w:rPr>
        <w:t>neschopnosti, které zpracovává Ústav zdravotnických informací České republiky (ÚZIS ČR), viz</w:t>
      </w:r>
      <w:r w:rsidR="009516EA">
        <w:rPr>
          <w:rFonts w:cs="Arial"/>
          <w:szCs w:val="20"/>
        </w:rPr>
        <w:t> </w:t>
      </w:r>
      <w:hyperlink r:id="rId8" w:history="1">
        <w:r>
          <w:rPr>
            <w:rStyle w:val="Hypertextovodkaz"/>
            <w:rFonts w:eastAsia="MS Gothic" w:cs="Arial"/>
            <w:szCs w:val="20"/>
          </w:rPr>
          <w:t>http://www.uzis.cz/category/tematicke-rady/zdravotnicka-statistika/pracovni-neschopnost</w:t>
        </w:r>
      </w:hyperlink>
      <w:r>
        <w:t xml:space="preserve">. </w:t>
      </w:r>
    </w:p>
    <w:p w:rsidR="00F443D9" w:rsidRDefault="00F443D9" w:rsidP="00F443D9">
      <w:pPr>
        <w:jc w:val="both"/>
        <w:rPr>
          <w:rFonts w:cs="Arial"/>
        </w:rPr>
      </w:pPr>
      <w:r>
        <w:lastRenderedPageBreak/>
        <w:t xml:space="preserve">Obdobné statistiky ukončených případů pracovní neschopnosti sleduje a zpracovává přímo i Česká správa sociálního zabezpečení, viz </w:t>
      </w:r>
      <w:hyperlink r:id="rId9" w:history="1">
        <w:r>
          <w:rPr>
            <w:rStyle w:val="Hypertextovodkaz"/>
            <w:rFonts w:eastAsia="MS Gothic"/>
          </w:rPr>
          <w:t>http://www.cssz.cz/cz/o-cssz/informace/statistiky/nemocenska-statistika/</w:t>
        </w:r>
      </w:hyperlink>
      <w:r>
        <w:t xml:space="preserve">. </w:t>
      </w:r>
      <w:r>
        <w:rPr>
          <w:rFonts w:cs="Arial"/>
          <w:szCs w:val="20"/>
        </w:rPr>
        <w:t>Na</w:t>
      </w:r>
      <w:r w:rsidR="009516EA">
        <w:rPr>
          <w:rFonts w:cs="Arial"/>
          <w:szCs w:val="20"/>
        </w:rPr>
        <w:t> </w:t>
      </w:r>
      <w:r>
        <w:rPr>
          <w:rFonts w:cs="Arial"/>
          <w:szCs w:val="20"/>
        </w:rPr>
        <w:t>rozdíl od statistik nově hlášených případů dočasné neschopnosti, které zajišťuje a zpracovává ČSÚ</w:t>
      </w:r>
      <w:r>
        <w:rPr>
          <w:rFonts w:cs="Arial"/>
        </w:rPr>
        <w:t xml:space="preserve">, zaznamenává a zjišťuje </w:t>
      </w:r>
      <w:r>
        <w:rPr>
          <w:rFonts w:cs="Arial"/>
          <w:szCs w:val="20"/>
        </w:rPr>
        <w:t>ÚZIS ČR</w:t>
      </w:r>
      <w:r>
        <w:rPr>
          <w:rFonts w:cs="Arial"/>
        </w:rPr>
        <w:t xml:space="preserve"> dočasné pracovní neschopnosti z dat ČSSZ pouze pro případy ukončené ve sledovaném roce. Rozdíly v počtech nově hlášených a ukončených případů dočasné pracovní neschopnosti mezi oběma zdroji jsou dány odlišnou metodikou sběru dat.</w:t>
      </w:r>
    </w:p>
    <w:p w:rsidR="00F443D9" w:rsidRDefault="00F443D9" w:rsidP="00F443D9">
      <w:pPr>
        <w:autoSpaceDE w:val="0"/>
        <w:autoSpaceDN w:val="0"/>
        <w:adjustRightInd w:val="0"/>
        <w:jc w:val="both"/>
        <w:rPr>
          <w:rFonts w:cs="Arial"/>
        </w:rPr>
      </w:pPr>
      <w:r>
        <w:rPr>
          <w:rFonts w:cs="Arial"/>
        </w:rPr>
        <w:t xml:space="preserve">Publikace Pracovní neschopnost pro nemoc a úraz v ČR </w:t>
      </w:r>
      <w:r w:rsidR="00D26C95">
        <w:rPr>
          <w:rFonts w:cs="Arial"/>
        </w:rPr>
        <w:t>za rok 2016</w:t>
      </w:r>
      <w:r>
        <w:rPr>
          <w:rFonts w:cs="Arial"/>
        </w:rPr>
        <w:t xml:space="preserve"> je členěna na textovou a tabulkovou část. </w:t>
      </w:r>
    </w:p>
    <w:p w:rsidR="00D26C95" w:rsidRDefault="00F443D9" w:rsidP="00F443D9">
      <w:pPr>
        <w:autoSpaceDE w:val="0"/>
        <w:autoSpaceDN w:val="0"/>
        <w:adjustRightInd w:val="0"/>
        <w:jc w:val="both"/>
        <w:rPr>
          <w:rFonts w:cs="Arial"/>
        </w:rPr>
      </w:pPr>
      <w:r w:rsidRPr="00B37703">
        <w:rPr>
          <w:rFonts w:cs="Arial"/>
          <w:b/>
        </w:rPr>
        <w:t>Textová část</w:t>
      </w:r>
      <w:r>
        <w:rPr>
          <w:rFonts w:cs="Arial"/>
        </w:rPr>
        <w:t xml:space="preserve"> obsahuje popis metodiky zpracování dat dočasné pracovní neschopnosti prostřednictvím systémů ČSSZ a ČSÚ, podrobné vysvětlení sledovaných indikátorů a stručné shrnutí </w:t>
      </w:r>
      <w:r w:rsidR="00D26C95">
        <w:rPr>
          <w:rFonts w:cs="Arial"/>
        </w:rPr>
        <w:t xml:space="preserve">vývoje </w:t>
      </w:r>
      <w:r>
        <w:rPr>
          <w:rFonts w:cs="Arial"/>
        </w:rPr>
        <w:t xml:space="preserve">základních ukazatelů dočasné pracovní neschopnosti pro nemoc a úraz v ČR </w:t>
      </w:r>
      <w:r w:rsidR="00D26C95">
        <w:rPr>
          <w:rFonts w:cs="Arial"/>
        </w:rPr>
        <w:t>v roce</w:t>
      </w:r>
      <w:r w:rsidR="00984FF2" w:rsidRPr="00D26C95">
        <w:rPr>
          <w:rFonts w:cs="Arial"/>
        </w:rPr>
        <w:t xml:space="preserve"> 2016</w:t>
      </w:r>
      <w:r w:rsidR="00D26C95">
        <w:rPr>
          <w:rFonts w:cs="Arial"/>
        </w:rPr>
        <w:t xml:space="preserve"> a v časové řadě</w:t>
      </w:r>
      <w:r>
        <w:rPr>
          <w:rFonts w:cs="Arial"/>
        </w:rPr>
        <w:t xml:space="preserve">. </w:t>
      </w:r>
    </w:p>
    <w:p w:rsidR="00F443D9" w:rsidRDefault="00F443D9" w:rsidP="00F443D9">
      <w:pPr>
        <w:autoSpaceDE w:val="0"/>
        <w:autoSpaceDN w:val="0"/>
        <w:adjustRightInd w:val="0"/>
        <w:jc w:val="both"/>
        <w:rPr>
          <w:rFonts w:cs="Arial"/>
        </w:rPr>
      </w:pPr>
      <w:r>
        <w:rPr>
          <w:rFonts w:cs="Arial"/>
        </w:rPr>
        <w:t>Dlouhodobý vývoj dočasné pracovní neschopnosti je významně ovlivňován legislativními změnami, týkajícími se výší dávek nemocenského pojištění a počátku jeho poskytování</w:t>
      </w:r>
      <w:r>
        <w:rPr>
          <w:rFonts w:cs="Arial"/>
          <w:bCs/>
          <w:szCs w:val="20"/>
        </w:rPr>
        <w:t xml:space="preserve">. Informace k související legislativě lze nalézt </w:t>
      </w:r>
      <w:r w:rsidRPr="00B37703">
        <w:rPr>
          <w:rFonts w:cs="Arial"/>
          <w:bCs/>
          <w:szCs w:val="20"/>
        </w:rPr>
        <w:t>v </w:t>
      </w:r>
      <w:r w:rsidRPr="00D26C95">
        <w:rPr>
          <w:rFonts w:cs="Arial"/>
          <w:b/>
          <w:bCs/>
          <w:szCs w:val="20"/>
        </w:rPr>
        <w:t>přílohách textové části publikace</w:t>
      </w:r>
      <w:r w:rsidRPr="00B37703">
        <w:rPr>
          <w:rFonts w:cs="Arial"/>
          <w:bCs/>
          <w:szCs w:val="20"/>
        </w:rPr>
        <w:t xml:space="preserve">. V </w:t>
      </w:r>
      <w:hyperlink w:anchor="_Příloha_č._1" w:history="1">
        <w:r w:rsidRPr="00F443D9">
          <w:rPr>
            <w:rStyle w:val="Hypertextovodkaz"/>
            <w:rFonts w:cs="Arial"/>
            <w:b/>
            <w:bCs/>
            <w:szCs w:val="20"/>
          </w:rPr>
          <w:t>příloze č. 1</w:t>
        </w:r>
      </w:hyperlink>
      <w:r>
        <w:rPr>
          <w:rFonts w:cs="Arial"/>
          <w:bCs/>
          <w:szCs w:val="20"/>
        </w:rPr>
        <w:t xml:space="preserve"> jsou uvedeny podrobné informace k aktuální legislativě týkající se nemocenského pojištění, zejm. zákonu č. </w:t>
      </w:r>
      <w:r w:rsidRPr="007D04F9">
        <w:rPr>
          <w:rFonts w:cs="Arial"/>
          <w:bCs/>
          <w:szCs w:val="20"/>
        </w:rPr>
        <w:t>187/2006 Sb., o nemocenském pojištění</w:t>
      </w:r>
      <w:r>
        <w:rPr>
          <w:rFonts w:cs="Arial"/>
          <w:bCs/>
          <w:szCs w:val="20"/>
        </w:rPr>
        <w:t xml:space="preserve">. Legislativní změny, které byly přijaté v systému nemocenského pojištění v období mezi lety 1999 – 2016 jsou uvedeny </w:t>
      </w:r>
      <w:r w:rsidRPr="00B37703">
        <w:rPr>
          <w:rFonts w:cs="Arial"/>
          <w:bCs/>
          <w:szCs w:val="20"/>
        </w:rPr>
        <w:t>v </w:t>
      </w:r>
      <w:hyperlink w:anchor="_Příloha_č._2" w:history="1">
        <w:r w:rsidRPr="00F443D9">
          <w:rPr>
            <w:rStyle w:val="Hypertextovodkaz"/>
            <w:rFonts w:cs="Arial"/>
            <w:b/>
            <w:bCs/>
            <w:szCs w:val="20"/>
          </w:rPr>
          <w:t>příloze č. 2</w:t>
        </w:r>
      </w:hyperlink>
      <w:r w:rsidRPr="00B37703">
        <w:rPr>
          <w:rFonts w:cs="Arial"/>
          <w:bCs/>
          <w:szCs w:val="20"/>
        </w:rPr>
        <w:t>.</w:t>
      </w:r>
      <w:r w:rsidRPr="007D04F9">
        <w:rPr>
          <w:rFonts w:cs="Arial"/>
          <w:bCs/>
          <w:szCs w:val="20"/>
        </w:rPr>
        <w:t xml:space="preserve"> </w:t>
      </w:r>
    </w:p>
    <w:p w:rsidR="00F443D9" w:rsidRDefault="00F443D9" w:rsidP="00F443D9">
      <w:pPr>
        <w:pStyle w:val="Odstavecseseznamem"/>
        <w:spacing w:before="0" w:after="60" w:line="288" w:lineRule="auto"/>
        <w:ind w:left="0"/>
        <w:jc w:val="both"/>
        <w:rPr>
          <w:rFonts w:ascii="Arial" w:hAnsi="Arial" w:cs="Arial"/>
          <w:sz w:val="20"/>
        </w:rPr>
      </w:pPr>
      <w:r w:rsidRPr="00B37703">
        <w:rPr>
          <w:rFonts w:ascii="Arial" w:hAnsi="Arial" w:cs="Arial"/>
          <w:b/>
          <w:sz w:val="20"/>
        </w:rPr>
        <w:t>Tabulková část</w:t>
      </w:r>
      <w:r>
        <w:rPr>
          <w:rFonts w:ascii="Arial" w:hAnsi="Arial" w:cs="Arial"/>
          <w:sz w:val="20"/>
        </w:rPr>
        <w:t xml:space="preserve"> publikace obsahuje datové výstupy o dočasné pracovní neschopnosti zaměstnanců a osob samostatně výdělečně činných v členění dle:</w:t>
      </w:r>
    </w:p>
    <w:p w:rsidR="00F443D9" w:rsidRDefault="00F443D9" w:rsidP="00F443D9">
      <w:pPr>
        <w:pStyle w:val="Odstavecseseznamem"/>
        <w:numPr>
          <w:ilvl w:val="0"/>
          <w:numId w:val="33"/>
        </w:numPr>
        <w:suppressAutoHyphens w:val="0"/>
        <w:spacing w:before="0" w:after="0" w:line="288" w:lineRule="auto"/>
        <w:jc w:val="both"/>
        <w:rPr>
          <w:rFonts w:ascii="Arial" w:hAnsi="Arial" w:cs="Arial"/>
          <w:sz w:val="20"/>
        </w:rPr>
      </w:pPr>
      <w:r>
        <w:rPr>
          <w:rFonts w:ascii="Arial" w:hAnsi="Arial" w:cs="Arial"/>
          <w:sz w:val="20"/>
        </w:rPr>
        <w:t>krajů a okresů ČR (dle klasifikace CZ-NUTS)</w:t>
      </w:r>
    </w:p>
    <w:p w:rsidR="00F443D9" w:rsidRDefault="00F443D9" w:rsidP="00F443D9">
      <w:pPr>
        <w:pStyle w:val="Odstavecseseznamem"/>
        <w:numPr>
          <w:ilvl w:val="0"/>
          <w:numId w:val="33"/>
        </w:numPr>
        <w:suppressAutoHyphens w:val="0"/>
        <w:spacing w:before="0" w:after="0" w:line="288" w:lineRule="auto"/>
        <w:jc w:val="both"/>
        <w:rPr>
          <w:rFonts w:ascii="Arial" w:hAnsi="Arial" w:cs="Arial"/>
          <w:sz w:val="20"/>
        </w:rPr>
      </w:pPr>
      <w:r>
        <w:rPr>
          <w:rFonts w:ascii="Arial" w:hAnsi="Arial" w:cs="Arial"/>
          <w:sz w:val="20"/>
        </w:rPr>
        <w:t>převažující ekonomické činnosti (na úrovni sekcí či oddílů CZ-NACE)</w:t>
      </w:r>
    </w:p>
    <w:p w:rsidR="00F443D9" w:rsidRDefault="00F443D9" w:rsidP="00F443D9">
      <w:pPr>
        <w:pStyle w:val="Odstavecseseznamem"/>
        <w:numPr>
          <w:ilvl w:val="0"/>
          <w:numId w:val="33"/>
        </w:numPr>
        <w:suppressAutoHyphens w:val="0"/>
        <w:spacing w:before="0" w:after="0" w:line="288" w:lineRule="auto"/>
        <w:jc w:val="both"/>
        <w:rPr>
          <w:rFonts w:ascii="Arial" w:hAnsi="Arial" w:cs="Arial"/>
          <w:sz w:val="20"/>
        </w:rPr>
      </w:pPr>
      <w:r>
        <w:rPr>
          <w:rFonts w:ascii="Arial" w:hAnsi="Arial" w:cs="Arial"/>
          <w:sz w:val="20"/>
        </w:rPr>
        <w:t>velikosti podniku (dle počtu zaměstnanců)</w:t>
      </w:r>
    </w:p>
    <w:p w:rsidR="00F443D9" w:rsidRDefault="00F443D9" w:rsidP="00F443D9">
      <w:pPr>
        <w:pStyle w:val="Odstavecseseznamem"/>
        <w:numPr>
          <w:ilvl w:val="0"/>
          <w:numId w:val="33"/>
        </w:numPr>
        <w:suppressAutoHyphens w:val="0"/>
        <w:spacing w:before="0" w:after="0" w:line="288" w:lineRule="auto"/>
        <w:jc w:val="both"/>
        <w:rPr>
          <w:rFonts w:ascii="Arial" w:hAnsi="Arial" w:cs="Arial"/>
          <w:sz w:val="20"/>
        </w:rPr>
      </w:pPr>
      <w:r>
        <w:rPr>
          <w:rFonts w:ascii="Arial" w:hAnsi="Arial" w:cs="Arial"/>
          <w:sz w:val="20"/>
        </w:rPr>
        <w:t xml:space="preserve">pohlaví nemocensky pojištěných osob </w:t>
      </w:r>
    </w:p>
    <w:p w:rsidR="00F443D9" w:rsidRDefault="00F443D9" w:rsidP="00F443D9">
      <w:pPr>
        <w:pStyle w:val="Odstavecseseznamem"/>
        <w:numPr>
          <w:ilvl w:val="0"/>
          <w:numId w:val="33"/>
        </w:numPr>
        <w:suppressAutoHyphens w:val="0"/>
        <w:spacing w:before="0" w:after="0" w:line="288" w:lineRule="auto"/>
        <w:jc w:val="both"/>
        <w:rPr>
          <w:rFonts w:ascii="Arial" w:hAnsi="Arial" w:cs="Arial"/>
          <w:sz w:val="20"/>
        </w:rPr>
      </w:pPr>
      <w:r>
        <w:rPr>
          <w:rFonts w:ascii="Arial" w:hAnsi="Arial" w:cs="Arial"/>
          <w:sz w:val="20"/>
        </w:rPr>
        <w:t>postavení v zaměstnání nemocensky pojištěných osob (zaměstnanci, OSVČ)</w:t>
      </w:r>
    </w:p>
    <w:p w:rsidR="00D26C95" w:rsidRDefault="00F443D9">
      <w:pPr>
        <w:pStyle w:val="Odstavecseseznamem"/>
        <w:spacing w:before="60" w:after="240" w:line="288" w:lineRule="auto"/>
        <w:ind w:left="0"/>
        <w:jc w:val="both"/>
        <w:rPr>
          <w:rFonts w:ascii="Arial" w:hAnsi="Arial" w:cs="Arial"/>
          <w:sz w:val="20"/>
        </w:rPr>
      </w:pPr>
      <w:r>
        <w:rPr>
          <w:rFonts w:ascii="Arial" w:hAnsi="Arial" w:cs="Arial"/>
          <w:sz w:val="20"/>
        </w:rPr>
        <w:t>Tabulková část dále obsahuje data o pracovní úrazovosti s dočasnou pracovní neschopností delší než 3 dny v členění dle krajů ČR, se samostatným výstupem o pracovní úrazovosti mladistvých</w:t>
      </w:r>
      <w:r w:rsidR="007D0416">
        <w:rPr>
          <w:rFonts w:ascii="Arial" w:hAnsi="Arial" w:cs="Arial"/>
          <w:sz w:val="20"/>
        </w:rPr>
        <w:t xml:space="preserve"> (tj. nemocensky pojištěných osob do 18 let)</w:t>
      </w:r>
      <w:r>
        <w:rPr>
          <w:rFonts w:ascii="Arial" w:hAnsi="Arial" w:cs="Arial"/>
          <w:sz w:val="20"/>
        </w:rPr>
        <w:t>.</w:t>
      </w:r>
    </w:p>
    <w:p w:rsidR="00F443D9" w:rsidRDefault="00F443D9" w:rsidP="00F443D9">
      <w:pPr>
        <w:spacing w:after="60"/>
        <w:jc w:val="both"/>
        <w:rPr>
          <w:rFonts w:cs="Arial"/>
        </w:rPr>
      </w:pPr>
      <w:r>
        <w:rPr>
          <w:rFonts w:cs="Arial"/>
        </w:rPr>
        <w:t>Údaje o dočasné pracovní neschopnosti jsou v této publikaci prezentovány v obdobném rozsahu a</w:t>
      </w:r>
      <w:r>
        <w:t xml:space="preserve"> třídění jako v předešlých letech.</w:t>
      </w:r>
      <w:r>
        <w:rPr>
          <w:rFonts w:cs="Arial"/>
        </w:rPr>
        <w:t xml:space="preserve"> Vzhledem k výši uvedenému přechodu ze sběru dat prostřednictvím výkazu ČSÚ na administrativní zdroj Informačního systému ČSSZ v roce 2012 však </w:t>
      </w:r>
      <w:r w:rsidRPr="004C1671">
        <w:rPr>
          <w:rFonts w:cs="Arial"/>
          <w:b/>
        </w:rPr>
        <w:t>nejsou některé dříve sledované ukazatele od roku 2012 dále zjišťovány</w:t>
      </w:r>
      <w:r>
        <w:rPr>
          <w:rFonts w:cs="Arial"/>
        </w:rPr>
        <w:t>. Tyto ukazatele však lze nalézt ve výstupech následujících administrativních zdrojů a dat z registrů:</w:t>
      </w:r>
    </w:p>
    <w:p w:rsidR="00F443D9" w:rsidRDefault="00F443D9" w:rsidP="00F443D9">
      <w:pPr>
        <w:pStyle w:val="Odstavecseseznamem"/>
        <w:numPr>
          <w:ilvl w:val="0"/>
          <w:numId w:val="3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Náklady na závodní preventivní péči</w:t>
      </w:r>
      <w:r>
        <w:rPr>
          <w:rFonts w:ascii="Arial" w:hAnsi="Arial" w:cs="Arial"/>
          <w:sz w:val="20"/>
        </w:rPr>
        <w:t xml:space="preserve"> </w:t>
      </w:r>
      <w:r w:rsidRPr="00A812BE">
        <w:rPr>
          <w:rFonts w:ascii="Arial" w:hAnsi="Arial" w:cs="Arial"/>
          <w:sz w:val="20"/>
        </w:rPr>
        <w:t>–</w:t>
      </w:r>
      <w:r>
        <w:rPr>
          <w:rFonts w:ascii="Arial" w:hAnsi="Arial" w:cs="Arial"/>
          <w:sz w:val="20"/>
        </w:rPr>
        <w:t xml:space="preserve"> ukazatel je od roku 2012 zařazen do statistického </w:t>
      </w:r>
      <w:r>
        <w:rPr>
          <w:rFonts w:ascii="Arial" w:hAnsi="Arial" w:cs="Arial"/>
          <w:sz w:val="20"/>
        </w:rPr>
        <w:tab/>
        <w:t>zjišťování ČSÚ v rámci výkazu ÚNP 4-01;</w:t>
      </w:r>
    </w:p>
    <w:p w:rsidR="00F443D9" w:rsidRDefault="00F443D9" w:rsidP="00F443D9">
      <w:pPr>
        <w:pStyle w:val="Odstavecseseznamem"/>
        <w:numPr>
          <w:ilvl w:val="0"/>
          <w:numId w:val="3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 xml:space="preserve">Náhrady a přirážky hrazené zaměstnavatelem za škodu při pracovním úrazu nebo nemoci </w:t>
      </w:r>
      <w:r>
        <w:rPr>
          <w:rFonts w:ascii="Arial" w:hAnsi="Arial" w:cs="Arial"/>
          <w:i/>
          <w:sz w:val="20"/>
        </w:rPr>
        <w:tab/>
        <w:t>z </w:t>
      </w:r>
      <w:r w:rsidRPr="004C1671">
        <w:rPr>
          <w:rFonts w:ascii="Arial" w:hAnsi="Arial" w:cs="Arial"/>
          <w:i/>
          <w:sz w:val="20"/>
        </w:rPr>
        <w:t>povolání</w:t>
      </w:r>
      <w:r w:rsidRPr="00A812BE">
        <w:rPr>
          <w:rFonts w:ascii="Arial" w:hAnsi="Arial" w:cs="Arial"/>
          <w:sz w:val="20"/>
        </w:rPr>
        <w:t> – údaje j</w:t>
      </w:r>
      <w:r w:rsidRPr="009075FA">
        <w:rPr>
          <w:rFonts w:ascii="Arial" w:hAnsi="Arial" w:cs="Arial"/>
          <w:sz w:val="20"/>
        </w:rPr>
        <w:t>s</w:t>
      </w:r>
      <w:r w:rsidRPr="00A812BE">
        <w:rPr>
          <w:rFonts w:ascii="Arial" w:hAnsi="Arial" w:cs="Arial"/>
          <w:sz w:val="20"/>
        </w:rPr>
        <w:t>ou dostupné ze standardních sestav Ministerstva financí (MF)</w:t>
      </w:r>
      <w:r>
        <w:rPr>
          <w:rFonts w:ascii="Arial" w:hAnsi="Arial" w:cs="Arial"/>
          <w:sz w:val="20"/>
        </w:rPr>
        <w:t>;</w:t>
      </w:r>
    </w:p>
    <w:p w:rsidR="00F443D9" w:rsidRDefault="00F443D9" w:rsidP="00F443D9">
      <w:pPr>
        <w:pStyle w:val="Odstavecseseznamem"/>
        <w:numPr>
          <w:ilvl w:val="0"/>
          <w:numId w:val="3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Kategorizace prací dle míry rizika</w:t>
      </w:r>
      <w:r w:rsidRPr="002469A6">
        <w:rPr>
          <w:rFonts w:ascii="Arial" w:hAnsi="Arial" w:cs="Arial"/>
          <w:sz w:val="20"/>
        </w:rPr>
        <w:t xml:space="preserve"> – statistická evidence prací dle míry rizika je od roku 2012 </w:t>
      </w:r>
      <w:r>
        <w:rPr>
          <w:rFonts w:ascii="Arial" w:hAnsi="Arial" w:cs="Arial"/>
          <w:sz w:val="20"/>
        </w:rPr>
        <w:tab/>
      </w:r>
      <w:r w:rsidRPr="002469A6">
        <w:rPr>
          <w:rFonts w:ascii="Arial" w:hAnsi="Arial" w:cs="Arial"/>
          <w:sz w:val="20"/>
        </w:rPr>
        <w:t xml:space="preserve">zajišťována Registrem kategorizace prací (IS </w:t>
      </w:r>
      <w:proofErr w:type="spellStart"/>
      <w:r w:rsidRPr="002469A6">
        <w:rPr>
          <w:rFonts w:ascii="Arial" w:hAnsi="Arial" w:cs="Arial"/>
          <w:sz w:val="20"/>
        </w:rPr>
        <w:t>KaPr</w:t>
      </w:r>
      <w:proofErr w:type="spellEnd"/>
      <w:r w:rsidRPr="002469A6">
        <w:rPr>
          <w:rFonts w:ascii="Arial" w:hAnsi="Arial" w:cs="Arial"/>
          <w:sz w:val="20"/>
        </w:rPr>
        <w:t xml:space="preserve">) pro Ministerstvo práce a sociálních věcí </w:t>
      </w:r>
      <w:r>
        <w:rPr>
          <w:rFonts w:ascii="Arial" w:hAnsi="Arial" w:cs="Arial"/>
          <w:sz w:val="20"/>
        </w:rPr>
        <w:tab/>
      </w:r>
      <w:r w:rsidRPr="002469A6">
        <w:rPr>
          <w:rFonts w:ascii="Arial" w:hAnsi="Arial" w:cs="Arial"/>
          <w:sz w:val="20"/>
        </w:rPr>
        <w:t xml:space="preserve">(MPSV) </w:t>
      </w:r>
    </w:p>
    <w:p w:rsidR="00F443D9" w:rsidRPr="002469A6" w:rsidRDefault="00F443D9" w:rsidP="00F443D9">
      <w:pPr>
        <w:pStyle w:val="Odstavecseseznamem"/>
        <w:numPr>
          <w:ilvl w:val="0"/>
          <w:numId w:val="3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Smrtelná pracovní úrazovost</w:t>
      </w:r>
      <w:r>
        <w:rPr>
          <w:rFonts w:ascii="Arial" w:hAnsi="Arial" w:cs="Arial"/>
          <w:sz w:val="20"/>
        </w:rPr>
        <w:t xml:space="preserve"> </w:t>
      </w:r>
      <w:r w:rsidRPr="00A812BE">
        <w:rPr>
          <w:rFonts w:ascii="Arial" w:hAnsi="Arial" w:cs="Arial"/>
          <w:sz w:val="20"/>
        </w:rPr>
        <w:t>–</w:t>
      </w:r>
      <w:r>
        <w:rPr>
          <w:rFonts w:ascii="Arial" w:hAnsi="Arial" w:cs="Arial"/>
          <w:sz w:val="20"/>
        </w:rPr>
        <w:t xml:space="preserve"> </w:t>
      </w:r>
      <w:r w:rsidRPr="002469A6">
        <w:rPr>
          <w:rFonts w:ascii="Arial" w:hAnsi="Arial" w:cs="Arial"/>
          <w:sz w:val="20"/>
        </w:rPr>
        <w:t xml:space="preserve">data jsou pravidelně uveřejňována v analýze Výzkumného </w:t>
      </w:r>
      <w:r>
        <w:rPr>
          <w:rFonts w:ascii="Arial" w:hAnsi="Arial" w:cs="Arial"/>
          <w:sz w:val="20"/>
        </w:rPr>
        <w:tab/>
      </w:r>
      <w:r w:rsidRPr="002469A6">
        <w:rPr>
          <w:rFonts w:ascii="Arial" w:hAnsi="Arial" w:cs="Arial"/>
          <w:sz w:val="20"/>
        </w:rPr>
        <w:t xml:space="preserve">ústavu bezpečnosti práce (VÚBP) a Státního úřadu inspekce práce (SÚIP) s názvem </w:t>
      </w:r>
      <w:r>
        <w:rPr>
          <w:rFonts w:ascii="Arial" w:hAnsi="Arial" w:cs="Arial"/>
          <w:sz w:val="20"/>
        </w:rPr>
        <w:tab/>
      </w:r>
      <w:r>
        <w:rPr>
          <w:rFonts w:ascii="Arial" w:hAnsi="Arial" w:cs="Arial"/>
          <w:sz w:val="20"/>
        </w:rPr>
        <w:tab/>
      </w:r>
      <w:r w:rsidRPr="002469A6">
        <w:rPr>
          <w:rFonts w:ascii="Arial" w:hAnsi="Arial" w:cs="Arial"/>
          <w:sz w:val="20"/>
        </w:rPr>
        <w:t>„Analýza smrtelné pracovní úrazovosti v České republice“;</w:t>
      </w:r>
    </w:p>
    <w:p w:rsidR="00F443D9" w:rsidRDefault="00F443D9" w:rsidP="00F443D9">
      <w:pPr>
        <w:pStyle w:val="Odstavecseseznamem"/>
        <w:numPr>
          <w:ilvl w:val="0"/>
          <w:numId w:val="36"/>
        </w:numPr>
        <w:tabs>
          <w:tab w:val="left" w:pos="1418"/>
        </w:tabs>
        <w:suppressAutoHyphens w:val="0"/>
        <w:spacing w:before="0" w:after="0" w:line="288" w:lineRule="auto"/>
        <w:jc w:val="both"/>
        <w:rPr>
          <w:rFonts w:ascii="Arial" w:hAnsi="Arial" w:cs="Arial"/>
          <w:sz w:val="20"/>
        </w:rPr>
      </w:pPr>
      <w:r>
        <w:rPr>
          <w:rFonts w:ascii="Arial" w:hAnsi="Arial" w:cs="Arial"/>
          <w:i/>
          <w:sz w:val="20"/>
        </w:rPr>
        <w:t>N</w:t>
      </w:r>
      <w:r w:rsidRPr="004C1671">
        <w:rPr>
          <w:rFonts w:ascii="Arial" w:hAnsi="Arial" w:cs="Arial"/>
          <w:i/>
          <w:sz w:val="20"/>
        </w:rPr>
        <w:t>emoci z povolání</w:t>
      </w:r>
      <w:r>
        <w:rPr>
          <w:rFonts w:ascii="Arial" w:hAnsi="Arial" w:cs="Arial"/>
          <w:sz w:val="20"/>
        </w:rPr>
        <w:t xml:space="preserve"> </w:t>
      </w:r>
      <w:r w:rsidRPr="00A812BE">
        <w:rPr>
          <w:rFonts w:ascii="Arial" w:hAnsi="Arial" w:cs="Arial"/>
          <w:sz w:val="20"/>
        </w:rPr>
        <w:t>–</w:t>
      </w:r>
      <w:r>
        <w:rPr>
          <w:rFonts w:ascii="Arial" w:hAnsi="Arial" w:cs="Arial"/>
          <w:sz w:val="20"/>
        </w:rPr>
        <w:t xml:space="preserve"> </w:t>
      </w:r>
      <w:r w:rsidRPr="002469A6">
        <w:rPr>
          <w:rFonts w:ascii="Arial" w:hAnsi="Arial" w:cs="Arial"/>
          <w:sz w:val="20"/>
        </w:rPr>
        <w:t xml:space="preserve">data jsou pravidelně uveřejňována v analýze Státního zdravotního </w:t>
      </w:r>
      <w:r>
        <w:rPr>
          <w:rFonts w:ascii="Arial" w:hAnsi="Arial" w:cs="Arial"/>
          <w:sz w:val="20"/>
        </w:rPr>
        <w:tab/>
      </w:r>
      <w:r>
        <w:rPr>
          <w:rFonts w:ascii="Arial" w:hAnsi="Arial" w:cs="Arial"/>
          <w:sz w:val="20"/>
        </w:rPr>
        <w:tab/>
      </w:r>
      <w:r w:rsidRPr="002469A6">
        <w:rPr>
          <w:rFonts w:ascii="Arial" w:hAnsi="Arial" w:cs="Arial"/>
          <w:sz w:val="20"/>
        </w:rPr>
        <w:t xml:space="preserve">ústavu (SZÚ) „Nemoci z povolání </w:t>
      </w:r>
      <w:r w:rsidRPr="00694B42">
        <w:rPr>
          <w:rFonts w:ascii="Arial" w:hAnsi="Arial" w:cs="Arial"/>
          <w:sz w:val="20"/>
        </w:rPr>
        <w:t>v České republice“.</w:t>
      </w:r>
    </w:p>
    <w:p w:rsidR="00F443D9" w:rsidRDefault="00F443D9">
      <w:pPr>
        <w:spacing w:after="0" w:line="240" w:lineRule="auto"/>
        <w:rPr>
          <w:rFonts w:eastAsia="MS Gothic"/>
          <w:b/>
          <w:bCs/>
          <w:color w:val="BC091B"/>
          <w:sz w:val="28"/>
          <w:szCs w:val="26"/>
        </w:rPr>
      </w:pPr>
    </w:p>
    <w:p w:rsidR="005578C1" w:rsidRPr="006300CC" w:rsidRDefault="005578C1" w:rsidP="005578C1">
      <w:pPr>
        <w:pStyle w:val="Nadpis1"/>
      </w:pPr>
      <w:bookmarkStart w:id="2" w:name="_Toc465077848"/>
      <w:bookmarkStart w:id="3" w:name="_Toc483838325"/>
      <w:bookmarkStart w:id="4" w:name="_Toc483901813"/>
      <w:r w:rsidRPr="005804F0">
        <w:lastRenderedPageBreak/>
        <w:t>2. Metodika, sledované ukazatele</w:t>
      </w:r>
      <w:bookmarkEnd w:id="2"/>
      <w:bookmarkEnd w:id="3"/>
      <w:bookmarkEnd w:id="4"/>
    </w:p>
    <w:p w:rsidR="005578C1" w:rsidRDefault="005578C1" w:rsidP="005578C1">
      <w:pPr>
        <w:pStyle w:val="Nadpis2"/>
        <w:spacing w:after="240"/>
      </w:pPr>
      <w:bookmarkStart w:id="5" w:name="_Toc465077849"/>
      <w:bookmarkStart w:id="6" w:name="_Toc483838326"/>
      <w:bookmarkStart w:id="7" w:name="_Toc483901814"/>
      <w:r w:rsidRPr="00F443D9">
        <w:t>2.1 Metodika</w:t>
      </w:r>
      <w:bookmarkEnd w:id="5"/>
      <w:bookmarkEnd w:id="6"/>
      <w:bookmarkEnd w:id="7"/>
    </w:p>
    <w:p w:rsidR="005578C1" w:rsidRDefault="005578C1" w:rsidP="005578C1">
      <w:pPr>
        <w:jc w:val="both"/>
        <w:rPr>
          <w:rFonts w:cs="Arial"/>
        </w:rPr>
      </w:pPr>
      <w:r w:rsidRPr="00694B42">
        <w:rPr>
          <w:rFonts w:cs="Arial"/>
          <w:szCs w:val="20"/>
        </w:rPr>
        <w:t>Statistické údaje o dočasné pracovní neschopnosti pro ne</w:t>
      </w:r>
      <w:r w:rsidRPr="00694B42">
        <w:rPr>
          <w:rFonts w:eastAsia="MS Gothic" w:cs="Arial"/>
          <w:szCs w:val="20"/>
        </w:rPr>
        <w:t>moc a úraz dostupné ve výstupech Česk</w:t>
      </w:r>
      <w:r w:rsidRPr="00694B42">
        <w:rPr>
          <w:rFonts w:cs="Arial"/>
          <w:szCs w:val="20"/>
        </w:rPr>
        <w:t>ého</w:t>
      </w:r>
      <w:r w:rsidRPr="00694B42">
        <w:rPr>
          <w:rFonts w:cs="Arial"/>
        </w:rPr>
        <w:t xml:space="preserve"> statistického úřadu</w:t>
      </w:r>
      <w:r>
        <w:rPr>
          <w:rFonts w:cs="Arial"/>
        </w:rPr>
        <w:t xml:space="preserve"> (ČSÚ)</w:t>
      </w:r>
      <w:r w:rsidRPr="00694B42">
        <w:rPr>
          <w:rFonts w:cs="Arial"/>
        </w:rPr>
        <w:t xml:space="preserve"> jsou zajišťov</w:t>
      </w:r>
      <w:r>
        <w:rPr>
          <w:rFonts w:cs="Arial"/>
        </w:rPr>
        <w:t>ány</w:t>
      </w:r>
      <w:r w:rsidRPr="00694B42">
        <w:rPr>
          <w:rFonts w:cs="Arial"/>
        </w:rPr>
        <w:t xml:space="preserve"> zpracováním dat z Informačního systému České správy sociálního zabezpečení</w:t>
      </w:r>
      <w:r>
        <w:rPr>
          <w:rFonts w:cs="Arial"/>
        </w:rPr>
        <w:t xml:space="preserve"> (IS ČSSZ)</w:t>
      </w:r>
      <w:r w:rsidRPr="00694B42">
        <w:rPr>
          <w:rFonts w:cs="Arial"/>
        </w:rPr>
        <w:t>. Data jsou zjišťována a publikována vždy za 1. pololetí a v kum</w:t>
      </w:r>
      <w:r>
        <w:rPr>
          <w:rFonts w:cs="Arial"/>
        </w:rPr>
        <w:t xml:space="preserve">ulaci </w:t>
      </w:r>
      <w:r w:rsidRPr="00801FE1">
        <w:t>za</w:t>
      </w:r>
      <w:r>
        <w:t> </w:t>
      </w:r>
      <w:r w:rsidRPr="00801FE1">
        <w:t>celý</w:t>
      </w:r>
      <w:r>
        <w:rPr>
          <w:rFonts w:cs="Arial"/>
        </w:rPr>
        <w:t xml:space="preserve"> rok. </w:t>
      </w:r>
    </w:p>
    <w:p w:rsidR="005578C1" w:rsidRDefault="005578C1" w:rsidP="005578C1">
      <w:pPr>
        <w:spacing w:before="100" w:beforeAutospacing="1" w:after="100" w:afterAutospacing="1"/>
        <w:jc w:val="both"/>
        <w:rPr>
          <w:rFonts w:cs="Arial"/>
        </w:rPr>
      </w:pPr>
      <w:r>
        <w:rPr>
          <w:rFonts w:cs="Arial"/>
        </w:rPr>
        <w:t xml:space="preserve">Data o pracovní neschopnosti pro nemoc a úraz v ČR byla od roku 1963 až do roku 2011 zajišťována statistickým zjišťováním v oblasti pracovní neschopnosti a úrazovosti, státním statistickým </w:t>
      </w:r>
      <w:r w:rsidRPr="00D26C95">
        <w:rPr>
          <w:rFonts w:cs="Arial"/>
          <w:i/>
        </w:rPr>
        <w:t xml:space="preserve">Výkazem ČSÚ </w:t>
      </w:r>
      <w:proofErr w:type="spellStart"/>
      <w:r w:rsidRPr="00D26C95">
        <w:rPr>
          <w:rFonts w:cs="Arial"/>
          <w:i/>
        </w:rPr>
        <w:t>Nem</w:t>
      </w:r>
      <w:proofErr w:type="spellEnd"/>
      <w:r w:rsidRPr="00D26C95">
        <w:rPr>
          <w:rFonts w:cs="Arial"/>
          <w:i/>
        </w:rPr>
        <w:t xml:space="preserve"> </w:t>
      </w:r>
      <w:proofErr w:type="spellStart"/>
      <w:r w:rsidRPr="00D26C95">
        <w:rPr>
          <w:rFonts w:cs="Arial"/>
          <w:i/>
        </w:rPr>
        <w:t>Úr</w:t>
      </w:r>
      <w:proofErr w:type="spellEnd"/>
      <w:r w:rsidRPr="00D26C95">
        <w:rPr>
          <w:rFonts w:cs="Arial"/>
          <w:i/>
        </w:rPr>
        <w:t xml:space="preserve"> 1-02 o pracovní neschopnosti pro nemoc a úraz</w:t>
      </w:r>
      <w:r>
        <w:rPr>
          <w:rFonts w:cs="Arial"/>
        </w:rPr>
        <w:t xml:space="preserve">, jehož výsledky byly doplněné údaji z administrativního zdroje IS ČSSZ. V důsledku snižování administrativní náročnosti a zátěže zpravodajských jednotek, nebyl </w:t>
      </w:r>
      <w:r w:rsidRPr="00D26C95">
        <w:rPr>
          <w:rFonts w:cs="Arial"/>
          <w:i/>
        </w:rPr>
        <w:t xml:space="preserve">Výkaz o pracovní neschopnosti pro nemoc a úraz </w:t>
      </w:r>
      <w:proofErr w:type="spellStart"/>
      <w:r w:rsidRPr="00D26C95">
        <w:rPr>
          <w:rFonts w:cs="Arial"/>
          <w:i/>
        </w:rPr>
        <w:t>Nem</w:t>
      </w:r>
      <w:proofErr w:type="spellEnd"/>
      <w:r w:rsidRPr="00D26C95">
        <w:rPr>
          <w:rFonts w:cs="Arial"/>
          <w:i/>
        </w:rPr>
        <w:t xml:space="preserve"> </w:t>
      </w:r>
      <w:proofErr w:type="spellStart"/>
      <w:r w:rsidRPr="00D26C95">
        <w:rPr>
          <w:rFonts w:cs="Arial"/>
          <w:i/>
        </w:rPr>
        <w:t>Úr</w:t>
      </w:r>
      <w:proofErr w:type="spellEnd"/>
      <w:r w:rsidRPr="00D26C95">
        <w:rPr>
          <w:rFonts w:cs="Arial"/>
          <w:i/>
        </w:rPr>
        <w:t xml:space="preserve"> 1-02</w:t>
      </w:r>
      <w:r>
        <w:rPr>
          <w:rFonts w:cs="Arial"/>
        </w:rPr>
        <w:t xml:space="preserve"> v roce 2012 zařazen do Programu statistických zjišťování a byla ukončena jeho působnost. Zjišťované údaje byly nahrazeny daty z administrativních zdrojů. </w:t>
      </w:r>
      <w:r>
        <w:rPr>
          <w:rFonts w:cs="Arial"/>
          <w:szCs w:val="20"/>
        </w:rPr>
        <w:t xml:space="preserve">Z důvodu změny metodiky a odlišného sběru a zpracování dat nejsou data od roku 2012 plně srovnatelná s údaji za předchozí období. V návaznosti na ukončení Statistického zjišťování pracovní neschopnosti pro nemoc a úraz </w:t>
      </w:r>
      <w:proofErr w:type="spellStart"/>
      <w:r>
        <w:rPr>
          <w:rFonts w:cs="Arial"/>
          <w:szCs w:val="20"/>
        </w:rPr>
        <w:t>Nem</w:t>
      </w:r>
      <w:proofErr w:type="spellEnd"/>
      <w:r>
        <w:rPr>
          <w:rFonts w:cs="Arial"/>
          <w:szCs w:val="20"/>
        </w:rPr>
        <w:t xml:space="preserve"> </w:t>
      </w:r>
      <w:proofErr w:type="spellStart"/>
      <w:r>
        <w:rPr>
          <w:rFonts w:cs="Arial"/>
          <w:szCs w:val="20"/>
        </w:rPr>
        <w:t>Úr</w:t>
      </w:r>
      <w:proofErr w:type="spellEnd"/>
      <w:r>
        <w:rPr>
          <w:rFonts w:cs="Arial"/>
          <w:szCs w:val="20"/>
        </w:rPr>
        <w:t xml:space="preserve"> 1-02, kdy byly poslední údaje tímto výkazem zjišťovány za rok 2011, byla pro srovnatelnost časových řad do roku 2011, vypracována analýza ČSÚ „</w:t>
      </w:r>
      <w:hyperlink r:id="rId10" w:history="1">
        <w:r w:rsidRPr="00801FE1">
          <w:rPr>
            <w:rStyle w:val="Hypertextovodkaz"/>
          </w:rPr>
          <w:t>Vývoj pracovní neschopnosti pro nemoc a úraz v letech 2004 - 2011</w:t>
        </w:r>
      </w:hyperlink>
      <w:r>
        <w:t xml:space="preserve">“, </w:t>
      </w:r>
      <w:r>
        <w:rPr>
          <w:rFonts w:cs="Arial"/>
          <w:szCs w:val="20"/>
        </w:rPr>
        <w:t xml:space="preserve">obsahově navazující na analýzu popisující vývoj předchozích let </w:t>
      </w:r>
      <w:r w:rsidRPr="00D60943">
        <w:t>„</w:t>
      </w:r>
      <w:hyperlink r:id="rId11" w:history="1">
        <w:r w:rsidRPr="00801FE1">
          <w:rPr>
            <w:rStyle w:val="Hypertextovodkaz"/>
          </w:rPr>
          <w:t>Vývoj pracovní neschopnosti pro nemoc a úraz v letech 1990 - 2003</w:t>
        </w:r>
      </w:hyperlink>
      <w:r>
        <w:t xml:space="preserve">“. </w:t>
      </w:r>
      <w:r w:rsidRPr="00120F87">
        <w:rPr>
          <w:rFonts w:cs="Arial"/>
        </w:rPr>
        <w:t xml:space="preserve">Počínaje rokem 2012 zajišťuje </w:t>
      </w:r>
      <w:r>
        <w:rPr>
          <w:rFonts w:cs="Arial"/>
        </w:rPr>
        <w:t>ČSÚ</w:t>
      </w:r>
      <w:r w:rsidRPr="00120F87">
        <w:rPr>
          <w:rFonts w:cs="Arial"/>
        </w:rPr>
        <w:t xml:space="preserve"> na základě smluvního ujednání s ČSSZ a MPSV údaje pro statistiku dočasné pracovní neschopnosti pro nemoc a úraz zpracováním dat z administrativního zdroje Informačního systému ČSSZ. </w:t>
      </w:r>
    </w:p>
    <w:p w:rsidR="005578C1" w:rsidRDefault="005578C1" w:rsidP="005578C1">
      <w:pPr>
        <w:spacing w:after="100" w:afterAutospacing="1"/>
        <w:jc w:val="both"/>
        <w:rPr>
          <w:rFonts w:cs="Arial"/>
        </w:rPr>
      </w:pPr>
      <w:r>
        <w:rPr>
          <w:rFonts w:cs="Arial"/>
        </w:rPr>
        <w:t>Vstupním zdrojem pro zpracování dat jsou údaje o dočasné pracovní neschopnosti pro nemoc a úraz z Informačního systému ČSSZ, nahlášené ČSSZ prostřednictvím formuláře „Rozhodnutí o dočasné pracovní neschopnosti“</w:t>
      </w:r>
      <w:r>
        <w:rPr>
          <w:vertAlign w:val="superscript"/>
        </w:rPr>
        <w:footnoteReference w:id="3"/>
      </w:r>
      <w:r>
        <w:rPr>
          <w:rFonts w:cs="Arial"/>
        </w:rPr>
        <w:t xml:space="preserve"> (tzv. „neschopenka“), který vyplňuje ošetřující lékař.</w:t>
      </w:r>
    </w:p>
    <w:p w:rsidR="005578C1" w:rsidRDefault="005578C1" w:rsidP="005578C1">
      <w:pPr>
        <w:jc w:val="both"/>
        <w:rPr>
          <w:rFonts w:cs="Arial"/>
          <w:szCs w:val="20"/>
        </w:rPr>
      </w:pPr>
      <w:r>
        <w:rPr>
          <w:rFonts w:cs="Arial"/>
        </w:rPr>
        <w:t xml:space="preserve">Administrativní data Informačního systému ČSSZ obsahují údaje za všechny zaměstnance, ať již zaměstnané právnickou či fyzickou osobou i data za osoby samostatně výdělečně činné (OSVČ). Výjimku tvoří </w:t>
      </w:r>
      <w:r w:rsidRPr="006300CC">
        <w:rPr>
          <w:szCs w:val="16"/>
        </w:rPr>
        <w:t xml:space="preserve">příslušníci </w:t>
      </w:r>
      <w:r w:rsidRPr="006300CC">
        <w:rPr>
          <w:rFonts w:cs="Arial"/>
          <w:szCs w:val="16"/>
        </w:rPr>
        <w:t>Policie ČR, Hasičského záchranného sboru ČR, Celní správy ČR, Vězeňské služby ČR, Bezpečnostní informační služby, Úřadu pro zahraniční styky a informace a vojáky z povolání (§ 5 písm. a) bod 2 zákona č.187/2006 Sb.), kteří v údajích ČSSZ nejsou zahrnuti.</w:t>
      </w:r>
    </w:p>
    <w:p w:rsidR="005578C1" w:rsidRDefault="005578C1" w:rsidP="005578C1">
      <w:pPr>
        <w:autoSpaceDE w:val="0"/>
        <w:autoSpaceDN w:val="0"/>
        <w:adjustRightInd w:val="0"/>
        <w:jc w:val="both"/>
        <w:rPr>
          <w:rFonts w:cs="Arial"/>
        </w:rPr>
      </w:pPr>
      <w:r>
        <w:rPr>
          <w:rFonts w:cs="Arial"/>
        </w:rPr>
        <w:t xml:space="preserve">Česká správa sociálního zabezpečení za účelem zajištění statistiky dočasné pracovní neschopnosti pro nemoc a úraz poskytuje Českému statistickému úřadu datové soubory administrativních agregovaných dat o dočasné pracovní neschopnosti zaměstnanců a OSVČ, které jsou na ČSÚ dále zpracovány a doplněny s využitím informací z Registru ekonomických subjektů. </w:t>
      </w:r>
    </w:p>
    <w:p w:rsidR="005578C1" w:rsidRDefault="005578C1" w:rsidP="005578C1">
      <w:pPr>
        <w:autoSpaceDE w:val="0"/>
        <w:autoSpaceDN w:val="0"/>
        <w:adjustRightInd w:val="0"/>
        <w:jc w:val="both"/>
        <w:rPr>
          <w:rFonts w:cs="Arial"/>
        </w:rPr>
      </w:pPr>
      <w:r>
        <w:rPr>
          <w:rFonts w:cs="Arial"/>
        </w:rPr>
        <w:t>Data o nově hlášených případech dočasné pracovní neschopnosti a související ukazatele, jsou ČSÚ dále zpracovány v členění podle pohlaví, sídla (na úrovní krajů a okresů dle klasifikace CZ NUTS), velikosti (dle počtu zaměstnanců) a 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5578C1" w:rsidRDefault="005578C1" w:rsidP="005578C1">
      <w:pPr>
        <w:pStyle w:val="Nadpis2"/>
      </w:pPr>
      <w:r>
        <w:rPr>
          <w:rFonts w:cs="Arial"/>
          <w:szCs w:val="28"/>
        </w:rPr>
        <w:br w:type="page"/>
      </w:r>
      <w:bookmarkStart w:id="8" w:name="_Toc465077850"/>
      <w:bookmarkStart w:id="9" w:name="_Toc483838327"/>
      <w:bookmarkStart w:id="10" w:name="_Toc483901815"/>
      <w:r>
        <w:lastRenderedPageBreak/>
        <w:t>2.2 Sledované ukazatele</w:t>
      </w:r>
      <w:bookmarkEnd w:id="8"/>
      <w:bookmarkEnd w:id="9"/>
      <w:bookmarkEnd w:id="10"/>
      <w:r>
        <w:t xml:space="preserve"> </w:t>
      </w:r>
    </w:p>
    <w:p w:rsidR="005578C1" w:rsidRDefault="005578C1" w:rsidP="005578C1">
      <w:pPr>
        <w:pStyle w:val="Nadpis3"/>
        <w:spacing w:before="360" w:after="120"/>
      </w:pPr>
      <w:bookmarkStart w:id="11" w:name="_Toc465077851"/>
      <w:bookmarkStart w:id="12" w:name="_Toc483838328"/>
      <w:bookmarkStart w:id="13" w:name="_Toc483901816"/>
      <w:r>
        <w:t>Dočasná pracovní neschopnost (DPN)</w:t>
      </w:r>
      <w:bookmarkEnd w:id="11"/>
      <w:bookmarkEnd w:id="12"/>
      <w:bookmarkEnd w:id="13"/>
    </w:p>
    <w:p w:rsidR="005578C1" w:rsidRDefault="005578C1" w:rsidP="005578C1">
      <w:pPr>
        <w:spacing w:after="120"/>
        <w:jc w:val="both"/>
        <w:rPr>
          <w:rFonts w:cs="Arial"/>
        </w:rPr>
      </w:pPr>
      <w:r>
        <w:rPr>
          <w:rFonts w:cs="Arial"/>
        </w:rPr>
        <w:t>Dočasná pracovní neschopnost je stav člověka, který je lékařem ze zdravotních důvodů dočasně uznán neschopným k výkonu svého dosavadního zaměstnání. Ošetřující lékař zdůvodní dočasnou pracovní neschopnost uvedením jedné z následujících kategorií na formuláři „Rozhodnutí o dočasné pracovní neschopnosti“: </w:t>
      </w:r>
    </w:p>
    <w:p w:rsidR="005578C1" w:rsidRDefault="005578C1" w:rsidP="005578C1">
      <w:pPr>
        <w:pStyle w:val="Odstavecseseznamem"/>
        <w:numPr>
          <w:ilvl w:val="0"/>
          <w:numId w:val="35"/>
        </w:numPr>
        <w:suppressAutoHyphens w:val="0"/>
        <w:spacing w:before="120" w:after="100" w:afterAutospacing="1" w:line="288" w:lineRule="auto"/>
        <w:ind w:left="714" w:hanging="357"/>
        <w:jc w:val="both"/>
        <w:rPr>
          <w:rFonts w:ascii="Arial" w:hAnsi="Arial" w:cs="Arial"/>
          <w:sz w:val="20"/>
        </w:rPr>
      </w:pPr>
      <w:r>
        <w:rPr>
          <w:rFonts w:ascii="Arial" w:hAnsi="Arial" w:cs="Arial"/>
          <w:b/>
          <w:bCs/>
          <w:sz w:val="20"/>
        </w:rPr>
        <w:t xml:space="preserve">nemoc -  </w:t>
      </w:r>
      <w:r>
        <w:rPr>
          <w:rFonts w:ascii="Arial" w:hAnsi="Arial" w:cs="Arial"/>
          <w:sz w:val="20"/>
        </w:rPr>
        <w:t>za  případy dočasné pracovní neschopnosti pro nemoc jsou považovány všechny případy nemoci a úrazy podle Mezinárodní statistické klasifikace nemocí a přidružených zdravotních problémů (MKN-10). Kategorie nemoc zahrnuje kromě nemocí též úrazy, které nejsou lékařem, který vyplňuje formulář Rozhodnutí o dočasné pracovní neschopnosti, vyhodnocené jako pracovní úraz či ostatní úraz (poškození zdraví, na jehož následky je postižený v dočasné pracovní neschopnosti).</w:t>
      </w:r>
    </w:p>
    <w:p w:rsidR="005578C1" w:rsidRDefault="005578C1" w:rsidP="005578C1">
      <w:pPr>
        <w:pStyle w:val="Odstavecseseznamem"/>
        <w:numPr>
          <w:ilvl w:val="0"/>
          <w:numId w:val="35"/>
        </w:numPr>
        <w:suppressAutoHyphens w:val="0"/>
        <w:spacing w:before="100" w:after="100" w:line="288" w:lineRule="auto"/>
        <w:ind w:left="714" w:right="60" w:hanging="357"/>
        <w:jc w:val="both"/>
        <w:rPr>
          <w:rFonts w:ascii="Arial" w:hAnsi="Arial" w:cs="Arial"/>
          <w:b/>
          <w:bCs/>
          <w:sz w:val="20"/>
        </w:rPr>
      </w:pPr>
      <w:r>
        <w:rPr>
          <w:rFonts w:ascii="Arial" w:hAnsi="Arial" w:cs="Arial"/>
          <w:b/>
          <w:bCs/>
          <w:sz w:val="20"/>
        </w:rPr>
        <w:t xml:space="preserve">pracovní úrazy - </w:t>
      </w:r>
      <w:r>
        <w:rPr>
          <w:rFonts w:ascii="Arial" w:hAnsi="Arial" w:cs="Arial"/>
          <w:bCs/>
          <w:sz w:val="20"/>
        </w:rPr>
        <w:t>p</w:t>
      </w:r>
      <w:r>
        <w:rPr>
          <w:rFonts w:ascii="Arial" w:hAnsi="Arial" w:cs="Arial"/>
          <w:sz w:val="20"/>
        </w:rPr>
        <w:t>racovním úrazem se rozumí poškození zdraví nebo smrt, které byly zaměstnanci způsobeny nezávisle na jeho vůli krátkodobým, náhlým a násilným působením vnějších vlivů nebo vlastní tělesné síly při plnění pracovních úkolů nebo v přímé souvislosti s ním (viz § 380 odst. 1 až 3 zákona č. 262/2006 Sb., zákoníku práce).</w:t>
      </w:r>
      <w:r>
        <w:t xml:space="preserve"> </w:t>
      </w:r>
    </w:p>
    <w:p w:rsidR="005578C1" w:rsidRDefault="005578C1" w:rsidP="005578C1">
      <w:pPr>
        <w:pStyle w:val="Odstavecseseznamem"/>
        <w:numPr>
          <w:ilvl w:val="0"/>
          <w:numId w:val="35"/>
        </w:numPr>
        <w:suppressAutoHyphens w:val="0"/>
        <w:spacing w:before="100" w:after="100" w:line="288" w:lineRule="auto"/>
        <w:ind w:left="714" w:right="60" w:hanging="357"/>
        <w:jc w:val="both"/>
        <w:rPr>
          <w:rFonts w:ascii="Arial" w:hAnsi="Arial" w:cs="Arial"/>
          <w:sz w:val="20"/>
        </w:rPr>
      </w:pPr>
      <w:r>
        <w:rPr>
          <w:rFonts w:ascii="Arial" w:hAnsi="Arial" w:cs="Arial"/>
          <w:b/>
          <w:bCs/>
          <w:sz w:val="20"/>
        </w:rPr>
        <w:t xml:space="preserve">ostatní úrazy – </w:t>
      </w:r>
      <w:r>
        <w:rPr>
          <w:rFonts w:ascii="Arial" w:hAnsi="Arial" w:cs="Arial"/>
          <w:bCs/>
          <w:sz w:val="20"/>
        </w:rPr>
        <w:t xml:space="preserve">za ostatní úrazy jsou považovány případy </w:t>
      </w:r>
      <w:r>
        <w:rPr>
          <w:rFonts w:ascii="Arial" w:hAnsi="Arial" w:cs="Arial"/>
          <w:sz w:val="20"/>
        </w:rPr>
        <w:t>poškození zdraví, na jehož následky je postižený v dočasné pracovní neschopnosti, které však lékařem nebyly vyhodnoceny jako pracovní úraz.</w:t>
      </w:r>
    </w:p>
    <w:p w:rsidR="005578C1" w:rsidRDefault="005578C1" w:rsidP="005578C1">
      <w:pPr>
        <w:pStyle w:val="Nadpis3"/>
        <w:spacing w:before="240" w:after="120"/>
        <w:rPr>
          <w:color w:val="FF0000"/>
        </w:rPr>
      </w:pPr>
      <w:bookmarkStart w:id="14" w:name="_Toc465077852"/>
      <w:bookmarkStart w:id="15" w:name="_Toc483838329"/>
      <w:bookmarkStart w:id="16" w:name="_Toc483901817"/>
      <w:r>
        <w:t>Průměrný počet nemocensky pojištěných</w:t>
      </w:r>
      <w:bookmarkEnd w:id="14"/>
      <w:bookmarkEnd w:id="15"/>
      <w:bookmarkEnd w:id="16"/>
      <w:r>
        <w:t xml:space="preserve"> </w:t>
      </w:r>
    </w:p>
    <w:p w:rsidR="005578C1" w:rsidRDefault="005578C1" w:rsidP="005578C1">
      <w:pPr>
        <w:jc w:val="both"/>
        <w:rPr>
          <w:rFonts w:cs="Arial"/>
        </w:rPr>
      </w:pPr>
      <w:r>
        <w:rPr>
          <w:rFonts w:cs="Arial"/>
        </w:rPr>
        <w:t xml:space="preserve">Ukazatel představuje průměrný počet osob, které jsou nemocensky pojištěny podle § 2 zákona č. 54/1956 Sb., o nemocenském pojištění zaměstnanců, ve znění pozdějších předpisů a osoby samostatně výdělečně činné pojištěné podle § 145a až 145f zákona č. 100/1988 Sb., o sociálním zabezpečení v úplném znění. Zahrnuje počet nemocensky pojištěných osob, které byly alespoň po 1 den vykazovaného období nemocensky pojištěné u daného zaměstnavatele na jeho mzdové účtárně. Definice nemocensky pojištěných osob je vymezena v § 5 zákona č. 187/2006 Sb., nemocenském pojištění a v § 6 až 10 citovaného zákona (položka tedy zahrnuje i osoby pobírající dávku ošetřovné, peněžitá pomoc v mateřství, rodičovský příspěvek a vyrovnávací příspěvek v těhotenství a mateřství a osoby vykonávající zaměstnání malého rozsahu). Do průměrného počtu nemocensky pojištěných nejsou zahrnovány ženy na mateřské dovolené ani vojáci základní vojenské služby. Nejsou započteni příslušníci dle bodu 2 písmene a) § 5 zákona č. 187/2006 Sb., o nemocenském pojištění, tj. příslušníci Policie ČR, Hasičského záchranného sboru, Celní správy, Vězeňské služby, Generální inspekce bezpečnostních sborů, Bezpečnostní informační služby a Úřadu pro zahraniční styky a informace a vojáci z povolání. </w:t>
      </w:r>
    </w:p>
    <w:p w:rsidR="005578C1" w:rsidRDefault="005578C1" w:rsidP="005578C1">
      <w:pPr>
        <w:spacing w:after="120"/>
        <w:jc w:val="both"/>
        <w:rPr>
          <w:rFonts w:cs="Arial"/>
        </w:rPr>
      </w:pPr>
      <w:r>
        <w:rPr>
          <w:rFonts w:cs="Arial"/>
        </w:rPr>
        <w:t>V případě více překrývajících se pojistných vztahů pojištěnce v rámci jednoho zaměstnavatele a jedné mzdové účtárny se započítává pojištěnec pouze jedenkrát. V ostatních případech je pojištěnec započítáván tolikrát, kolik má pracovních poměrů.  </w:t>
      </w:r>
    </w:p>
    <w:p w:rsidR="005578C1" w:rsidRPr="00825628" w:rsidRDefault="005578C1" w:rsidP="005578C1">
      <w:pPr>
        <w:pStyle w:val="Zkladntextodsazen"/>
        <w:spacing w:after="60" w:line="288" w:lineRule="auto"/>
        <w:ind w:left="0" w:firstLine="708"/>
        <w:jc w:val="both"/>
        <w:rPr>
          <w:rFonts w:cs="Arial"/>
          <w:szCs w:val="24"/>
          <w:u w:val="single"/>
        </w:rPr>
      </w:pPr>
      <w:r w:rsidRPr="00825628">
        <w:rPr>
          <w:rFonts w:cs="Arial"/>
          <w:szCs w:val="24"/>
          <w:u w:val="single"/>
        </w:rPr>
        <w:t>Způsob výpočtu:</w:t>
      </w:r>
    </w:p>
    <w:p w:rsidR="005578C1" w:rsidRDefault="005578C1" w:rsidP="005578C1">
      <w:pPr>
        <w:spacing w:after="120"/>
        <w:jc w:val="both"/>
        <w:rPr>
          <w:rFonts w:cs="Arial"/>
        </w:rPr>
      </w:pPr>
      <w:r>
        <w:rPr>
          <w:rFonts w:cs="Arial"/>
        </w:rPr>
        <w:t>Průměrný počet nemocensky pojištěných osob = počet dní nemocenského pojištění jednotlivých pojištěných osob ve vykazovaném období / počet kalendářních dní ve vykazovaném období.</w:t>
      </w:r>
    </w:p>
    <w:p w:rsidR="005578C1" w:rsidRDefault="005578C1" w:rsidP="005578C1">
      <w:pPr>
        <w:pStyle w:val="Nadpis3"/>
        <w:pageBreakBefore/>
        <w:spacing w:before="240" w:after="120"/>
      </w:pPr>
      <w:bookmarkStart w:id="17" w:name="_Toc465077853"/>
      <w:bookmarkStart w:id="18" w:name="_Toc483838330"/>
      <w:bookmarkStart w:id="19" w:name="_Toc483901818"/>
      <w:r>
        <w:lastRenderedPageBreak/>
        <w:t>Průměrný počet nemocensky pojištěných mladistvých</w:t>
      </w:r>
      <w:bookmarkEnd w:id="17"/>
      <w:bookmarkEnd w:id="18"/>
      <w:bookmarkEnd w:id="19"/>
    </w:p>
    <w:p w:rsidR="005578C1" w:rsidRDefault="005578C1" w:rsidP="005578C1">
      <w:pPr>
        <w:spacing w:after="120"/>
      </w:pPr>
      <w:bookmarkStart w:id="20" w:name="_Toc449682769"/>
      <w:bookmarkStart w:id="21" w:name="_Toc449682927"/>
      <w:bookmarkStart w:id="22" w:name="_Toc449683025"/>
      <w:bookmarkStart w:id="23" w:name="_Toc449683097"/>
      <w:bookmarkStart w:id="24" w:name="_Toc449683478"/>
      <w:bookmarkStart w:id="25" w:name="_Toc449685168"/>
      <w:bookmarkStart w:id="26" w:name="_Toc449685196"/>
      <w:r>
        <w:t xml:space="preserve">Ukazatel představuje průměrný počet mladistvých nemocensky pojištěných zaměstnanců do 18 let včetně </w:t>
      </w:r>
      <w:r>
        <w:rPr>
          <w:szCs w:val="20"/>
        </w:rPr>
        <w:t>(z</w:t>
      </w:r>
      <w:r w:rsidRPr="005C3B83">
        <w:rPr>
          <w:bCs/>
          <w:szCs w:val="20"/>
        </w:rPr>
        <w:t xml:space="preserve">ákon č. 65/1965 Sb., zákoník práce </w:t>
      </w:r>
      <w:r>
        <w:t>§ 163)</w:t>
      </w:r>
      <w:bookmarkEnd w:id="20"/>
      <w:bookmarkEnd w:id="21"/>
      <w:bookmarkEnd w:id="22"/>
      <w:bookmarkEnd w:id="23"/>
      <w:bookmarkEnd w:id="24"/>
      <w:bookmarkEnd w:id="25"/>
      <w:bookmarkEnd w:id="26"/>
      <w:r>
        <w:t>.</w:t>
      </w:r>
    </w:p>
    <w:p w:rsidR="005578C1" w:rsidRPr="00825628" w:rsidRDefault="005578C1" w:rsidP="005578C1">
      <w:pPr>
        <w:pStyle w:val="Zkladntextodsazen"/>
        <w:spacing w:after="60" w:line="288" w:lineRule="auto"/>
        <w:ind w:left="0" w:firstLine="708"/>
        <w:jc w:val="both"/>
        <w:rPr>
          <w:rFonts w:cs="Arial"/>
          <w:b/>
          <w:szCs w:val="22"/>
          <w:u w:val="single"/>
        </w:rPr>
      </w:pPr>
      <w:r w:rsidRPr="00825628">
        <w:rPr>
          <w:rFonts w:cs="Arial"/>
          <w:u w:val="single"/>
        </w:rPr>
        <w:t>Způsob výpočtu:</w:t>
      </w:r>
    </w:p>
    <w:p w:rsidR="005578C1" w:rsidRDefault="005578C1" w:rsidP="005578C1">
      <w:pPr>
        <w:spacing w:after="120"/>
        <w:jc w:val="both"/>
        <w:rPr>
          <w:rFonts w:cs="Arial"/>
          <w:szCs w:val="22"/>
        </w:rPr>
      </w:pPr>
      <w:r>
        <w:rPr>
          <w:rFonts w:cs="Arial"/>
          <w:szCs w:val="22"/>
        </w:rPr>
        <w:t>Průměrný počet nemocensky pojištěných mladistvých = počet dní nemocenského pojištění mladistvých ve vykazovaném období / počet kalendářních dní ve vykazovaném období.</w:t>
      </w:r>
    </w:p>
    <w:p w:rsidR="005578C1" w:rsidRDefault="005578C1" w:rsidP="005578C1">
      <w:pPr>
        <w:pStyle w:val="Nadpis3"/>
        <w:spacing w:before="240" w:after="120"/>
      </w:pPr>
      <w:bookmarkStart w:id="27" w:name="_Toc465077854"/>
      <w:bookmarkStart w:id="28" w:name="_Toc483838331"/>
      <w:bookmarkStart w:id="29" w:name="_Toc483901819"/>
      <w:r>
        <w:t>Počet pracovně právních pojistných vztahů</w:t>
      </w:r>
      <w:bookmarkEnd w:id="27"/>
      <w:bookmarkEnd w:id="28"/>
      <w:bookmarkEnd w:id="29"/>
    </w:p>
    <w:p w:rsidR="005578C1" w:rsidRDefault="005578C1" w:rsidP="005578C1">
      <w:pPr>
        <w:jc w:val="both"/>
        <w:rPr>
          <w:rFonts w:cs="Arial"/>
          <w:szCs w:val="20"/>
        </w:rPr>
      </w:pPr>
      <w:r>
        <w:rPr>
          <w:rFonts w:cs="Arial"/>
          <w:szCs w:val="20"/>
        </w:rPr>
        <w:t>Ukazatel udává celkový počet pojistných vztahů nemocensky pojištěných osob, které byly alespoň 1 den vykazovaného období nemocensky pojištěné u daného zaměstnavatele v jeho mzdové účtárně. U zaměstnanců právnických osob a zaměstnanců fyzických osob se započítávají pojistné vztahy všech zaměstnanců nemocensky pojištěných dle § 5 zákona č. 187/2006 Sb., o nemocenském pojištění a kteří jsou účastny pojištění dle § 6 až 10 citovaného zákona (položka tedy zahrnuje i osoby pobírající dávku ošetřovné, peněžitá pomoc v mateřství, rodičovský příspěvek a vyrovnávací příspěvek v těhotenství a mateřství a osoby vykonávající zaměstnání malého rozsahu). Nejsou započteni příslušníci dle bodu 2 písmene a) § 5 zákona č. 187/2006 Sb., o nemocenském pojištění, tj., příslušníci Policie ČR, Hasičského záchranného sboru, Celní správy, Vězeňské služby, Generální inspekce bezpečnostních sborů, Bezpečnostní informační služby a Úřadu pro zahraniční styky a informace a vojáci z povolání.</w:t>
      </w:r>
    </w:p>
    <w:p w:rsidR="005578C1" w:rsidRDefault="005578C1" w:rsidP="005578C1">
      <w:pPr>
        <w:jc w:val="both"/>
        <w:rPr>
          <w:rFonts w:cs="Arial"/>
          <w:szCs w:val="20"/>
        </w:rPr>
      </w:pPr>
      <w:r>
        <w:rPr>
          <w:rFonts w:cs="Arial"/>
          <w:szCs w:val="20"/>
        </w:rPr>
        <w:t>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p>
    <w:p w:rsidR="005578C1" w:rsidRDefault="005578C1" w:rsidP="005578C1">
      <w:pPr>
        <w:spacing w:after="120"/>
        <w:jc w:val="both"/>
        <w:rPr>
          <w:rFonts w:cs="Arial"/>
          <w:szCs w:val="20"/>
        </w:rPr>
      </w:pPr>
      <w:r>
        <w:rPr>
          <w:rFonts w:cs="Arial"/>
          <w:szCs w:val="20"/>
        </w:rPr>
        <w:t>Ukazatel se nepřepočítává na počet kalendářních dnů ve sledovaném období jednoho roku.</w:t>
      </w:r>
    </w:p>
    <w:p w:rsidR="005578C1" w:rsidRDefault="005578C1" w:rsidP="005578C1">
      <w:pPr>
        <w:autoSpaceDE w:val="0"/>
        <w:autoSpaceDN w:val="0"/>
        <w:adjustRightInd w:val="0"/>
        <w:jc w:val="both"/>
        <w:rPr>
          <w:rFonts w:cs="Arial"/>
          <w:szCs w:val="20"/>
        </w:rPr>
      </w:pPr>
      <w:r>
        <w:rPr>
          <w:rFonts w:ascii="ArialMT" w:hAnsi="ArialMT" w:cs="ArialMT"/>
          <w:szCs w:val="20"/>
        </w:rPr>
        <w:t xml:space="preserve">V roce 2009 došlo ke změně v </w:t>
      </w:r>
      <w:r w:rsidRPr="00D70B0B">
        <w:rPr>
          <w:rFonts w:ascii="ArialMT" w:hAnsi="ArialMT" w:cs="ArialMT"/>
          <w:szCs w:val="20"/>
        </w:rPr>
        <w:t>metodice vykazování a čerpání nemocenské</w:t>
      </w:r>
      <w:r>
        <w:rPr>
          <w:rFonts w:ascii="ArialMT" w:hAnsi="ArialMT" w:cs="ArialMT"/>
          <w:szCs w:val="20"/>
        </w:rPr>
        <w:t>,</w:t>
      </w:r>
      <w:r w:rsidRPr="00D70B0B">
        <w:rPr>
          <w:rFonts w:ascii="ArialMT" w:hAnsi="ArialMT" w:cs="ArialMT"/>
          <w:szCs w:val="20"/>
        </w:rPr>
        <w:t xml:space="preserve"> sběru dat a jejich zpracování</w:t>
      </w:r>
      <w:r>
        <w:rPr>
          <w:rFonts w:ascii="ArialMT" w:hAnsi="ArialMT" w:cs="ArialMT"/>
          <w:szCs w:val="20"/>
        </w:rPr>
        <w:t xml:space="preserve"> </w:t>
      </w:r>
      <w:r w:rsidRPr="00D70B0B">
        <w:rPr>
          <w:rFonts w:ascii="ArialMT" w:hAnsi="ArialMT" w:cs="ArialMT"/>
          <w:szCs w:val="20"/>
        </w:rPr>
        <w:t xml:space="preserve">Českou správou sociálního zabezpečení </w:t>
      </w:r>
      <w:r>
        <w:rPr>
          <w:rFonts w:ascii="ArialMT" w:hAnsi="ArialMT" w:cs="ArialMT"/>
          <w:szCs w:val="20"/>
        </w:rPr>
        <w:t xml:space="preserve">(ČSSZ), </w:t>
      </w:r>
      <w:r w:rsidRPr="00D70B0B">
        <w:rPr>
          <w:rFonts w:ascii="ArialMT" w:hAnsi="ArialMT" w:cs="ArialMT"/>
          <w:szCs w:val="20"/>
        </w:rPr>
        <w:t>vlivem změny zákona</w:t>
      </w:r>
      <w:r>
        <w:rPr>
          <w:rFonts w:ascii="ArialMT" w:hAnsi="ArialMT" w:cs="ArialMT"/>
          <w:szCs w:val="20"/>
        </w:rPr>
        <w:t xml:space="preserve"> </w:t>
      </w:r>
      <w:r w:rsidRPr="00D70B0B">
        <w:rPr>
          <w:rFonts w:ascii="ArialMT" w:hAnsi="ArialMT" w:cs="ArialMT"/>
          <w:szCs w:val="20"/>
        </w:rPr>
        <w:t xml:space="preserve">o nemocenském pojištění </w:t>
      </w:r>
      <w:r>
        <w:rPr>
          <w:rFonts w:ascii="ArialMT" w:hAnsi="ArialMT" w:cs="ArialMT"/>
          <w:szCs w:val="20"/>
        </w:rPr>
        <w:t xml:space="preserve">se projevily </w:t>
      </w:r>
      <w:r w:rsidRPr="00D70B0B">
        <w:rPr>
          <w:rFonts w:ascii="ArialMT" w:hAnsi="ArialMT" w:cs="ArialMT"/>
          <w:szCs w:val="20"/>
        </w:rPr>
        <w:t xml:space="preserve">některé odlišnosti oproti dosavadní praxi. </w:t>
      </w:r>
      <w:r>
        <w:rPr>
          <w:rFonts w:cs="Arial"/>
          <w:szCs w:val="20"/>
        </w:rPr>
        <w:t>Data z České správy sociálního zabezpečení jsou informačním zdrojem pro výpočet ukazatelů pracovní neschopnosti a nemocnosti obecně. Do roku 2009 byly sledovány veškeré ukazatele za jednotlivé zaměstnavatele zvlášť (dle výběrového šetření), přičemž pojištěnec a jeho údaje o dočasné pracovní neschopnosti byly započítávány v rámci jednoho zaměstnavatele pouze jedenkrát. ČSSZ však eviduje dočasné pracovní neschopnosti na každý pojistný vztah zvlášť, bez ohledu, zda jde vztah u jednoho či více zaměstnavatelů. Od roku 2009 bylo tedy nutné přidat ukazatel počet pracovně právních pojistných vztahů, který není závislý na příslušném zaměstnavateli a slouží správnému porovnání údajů o dočasných pracovních neschopnostech.   </w:t>
      </w:r>
    </w:p>
    <w:p w:rsidR="005578C1" w:rsidRDefault="005578C1" w:rsidP="005578C1">
      <w:pPr>
        <w:pStyle w:val="Nadpis3"/>
        <w:spacing w:before="240" w:after="120"/>
      </w:pPr>
      <w:bookmarkStart w:id="30" w:name="_Toc465077855"/>
      <w:bookmarkStart w:id="31" w:name="_Toc483838332"/>
      <w:bookmarkStart w:id="32" w:name="_Toc483901820"/>
      <w:r>
        <w:t>Počet nově hlášených případů dočasné pracovní neschopnosti</w:t>
      </w:r>
      <w:bookmarkEnd w:id="30"/>
      <w:bookmarkEnd w:id="31"/>
      <w:bookmarkEnd w:id="32"/>
      <w:r>
        <w:t xml:space="preserve"> </w:t>
      </w:r>
    </w:p>
    <w:p w:rsidR="005578C1" w:rsidRDefault="005578C1" w:rsidP="005578C1">
      <w:pPr>
        <w:jc w:val="both"/>
        <w:rPr>
          <w:rFonts w:cs="Arial"/>
        </w:rPr>
      </w:pPr>
      <w:r>
        <w:rPr>
          <w:rFonts w:cs="Arial"/>
        </w:rPr>
        <w:t xml:space="preserve">Vykazují se nově hlášené případy pracovní neschopnosti ve sledovaném období na základě hlášení o vzniku pracovní neschopnosti nemocensky pojištěných osob. </w:t>
      </w:r>
    </w:p>
    <w:p w:rsidR="005578C1" w:rsidRDefault="005578C1" w:rsidP="005578C1">
      <w:pPr>
        <w:jc w:val="both"/>
        <w:rPr>
          <w:rFonts w:cs="Arial"/>
          <w:b/>
        </w:rPr>
      </w:pPr>
      <w:r>
        <w:rPr>
          <w:rFonts w:cs="Arial"/>
          <w:szCs w:val="20"/>
        </w:rPr>
        <w:t>Na rozdíl od statistik nově hlášených případů dočasné neschopnosti, ČSÚ</w:t>
      </w:r>
      <w:r>
        <w:rPr>
          <w:rFonts w:cs="Arial"/>
        </w:rPr>
        <w:t xml:space="preserve">, sleduje a zjišťuje </w:t>
      </w:r>
      <w:r>
        <w:rPr>
          <w:rFonts w:cs="Arial"/>
          <w:szCs w:val="20"/>
        </w:rPr>
        <w:t xml:space="preserve">Ústav zdravotnických informací a </w:t>
      </w:r>
      <w:r>
        <w:rPr>
          <w:rFonts w:cs="Arial"/>
        </w:rPr>
        <w:t>statistiky ČR dočasné pracovní neschopnosti z dat ČSSZ pouze pro případy ukončené ve sledovaném roce. Rozdíly v počtech nově hlášených a ukončených případů dočasné pracovní neschopnosti mezi oběma zdroji jsou dány odlišnou metodikou sběru dat.</w:t>
      </w:r>
    </w:p>
    <w:p w:rsidR="005578C1" w:rsidRDefault="005578C1" w:rsidP="005578C1">
      <w:pPr>
        <w:pStyle w:val="Nadpis3"/>
        <w:spacing w:before="240" w:after="120"/>
        <w:rPr>
          <w:color w:val="FF0000"/>
          <w:szCs w:val="20"/>
        </w:rPr>
      </w:pPr>
      <w:bookmarkStart w:id="33" w:name="_Toc465077856"/>
      <w:bookmarkStart w:id="34" w:name="_Toc483838333"/>
      <w:bookmarkStart w:id="35" w:name="_Toc483901821"/>
      <w:r>
        <w:t>Počet kalendářních dnů dočasné pracovní neschopnosti</w:t>
      </w:r>
      <w:bookmarkEnd w:id="33"/>
      <w:bookmarkEnd w:id="34"/>
      <w:bookmarkEnd w:id="35"/>
      <w:r>
        <w:t xml:space="preserve"> </w:t>
      </w:r>
    </w:p>
    <w:p w:rsidR="005578C1" w:rsidRDefault="005578C1" w:rsidP="005578C1">
      <w:pPr>
        <w:spacing w:after="120"/>
        <w:jc w:val="both"/>
        <w:rPr>
          <w:rFonts w:cs="Arial"/>
          <w:szCs w:val="20"/>
        </w:rPr>
      </w:pPr>
      <w:r>
        <w:rPr>
          <w:rFonts w:cs="Arial"/>
          <w:szCs w:val="20"/>
        </w:rPr>
        <w:t xml:space="preserve">Ukazatel vykazuje celkový počet kalendářních dnů, po které byli v daném období (roce) nemocensky pojištění zaměstnanci práce neschopni z příčin uvedených ve formuláři „Rozhodnutí o dočasné pracovní neschopnosti“. Počet kalendářních dnů strávených v pracovní neschopnosti je zjišťován na základě hlášení </w:t>
      </w:r>
      <w:r>
        <w:rPr>
          <w:rFonts w:cs="Arial"/>
          <w:szCs w:val="20"/>
        </w:rPr>
        <w:lastRenderedPageBreak/>
        <w:t>o vzniku a ukončení pracovní neschopnosti. Do počtu případů a počtu kalendářních dnů pracovní neschopnosti patří i pracovní neschopnost vzniklá po zániku pojištění v tzv. ochranné lhůtě sedmi kalendářních dnů.</w:t>
      </w:r>
    </w:p>
    <w:p w:rsidR="005578C1" w:rsidRDefault="005578C1" w:rsidP="005578C1">
      <w:pPr>
        <w:pStyle w:val="Nadpis3"/>
        <w:spacing w:before="240" w:after="120"/>
      </w:pPr>
      <w:bookmarkStart w:id="36" w:name="_Toc465077857"/>
      <w:bookmarkStart w:id="37" w:name="_Toc483838334"/>
      <w:bookmarkStart w:id="38" w:name="_Toc483901822"/>
      <w:r>
        <w:t>Pracovní úrazy s pracovní neschopností delší než 3 dny</w:t>
      </w:r>
      <w:bookmarkEnd w:id="36"/>
      <w:bookmarkEnd w:id="37"/>
      <w:bookmarkEnd w:id="38"/>
      <w:r>
        <w:t xml:space="preserve"> </w:t>
      </w:r>
    </w:p>
    <w:p w:rsidR="005578C1" w:rsidRDefault="005578C1" w:rsidP="005578C1">
      <w:pPr>
        <w:spacing w:after="120"/>
        <w:jc w:val="both"/>
        <w:rPr>
          <w:rFonts w:cs="Arial"/>
        </w:rPr>
      </w:pPr>
      <w:r>
        <w:rPr>
          <w:rFonts w:cs="Arial"/>
        </w:rPr>
        <w:t>Ukazatel zahrnuje případy pracovních úrazů, které měly za následek pracovní neschopnost delší než tři kalendářní dny. Do těchto tří dnů se nezapočítává den, ve kterém k úrazu došlo.</w:t>
      </w:r>
    </w:p>
    <w:p w:rsidR="005578C1" w:rsidRDefault="005578C1" w:rsidP="005578C1">
      <w:pPr>
        <w:pStyle w:val="Nadpis3"/>
        <w:spacing w:before="240" w:after="120"/>
      </w:pPr>
      <w:bookmarkStart w:id="39" w:name="_Toc465077858"/>
      <w:bookmarkStart w:id="40" w:name="_Toc483838335"/>
      <w:bookmarkStart w:id="41" w:name="_Toc483901823"/>
      <w:r>
        <w:t>Počet případů pracovní neschopnosti na 100 pojištěnců</w:t>
      </w:r>
      <w:bookmarkEnd w:id="39"/>
      <w:bookmarkEnd w:id="40"/>
      <w:bookmarkEnd w:id="41"/>
    </w:p>
    <w:p w:rsidR="005578C1" w:rsidRDefault="005578C1" w:rsidP="005578C1">
      <w:pPr>
        <w:pStyle w:val="Zkladntextodsazen"/>
        <w:spacing w:after="120" w:line="288" w:lineRule="auto"/>
        <w:ind w:left="0"/>
        <w:jc w:val="both"/>
        <w:rPr>
          <w:rFonts w:cs="Arial"/>
        </w:rPr>
      </w:pPr>
      <w:r>
        <w:rPr>
          <w:rFonts w:cs="Arial"/>
        </w:rPr>
        <w:t xml:space="preserve">Ukazatel vyjadřuje počet nově hlášených případů pracovní neschopnosti, které připadají v průměru na 100 nemocensky pojištěných. </w:t>
      </w:r>
    </w:p>
    <w:p w:rsidR="005578C1" w:rsidRPr="00825628" w:rsidRDefault="005578C1" w:rsidP="005578C1">
      <w:pPr>
        <w:pStyle w:val="Zkladntextodsazen"/>
        <w:spacing w:after="60"/>
        <w:ind w:left="0" w:firstLine="709"/>
        <w:jc w:val="both"/>
        <w:rPr>
          <w:rFonts w:cs="Arial"/>
          <w:u w:val="single"/>
        </w:rPr>
      </w:pPr>
      <w:r w:rsidRPr="00825628">
        <w:rPr>
          <w:rFonts w:cs="Arial"/>
          <w:u w:val="single"/>
        </w:rPr>
        <w:t>Způsob výpočtu:</w:t>
      </w:r>
    </w:p>
    <w:p w:rsidR="005578C1" w:rsidRDefault="005578C1" w:rsidP="005578C1">
      <w:pPr>
        <w:pStyle w:val="Zkladntextodsazen"/>
        <w:spacing w:after="60" w:line="288" w:lineRule="auto"/>
        <w:ind w:left="0"/>
        <w:jc w:val="both"/>
        <w:rPr>
          <w:rFonts w:cs="Arial"/>
          <w:szCs w:val="22"/>
        </w:rPr>
      </w:pPr>
      <w:r>
        <w:rPr>
          <w:rFonts w:cs="Arial"/>
          <w:szCs w:val="22"/>
        </w:rPr>
        <w:t>Počet případů pracovní neschopnosti na 100 pojištěnců = nově hlášené případy dočasné pracovní neschopnosti x 100 / průměrný počet osob nemocensky pojištěných.</w:t>
      </w:r>
    </w:p>
    <w:p w:rsidR="005578C1" w:rsidRDefault="005578C1" w:rsidP="005578C1">
      <w:pPr>
        <w:pStyle w:val="Nadpis3"/>
        <w:spacing w:before="240" w:after="120"/>
      </w:pPr>
      <w:bookmarkStart w:id="42" w:name="_Toc465077859"/>
      <w:bookmarkStart w:id="43" w:name="_Toc483838336"/>
      <w:bookmarkStart w:id="44" w:name="_Toc483901824"/>
      <w:r>
        <w:t>Průměrná délka trvání pracovní neschopnosti ve dnech</w:t>
      </w:r>
      <w:bookmarkEnd w:id="42"/>
      <w:bookmarkEnd w:id="43"/>
      <w:bookmarkEnd w:id="44"/>
      <w:r>
        <w:t xml:space="preserve"> </w:t>
      </w:r>
    </w:p>
    <w:p w:rsidR="005578C1" w:rsidRDefault="005578C1" w:rsidP="005578C1">
      <w:pPr>
        <w:pStyle w:val="Zkladntextodsazen"/>
        <w:spacing w:after="120" w:line="288" w:lineRule="auto"/>
        <w:ind w:left="0"/>
        <w:jc w:val="both"/>
        <w:rPr>
          <w:rFonts w:cs="Arial"/>
        </w:rPr>
      </w:pPr>
      <w:r>
        <w:rPr>
          <w:rFonts w:cs="Arial"/>
        </w:rPr>
        <w:t xml:space="preserve">Ukazatel vyjadřuje, kolik kalendářních dnů pracovní neschopnosti v průměru připadá na jeden nově hlášený případ pracovní neschopnosti </w:t>
      </w:r>
    </w:p>
    <w:p w:rsidR="005578C1" w:rsidRPr="00825628" w:rsidRDefault="005578C1" w:rsidP="005578C1">
      <w:pPr>
        <w:pStyle w:val="Zkladntextodsazen"/>
        <w:spacing w:after="60" w:line="288" w:lineRule="auto"/>
        <w:ind w:left="0" w:firstLine="708"/>
        <w:jc w:val="both"/>
        <w:rPr>
          <w:rFonts w:cs="Arial"/>
          <w:u w:val="single"/>
        </w:rPr>
      </w:pPr>
      <w:r w:rsidRPr="00825628">
        <w:rPr>
          <w:rFonts w:cs="Arial"/>
          <w:u w:val="single"/>
        </w:rPr>
        <w:t>Způsob výpočtu:</w:t>
      </w:r>
    </w:p>
    <w:p w:rsidR="005578C1" w:rsidRDefault="005578C1" w:rsidP="005578C1">
      <w:pPr>
        <w:pStyle w:val="Zkladntextodsazen"/>
        <w:spacing w:after="60" w:line="288" w:lineRule="auto"/>
        <w:ind w:left="0"/>
        <w:jc w:val="both"/>
        <w:rPr>
          <w:rFonts w:cs="Arial"/>
          <w:szCs w:val="22"/>
        </w:rPr>
      </w:pPr>
      <w:r>
        <w:rPr>
          <w:rFonts w:cs="Arial"/>
          <w:szCs w:val="22"/>
        </w:rPr>
        <w:t>Průměrná délka trvání pracovní neschopnosti ve dnech =</w:t>
      </w:r>
      <w:r>
        <w:rPr>
          <w:rFonts w:cs="Arial"/>
          <w:b/>
          <w:szCs w:val="22"/>
        </w:rPr>
        <w:t xml:space="preserve"> </w:t>
      </w:r>
      <w:r>
        <w:rPr>
          <w:rFonts w:cs="Arial"/>
          <w:szCs w:val="22"/>
        </w:rPr>
        <w:t>počet kalendářních dnů dočasné pracovní neschopnosti / počet nově hlášených případů dočasné pracovní neschopnosti.</w:t>
      </w:r>
    </w:p>
    <w:p w:rsidR="005578C1" w:rsidRDefault="005578C1" w:rsidP="005578C1">
      <w:pPr>
        <w:pStyle w:val="Nadpis3"/>
        <w:spacing w:before="240" w:after="120"/>
      </w:pPr>
      <w:bookmarkStart w:id="45" w:name="_Toc465077860"/>
      <w:bookmarkStart w:id="46" w:name="_Toc483838337"/>
      <w:bookmarkStart w:id="47" w:name="_Toc483901825"/>
      <w:r>
        <w:t>Průměrné procento dočasné pracovní neschopnosti</w:t>
      </w:r>
      <w:bookmarkEnd w:id="45"/>
      <w:bookmarkEnd w:id="46"/>
      <w:bookmarkEnd w:id="47"/>
    </w:p>
    <w:p w:rsidR="005578C1" w:rsidRDefault="005578C1" w:rsidP="005578C1">
      <w:pPr>
        <w:pStyle w:val="Zkladntextodsazen"/>
        <w:spacing w:after="120" w:line="288" w:lineRule="auto"/>
        <w:ind w:left="0"/>
        <w:jc w:val="both"/>
        <w:rPr>
          <w:rFonts w:cs="Arial"/>
          <w:szCs w:val="22"/>
        </w:rPr>
      </w:pPr>
      <w:r w:rsidRPr="000223D7">
        <w:rPr>
          <w:rFonts w:cs="Arial"/>
        </w:rPr>
        <w:t>Ukazatel 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rFonts w:cs="Arial"/>
          <w:szCs w:val="22"/>
        </w:rPr>
        <w:t xml:space="preserve">Vyjadřuje podíl kalendářních dnů pracovní neschopnosti na celkovém kalendářním fondu pojištěnců ve sledovaném období (roce) vyjádřený v procentech. </w:t>
      </w:r>
    </w:p>
    <w:p w:rsidR="005578C1" w:rsidRPr="00825628" w:rsidRDefault="005578C1" w:rsidP="005578C1">
      <w:pPr>
        <w:pStyle w:val="Zkladntextodsazen"/>
        <w:spacing w:after="60" w:line="288" w:lineRule="auto"/>
        <w:ind w:left="0" w:firstLine="709"/>
        <w:jc w:val="both"/>
        <w:rPr>
          <w:rFonts w:cs="Arial"/>
          <w:szCs w:val="22"/>
          <w:u w:val="single"/>
        </w:rPr>
      </w:pPr>
      <w:r w:rsidRPr="00825628">
        <w:rPr>
          <w:rFonts w:cs="Arial"/>
          <w:szCs w:val="22"/>
          <w:u w:val="single"/>
        </w:rPr>
        <w:t>Způsob výpočtu:</w:t>
      </w:r>
    </w:p>
    <w:p w:rsidR="005578C1" w:rsidRDefault="005578C1" w:rsidP="005578C1">
      <w:pPr>
        <w:pStyle w:val="Zkladntextodsazen"/>
        <w:spacing w:after="60" w:line="288" w:lineRule="auto"/>
        <w:ind w:left="0"/>
        <w:jc w:val="both"/>
        <w:rPr>
          <w:rFonts w:cs="Arial"/>
          <w:b/>
          <w:szCs w:val="22"/>
        </w:rPr>
      </w:pPr>
      <w:r>
        <w:rPr>
          <w:rFonts w:cs="Arial"/>
          <w:szCs w:val="22"/>
        </w:rPr>
        <w:t>Průměrné procento dnů strávených v pracovní neschopnosti = počet kalendářních dnů dočasné pracovní neschopnosti x 100) / (průměrný počet osob nemocensky pojištěných x počet kalendářních dnů ve sledovaném období.</w:t>
      </w:r>
    </w:p>
    <w:p w:rsidR="005578C1" w:rsidRDefault="005578C1" w:rsidP="005578C1">
      <w:pPr>
        <w:pStyle w:val="Nadpis3"/>
        <w:spacing w:before="240" w:after="120"/>
      </w:pPr>
      <w:bookmarkStart w:id="48" w:name="_Toc465077861"/>
      <w:bookmarkStart w:id="49" w:name="_Toc483838338"/>
      <w:bookmarkStart w:id="50" w:name="_Toc483901826"/>
      <w:r>
        <w:t>Průměrný denní stav práce neschopných</w:t>
      </w:r>
      <w:bookmarkEnd w:id="48"/>
      <w:bookmarkEnd w:id="49"/>
      <w:bookmarkEnd w:id="50"/>
    </w:p>
    <w:p w:rsidR="005578C1" w:rsidRDefault="005578C1" w:rsidP="005578C1">
      <w:pPr>
        <w:pStyle w:val="Zkladntextodsazen"/>
        <w:spacing w:after="120" w:line="288" w:lineRule="auto"/>
        <w:ind w:left="0"/>
        <w:jc w:val="both"/>
        <w:rPr>
          <w:rFonts w:cs="Arial"/>
        </w:rPr>
      </w:pPr>
      <w:r>
        <w:rPr>
          <w:rFonts w:cs="Arial"/>
        </w:rPr>
        <w:t xml:space="preserve">Ukazatel představuje počet nemocensky pojištěných, kteří byli ve sledovaném období (roce) průměrně denně nepřítomni v práci z důvodů pracovní neschopnosti pro pracovní úraz. </w:t>
      </w:r>
    </w:p>
    <w:p w:rsidR="005578C1" w:rsidRPr="00825628" w:rsidRDefault="005578C1" w:rsidP="005578C1">
      <w:pPr>
        <w:pStyle w:val="Zkladntextodsazen"/>
        <w:spacing w:after="60" w:line="288" w:lineRule="auto"/>
        <w:ind w:left="0" w:firstLine="708"/>
        <w:jc w:val="both"/>
        <w:rPr>
          <w:rFonts w:cs="Arial"/>
          <w:b/>
          <w:szCs w:val="22"/>
          <w:u w:val="single"/>
        </w:rPr>
      </w:pPr>
      <w:r w:rsidRPr="00825628">
        <w:rPr>
          <w:rFonts w:cs="Arial"/>
          <w:u w:val="single"/>
        </w:rPr>
        <w:t>Způsob výpočtu:</w:t>
      </w:r>
    </w:p>
    <w:p w:rsidR="005578C1" w:rsidRDefault="005578C1" w:rsidP="005578C1">
      <w:pPr>
        <w:pStyle w:val="Zkladntextodsazen"/>
        <w:spacing w:line="288" w:lineRule="auto"/>
        <w:ind w:left="0"/>
        <w:jc w:val="both"/>
        <w:rPr>
          <w:rFonts w:cs="Arial"/>
          <w:szCs w:val="22"/>
        </w:rPr>
      </w:pPr>
      <w:r>
        <w:rPr>
          <w:rFonts w:cs="Arial"/>
          <w:szCs w:val="22"/>
        </w:rPr>
        <w:t>Průměrný denní stav práce neschopných</w:t>
      </w:r>
      <w:r>
        <w:rPr>
          <w:rFonts w:cs="Arial"/>
          <w:b/>
          <w:szCs w:val="22"/>
        </w:rPr>
        <w:t xml:space="preserve"> </w:t>
      </w:r>
      <w:r>
        <w:rPr>
          <w:rFonts w:cs="Arial"/>
          <w:szCs w:val="22"/>
        </w:rPr>
        <w:t>=</w:t>
      </w:r>
      <w:r>
        <w:rPr>
          <w:rFonts w:cs="Arial"/>
          <w:b/>
          <w:szCs w:val="22"/>
        </w:rPr>
        <w:t xml:space="preserve"> </w:t>
      </w:r>
      <w:r>
        <w:rPr>
          <w:rFonts w:cs="Arial"/>
          <w:szCs w:val="22"/>
        </w:rPr>
        <w:t>kalendářní dny dočasné pracovní neschopnosti / počet kalendářních dnů ve sledovaném období.</w:t>
      </w:r>
    </w:p>
    <w:p w:rsidR="005578C1" w:rsidRDefault="005578C1" w:rsidP="005578C1">
      <w:pPr>
        <w:pStyle w:val="Nadpis2"/>
        <w:ind w:left="720"/>
      </w:pPr>
    </w:p>
    <w:p w:rsidR="005578C1" w:rsidRDefault="005578C1">
      <w:pPr>
        <w:spacing w:after="0" w:line="240" w:lineRule="auto"/>
        <w:rPr>
          <w:rFonts w:eastAsia="MS Gothic"/>
          <w:b/>
          <w:bCs/>
          <w:color w:val="BC091B"/>
          <w:sz w:val="28"/>
          <w:szCs w:val="26"/>
        </w:rPr>
      </w:pPr>
    </w:p>
    <w:p w:rsidR="005578C1" w:rsidRDefault="005578C1" w:rsidP="005578C1">
      <w:pPr>
        <w:pStyle w:val="Nadpis1"/>
      </w:pPr>
      <w:bookmarkStart w:id="51" w:name="_Toc483838339"/>
      <w:bookmarkStart w:id="52" w:name="_Toc483901827"/>
      <w:r>
        <w:lastRenderedPageBreak/>
        <w:t>3. Pracovní neschopnost pro nemoc a úraz v České republice za rok 2016</w:t>
      </w:r>
      <w:bookmarkEnd w:id="51"/>
      <w:bookmarkEnd w:id="52"/>
    </w:p>
    <w:p w:rsidR="005578C1" w:rsidRPr="00DA5EBB" w:rsidRDefault="005578C1" w:rsidP="005578C1">
      <w:pPr>
        <w:pStyle w:val="Nadpis2"/>
        <w:spacing w:before="360" w:after="240"/>
        <w:rPr>
          <w:i/>
        </w:rPr>
      </w:pPr>
      <w:bookmarkStart w:id="53" w:name="_Toc483838340"/>
      <w:bookmarkStart w:id="54" w:name="_Toc483901828"/>
      <w:r>
        <w:t>3.1 Nemocensky pojištěné osoby</w:t>
      </w:r>
      <w:bookmarkStart w:id="55" w:name="_Toc444112497"/>
      <w:bookmarkEnd w:id="53"/>
      <w:bookmarkEnd w:id="54"/>
    </w:p>
    <w:p w:rsidR="005578C1" w:rsidRPr="003E6827" w:rsidRDefault="005578C1" w:rsidP="005578C1">
      <w:pPr>
        <w:ind w:firstLine="708"/>
        <w:jc w:val="both"/>
        <w:rPr>
          <w:rFonts w:cs="Arial"/>
        </w:rPr>
      </w:pPr>
      <w:r w:rsidRPr="003E6827">
        <w:rPr>
          <w:rFonts w:cs="Arial"/>
        </w:rPr>
        <w:t xml:space="preserve">Základním ukazatelem, </w:t>
      </w:r>
      <w:r>
        <w:rPr>
          <w:rFonts w:cs="Arial"/>
        </w:rPr>
        <w:t xml:space="preserve">ke kterému se vztahují údaje o pracovní neschopnosti, </w:t>
      </w:r>
      <w:r w:rsidRPr="00984FF2">
        <w:rPr>
          <w:rFonts w:cs="Arial"/>
        </w:rPr>
        <w:t>je ukazatel</w:t>
      </w:r>
      <w:r>
        <w:rPr>
          <w:rFonts w:cs="Arial"/>
          <w:b/>
        </w:rPr>
        <w:t xml:space="preserve"> průměrného počtu nemocensky pojištěných osob. </w:t>
      </w:r>
    </w:p>
    <w:p w:rsidR="005578C1" w:rsidRPr="003E6827" w:rsidRDefault="005578C1" w:rsidP="005578C1">
      <w:pPr>
        <w:ind w:firstLine="708"/>
        <w:jc w:val="both"/>
        <w:rPr>
          <w:rFonts w:cs="Arial"/>
        </w:rPr>
      </w:pPr>
      <w:r w:rsidRPr="003E6827">
        <w:rPr>
          <w:rFonts w:cs="Arial"/>
        </w:rPr>
        <w:t>Průměrný počet nemocensky pojištěných za rok 2016 činil celkem 4 571,3 tis. osob, z čehož 51 % tvořili muži a 49</w:t>
      </w:r>
      <w:r w:rsidRPr="003E6827">
        <w:rPr>
          <w:rFonts w:cs="Arial"/>
          <w:lang w:val="en-US"/>
        </w:rPr>
        <w:t xml:space="preserve"> % </w:t>
      </w:r>
      <w:r w:rsidRPr="003E6827">
        <w:rPr>
          <w:rFonts w:cs="Arial"/>
        </w:rPr>
        <w:t>ženy. Oproti roku 2015 průměrný počet pojištěnců vzrostl o 1,4 </w:t>
      </w:r>
      <w:r w:rsidRPr="003E6827">
        <w:rPr>
          <w:rFonts w:cs="Arial"/>
          <w:lang w:val="en-US"/>
        </w:rPr>
        <w:t xml:space="preserve">%, </w:t>
      </w:r>
      <w:proofErr w:type="spellStart"/>
      <w:r w:rsidRPr="003E6827">
        <w:rPr>
          <w:rFonts w:cs="Arial"/>
          <w:lang w:val="en-US"/>
        </w:rPr>
        <w:t>tj</w:t>
      </w:r>
      <w:proofErr w:type="spellEnd"/>
      <w:r w:rsidRPr="003E6827">
        <w:rPr>
          <w:rFonts w:cs="Arial"/>
          <w:lang w:val="en-US"/>
        </w:rPr>
        <w:t xml:space="preserve">. o </w:t>
      </w:r>
      <w:r w:rsidRPr="003E6827">
        <w:rPr>
          <w:rFonts w:cs="Arial"/>
        </w:rPr>
        <w:t xml:space="preserve">64,3 tis. osob. </w:t>
      </w:r>
      <w:r w:rsidRPr="003E6827">
        <w:rPr>
          <w:rFonts w:cs="Arial"/>
          <w:color w:val="FF0000"/>
        </w:rPr>
        <w:t xml:space="preserve"> </w:t>
      </w:r>
      <w:r w:rsidRPr="003E6827">
        <w:rPr>
          <w:rFonts w:cs="Arial"/>
        </w:rPr>
        <w:t>Průměrný počet nemocensky pojištěných mužů meziročně stoupl z 2 301,3 tis. osob v roce 2015 na 2 328,5 tis. osob v roce 2016 (tj. o 1,2 </w:t>
      </w:r>
      <w:r w:rsidRPr="003E6827">
        <w:rPr>
          <w:rFonts w:cs="Arial"/>
          <w:lang w:val="en-US"/>
        </w:rPr>
        <w:t>%</w:t>
      </w:r>
      <w:r w:rsidRPr="003E6827">
        <w:rPr>
          <w:rFonts w:cs="Arial"/>
        </w:rPr>
        <w:t>). Průměrný počet nemocensky pojištěn žen meziročně vzrostl z 2 205,7 tis. osob v roce 2015 na 2 242,8 tis. osob v roce 2016 (tj. o 1,7 </w:t>
      </w:r>
      <w:r w:rsidRPr="003E6827">
        <w:rPr>
          <w:rFonts w:cs="Arial"/>
          <w:lang w:val="en-US"/>
        </w:rPr>
        <w:t>%</w:t>
      </w:r>
      <w:r w:rsidRPr="003E6827">
        <w:rPr>
          <w:rFonts w:cs="Arial"/>
        </w:rPr>
        <w:t xml:space="preserve">). </w:t>
      </w:r>
    </w:p>
    <w:p w:rsidR="005578C1" w:rsidRPr="003E6827" w:rsidRDefault="005578C1" w:rsidP="005578C1">
      <w:pPr>
        <w:ind w:firstLine="708"/>
        <w:jc w:val="both"/>
        <w:rPr>
          <w:rFonts w:cs="Arial"/>
        </w:rPr>
      </w:pPr>
      <w:r w:rsidRPr="003E6827">
        <w:rPr>
          <w:rFonts w:cs="Arial"/>
        </w:rPr>
        <w:t xml:space="preserve">Podíl mladistvých (tj. nemocensky pojištěných osob do 18 let) na celkovém počtu nemocensky pojištěných meziročně vzrostl ze 7,3 tis. osob v roce 2015 na 8,8 tis. v roce 2016 a jejich podíl na celkovém počtu nemocensky pojištěných se meziročně zvýšil z 0,16 % na 0,19 % (tj. o 0,3 p. </w:t>
      </w:r>
      <w:proofErr w:type="spellStart"/>
      <w:r w:rsidRPr="003E6827">
        <w:rPr>
          <w:rFonts w:cs="Arial"/>
        </w:rPr>
        <w:t>b</w:t>
      </w:r>
      <w:proofErr w:type="spellEnd"/>
      <w:r w:rsidRPr="003E6827">
        <w:rPr>
          <w:rFonts w:cs="Arial"/>
        </w:rPr>
        <w:t xml:space="preserve">.). </w:t>
      </w:r>
    </w:p>
    <w:p w:rsidR="005578C1" w:rsidRDefault="005578C1" w:rsidP="005578C1">
      <w:pPr>
        <w:ind w:firstLine="708"/>
        <w:jc w:val="both"/>
        <w:rPr>
          <w:rFonts w:cs="Arial"/>
        </w:rPr>
      </w:pPr>
      <w:r w:rsidRPr="003E6827">
        <w:rPr>
          <w:rFonts w:cs="Arial"/>
        </w:rPr>
        <w:t xml:space="preserve">Průměrný počet dobrovolně nemocensky pojištěných </w:t>
      </w:r>
      <w:r>
        <w:rPr>
          <w:rFonts w:cs="Arial"/>
        </w:rPr>
        <w:t xml:space="preserve">osob </w:t>
      </w:r>
      <w:r w:rsidRPr="00606E50">
        <w:rPr>
          <w:rFonts w:cs="Arial"/>
        </w:rPr>
        <w:t xml:space="preserve">samostatně výdělečně činných </w:t>
      </w:r>
      <w:r>
        <w:rPr>
          <w:rFonts w:cs="Arial"/>
        </w:rPr>
        <w:t>(</w:t>
      </w:r>
      <w:r w:rsidRPr="003E6827">
        <w:rPr>
          <w:rFonts w:cs="Arial"/>
        </w:rPr>
        <w:t>OSVČ</w:t>
      </w:r>
      <w:r>
        <w:rPr>
          <w:rFonts w:cs="Arial"/>
        </w:rPr>
        <w:t>)</w:t>
      </w:r>
      <w:r w:rsidRPr="003E6827">
        <w:rPr>
          <w:rFonts w:cs="Arial"/>
        </w:rPr>
        <w:t xml:space="preserve"> v roce 2016 zůstává obdobně jako v</w:t>
      </w:r>
      <w:r>
        <w:rPr>
          <w:rFonts w:cs="Arial"/>
        </w:rPr>
        <w:t> </w:t>
      </w:r>
      <w:r w:rsidRPr="003E6827">
        <w:rPr>
          <w:rFonts w:cs="Arial"/>
        </w:rPr>
        <w:t>loňském roce 2015 na 89,5 tis. osob. Z tohoto počtu tvořili 61 % muži a</w:t>
      </w:r>
      <w:r>
        <w:rPr>
          <w:rFonts w:cs="Arial"/>
        </w:rPr>
        <w:t> </w:t>
      </w:r>
      <w:r w:rsidRPr="003E6827">
        <w:rPr>
          <w:rFonts w:cs="Arial"/>
        </w:rPr>
        <w:t xml:space="preserve">39 % ženy. </w:t>
      </w:r>
    </w:p>
    <w:p w:rsidR="005578C1" w:rsidRPr="003E6827" w:rsidRDefault="005578C1" w:rsidP="005578C1">
      <w:pPr>
        <w:ind w:firstLine="708"/>
        <w:jc w:val="both"/>
        <w:rPr>
          <w:rFonts w:cs="Arial"/>
        </w:rPr>
      </w:pPr>
      <w:r w:rsidRPr="003E6827">
        <w:rPr>
          <w:rFonts w:cs="Arial"/>
        </w:rPr>
        <w:t xml:space="preserve">Zatímco počet nemocensky pojištěných zaměstnanců v posledních třech letech postupně roste, počet dobrovolně nemocensky pojištěných OSVČ má v kontextu posledních několika let snižující se tendenci. Od roku 2010 klesl počet dobrovolně nemocensky pojištěných OSVČ o polovinu z 178,2 tisíc v roce 2010 na výše zmíněných 89,5 tisíc v roce 2016. </w:t>
      </w:r>
    </w:p>
    <w:p w:rsidR="005578C1" w:rsidRDefault="005578C1" w:rsidP="005578C1">
      <w:pPr>
        <w:ind w:firstLine="708"/>
        <w:jc w:val="both"/>
        <w:rPr>
          <w:rFonts w:cs="Arial"/>
        </w:rPr>
      </w:pPr>
      <w:r w:rsidRPr="003E6827">
        <w:rPr>
          <w:rFonts w:cs="Arial"/>
        </w:rPr>
        <w:t xml:space="preserve">Celkový průměrný počet nemocensky pojištěných osob (v rámci pojištění zaměstnanců a OSVČ) se za posledních deset let (v průběhu let 2006 – 2016) zvýšil o 74,3 tis. osob (tj. o 1,7 %), z toho počet mužů klesl o 60,9 tis., naopak počet žen stoupl o 135,2 tis. Podíl OSVČ se v průběhu sledovaného období snížil o 131,6 tis. osob. (tj. o 59,5 %), z toho počet mužů klesl o 94,8 tis. a počet žen se snížil o 36,8 tis. </w:t>
      </w:r>
    </w:p>
    <w:p w:rsidR="005578C1" w:rsidRDefault="005578C1" w:rsidP="005578C1">
      <w:pPr>
        <w:autoSpaceDE w:val="0"/>
        <w:autoSpaceDN w:val="0"/>
        <w:adjustRightInd w:val="0"/>
        <w:spacing w:after="200"/>
        <w:jc w:val="both"/>
        <w:rPr>
          <w:rFonts w:cs="Arial"/>
          <w:b/>
          <w:bCs/>
          <w:color w:val="000000"/>
          <w:szCs w:val="20"/>
        </w:rPr>
      </w:pPr>
      <w:r>
        <w:rPr>
          <w:rFonts w:cs="Arial"/>
          <w:b/>
          <w:bCs/>
          <w:color w:val="000000"/>
          <w:szCs w:val="20"/>
        </w:rPr>
        <w:t>Tabulka č. 1: Průměrný počet nemocensky pojištěných osob v letech 2006 – 2016 (v tis. osob)</w:t>
      </w:r>
    </w:p>
    <w:tbl>
      <w:tblPr>
        <w:tblStyle w:val="Mkatabulky"/>
        <w:tblW w:w="0" w:type="auto"/>
        <w:tblLook w:val="04A0"/>
      </w:tblPr>
      <w:tblGrid>
        <w:gridCol w:w="932"/>
        <w:gridCol w:w="965"/>
        <w:gridCol w:w="956"/>
        <w:gridCol w:w="1083"/>
        <w:gridCol w:w="1134"/>
        <w:gridCol w:w="1034"/>
        <w:gridCol w:w="928"/>
        <w:gridCol w:w="966"/>
        <w:gridCol w:w="928"/>
        <w:gridCol w:w="928"/>
      </w:tblGrid>
      <w:tr w:rsidR="005578C1" w:rsidRPr="002D4591" w:rsidTr="0045780F">
        <w:tc>
          <w:tcPr>
            <w:tcW w:w="932" w:type="dxa"/>
            <w:vMerge w:val="restart"/>
            <w:tcBorders>
              <w:left w:val="nil"/>
            </w:tcBorders>
            <w:shd w:val="clear" w:color="auto" w:fill="F2DBDB" w:themeFill="accent2" w:themeFillTint="33"/>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Rok</w:t>
            </w:r>
          </w:p>
        </w:tc>
        <w:tc>
          <w:tcPr>
            <w:tcW w:w="8922" w:type="dxa"/>
            <w:gridSpan w:val="9"/>
            <w:tcBorders>
              <w:right w:val="nil"/>
            </w:tcBorders>
            <w:shd w:val="clear" w:color="auto" w:fill="F2DBDB" w:themeFill="accent2" w:themeFillTint="33"/>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Průměrný počet nemocensky pojištěných osob</w:t>
            </w:r>
          </w:p>
        </w:tc>
      </w:tr>
      <w:tr w:rsidR="005578C1" w:rsidRPr="002D4591" w:rsidTr="0045780F">
        <w:tc>
          <w:tcPr>
            <w:tcW w:w="932" w:type="dxa"/>
            <w:vMerge/>
            <w:tcBorders>
              <w:left w:val="nil"/>
            </w:tcBorders>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p>
        </w:tc>
        <w:tc>
          <w:tcPr>
            <w:tcW w:w="965" w:type="dxa"/>
            <w:vMerge w:val="restart"/>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Celkem</w:t>
            </w:r>
          </w:p>
        </w:tc>
        <w:tc>
          <w:tcPr>
            <w:tcW w:w="2039" w:type="dxa"/>
            <w:gridSpan w:val="2"/>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z toho</w:t>
            </w:r>
          </w:p>
        </w:tc>
        <w:tc>
          <w:tcPr>
            <w:tcW w:w="1134" w:type="dxa"/>
            <w:vMerge w:val="restart"/>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Celkem zaměstnanci</w:t>
            </w:r>
          </w:p>
        </w:tc>
        <w:tc>
          <w:tcPr>
            <w:tcW w:w="1962" w:type="dxa"/>
            <w:gridSpan w:val="2"/>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z toho</w:t>
            </w:r>
          </w:p>
        </w:tc>
        <w:tc>
          <w:tcPr>
            <w:tcW w:w="966" w:type="dxa"/>
            <w:vMerge w:val="restart"/>
            <w:shd w:val="clear" w:color="auto" w:fill="F2DBDB" w:themeFill="accent2" w:themeFillTint="33"/>
            <w:vAlign w:val="center"/>
          </w:tcPr>
          <w:p w:rsidR="005578C1" w:rsidRDefault="005578C1" w:rsidP="0045780F">
            <w:pPr>
              <w:autoSpaceDE w:val="0"/>
              <w:autoSpaceDN w:val="0"/>
              <w:adjustRightInd w:val="0"/>
              <w:spacing w:beforeLines="100" w:afterLines="20" w:line="240" w:lineRule="auto"/>
              <w:jc w:val="center"/>
              <w:rPr>
                <w:rFonts w:eastAsia="MS Gothic" w:cs="Arial"/>
                <w:bCs/>
                <w:sz w:val="16"/>
                <w:szCs w:val="20"/>
              </w:rPr>
            </w:pPr>
            <w:r w:rsidRPr="002D4591">
              <w:rPr>
                <w:rFonts w:eastAsia="MS Gothic" w:cs="Arial"/>
                <w:bCs/>
                <w:sz w:val="16"/>
                <w:szCs w:val="20"/>
              </w:rPr>
              <w:t>Celkem OSVČ</w:t>
            </w:r>
          </w:p>
        </w:tc>
        <w:tc>
          <w:tcPr>
            <w:tcW w:w="1856" w:type="dxa"/>
            <w:gridSpan w:val="2"/>
            <w:tcBorders>
              <w:right w:val="nil"/>
            </w:tcBorders>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z toho</w:t>
            </w:r>
          </w:p>
        </w:tc>
      </w:tr>
      <w:tr w:rsidR="005578C1" w:rsidRPr="002D4591" w:rsidTr="0045780F">
        <w:tc>
          <w:tcPr>
            <w:tcW w:w="932" w:type="dxa"/>
            <w:vMerge/>
            <w:tcBorders>
              <w:left w:val="nil"/>
            </w:tcBorders>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p>
        </w:tc>
        <w:tc>
          <w:tcPr>
            <w:tcW w:w="965" w:type="dxa"/>
            <w:vMerge/>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p>
        </w:tc>
        <w:tc>
          <w:tcPr>
            <w:tcW w:w="956" w:type="dxa"/>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muži</w:t>
            </w:r>
          </w:p>
        </w:tc>
        <w:tc>
          <w:tcPr>
            <w:tcW w:w="1083" w:type="dxa"/>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ženy</w:t>
            </w:r>
          </w:p>
        </w:tc>
        <w:tc>
          <w:tcPr>
            <w:tcW w:w="1134" w:type="dxa"/>
            <w:vMerge/>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p>
        </w:tc>
        <w:tc>
          <w:tcPr>
            <w:tcW w:w="1034" w:type="dxa"/>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muži</w:t>
            </w:r>
          </w:p>
        </w:tc>
        <w:tc>
          <w:tcPr>
            <w:tcW w:w="928" w:type="dxa"/>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ženy</w:t>
            </w:r>
          </w:p>
        </w:tc>
        <w:tc>
          <w:tcPr>
            <w:tcW w:w="966" w:type="dxa"/>
            <w:vMerge/>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p>
        </w:tc>
        <w:tc>
          <w:tcPr>
            <w:tcW w:w="928" w:type="dxa"/>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muži</w:t>
            </w:r>
          </w:p>
        </w:tc>
        <w:tc>
          <w:tcPr>
            <w:tcW w:w="928" w:type="dxa"/>
            <w:tcBorders>
              <w:right w:val="nil"/>
            </w:tcBorders>
            <w:shd w:val="clear" w:color="auto" w:fill="F2DBDB" w:themeFill="accent2" w:themeFillTint="33"/>
            <w:vAlign w:val="center"/>
          </w:tcPr>
          <w:p w:rsidR="005578C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ženy</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2006</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497,0</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389,4</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107,6</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275,9</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239,6</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036,4</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221,1</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149,8</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71,3</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2007</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597,0</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435,1</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161,9</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390,0</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294,0</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096,0</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207,0</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141,1</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65,9</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2008</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572,4</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423,8</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148,6</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381,0</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293,0</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088,0</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191,4</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130,8</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60,7</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2009</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253,1</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234,1</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019,0</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079,2</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121,5</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w:t>
            </w:r>
            <w:r>
              <w:rPr>
                <w:rFonts w:eastAsia="MS Gothic" w:cs="Arial"/>
                <w:bCs/>
                <w:sz w:val="16"/>
                <w:szCs w:val="20"/>
              </w:rPr>
              <w:t xml:space="preserve"> </w:t>
            </w:r>
            <w:r w:rsidRPr="002D4591">
              <w:rPr>
                <w:rFonts w:eastAsia="MS Gothic" w:cs="Arial"/>
                <w:bCs/>
                <w:sz w:val="16"/>
                <w:szCs w:val="20"/>
              </w:rPr>
              <w:t>957,7</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173,9</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112,6</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61,3</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2010</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311,0</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234,1</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076,8</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132,8</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121,9</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010,9</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178,2</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112,2</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66,0</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2011</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211,5</w:t>
            </w:r>
          </w:p>
        </w:tc>
        <w:tc>
          <w:tcPr>
            <w:tcW w:w="956" w:type="dxa"/>
            <w:tcBorders>
              <w:top w:val="nil"/>
              <w:bottom w:val="nil"/>
            </w:tcBorders>
            <w:vAlign w:val="center"/>
          </w:tcPr>
          <w:p w:rsidR="005578C1" w:rsidRPr="00D3656E" w:rsidRDefault="005578C1" w:rsidP="0045780F">
            <w:pPr>
              <w:autoSpaceDE w:val="0"/>
              <w:autoSpaceDN w:val="0"/>
              <w:adjustRightInd w:val="0"/>
              <w:spacing w:beforeLines="20" w:afterLines="20" w:line="240" w:lineRule="auto"/>
              <w:jc w:val="right"/>
              <w:rPr>
                <w:rFonts w:eastAsia="MS Gothic" w:cs="Arial"/>
                <w:bCs/>
                <w:sz w:val="16"/>
                <w:szCs w:val="20"/>
              </w:rPr>
            </w:pPr>
            <w:r w:rsidRPr="00D3656E">
              <w:rPr>
                <w:rFonts w:eastAsia="MS Gothic" w:cs="Arial"/>
                <w:bCs/>
                <w:sz w:val="16"/>
                <w:szCs w:val="20"/>
              </w:rPr>
              <w:t>2 148,4</w:t>
            </w:r>
          </w:p>
        </w:tc>
        <w:tc>
          <w:tcPr>
            <w:tcW w:w="1083" w:type="dxa"/>
            <w:tcBorders>
              <w:top w:val="nil"/>
              <w:bottom w:val="nil"/>
            </w:tcBorders>
            <w:vAlign w:val="center"/>
          </w:tcPr>
          <w:p w:rsidR="005578C1" w:rsidRPr="00D3656E" w:rsidRDefault="005578C1" w:rsidP="0045780F">
            <w:pPr>
              <w:autoSpaceDE w:val="0"/>
              <w:autoSpaceDN w:val="0"/>
              <w:adjustRightInd w:val="0"/>
              <w:spacing w:beforeLines="20" w:afterLines="20" w:line="240" w:lineRule="auto"/>
              <w:jc w:val="right"/>
              <w:rPr>
                <w:rFonts w:eastAsia="MS Gothic" w:cs="Arial"/>
                <w:bCs/>
                <w:sz w:val="16"/>
                <w:szCs w:val="20"/>
              </w:rPr>
            </w:pPr>
            <w:r w:rsidRPr="00D3656E">
              <w:rPr>
                <w:rFonts w:eastAsia="MS Gothic" w:cs="Arial"/>
                <w:bCs/>
                <w:sz w:val="16"/>
                <w:szCs w:val="20"/>
              </w:rPr>
              <w:t>2 063,2</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061,8</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Pr>
                <w:rFonts w:eastAsia="MS Gothic" w:cs="Arial"/>
                <w:bCs/>
                <w:sz w:val="16"/>
                <w:szCs w:val="20"/>
              </w:rPr>
              <w:t>2 053,8</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Pr>
                <w:rFonts w:eastAsia="MS Gothic" w:cs="Arial"/>
                <w:bCs/>
                <w:sz w:val="16"/>
                <w:szCs w:val="20"/>
              </w:rPr>
              <w:t>2 008,0</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149,7</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94,6</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55,2</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2012</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471,9</w:t>
            </w:r>
          </w:p>
        </w:tc>
        <w:tc>
          <w:tcPr>
            <w:tcW w:w="956" w:type="dxa"/>
            <w:tcBorders>
              <w:top w:val="nil"/>
              <w:bottom w:val="nil"/>
            </w:tcBorders>
            <w:vAlign w:val="center"/>
          </w:tcPr>
          <w:p w:rsidR="005578C1" w:rsidRPr="00D3656E" w:rsidRDefault="005578C1" w:rsidP="0045780F">
            <w:pPr>
              <w:autoSpaceDE w:val="0"/>
              <w:autoSpaceDN w:val="0"/>
              <w:adjustRightInd w:val="0"/>
              <w:spacing w:beforeLines="20" w:afterLines="20" w:line="240" w:lineRule="auto"/>
              <w:jc w:val="right"/>
              <w:rPr>
                <w:rFonts w:eastAsia="MS Gothic" w:cs="Arial"/>
                <w:bCs/>
                <w:sz w:val="16"/>
                <w:szCs w:val="20"/>
              </w:rPr>
            </w:pPr>
            <w:r w:rsidRPr="00D3656E">
              <w:rPr>
                <w:rFonts w:eastAsia="MS Gothic" w:cs="Arial"/>
                <w:bCs/>
                <w:sz w:val="16"/>
                <w:szCs w:val="20"/>
              </w:rPr>
              <w:t>2 281,4</w:t>
            </w:r>
          </w:p>
        </w:tc>
        <w:tc>
          <w:tcPr>
            <w:tcW w:w="1083" w:type="dxa"/>
            <w:tcBorders>
              <w:top w:val="nil"/>
              <w:bottom w:val="nil"/>
            </w:tcBorders>
            <w:vAlign w:val="center"/>
          </w:tcPr>
          <w:p w:rsidR="005578C1" w:rsidRPr="00D3656E" w:rsidRDefault="005578C1" w:rsidP="0045780F">
            <w:pPr>
              <w:autoSpaceDE w:val="0"/>
              <w:autoSpaceDN w:val="0"/>
              <w:adjustRightInd w:val="0"/>
              <w:spacing w:beforeLines="20" w:afterLines="20" w:line="240" w:lineRule="auto"/>
              <w:jc w:val="right"/>
              <w:rPr>
                <w:rFonts w:eastAsia="MS Gothic" w:cs="Arial"/>
                <w:bCs/>
                <w:sz w:val="16"/>
                <w:szCs w:val="20"/>
              </w:rPr>
            </w:pPr>
            <w:r w:rsidRPr="00D3656E">
              <w:rPr>
                <w:rFonts w:eastAsia="MS Gothic" w:cs="Arial"/>
                <w:bCs/>
                <w:sz w:val="16"/>
                <w:szCs w:val="20"/>
              </w:rPr>
              <w:t>2 190,5</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366,2</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Pr>
                <w:rFonts w:eastAsia="MS Gothic" w:cs="Arial"/>
                <w:bCs/>
                <w:sz w:val="16"/>
                <w:szCs w:val="20"/>
              </w:rPr>
              <w:t>2 216,3</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149,9</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105,7</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65,1</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40,6</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2013</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440,3</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260,7</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179,6</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331,2</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194,2</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136,9</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109,2</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66,5</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42,7</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2014</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464,1</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272,9</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191,2</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358,3</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207,8</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150,6</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105,7</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65,1</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40,6</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2015</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507,0</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301,3</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205,7</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417,6</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252,8</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164,8</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89,4</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48,5</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40,9</w:t>
            </w:r>
          </w:p>
        </w:tc>
      </w:tr>
      <w:tr w:rsidR="005578C1" w:rsidRPr="002D4591" w:rsidTr="0045780F">
        <w:tc>
          <w:tcPr>
            <w:tcW w:w="932" w:type="dxa"/>
            <w:tcBorders>
              <w:top w:val="nil"/>
              <w:left w:val="nil"/>
              <w:bottom w:val="nil"/>
            </w:tcBorders>
            <w:vAlign w:val="center"/>
          </w:tcPr>
          <w:p w:rsidR="005578C1" w:rsidRPr="002D4591" w:rsidRDefault="005578C1" w:rsidP="0045780F">
            <w:pPr>
              <w:autoSpaceDE w:val="0"/>
              <w:autoSpaceDN w:val="0"/>
              <w:adjustRightInd w:val="0"/>
              <w:spacing w:beforeLines="20" w:afterLines="20" w:line="240" w:lineRule="auto"/>
              <w:jc w:val="center"/>
              <w:rPr>
                <w:rFonts w:eastAsia="MS Gothic" w:cs="Arial"/>
                <w:bCs/>
                <w:sz w:val="16"/>
                <w:szCs w:val="20"/>
              </w:rPr>
            </w:pPr>
            <w:r w:rsidRPr="002D4591">
              <w:rPr>
                <w:rFonts w:eastAsia="MS Gothic" w:cs="Arial"/>
                <w:bCs/>
                <w:sz w:val="16"/>
                <w:szCs w:val="20"/>
              </w:rPr>
              <w:t>2016</w:t>
            </w:r>
          </w:p>
        </w:tc>
        <w:tc>
          <w:tcPr>
            <w:tcW w:w="965"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571,3</w:t>
            </w:r>
          </w:p>
        </w:tc>
        <w:tc>
          <w:tcPr>
            <w:tcW w:w="956" w:type="dxa"/>
            <w:tcBorders>
              <w:top w:val="nil"/>
              <w:bottom w:val="nil"/>
            </w:tcBorders>
            <w:vAlign w:val="center"/>
          </w:tcPr>
          <w:p w:rsidR="005578C1" w:rsidRPr="002D459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328,5</w:t>
            </w:r>
          </w:p>
        </w:tc>
        <w:tc>
          <w:tcPr>
            <w:tcW w:w="1083"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242,8</w:t>
            </w:r>
          </w:p>
        </w:tc>
        <w:tc>
          <w:tcPr>
            <w:tcW w:w="11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4</w:t>
            </w:r>
            <w:r>
              <w:rPr>
                <w:rFonts w:eastAsia="MS Gothic" w:cs="Arial"/>
                <w:bCs/>
                <w:sz w:val="16"/>
                <w:szCs w:val="20"/>
              </w:rPr>
              <w:t xml:space="preserve"> </w:t>
            </w:r>
            <w:r w:rsidRPr="002D4591">
              <w:rPr>
                <w:rFonts w:eastAsia="MS Gothic" w:cs="Arial"/>
                <w:bCs/>
                <w:sz w:val="16"/>
                <w:szCs w:val="20"/>
              </w:rPr>
              <w:t>481,8</w:t>
            </w:r>
          </w:p>
        </w:tc>
        <w:tc>
          <w:tcPr>
            <w:tcW w:w="1034"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273,5</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2</w:t>
            </w:r>
            <w:r>
              <w:rPr>
                <w:rFonts w:eastAsia="MS Gothic" w:cs="Arial"/>
                <w:bCs/>
                <w:sz w:val="16"/>
                <w:szCs w:val="20"/>
              </w:rPr>
              <w:t xml:space="preserve"> </w:t>
            </w:r>
            <w:r w:rsidRPr="002D4591">
              <w:rPr>
                <w:rFonts w:eastAsia="MS Gothic" w:cs="Arial"/>
                <w:bCs/>
                <w:sz w:val="16"/>
                <w:szCs w:val="20"/>
              </w:rPr>
              <w:t>208,3</w:t>
            </w:r>
          </w:p>
        </w:tc>
        <w:tc>
          <w:tcPr>
            <w:tcW w:w="966"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89,5</w:t>
            </w:r>
          </w:p>
        </w:tc>
        <w:tc>
          <w:tcPr>
            <w:tcW w:w="928" w:type="dxa"/>
            <w:tcBorders>
              <w:top w:val="nil"/>
              <w:bottom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55,0</w:t>
            </w:r>
          </w:p>
        </w:tc>
        <w:tc>
          <w:tcPr>
            <w:tcW w:w="928" w:type="dxa"/>
            <w:tcBorders>
              <w:top w:val="nil"/>
              <w:bottom w:val="nil"/>
              <w:right w:val="nil"/>
            </w:tcBorders>
            <w:vAlign w:val="center"/>
          </w:tcPr>
          <w:p w:rsidR="005578C1" w:rsidRDefault="005578C1" w:rsidP="0045780F">
            <w:pPr>
              <w:autoSpaceDE w:val="0"/>
              <w:autoSpaceDN w:val="0"/>
              <w:adjustRightInd w:val="0"/>
              <w:spacing w:beforeLines="20" w:afterLines="20" w:line="240" w:lineRule="auto"/>
              <w:jc w:val="right"/>
              <w:rPr>
                <w:rFonts w:eastAsia="MS Gothic" w:cs="Arial"/>
                <w:bCs/>
                <w:sz w:val="16"/>
                <w:szCs w:val="20"/>
              </w:rPr>
            </w:pPr>
            <w:r w:rsidRPr="002D4591">
              <w:rPr>
                <w:rFonts w:eastAsia="MS Gothic" w:cs="Arial"/>
                <w:bCs/>
                <w:sz w:val="16"/>
                <w:szCs w:val="20"/>
              </w:rPr>
              <w:t>34,5</w:t>
            </w:r>
          </w:p>
        </w:tc>
      </w:tr>
    </w:tbl>
    <w:p w:rsidR="005578C1" w:rsidRDefault="005578C1" w:rsidP="005578C1">
      <w:pPr>
        <w:autoSpaceDE w:val="0"/>
        <w:autoSpaceDN w:val="0"/>
        <w:adjustRightInd w:val="0"/>
        <w:spacing w:after="200"/>
        <w:jc w:val="both"/>
        <w:rPr>
          <w:rFonts w:cs="Arial"/>
          <w:b/>
          <w:bCs/>
          <w:color w:val="000000"/>
          <w:szCs w:val="20"/>
        </w:rPr>
      </w:pPr>
    </w:p>
    <w:p w:rsidR="005578C1" w:rsidRDefault="005578C1" w:rsidP="005578C1">
      <w:pPr>
        <w:spacing w:after="0" w:line="240" w:lineRule="auto"/>
        <w:rPr>
          <w:rFonts w:cs="Arial"/>
          <w:b/>
          <w:bCs/>
          <w:color w:val="000000"/>
          <w:szCs w:val="20"/>
        </w:rPr>
      </w:pPr>
      <w:r>
        <w:rPr>
          <w:rFonts w:cs="Arial"/>
          <w:b/>
          <w:bCs/>
          <w:color w:val="000000"/>
          <w:szCs w:val="20"/>
        </w:rPr>
        <w:br w:type="page"/>
      </w:r>
      <w:r>
        <w:rPr>
          <w:rFonts w:cs="Arial"/>
          <w:b/>
          <w:bCs/>
          <w:color w:val="000000"/>
          <w:szCs w:val="20"/>
        </w:rPr>
        <w:lastRenderedPageBreak/>
        <w:t>Graf č. 1: Průměrný počet nemocensky pojištěných osob v letech 2006 – 2016 (v tis.)</w:t>
      </w:r>
    </w:p>
    <w:p w:rsidR="005578C1" w:rsidRDefault="005578C1" w:rsidP="005578C1">
      <w:pPr>
        <w:pStyle w:val="Nadpis4"/>
        <w:ind w:left="-284"/>
      </w:pPr>
      <w:r w:rsidRPr="00EC5F71">
        <w:rPr>
          <w:noProof/>
        </w:rPr>
        <w:drawing>
          <wp:inline distT="0" distB="0" distL="0" distR="0">
            <wp:extent cx="6362700" cy="3438525"/>
            <wp:effectExtent l="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78C1" w:rsidRDefault="005578C1" w:rsidP="005578C1">
      <w:pPr>
        <w:pStyle w:val="Nadpis4"/>
      </w:pPr>
    </w:p>
    <w:p w:rsidR="005578C1" w:rsidRDefault="005578C1" w:rsidP="005578C1">
      <w:pPr>
        <w:pStyle w:val="Nadpis2"/>
        <w:spacing w:before="240" w:after="240"/>
      </w:pPr>
      <w:bookmarkStart w:id="56" w:name="_Toc483838341"/>
      <w:bookmarkStart w:id="57" w:name="_Toc483901829"/>
      <w:r>
        <w:t>3.2 Počet nově hlášených případů dočasné pracovní neschopnosti</w:t>
      </w:r>
      <w:bookmarkEnd w:id="56"/>
      <w:bookmarkEnd w:id="57"/>
    </w:p>
    <w:p w:rsidR="005578C1" w:rsidRDefault="005578C1" w:rsidP="005578C1">
      <w:pPr>
        <w:ind w:firstLine="708"/>
        <w:jc w:val="both"/>
        <w:rPr>
          <w:b/>
          <w:bCs/>
        </w:rPr>
      </w:pPr>
      <w:r>
        <w:rPr>
          <w:bCs/>
        </w:rPr>
        <w:t>Nejjednodušším ukazatelem v oblasti pracovní neschopnosti, který odráží četnost jejího výskytu, je </w:t>
      </w:r>
      <w:r>
        <w:rPr>
          <w:b/>
          <w:bCs/>
        </w:rPr>
        <w:t xml:space="preserve">počet nově hlášených případů pracovní neschopnosti. </w:t>
      </w:r>
    </w:p>
    <w:p w:rsidR="005578C1" w:rsidRDefault="005578C1" w:rsidP="005578C1">
      <w:pPr>
        <w:ind w:firstLine="708"/>
        <w:jc w:val="both"/>
        <w:rPr>
          <w:rFonts w:cs="Arial"/>
        </w:rPr>
      </w:pPr>
      <w:r w:rsidRPr="007D0416">
        <w:rPr>
          <w:bCs/>
        </w:rPr>
        <w:t>Absolutní počet nově hlášených případů dočasné pracovní neschopnosti</w:t>
      </w:r>
      <w:r w:rsidRPr="007D0416">
        <w:rPr>
          <w:rFonts w:cs="Arial"/>
        </w:rPr>
        <w:t xml:space="preserve"> se meziročně zvýšil z 1 563,5 tis. případů v roce 2015 na 1 633,3 tis. případů v roce 2016 (tj. o 4,5 %). Z celkového počtu tvořily případy dočasné pracovní neschopnosti mužů 48 %, na ženy tedy připadalo 52 </w:t>
      </w:r>
      <w:r w:rsidRPr="007D0416">
        <w:rPr>
          <w:rFonts w:cs="Arial"/>
          <w:lang w:val="en-US"/>
        </w:rPr>
        <w:t xml:space="preserve">% </w:t>
      </w:r>
      <w:r w:rsidRPr="007D0416">
        <w:rPr>
          <w:rFonts w:cs="Arial"/>
        </w:rPr>
        <w:t>nově hlášených případů, přestože podíl žen na celkovém počtu pojištěných osob činil</w:t>
      </w:r>
      <w:r w:rsidRPr="00821C6F">
        <w:rPr>
          <w:rFonts w:cs="Arial"/>
        </w:rPr>
        <w:t xml:space="preserve"> 49</w:t>
      </w:r>
      <w:r>
        <w:rPr>
          <w:rFonts w:cs="Arial"/>
        </w:rPr>
        <w:t> </w:t>
      </w:r>
      <w:r w:rsidRPr="00821C6F">
        <w:rPr>
          <w:rFonts w:cs="Arial"/>
        </w:rPr>
        <w:t>%.</w:t>
      </w:r>
    </w:p>
    <w:p w:rsidR="005578C1" w:rsidRPr="003E6827" w:rsidRDefault="005578C1" w:rsidP="005578C1">
      <w:pPr>
        <w:ind w:firstLine="708"/>
        <w:jc w:val="both"/>
        <w:rPr>
          <w:rFonts w:cs="Arial"/>
          <w:lang w:val="en-US"/>
        </w:rPr>
      </w:pPr>
      <w:r>
        <w:rPr>
          <w:rFonts w:cs="Arial"/>
        </w:rPr>
        <w:t xml:space="preserve">Za posledních pět let, tj. mezi roky 2011 a 2016, </w:t>
      </w:r>
      <w:r w:rsidRPr="0038792F">
        <w:rPr>
          <w:rFonts w:cs="Arial"/>
        </w:rPr>
        <w:t>počet nově hlášených případů pracovní neschopnosti</w:t>
      </w:r>
      <w:r>
        <w:rPr>
          <w:rFonts w:cs="Arial"/>
        </w:rPr>
        <w:t xml:space="preserve"> výrazně vzrostl – o 364,6 tisíc (28,7 %) z 1 268,8 tisíc v roce 2011 na výše zmíněných 1 633,4 tisíc v roce 2016. Tento nárůst byl nepatrně výraznější v případě mužů - v tomto období u mužů vzrostl počet nově hlášených případů pracovní neschopnosti o 29,6 %, u žen o 28,0 %. Pokud se však zaměříme na vývoj v posledních deseti letech, je nutné konstatovat značný pokles pracovní neschopnosti – v roce 2016 byl počet </w:t>
      </w:r>
      <w:r w:rsidRPr="0038792F">
        <w:rPr>
          <w:rFonts w:cs="Arial"/>
        </w:rPr>
        <w:t>nově hlášených případů pracovní neschopnosti</w:t>
      </w:r>
      <w:r>
        <w:rPr>
          <w:rFonts w:cs="Arial"/>
        </w:rPr>
        <w:t xml:space="preserve"> oproti roku 2006 o 1 073,3 tisíc (40 %) nižší.</w:t>
      </w:r>
    </w:p>
    <w:p w:rsidR="005578C1" w:rsidRDefault="005578C1" w:rsidP="005578C1">
      <w:pPr>
        <w:ind w:firstLine="708"/>
        <w:jc w:val="both"/>
        <w:rPr>
          <w:rFonts w:cs="Arial"/>
        </w:rPr>
      </w:pPr>
      <w:r w:rsidRPr="003E6827">
        <w:rPr>
          <w:rFonts w:cs="Arial"/>
        </w:rPr>
        <w:t>V roce 2016 dosáhl podíl nemocí na počtu všech nově hlášených případů dočasné pracovní neschopnosti 88,2 %, další 2,9 % připadá na pracovní úrazy a 8,9 % na ostatní úrazy (podrobněji viz Graf č.</w:t>
      </w:r>
      <w:r>
        <w:rPr>
          <w:rFonts w:cs="Arial"/>
        </w:rPr>
        <w:t> </w:t>
      </w:r>
      <w:r w:rsidRPr="003E6827">
        <w:rPr>
          <w:rFonts w:cs="Arial"/>
        </w:rPr>
        <w:t xml:space="preserve">3). </w:t>
      </w:r>
    </w:p>
    <w:p w:rsidR="005578C1" w:rsidRDefault="005578C1" w:rsidP="005578C1">
      <w:pPr>
        <w:ind w:firstLine="708"/>
        <w:jc w:val="both"/>
        <w:rPr>
          <w:rFonts w:cs="Arial"/>
        </w:rPr>
      </w:pPr>
      <w:r w:rsidRPr="003E6827">
        <w:rPr>
          <w:rFonts w:cs="Arial"/>
        </w:rPr>
        <w:t>Legislativní změny, které často počet případů pracovní neschopnosti přímo ovlivňují, nejvíce působí právě na případy pracovní neschopnosti pro nemoc, počty případů pracovní neschopnosti pro pracovní úrazy jsou jimi ovlivněny méně. Legislativní úpravy ve vyplácení dávek nemocenského se nejvíce projevují v</w:t>
      </w:r>
      <w:r>
        <w:rPr>
          <w:rFonts w:cs="Arial"/>
        </w:rPr>
        <w:t> </w:t>
      </w:r>
      <w:r w:rsidRPr="003E6827">
        <w:rPr>
          <w:rFonts w:cs="Arial"/>
        </w:rPr>
        <w:t>četnosti případů méně závažných a krátkodobých pracovních neschopností, například u nemoci dýchacích cest (běžná nachlazení, záněty horních cest dýchacích apod.). Tato onemocnění patrně</w:t>
      </w:r>
      <w:r>
        <w:rPr>
          <w:rFonts w:cs="Arial"/>
        </w:rPr>
        <w:t xml:space="preserve"> lidé častěji řeší jiným způsobem, než návštěvou lékaře a vystavením rozhodnutí o pracovní neschopnosti. Vzhledem k tomu,</w:t>
      </w:r>
      <w:r>
        <w:rPr>
          <w:rFonts w:cs="Arial"/>
          <w:b/>
        </w:rPr>
        <w:t xml:space="preserve"> </w:t>
      </w:r>
      <w:r>
        <w:rPr>
          <w:rFonts w:cs="Arial"/>
        </w:rPr>
        <w:t>že</w:t>
      </w:r>
      <w:r>
        <w:rPr>
          <w:rFonts w:cs="Arial"/>
          <w:b/>
        </w:rPr>
        <w:t xml:space="preserve"> </w:t>
      </w:r>
      <w:r>
        <w:rPr>
          <w:rFonts w:cs="Arial"/>
        </w:rPr>
        <w:t>od roku 2008, resp. 2009,</w:t>
      </w:r>
      <w:r>
        <w:rPr>
          <w:rFonts w:cs="Arial"/>
          <w:b/>
        </w:rPr>
        <w:t xml:space="preserve"> </w:t>
      </w:r>
      <w:r w:rsidRPr="00F212F9">
        <w:rPr>
          <w:rFonts w:cs="Arial"/>
        </w:rPr>
        <w:t xml:space="preserve">za první tři dny pracovní neschopnosti nepřísluší zaměstnanci náhrady mzdy </w:t>
      </w:r>
      <w:r w:rsidRPr="00F212F9">
        <w:rPr>
          <w:rFonts w:cs="Arial"/>
        </w:rPr>
        <w:lastRenderedPageBreak/>
        <w:t>nebo platu (tzv.</w:t>
      </w:r>
      <w:r>
        <w:rPr>
          <w:rFonts w:cs="Arial"/>
        </w:rPr>
        <w:t> </w:t>
      </w:r>
      <w:r w:rsidRPr="00F212F9">
        <w:rPr>
          <w:rFonts w:cs="Arial"/>
        </w:rPr>
        <w:t>karenční doba), v</w:t>
      </w:r>
      <w:r>
        <w:rPr>
          <w:rFonts w:cs="Arial"/>
        </w:rPr>
        <w:t> </w:t>
      </w:r>
      <w:r w:rsidRPr="00F212F9">
        <w:rPr>
          <w:rFonts w:cs="Arial"/>
        </w:rPr>
        <w:t>některých případech lidé raději využijí dovolenou nebo nemoc takzvaně „přechodí“. Někteří zaměstnavatelé také v rámci zaměstnaneckých výhod nabízí kromě řádné dovolené ještě několik „</w:t>
      </w:r>
      <w:proofErr w:type="spellStart"/>
      <w:r w:rsidRPr="00F212F9">
        <w:rPr>
          <w:rFonts w:cs="Arial"/>
        </w:rPr>
        <w:t>indispozičních</w:t>
      </w:r>
      <w:proofErr w:type="spellEnd"/>
      <w:r w:rsidRPr="00F212F9">
        <w:rPr>
          <w:rFonts w:cs="Arial"/>
        </w:rPr>
        <w:t>“ dní v roce (tzv. </w:t>
      </w:r>
      <w:r w:rsidRPr="00821C6F">
        <w:rPr>
          <w:rFonts w:cs="Arial"/>
          <w:lang w:val="en-US"/>
        </w:rPr>
        <w:t>sick days</w:t>
      </w:r>
      <w:r w:rsidRPr="00F212F9">
        <w:rPr>
          <w:rFonts w:cs="Arial"/>
        </w:rPr>
        <w:t>) či umožňují práci z</w:t>
      </w:r>
      <w:r>
        <w:rPr>
          <w:rFonts w:cs="Arial"/>
        </w:rPr>
        <w:t> </w:t>
      </w:r>
      <w:r w:rsidRPr="00F212F9">
        <w:rPr>
          <w:rFonts w:cs="Arial"/>
        </w:rPr>
        <w:t>domova.</w:t>
      </w:r>
    </w:p>
    <w:p w:rsidR="005578C1" w:rsidRDefault="005578C1" w:rsidP="005578C1">
      <w:pPr>
        <w:jc w:val="both"/>
        <w:rPr>
          <w:rFonts w:cs="Arial"/>
          <w:b/>
        </w:rPr>
      </w:pPr>
      <w:r>
        <w:rPr>
          <w:rFonts w:cs="Arial"/>
          <w:b/>
        </w:rPr>
        <w:t>Tabulka č. 2: Počet nově hlášených případů pracovní neschopnosti podle pohlaví v letech 2006 – 2016 (v tis. případů)</w:t>
      </w:r>
    </w:p>
    <w:tbl>
      <w:tblPr>
        <w:tblStyle w:val="Mkatabulky"/>
        <w:tblW w:w="0" w:type="auto"/>
        <w:tblBorders>
          <w:left w:val="none" w:sz="0" w:space="0" w:color="auto"/>
          <w:right w:val="none" w:sz="0" w:space="0" w:color="auto"/>
        </w:tblBorders>
        <w:tblLook w:val="04A0"/>
      </w:tblPr>
      <w:tblGrid>
        <w:gridCol w:w="650"/>
        <w:gridCol w:w="759"/>
        <w:gridCol w:w="826"/>
        <w:gridCol w:w="871"/>
        <w:gridCol w:w="878"/>
        <w:gridCol w:w="793"/>
        <w:gridCol w:w="792"/>
        <w:gridCol w:w="830"/>
        <w:gridCol w:w="656"/>
        <w:gridCol w:w="708"/>
        <w:gridCol w:w="843"/>
        <w:gridCol w:w="624"/>
        <w:gridCol w:w="624"/>
      </w:tblGrid>
      <w:tr w:rsidR="005578C1" w:rsidRPr="00A333BA" w:rsidTr="0045780F">
        <w:tc>
          <w:tcPr>
            <w:tcW w:w="650" w:type="dxa"/>
            <w:vMerge w:val="restart"/>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Rok</w:t>
            </w:r>
          </w:p>
        </w:tc>
        <w:tc>
          <w:tcPr>
            <w:tcW w:w="9204" w:type="dxa"/>
            <w:gridSpan w:val="12"/>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Počet nově hlášených případů pracovní neschopnosti</w:t>
            </w:r>
          </w:p>
        </w:tc>
      </w:tr>
      <w:tr w:rsidR="005578C1" w:rsidRPr="00A333BA" w:rsidTr="0045780F">
        <w:tc>
          <w:tcPr>
            <w:tcW w:w="650" w:type="dxa"/>
            <w:vMerge/>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p>
        </w:tc>
        <w:tc>
          <w:tcPr>
            <w:tcW w:w="759" w:type="dxa"/>
            <w:vMerge w:val="restart"/>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Celkem</w:t>
            </w:r>
          </w:p>
        </w:tc>
        <w:tc>
          <w:tcPr>
            <w:tcW w:w="1697" w:type="dxa"/>
            <w:gridSpan w:val="2"/>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z toho</w:t>
            </w:r>
          </w:p>
        </w:tc>
        <w:tc>
          <w:tcPr>
            <w:tcW w:w="878" w:type="dxa"/>
            <w:vMerge w:val="restart"/>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Celkem pro nemoc</w:t>
            </w:r>
          </w:p>
        </w:tc>
        <w:tc>
          <w:tcPr>
            <w:tcW w:w="1585" w:type="dxa"/>
            <w:gridSpan w:val="2"/>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z toho</w:t>
            </w:r>
          </w:p>
        </w:tc>
        <w:tc>
          <w:tcPr>
            <w:tcW w:w="830" w:type="dxa"/>
            <w:vMerge w:val="restart"/>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Celkem pro pracovní úrazy</w:t>
            </w:r>
          </w:p>
        </w:tc>
        <w:tc>
          <w:tcPr>
            <w:tcW w:w="1364" w:type="dxa"/>
            <w:gridSpan w:val="2"/>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z toho</w:t>
            </w:r>
          </w:p>
        </w:tc>
        <w:tc>
          <w:tcPr>
            <w:tcW w:w="843" w:type="dxa"/>
            <w:vMerge w:val="restart"/>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Celkem pro ostatní úrazy</w:t>
            </w:r>
          </w:p>
        </w:tc>
        <w:tc>
          <w:tcPr>
            <w:tcW w:w="1248" w:type="dxa"/>
            <w:gridSpan w:val="2"/>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z toho</w:t>
            </w:r>
          </w:p>
        </w:tc>
      </w:tr>
      <w:tr w:rsidR="005578C1" w:rsidRPr="00A333BA" w:rsidTr="0045780F">
        <w:tc>
          <w:tcPr>
            <w:tcW w:w="650" w:type="dxa"/>
            <w:vMerge/>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p>
        </w:tc>
        <w:tc>
          <w:tcPr>
            <w:tcW w:w="759" w:type="dxa"/>
            <w:vMerge/>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p>
        </w:tc>
        <w:tc>
          <w:tcPr>
            <w:tcW w:w="826"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muži</w:t>
            </w:r>
          </w:p>
        </w:tc>
        <w:tc>
          <w:tcPr>
            <w:tcW w:w="871"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ženy</w:t>
            </w:r>
          </w:p>
        </w:tc>
        <w:tc>
          <w:tcPr>
            <w:tcW w:w="878" w:type="dxa"/>
            <w:vMerge/>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p>
        </w:tc>
        <w:tc>
          <w:tcPr>
            <w:tcW w:w="793"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muži</w:t>
            </w:r>
          </w:p>
        </w:tc>
        <w:tc>
          <w:tcPr>
            <w:tcW w:w="792"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ženy</w:t>
            </w:r>
          </w:p>
        </w:tc>
        <w:tc>
          <w:tcPr>
            <w:tcW w:w="830" w:type="dxa"/>
            <w:vMerge/>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p>
        </w:tc>
        <w:tc>
          <w:tcPr>
            <w:tcW w:w="656"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muži</w:t>
            </w:r>
          </w:p>
        </w:tc>
        <w:tc>
          <w:tcPr>
            <w:tcW w:w="708"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ženy</w:t>
            </w:r>
          </w:p>
        </w:tc>
        <w:tc>
          <w:tcPr>
            <w:tcW w:w="843" w:type="dxa"/>
            <w:vMerge/>
            <w:shd w:val="clear" w:color="auto" w:fill="F2DBDB" w:themeFill="accent2" w:themeFillTint="33"/>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p>
        </w:tc>
        <w:tc>
          <w:tcPr>
            <w:tcW w:w="624"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muži</w:t>
            </w:r>
          </w:p>
        </w:tc>
        <w:tc>
          <w:tcPr>
            <w:tcW w:w="624" w:type="dxa"/>
            <w:shd w:val="clear" w:color="auto" w:fill="F2DBDB" w:themeFill="accent2" w:themeFillTint="33"/>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ženy</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2006</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w:t>
            </w:r>
            <w:r>
              <w:rPr>
                <w:rFonts w:eastAsia="MS Gothic" w:cs="Arial"/>
                <w:bCs/>
                <w:sz w:val="16"/>
                <w:szCs w:val="16"/>
              </w:rPr>
              <w:t xml:space="preserve"> </w:t>
            </w:r>
            <w:r w:rsidRPr="00A333BA">
              <w:rPr>
                <w:rFonts w:eastAsia="MS Gothic" w:cs="Arial"/>
                <w:bCs/>
                <w:sz w:val="16"/>
                <w:szCs w:val="16"/>
              </w:rPr>
              <w:t>706,7</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369,8</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336,9</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w:t>
            </w:r>
            <w:r>
              <w:rPr>
                <w:rFonts w:eastAsia="MS Gothic" w:cs="Arial"/>
                <w:bCs/>
                <w:sz w:val="16"/>
                <w:szCs w:val="16"/>
              </w:rPr>
              <w:t xml:space="preserve"> </w:t>
            </w:r>
            <w:r w:rsidRPr="00A333BA">
              <w:rPr>
                <w:rFonts w:eastAsia="MS Gothic" w:cs="Arial"/>
                <w:bCs/>
                <w:sz w:val="16"/>
                <w:szCs w:val="16"/>
              </w:rPr>
              <w:t>482,3</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209,3</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273,0</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82,3</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61,0</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21,3</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142,1</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99,6</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42,6</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2007</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w:t>
            </w:r>
            <w:r>
              <w:rPr>
                <w:rFonts w:eastAsia="MS Gothic" w:cs="Arial"/>
                <w:bCs/>
                <w:sz w:val="16"/>
                <w:szCs w:val="16"/>
              </w:rPr>
              <w:t xml:space="preserve"> </w:t>
            </w:r>
            <w:r w:rsidRPr="00A333BA">
              <w:rPr>
                <w:rFonts w:eastAsia="MS Gothic" w:cs="Arial"/>
                <w:bCs/>
                <w:sz w:val="16"/>
                <w:szCs w:val="16"/>
              </w:rPr>
              <w:t>726,6</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366,2</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360,4</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w:t>
            </w:r>
            <w:r>
              <w:rPr>
                <w:rFonts w:eastAsia="MS Gothic" w:cs="Arial"/>
                <w:bCs/>
                <w:sz w:val="16"/>
                <w:szCs w:val="16"/>
              </w:rPr>
              <w:t xml:space="preserve"> </w:t>
            </w:r>
            <w:r w:rsidRPr="00A333BA">
              <w:rPr>
                <w:rFonts w:eastAsia="MS Gothic" w:cs="Arial"/>
                <w:bCs/>
                <w:sz w:val="16"/>
                <w:szCs w:val="16"/>
              </w:rPr>
              <w:t>518,9</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215,5</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303,4</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77,2</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57,3</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19,9</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130,5</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93,4</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37,1</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2008</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w:t>
            </w:r>
            <w:r>
              <w:rPr>
                <w:rFonts w:eastAsia="MS Gothic" w:cs="Arial"/>
                <w:bCs/>
                <w:sz w:val="16"/>
                <w:szCs w:val="16"/>
              </w:rPr>
              <w:t xml:space="preserve"> </w:t>
            </w:r>
            <w:r w:rsidRPr="00A333BA">
              <w:rPr>
                <w:rFonts w:eastAsia="MS Gothic" w:cs="Arial"/>
                <w:bCs/>
                <w:sz w:val="16"/>
                <w:szCs w:val="16"/>
              </w:rPr>
              <w:t>221,7</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092,6</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129,2</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w:t>
            </w:r>
            <w:r>
              <w:rPr>
                <w:rFonts w:eastAsia="MS Gothic" w:cs="Arial"/>
                <w:bCs/>
                <w:sz w:val="16"/>
                <w:szCs w:val="16"/>
              </w:rPr>
              <w:t xml:space="preserve"> </w:t>
            </w:r>
            <w:r w:rsidRPr="00A333BA">
              <w:rPr>
                <w:rFonts w:eastAsia="MS Gothic" w:cs="Arial"/>
                <w:bCs/>
                <w:sz w:val="16"/>
                <w:szCs w:val="16"/>
              </w:rPr>
              <w:t>037,8</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961,0</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076,8</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71,3</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52,3</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19,0</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112,6</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79,3</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33,3</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2009</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441,5</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694,3</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747,2</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305,5</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599,4</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706,2</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50,2</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36,0</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14,2</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85,8</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58,9</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26,9</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2010</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324,9</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642,7</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682,2</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188,0</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548,6</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639,4</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51,7</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36,7</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15,0</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85,3</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57,4</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27,9</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2011</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268,8</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605,1</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663,7</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144,5</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519,2</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625,3</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47,1</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33,6</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13,5</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77,1</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52,3</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24,8</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2012</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226,9</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593,7</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633,2</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067,3</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485,9</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581,4</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44,1</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31,5</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12,7</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115,4</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76,4</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39,1</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2013</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331,5</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638,2</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693,3</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168,1</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528,7</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639,4</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42,9</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30,4</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12,5</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120,5</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79,1</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41,4</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2014</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314,8</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631,7</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683,1</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146,3</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518,5</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627,8</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45,1</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31,7</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13,3</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123,4</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81,5</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42,0</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2015</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563,5</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751,8</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811,7</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383,9</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632,6</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751,3</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46,3</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31,8</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14,5</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133,3</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87,0</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46,2</w:t>
            </w:r>
          </w:p>
        </w:tc>
      </w:tr>
      <w:tr w:rsidR="005578C1" w:rsidRPr="00A333BA" w:rsidTr="0045780F">
        <w:tc>
          <w:tcPr>
            <w:tcW w:w="65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center"/>
              <w:rPr>
                <w:rFonts w:eastAsia="MS Gothic" w:cs="Arial"/>
                <w:bCs/>
                <w:sz w:val="16"/>
                <w:szCs w:val="16"/>
              </w:rPr>
            </w:pPr>
            <w:r w:rsidRPr="00A333BA">
              <w:rPr>
                <w:rFonts w:eastAsia="MS Gothic" w:cs="Arial"/>
                <w:bCs/>
                <w:sz w:val="16"/>
                <w:szCs w:val="16"/>
              </w:rPr>
              <w:t>2016</w:t>
            </w:r>
          </w:p>
        </w:tc>
        <w:tc>
          <w:tcPr>
            <w:tcW w:w="759"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633,4</w:t>
            </w:r>
          </w:p>
        </w:tc>
        <w:tc>
          <w:tcPr>
            <w:tcW w:w="82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784,1</w:t>
            </w:r>
          </w:p>
        </w:tc>
        <w:tc>
          <w:tcPr>
            <w:tcW w:w="871"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849,3</w:t>
            </w:r>
          </w:p>
        </w:tc>
        <w:tc>
          <w:tcPr>
            <w:tcW w:w="87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w:t>
            </w:r>
            <w:r>
              <w:rPr>
                <w:rFonts w:eastAsia="MS Gothic" w:cs="Arial"/>
                <w:bCs/>
                <w:sz w:val="16"/>
                <w:szCs w:val="16"/>
              </w:rPr>
              <w:t xml:space="preserve"> </w:t>
            </w:r>
            <w:r w:rsidRPr="00A333BA">
              <w:rPr>
                <w:rFonts w:eastAsia="MS Gothic" w:cs="Arial"/>
                <w:bCs/>
                <w:sz w:val="16"/>
                <w:szCs w:val="16"/>
              </w:rPr>
              <w:t>440,9</w:t>
            </w:r>
          </w:p>
        </w:tc>
        <w:tc>
          <w:tcPr>
            <w:tcW w:w="793"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658,2</w:t>
            </w:r>
          </w:p>
        </w:tc>
        <w:tc>
          <w:tcPr>
            <w:tcW w:w="792"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782,7</w:t>
            </w:r>
          </w:p>
        </w:tc>
        <w:tc>
          <w:tcPr>
            <w:tcW w:w="830"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47,4</w:t>
            </w:r>
          </w:p>
        </w:tc>
        <w:tc>
          <w:tcPr>
            <w:tcW w:w="656"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33,0</w:t>
            </w:r>
          </w:p>
        </w:tc>
        <w:tc>
          <w:tcPr>
            <w:tcW w:w="708" w:type="dxa"/>
            <w:tcBorders>
              <w:top w:val="nil"/>
              <w:bottom w:val="nil"/>
            </w:tcBorders>
            <w:vAlign w:val="center"/>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14,8</w:t>
            </w:r>
          </w:p>
        </w:tc>
        <w:tc>
          <w:tcPr>
            <w:tcW w:w="843"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145</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93,2</w:t>
            </w:r>
          </w:p>
        </w:tc>
        <w:tc>
          <w:tcPr>
            <w:tcW w:w="624" w:type="dxa"/>
            <w:tcBorders>
              <w:top w:val="nil"/>
              <w:bottom w:val="nil"/>
            </w:tcBorders>
          </w:tcPr>
          <w:p w:rsidR="005578C1" w:rsidRPr="00A333BA" w:rsidRDefault="005578C1" w:rsidP="0045780F">
            <w:pPr>
              <w:autoSpaceDE w:val="0"/>
              <w:autoSpaceDN w:val="0"/>
              <w:adjustRightInd w:val="0"/>
              <w:spacing w:before="60" w:after="60" w:line="240" w:lineRule="auto"/>
              <w:jc w:val="right"/>
              <w:rPr>
                <w:rFonts w:eastAsia="MS Gothic" w:cs="Arial"/>
                <w:bCs/>
                <w:sz w:val="16"/>
                <w:szCs w:val="16"/>
              </w:rPr>
            </w:pPr>
            <w:r w:rsidRPr="00A333BA">
              <w:rPr>
                <w:rFonts w:eastAsia="MS Gothic" w:cs="Arial"/>
                <w:bCs/>
                <w:sz w:val="16"/>
                <w:szCs w:val="16"/>
              </w:rPr>
              <w:t>51,8</w:t>
            </w:r>
          </w:p>
        </w:tc>
      </w:tr>
    </w:tbl>
    <w:p w:rsidR="005578C1" w:rsidRDefault="005578C1" w:rsidP="005578C1">
      <w:pPr>
        <w:jc w:val="both"/>
        <w:rPr>
          <w:rFonts w:cs="Arial"/>
          <w:b/>
        </w:rPr>
      </w:pPr>
    </w:p>
    <w:p w:rsidR="005578C1" w:rsidRDefault="005578C1" w:rsidP="005578C1">
      <w:pPr>
        <w:jc w:val="both"/>
        <w:rPr>
          <w:rFonts w:cs="Arial"/>
          <w:b/>
        </w:rPr>
      </w:pPr>
      <w:r>
        <w:rPr>
          <w:rFonts w:cs="Arial"/>
          <w:b/>
        </w:rPr>
        <w:t>Graf č. 2: Počet nově hlášených případů pracovní neschopnosti a počet pojištěnců v letech 2006 – 2016 (v tis. případů)</w:t>
      </w:r>
    </w:p>
    <w:p w:rsidR="005578C1" w:rsidRDefault="005578C1" w:rsidP="005578C1">
      <w:pPr>
        <w:jc w:val="both"/>
        <w:rPr>
          <w:rFonts w:cs="Arial"/>
          <w:b/>
        </w:rPr>
      </w:pPr>
      <w:r w:rsidRPr="00E84756">
        <w:rPr>
          <w:rFonts w:cs="Arial"/>
          <w:b/>
          <w:noProof/>
        </w:rPr>
        <w:drawing>
          <wp:inline distT="0" distB="0" distL="0" distR="0">
            <wp:extent cx="6172200" cy="394335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78C1" w:rsidRPr="001841A8" w:rsidRDefault="005578C1" w:rsidP="005578C1">
      <w:pPr>
        <w:spacing w:after="0" w:line="240" w:lineRule="auto"/>
        <w:rPr>
          <w:rFonts w:cs="Arial"/>
          <w:spacing w:val="-6"/>
        </w:rPr>
      </w:pPr>
      <w:r>
        <w:rPr>
          <w:rFonts w:cs="Arial"/>
        </w:rPr>
        <w:br w:type="page"/>
      </w:r>
      <w:r w:rsidRPr="001841A8">
        <w:rPr>
          <w:rFonts w:cs="Arial"/>
          <w:b/>
          <w:spacing w:val="-6"/>
        </w:rPr>
        <w:lastRenderedPageBreak/>
        <w:t>Graf č. 3: Struktura nově hlášených případů dočasné pracovní neschopnosti (DPN) dle pohlaví v roce 2016</w:t>
      </w:r>
    </w:p>
    <w:p w:rsidR="005578C1" w:rsidRDefault="005578C1" w:rsidP="005578C1">
      <w:pPr>
        <w:jc w:val="both"/>
        <w:rPr>
          <w:rFonts w:cs="Arial"/>
        </w:rPr>
      </w:pPr>
      <w:r>
        <w:rPr>
          <w:rFonts w:cs="Arial"/>
          <w:noProof/>
        </w:rPr>
        <w:pict>
          <v:shape id="_x0000_s1043" type="#_x0000_t202" style="position:absolute;left:0;text-align:left;margin-left:245.55pt;margin-top:210.75pt;width:40.5pt;height:18.75pt;z-index:251663872" filled="f" stroked="f">
            <v:textbox>
              <w:txbxContent>
                <w:p w:rsidR="005578C1" w:rsidRPr="003D019C" w:rsidRDefault="005578C1" w:rsidP="005578C1">
                  <w:pPr>
                    <w:rPr>
                      <w:b/>
                      <w:lang w:val="en-US"/>
                    </w:rPr>
                  </w:pPr>
                  <w:r w:rsidRPr="00D54E0E">
                    <w:rPr>
                      <w:b/>
                    </w:rPr>
                    <w:t>88</w:t>
                  </w:r>
                  <w:r w:rsidRPr="00D54E0E">
                    <w:rPr>
                      <w:b/>
                      <w:lang w:val="en-US"/>
                    </w:rPr>
                    <w:t xml:space="preserve"> %</w:t>
                  </w:r>
                </w:p>
              </w:txbxContent>
            </v:textbox>
          </v:shape>
        </w:pict>
      </w:r>
      <w:r w:rsidRPr="00E84756">
        <w:rPr>
          <w:rFonts w:cs="Arial"/>
          <w:noProof/>
        </w:rPr>
        <w:drawing>
          <wp:inline distT="0" distB="0" distL="0" distR="0">
            <wp:extent cx="6105525" cy="3095625"/>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78C1" w:rsidRDefault="005578C1" w:rsidP="005578C1">
      <w:pPr>
        <w:ind w:firstLine="708"/>
        <w:jc w:val="both"/>
        <w:rPr>
          <w:rFonts w:cs="Arial"/>
        </w:rPr>
      </w:pPr>
      <w:r w:rsidRPr="003E6827">
        <w:rPr>
          <w:rFonts w:cs="Arial"/>
        </w:rPr>
        <w:t>Jak bylo uvedeno výše, v roce 2016 v celkovém počtu nemocensky pojištěných představovaly ženy méně než polovinu (49 %), ovšem připadalo na ně 52</w:t>
      </w:r>
      <w:r>
        <w:rPr>
          <w:rFonts w:cs="Arial"/>
        </w:rPr>
        <w:t> % případů pracovní neschopnosti</w:t>
      </w:r>
      <w:r w:rsidRPr="003E6827">
        <w:rPr>
          <w:rFonts w:cs="Arial"/>
        </w:rPr>
        <w:t>. Absolutní počet nově hlášených případů pracovní neschopnosti žen se meziročně zvýšil z 811,7 tis. případů (muži 751,8 tis. případů) v roce 2015 na 849,3 tis. případů (muži 784,</w:t>
      </w:r>
      <w:r>
        <w:rPr>
          <w:rFonts w:cs="Arial"/>
        </w:rPr>
        <w:t>1</w:t>
      </w:r>
      <w:r w:rsidRPr="003E6827">
        <w:rPr>
          <w:rFonts w:cs="Arial"/>
        </w:rPr>
        <w:t xml:space="preserve"> tis. případů) v roce 2016 (tj. vzrostl o 4,6 </w:t>
      </w:r>
      <w:r w:rsidRPr="003E6827">
        <w:rPr>
          <w:rFonts w:cs="Arial"/>
          <w:lang w:val="en-US"/>
        </w:rPr>
        <w:t xml:space="preserve">% u </w:t>
      </w:r>
      <w:r w:rsidRPr="003E6827">
        <w:rPr>
          <w:rFonts w:cs="Arial"/>
        </w:rPr>
        <w:t>žen a</w:t>
      </w:r>
      <w:r>
        <w:rPr>
          <w:rFonts w:cs="Arial"/>
        </w:rPr>
        <w:t> </w:t>
      </w:r>
      <w:r w:rsidRPr="003E6827">
        <w:rPr>
          <w:rFonts w:cs="Arial"/>
        </w:rPr>
        <w:t>o</w:t>
      </w:r>
      <w:r>
        <w:rPr>
          <w:rFonts w:cs="Arial"/>
        </w:rPr>
        <w:t> </w:t>
      </w:r>
      <w:r w:rsidRPr="003E6827">
        <w:rPr>
          <w:rFonts w:cs="Arial"/>
        </w:rPr>
        <w:t xml:space="preserve">4,3 </w:t>
      </w:r>
      <w:r w:rsidRPr="003E6827">
        <w:rPr>
          <w:rFonts w:cs="Arial"/>
          <w:lang w:val="en-US"/>
        </w:rPr>
        <w:t>%</w:t>
      </w:r>
      <w:r w:rsidRPr="003E6827">
        <w:rPr>
          <w:rFonts w:cs="Arial"/>
        </w:rPr>
        <w:t xml:space="preserve"> u mužů). Z hlediska příčin absolutního počtu nově hlášených případů dočasné pracovní neschopnosti žen se 782,7 tis. (92,2 </w:t>
      </w:r>
      <w:r w:rsidRPr="003E6827">
        <w:rPr>
          <w:rFonts w:cs="Arial"/>
          <w:lang w:val="en-US"/>
        </w:rPr>
        <w:t xml:space="preserve">%) </w:t>
      </w:r>
      <w:r w:rsidRPr="003E6827">
        <w:rPr>
          <w:rFonts w:cs="Arial"/>
        </w:rPr>
        <w:t>případů týkalo pracovní neschopnosti z důvodu nemoci, 14,8 tis. (1,7 %) případů pro pracovní úraz a 51,8 tis. (6,1 %) případů ostatních úrazů. Muži čerpali pracovní neschopnost z důvodu nemoci v 658,2 tis. (84 %) případech, z důvodu</w:t>
      </w:r>
      <w:r w:rsidRPr="00821C6F">
        <w:rPr>
          <w:rFonts w:cs="Arial"/>
        </w:rPr>
        <w:t xml:space="preserve"> pracovního úrazu v</w:t>
      </w:r>
      <w:r>
        <w:rPr>
          <w:rFonts w:cs="Arial"/>
        </w:rPr>
        <w:t> 33,0</w:t>
      </w:r>
      <w:r w:rsidRPr="00821C6F">
        <w:rPr>
          <w:rFonts w:cs="Arial"/>
        </w:rPr>
        <w:t xml:space="preserve"> tis. (4,2 %) v</w:t>
      </w:r>
      <w:r>
        <w:rPr>
          <w:rFonts w:cs="Arial"/>
        </w:rPr>
        <w:t> </w:t>
      </w:r>
      <w:r w:rsidRPr="00821C6F">
        <w:rPr>
          <w:rFonts w:cs="Arial"/>
        </w:rPr>
        <w:t>případech a z důvodu ostatních úrazů v 93,2 tis. (11,</w:t>
      </w:r>
      <w:r>
        <w:rPr>
          <w:rFonts w:cs="Arial"/>
        </w:rPr>
        <w:t>8</w:t>
      </w:r>
      <w:r w:rsidRPr="00821C6F">
        <w:rPr>
          <w:rFonts w:cs="Arial"/>
        </w:rPr>
        <w:t xml:space="preserve"> %) případech</w:t>
      </w:r>
      <w:r>
        <w:rPr>
          <w:rFonts w:cs="Arial"/>
          <w:lang w:val="en-US"/>
        </w:rPr>
        <w:t xml:space="preserve">. </w:t>
      </w:r>
      <w:r w:rsidRPr="00DF6EE5">
        <w:rPr>
          <w:rFonts w:cs="Arial"/>
        </w:rPr>
        <w:t>Podrobněji viz Tabulka č. 2.</w:t>
      </w:r>
      <w:r>
        <w:rPr>
          <w:rFonts w:cs="Arial"/>
          <w:lang w:val="en-US"/>
        </w:rPr>
        <w:t xml:space="preserve"> </w:t>
      </w:r>
      <w:r w:rsidRPr="00DE54D0">
        <w:rPr>
          <w:rFonts w:cs="Arial"/>
        </w:rPr>
        <w:t>   </w:t>
      </w:r>
    </w:p>
    <w:p w:rsidR="005578C1" w:rsidRPr="005C019F" w:rsidRDefault="005578C1" w:rsidP="005578C1">
      <w:pPr>
        <w:jc w:val="both"/>
        <w:rPr>
          <w:rFonts w:cs="Arial"/>
          <w:spacing w:val="-2"/>
        </w:rPr>
      </w:pPr>
      <w:r w:rsidRPr="005C019F">
        <w:rPr>
          <w:rFonts w:cs="Arial"/>
          <w:b/>
          <w:spacing w:val="-2"/>
        </w:rPr>
        <w:t>Graf č. 4: Nově hlášené případy pracovní neschopnosti dle pohlaví v letech 2006 – 2016 (v tis. případů)</w:t>
      </w:r>
    </w:p>
    <w:p w:rsidR="005578C1" w:rsidRDefault="005578C1" w:rsidP="005578C1">
      <w:pPr>
        <w:spacing w:after="0" w:line="240" w:lineRule="auto"/>
        <w:ind w:left="-284"/>
        <w:rPr>
          <w:rFonts w:cs="Arial"/>
          <w:b/>
        </w:rPr>
      </w:pPr>
      <w:r w:rsidRPr="00A422FD">
        <w:rPr>
          <w:rFonts w:cs="Arial"/>
          <w:b/>
          <w:noProof/>
        </w:rPr>
        <w:drawing>
          <wp:inline distT="0" distB="0" distL="0" distR="0">
            <wp:extent cx="6347460" cy="3436620"/>
            <wp:effectExtent l="1905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cs="Arial"/>
          <w:b/>
        </w:rPr>
        <w:br w:type="page"/>
      </w:r>
    </w:p>
    <w:p w:rsidR="005578C1" w:rsidRPr="003E6827" w:rsidRDefault="005578C1" w:rsidP="005578C1">
      <w:pPr>
        <w:ind w:firstLine="708"/>
        <w:jc w:val="both"/>
      </w:pPr>
      <w:r w:rsidRPr="003E6827">
        <w:rPr>
          <w:rFonts w:cs="Arial"/>
        </w:rPr>
        <w:lastRenderedPageBreak/>
        <w:t xml:space="preserve">Mezi pohlavími je ve skladbě důvodů dočasné pracovní neschopnosti dlouhodobě patrný rozdíl. </w:t>
      </w:r>
      <w:r>
        <w:rPr>
          <w:rFonts w:cs="Arial"/>
        </w:rPr>
        <w:t>Přestože u obou pohlaví je jednoznačně nejčastější</w:t>
      </w:r>
      <w:r w:rsidRPr="003E6827">
        <w:rPr>
          <w:rFonts w:cs="Arial"/>
        </w:rPr>
        <w:t xml:space="preserve"> dočasná pracovní neschopnost pro nemoc, muži výrazně dominují v počtu dočasné pracovní neschopnosti pro úrazy jak pracovní, tak i ostatní. Vyšší podíl žen na pracovní neschopnosti pro nemoc, může souviset s mateřskou úlohou žen, u nichž mohou být důvodem pracovní neschopnosti také komplikace v těhotenství, potraty nebo</w:t>
      </w:r>
      <w:r>
        <w:rPr>
          <w:rFonts w:cs="Arial"/>
        </w:rPr>
        <w:t xml:space="preserve"> doprovod dítěte při hospitalizaci</w:t>
      </w:r>
      <w:r w:rsidRPr="003E6827">
        <w:rPr>
          <w:rFonts w:cs="Arial"/>
        </w:rPr>
        <w:t xml:space="preserve">. Z celkového počtu nově hlášených případů pro pracovní úrazy připadá na ženy pouze 31,2 % pracovních úrazů, podíl žen z celkového počtu pro ostatní úrazy je 35,7 %, což je dáno i odlišnou strukturou zaměstnanosti žen a mužů. Odvětví, </w:t>
      </w:r>
      <w:r w:rsidRPr="003E6827">
        <w:t>kde převládají muži a vyskytují se zvýšená rizika pracovního i</w:t>
      </w:r>
      <w:r>
        <w:t> </w:t>
      </w:r>
      <w:r w:rsidRPr="003E6827">
        <w:t>smrtelného pracovního úrazu jsou např. v sektoru T</w:t>
      </w:r>
      <w:r w:rsidRPr="003E6827">
        <w:rPr>
          <w:rFonts w:cs="Arial"/>
        </w:rPr>
        <w:t>ěžby a dobývání, Zpracovatelském průmyslu, S</w:t>
      </w:r>
      <w:r w:rsidRPr="003E6827">
        <w:t>tavebnictví, Dopravě a</w:t>
      </w:r>
      <w:r>
        <w:t> </w:t>
      </w:r>
      <w:r w:rsidRPr="003E6827">
        <w:t xml:space="preserve">skladování či Zemědělství, lesnictví, rybářství. Naopak odvětví, kde převažují v zaměstnání ženy a rizika pracovních úrazů </w:t>
      </w:r>
      <w:r>
        <w:t>mohou být</w:t>
      </w:r>
      <w:r w:rsidRPr="003E6827">
        <w:t xml:space="preserve"> méně častá, jsou Peněžnictví a pojišťovnictví, Zdravotnictví a sociální péče, Č</w:t>
      </w:r>
      <w:r w:rsidRPr="003E6827">
        <w:rPr>
          <w:rFonts w:cs="Arial"/>
        </w:rPr>
        <w:t xml:space="preserve">inností v oblasti nemovitostí </w:t>
      </w:r>
      <w:r w:rsidRPr="003E6827">
        <w:t xml:space="preserve">a Vzdělávání. </w:t>
      </w:r>
    </w:p>
    <w:p w:rsidR="005578C1" w:rsidRPr="00E7514E" w:rsidRDefault="005578C1" w:rsidP="005578C1">
      <w:pPr>
        <w:jc w:val="both"/>
        <w:rPr>
          <w:rFonts w:cs="Arial"/>
          <w:b/>
          <w:spacing w:val="-2"/>
        </w:rPr>
      </w:pPr>
      <w:r w:rsidRPr="00E7514E">
        <w:rPr>
          <w:rFonts w:cs="Arial"/>
          <w:b/>
          <w:spacing w:val="-2"/>
        </w:rPr>
        <w:t xml:space="preserve">Tabulka č. 3: Dočasná pracovní neschopnost dle ekonomických odvětví (sekce CZ-NACE) v roce 2016 </w:t>
      </w:r>
    </w:p>
    <w:tbl>
      <w:tblPr>
        <w:tblW w:w="9801" w:type="dxa"/>
        <w:tblInd w:w="55" w:type="dxa"/>
        <w:tblCellMar>
          <w:left w:w="113" w:type="dxa"/>
          <w:right w:w="70" w:type="dxa"/>
        </w:tblCellMar>
        <w:tblLook w:val="04A0"/>
      </w:tblPr>
      <w:tblGrid>
        <w:gridCol w:w="3303"/>
        <w:gridCol w:w="1126"/>
        <w:gridCol w:w="1126"/>
        <w:gridCol w:w="1126"/>
        <w:gridCol w:w="1126"/>
        <w:gridCol w:w="1126"/>
        <w:gridCol w:w="1126"/>
      </w:tblGrid>
      <w:tr w:rsidR="005578C1" w:rsidRPr="0011739E" w:rsidTr="0045780F">
        <w:trPr>
          <w:trHeight w:val="20"/>
        </w:trPr>
        <w:tc>
          <w:tcPr>
            <w:tcW w:w="3303" w:type="dxa"/>
            <w:tcBorders>
              <w:top w:val="single" w:sz="4" w:space="0" w:color="auto"/>
              <w:bottom w:val="single" w:sz="4" w:space="0" w:color="auto"/>
              <w:right w:val="single" w:sz="4" w:space="0" w:color="auto"/>
            </w:tcBorders>
            <w:shd w:val="clear" w:color="000000" w:fill="F2DDDC"/>
            <w:vAlign w:val="center"/>
            <w:hideMark/>
          </w:tcPr>
          <w:p w:rsidR="005578C1" w:rsidRPr="0011739E" w:rsidRDefault="005578C1" w:rsidP="0045780F">
            <w:pPr>
              <w:spacing w:after="0" w:line="240" w:lineRule="auto"/>
              <w:jc w:val="center"/>
              <w:rPr>
                <w:rFonts w:cs="Arial"/>
                <w:color w:val="000000"/>
                <w:sz w:val="16"/>
                <w:szCs w:val="16"/>
              </w:rPr>
            </w:pPr>
            <w:r w:rsidRPr="0011739E">
              <w:rPr>
                <w:rFonts w:cs="Arial"/>
                <w:color w:val="000000"/>
                <w:sz w:val="16"/>
                <w:szCs w:val="16"/>
              </w:rPr>
              <w:t>CZ-NACE</w:t>
            </w:r>
          </w:p>
        </w:tc>
        <w:tc>
          <w:tcPr>
            <w:tcW w:w="1083" w:type="dxa"/>
            <w:tcBorders>
              <w:top w:val="single" w:sz="4" w:space="0" w:color="auto"/>
              <w:left w:val="nil"/>
              <w:bottom w:val="single" w:sz="4" w:space="0" w:color="auto"/>
              <w:right w:val="single" w:sz="4" w:space="0" w:color="auto"/>
            </w:tcBorders>
            <w:shd w:val="clear" w:color="000000" w:fill="F2DDDC"/>
            <w:vAlign w:val="center"/>
            <w:hideMark/>
          </w:tcPr>
          <w:p w:rsidR="005578C1" w:rsidRDefault="005578C1" w:rsidP="0045780F">
            <w:pPr>
              <w:spacing w:after="0" w:line="240" w:lineRule="auto"/>
              <w:jc w:val="center"/>
              <w:rPr>
                <w:rFonts w:cs="Arial"/>
                <w:color w:val="000000"/>
                <w:sz w:val="16"/>
                <w:szCs w:val="16"/>
              </w:rPr>
            </w:pPr>
            <w:r w:rsidRPr="0011739E">
              <w:rPr>
                <w:rFonts w:cs="Arial"/>
                <w:color w:val="000000"/>
                <w:sz w:val="16"/>
                <w:szCs w:val="16"/>
              </w:rPr>
              <w:t>Nově hlášené případy dočasné pracovní neschopnosti</w:t>
            </w:r>
          </w:p>
          <w:p w:rsidR="005578C1" w:rsidRPr="0011739E" w:rsidRDefault="005578C1" w:rsidP="0045780F">
            <w:pPr>
              <w:spacing w:after="0" w:line="240" w:lineRule="auto"/>
              <w:jc w:val="center"/>
              <w:rPr>
                <w:rFonts w:cs="Arial"/>
                <w:color w:val="000000"/>
                <w:sz w:val="16"/>
                <w:szCs w:val="16"/>
              </w:rPr>
            </w:pPr>
            <w:r>
              <w:rPr>
                <w:rFonts w:cs="Arial"/>
                <w:color w:val="000000"/>
                <w:sz w:val="16"/>
                <w:szCs w:val="16"/>
              </w:rPr>
              <w:t>(v tis.)</w:t>
            </w:r>
          </w:p>
        </w:tc>
        <w:tc>
          <w:tcPr>
            <w:tcW w:w="1083" w:type="dxa"/>
            <w:tcBorders>
              <w:top w:val="single" w:sz="4" w:space="0" w:color="auto"/>
              <w:left w:val="nil"/>
              <w:bottom w:val="single" w:sz="4" w:space="0" w:color="auto"/>
              <w:right w:val="single" w:sz="4" w:space="0" w:color="auto"/>
            </w:tcBorders>
            <w:shd w:val="clear" w:color="000000" w:fill="F2DDDC"/>
            <w:vAlign w:val="center"/>
            <w:hideMark/>
          </w:tcPr>
          <w:p w:rsidR="005578C1" w:rsidRDefault="005578C1" w:rsidP="0045780F">
            <w:pPr>
              <w:spacing w:after="0" w:line="240" w:lineRule="auto"/>
              <w:jc w:val="center"/>
              <w:rPr>
                <w:rFonts w:cs="Arial"/>
                <w:color w:val="000000"/>
                <w:sz w:val="16"/>
                <w:szCs w:val="16"/>
              </w:rPr>
            </w:pPr>
            <w:r w:rsidRPr="0011739E">
              <w:rPr>
                <w:rFonts w:cs="Arial"/>
                <w:color w:val="000000"/>
                <w:sz w:val="16"/>
                <w:szCs w:val="16"/>
              </w:rPr>
              <w:t>Kalendářní dny pracovní neschopnosti</w:t>
            </w:r>
          </w:p>
          <w:p w:rsidR="005578C1" w:rsidRPr="0011739E" w:rsidRDefault="005578C1" w:rsidP="0045780F">
            <w:pPr>
              <w:spacing w:after="0" w:line="240" w:lineRule="auto"/>
              <w:jc w:val="center"/>
              <w:rPr>
                <w:rFonts w:cs="Arial"/>
                <w:color w:val="000000"/>
                <w:sz w:val="16"/>
                <w:szCs w:val="16"/>
              </w:rPr>
            </w:pPr>
            <w:r>
              <w:rPr>
                <w:rFonts w:cs="Arial"/>
                <w:color w:val="000000"/>
                <w:sz w:val="16"/>
                <w:szCs w:val="16"/>
              </w:rPr>
              <w:t>(v tis.)</w:t>
            </w:r>
          </w:p>
        </w:tc>
        <w:tc>
          <w:tcPr>
            <w:tcW w:w="1083" w:type="dxa"/>
            <w:tcBorders>
              <w:top w:val="single" w:sz="4" w:space="0" w:color="auto"/>
              <w:left w:val="nil"/>
              <w:bottom w:val="single" w:sz="4" w:space="0" w:color="auto"/>
              <w:right w:val="single" w:sz="4" w:space="0" w:color="auto"/>
            </w:tcBorders>
            <w:shd w:val="clear" w:color="000000" w:fill="F2DDDC"/>
            <w:vAlign w:val="center"/>
            <w:hideMark/>
          </w:tcPr>
          <w:p w:rsidR="005578C1" w:rsidRPr="0011739E" w:rsidRDefault="005578C1" w:rsidP="0045780F">
            <w:pPr>
              <w:spacing w:after="0" w:line="240" w:lineRule="auto"/>
              <w:jc w:val="center"/>
              <w:rPr>
                <w:rFonts w:cs="Arial"/>
                <w:color w:val="000000"/>
                <w:sz w:val="16"/>
                <w:szCs w:val="16"/>
              </w:rPr>
            </w:pPr>
            <w:r w:rsidRPr="0011739E">
              <w:rPr>
                <w:rFonts w:cs="Arial"/>
                <w:color w:val="000000"/>
                <w:sz w:val="16"/>
                <w:szCs w:val="16"/>
              </w:rPr>
              <w:t>Nově hlášené případy pracovní neschopnosti na 100 pojištěnců</w:t>
            </w:r>
          </w:p>
        </w:tc>
        <w:tc>
          <w:tcPr>
            <w:tcW w:w="1083" w:type="dxa"/>
            <w:tcBorders>
              <w:top w:val="single" w:sz="4" w:space="0" w:color="auto"/>
              <w:left w:val="nil"/>
              <w:bottom w:val="single" w:sz="4" w:space="0" w:color="auto"/>
              <w:right w:val="single" w:sz="4" w:space="0" w:color="auto"/>
            </w:tcBorders>
            <w:shd w:val="clear" w:color="000000" w:fill="F2DDDC"/>
            <w:vAlign w:val="center"/>
            <w:hideMark/>
          </w:tcPr>
          <w:p w:rsidR="005578C1" w:rsidRPr="0011739E" w:rsidRDefault="005578C1" w:rsidP="0045780F">
            <w:pPr>
              <w:spacing w:after="0" w:line="240" w:lineRule="auto"/>
              <w:jc w:val="center"/>
              <w:rPr>
                <w:rFonts w:cs="Arial"/>
                <w:color w:val="000000"/>
                <w:sz w:val="16"/>
                <w:szCs w:val="16"/>
              </w:rPr>
            </w:pPr>
            <w:r w:rsidRPr="0011739E">
              <w:rPr>
                <w:rFonts w:cs="Arial"/>
                <w:color w:val="000000"/>
                <w:sz w:val="16"/>
                <w:szCs w:val="16"/>
              </w:rPr>
              <w:t>Průměrné procento dočasné pracovní neschopnosti</w:t>
            </w:r>
          </w:p>
        </w:tc>
        <w:tc>
          <w:tcPr>
            <w:tcW w:w="1083" w:type="dxa"/>
            <w:tcBorders>
              <w:top w:val="single" w:sz="4" w:space="0" w:color="auto"/>
              <w:left w:val="nil"/>
              <w:bottom w:val="single" w:sz="4" w:space="0" w:color="auto"/>
              <w:right w:val="single" w:sz="4" w:space="0" w:color="auto"/>
            </w:tcBorders>
            <w:shd w:val="clear" w:color="000000" w:fill="F2DDDC"/>
            <w:vAlign w:val="center"/>
            <w:hideMark/>
          </w:tcPr>
          <w:p w:rsidR="005578C1" w:rsidRPr="0011739E" w:rsidRDefault="005578C1" w:rsidP="0045780F">
            <w:pPr>
              <w:spacing w:after="0" w:line="240" w:lineRule="auto"/>
              <w:jc w:val="center"/>
              <w:rPr>
                <w:rFonts w:cs="Arial"/>
                <w:color w:val="000000"/>
                <w:sz w:val="16"/>
                <w:szCs w:val="16"/>
              </w:rPr>
            </w:pPr>
            <w:r w:rsidRPr="0011739E">
              <w:rPr>
                <w:rFonts w:cs="Arial"/>
                <w:color w:val="000000"/>
                <w:sz w:val="16"/>
                <w:szCs w:val="16"/>
              </w:rPr>
              <w:t>Průměrná délka trvání 1 případu dočasné pracovní neschopnosti</w:t>
            </w:r>
          </w:p>
        </w:tc>
        <w:tc>
          <w:tcPr>
            <w:tcW w:w="1083" w:type="dxa"/>
            <w:tcBorders>
              <w:top w:val="single" w:sz="4" w:space="0" w:color="auto"/>
              <w:left w:val="nil"/>
              <w:bottom w:val="single" w:sz="4" w:space="0" w:color="auto"/>
              <w:right w:val="nil"/>
            </w:tcBorders>
            <w:shd w:val="clear" w:color="000000" w:fill="F2DDDC"/>
            <w:vAlign w:val="center"/>
            <w:hideMark/>
          </w:tcPr>
          <w:p w:rsidR="005578C1" w:rsidRDefault="005578C1" w:rsidP="0045780F">
            <w:pPr>
              <w:spacing w:after="0" w:line="240" w:lineRule="auto"/>
              <w:jc w:val="center"/>
              <w:rPr>
                <w:rFonts w:cs="Arial"/>
                <w:color w:val="000000"/>
                <w:sz w:val="16"/>
                <w:szCs w:val="16"/>
              </w:rPr>
            </w:pPr>
            <w:r>
              <w:rPr>
                <w:rFonts w:cs="Arial"/>
                <w:color w:val="000000"/>
                <w:sz w:val="16"/>
                <w:szCs w:val="16"/>
              </w:rPr>
              <w:t>Průměrný den</w:t>
            </w:r>
            <w:r w:rsidRPr="0011739E">
              <w:rPr>
                <w:rFonts w:cs="Arial"/>
                <w:color w:val="000000"/>
                <w:sz w:val="16"/>
                <w:szCs w:val="16"/>
              </w:rPr>
              <w:t>ní stav dočasné pracovní neschopnosti</w:t>
            </w:r>
          </w:p>
          <w:p w:rsidR="005578C1" w:rsidRPr="0011739E" w:rsidRDefault="005578C1" w:rsidP="0045780F">
            <w:pPr>
              <w:spacing w:after="0" w:line="240" w:lineRule="auto"/>
              <w:jc w:val="center"/>
              <w:rPr>
                <w:rFonts w:cs="Arial"/>
                <w:color w:val="000000"/>
                <w:sz w:val="16"/>
                <w:szCs w:val="16"/>
              </w:rPr>
            </w:pPr>
            <w:r>
              <w:rPr>
                <w:rFonts w:cs="Arial"/>
                <w:color w:val="000000"/>
                <w:sz w:val="16"/>
                <w:szCs w:val="16"/>
              </w:rPr>
              <w:t>(v tis.)</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A - Zemědělství, lesnictví a rybářství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34,0</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sidRPr="0060467F">
              <w:rPr>
                <w:rFonts w:cs="Arial"/>
                <w:color w:val="000000"/>
                <w:sz w:val="16"/>
                <w:szCs w:val="16"/>
              </w:rPr>
              <w:t>2</w:t>
            </w:r>
            <w:r>
              <w:rPr>
                <w:rFonts w:cs="Arial"/>
                <w:color w:val="000000"/>
                <w:sz w:val="16"/>
                <w:szCs w:val="16"/>
              </w:rPr>
              <w:t> </w:t>
            </w:r>
            <w:r w:rsidRPr="0060467F">
              <w:rPr>
                <w:rFonts w:cs="Arial"/>
                <w:color w:val="000000"/>
                <w:sz w:val="16"/>
                <w:szCs w:val="16"/>
              </w:rPr>
              <w:t>006</w:t>
            </w:r>
            <w:r>
              <w:rPr>
                <w:rFonts w:cs="Arial"/>
                <w:color w:val="000000"/>
                <w:sz w:val="16"/>
                <w:szCs w:val="16"/>
              </w:rPr>
              <w:t>,2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30</w:t>
            </w:r>
            <w:r>
              <w:rPr>
                <w:rFonts w:cs="Arial"/>
                <w:color w:val="000000"/>
                <w:sz w:val="16"/>
                <w:szCs w:val="16"/>
              </w:rPr>
              <w:t>,</w:t>
            </w:r>
            <w:r w:rsidRPr="0060467F">
              <w:rPr>
                <w:rFonts w:cs="Arial"/>
                <w:color w:val="000000"/>
                <w:sz w:val="16"/>
                <w:szCs w:val="16"/>
              </w:rPr>
              <w:t>9</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5,0</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59,0</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5,4</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B - Těžba a dobývání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11,1</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596,9</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39</w:t>
            </w:r>
            <w:r>
              <w:rPr>
                <w:rFonts w:cs="Arial"/>
                <w:color w:val="000000"/>
                <w:sz w:val="16"/>
                <w:szCs w:val="16"/>
              </w:rPr>
              <w:t>,</w:t>
            </w:r>
            <w:r w:rsidRPr="0060467F">
              <w:rPr>
                <w:rFonts w:cs="Arial"/>
                <w:color w:val="000000"/>
                <w:sz w:val="16"/>
                <w:szCs w:val="16"/>
              </w:rPr>
              <w:t>7</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5,8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53,8</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1,6</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C - Zpracovatelský průmysl</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570,6</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24 171,3</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47</w:t>
            </w:r>
            <w:r>
              <w:rPr>
                <w:rFonts w:cs="Arial"/>
                <w:color w:val="000000"/>
                <w:sz w:val="16"/>
                <w:szCs w:val="16"/>
              </w:rPr>
              <w:t>,</w:t>
            </w:r>
            <w:r w:rsidRPr="0060467F">
              <w:rPr>
                <w:rFonts w:cs="Arial"/>
                <w:color w:val="000000"/>
                <w:sz w:val="16"/>
                <w:szCs w:val="16"/>
              </w:rPr>
              <w:t>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5,5</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42,4</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66,0</w:t>
            </w:r>
          </w:p>
        </w:tc>
      </w:tr>
      <w:tr w:rsidR="005578C1" w:rsidRPr="0011739E" w:rsidTr="0045780F">
        <w:trPr>
          <w:trHeight w:val="20"/>
        </w:trPr>
        <w:tc>
          <w:tcPr>
            <w:tcW w:w="3303" w:type="dxa"/>
            <w:tcBorders>
              <w:top w:val="nil"/>
              <w:left w:val="nil"/>
              <w:bottom w:val="nil"/>
              <w:right w:val="single" w:sz="4" w:space="0" w:color="auto"/>
            </w:tcBorders>
            <w:shd w:val="clear" w:color="000000" w:fill="FFFFFF"/>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 xml:space="preserve">D - Výroba a rozvod elektřiny, plynu, tepla </w:t>
            </w:r>
            <w:r w:rsidRPr="0011739E">
              <w:rPr>
                <w:rFonts w:cs="Arial"/>
                <w:sz w:val="16"/>
                <w:szCs w:val="16"/>
              </w:rPr>
              <w:br/>
              <w:t xml:space="preserve">     a klimatizovaného vzduchu</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7,7</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318,6</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23</w:t>
            </w:r>
            <w:r>
              <w:rPr>
                <w:rFonts w:cs="Arial"/>
                <w:color w:val="000000"/>
                <w:sz w:val="16"/>
                <w:szCs w:val="16"/>
              </w:rPr>
              <w:t>,</w:t>
            </w:r>
            <w:r w:rsidRPr="0060467F">
              <w:rPr>
                <w:rFonts w:cs="Arial"/>
                <w:color w:val="000000"/>
                <w:sz w:val="16"/>
                <w:szCs w:val="16"/>
              </w:rPr>
              <w:t>5</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2,7</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41,4</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0,9</w:t>
            </w:r>
          </w:p>
        </w:tc>
      </w:tr>
      <w:tr w:rsidR="005578C1" w:rsidRPr="0011739E" w:rsidTr="0045780F">
        <w:trPr>
          <w:trHeight w:val="20"/>
        </w:trPr>
        <w:tc>
          <w:tcPr>
            <w:tcW w:w="3303" w:type="dxa"/>
            <w:tcBorders>
              <w:top w:val="nil"/>
              <w:left w:val="nil"/>
              <w:bottom w:val="nil"/>
              <w:right w:val="single" w:sz="4" w:space="0" w:color="auto"/>
            </w:tcBorders>
            <w:shd w:val="clear" w:color="000000" w:fill="FFFFFF"/>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E - Zásobování vodou; činnos</w:t>
            </w:r>
            <w:r>
              <w:rPr>
                <w:rFonts w:cs="Arial"/>
                <w:sz w:val="16"/>
                <w:szCs w:val="16"/>
              </w:rPr>
              <w:t xml:space="preserve">ti související </w:t>
            </w:r>
            <w:r>
              <w:rPr>
                <w:rFonts w:cs="Arial"/>
                <w:sz w:val="16"/>
                <w:szCs w:val="16"/>
              </w:rPr>
              <w:br/>
              <w:t xml:space="preserve">     s odpad.</w:t>
            </w:r>
            <w:r w:rsidRPr="0011739E">
              <w:rPr>
                <w:rFonts w:cs="Arial"/>
                <w:sz w:val="16"/>
                <w:szCs w:val="16"/>
              </w:rPr>
              <w:t xml:space="preserve"> </w:t>
            </w:r>
            <w:proofErr w:type="gramStart"/>
            <w:r w:rsidRPr="0011739E">
              <w:rPr>
                <w:rFonts w:cs="Arial"/>
                <w:sz w:val="16"/>
                <w:szCs w:val="16"/>
              </w:rPr>
              <w:t>vodami</w:t>
            </w:r>
            <w:proofErr w:type="gramEnd"/>
            <w:r w:rsidRPr="0011739E">
              <w:rPr>
                <w:rFonts w:cs="Arial"/>
                <w:sz w:val="16"/>
                <w:szCs w:val="16"/>
              </w:rPr>
              <w:t>, odpady a sanacemi</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20,6</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928,1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36</w:t>
            </w:r>
            <w:r>
              <w:rPr>
                <w:rFonts w:cs="Arial"/>
                <w:color w:val="000000"/>
                <w:sz w:val="16"/>
                <w:szCs w:val="16"/>
              </w:rPr>
              <w:t>,</w:t>
            </w:r>
            <w:r w:rsidRPr="0060467F">
              <w:rPr>
                <w:rFonts w:cs="Arial"/>
                <w:color w:val="000000"/>
                <w:sz w:val="16"/>
                <w:szCs w:val="16"/>
              </w:rPr>
              <w:t>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4,4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45,0</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2,5</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F - Stavebnictví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72,7</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3 967,2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31</w:t>
            </w:r>
            <w:r>
              <w:rPr>
                <w:rFonts w:cs="Arial"/>
                <w:color w:val="000000"/>
                <w:sz w:val="16"/>
                <w:szCs w:val="16"/>
              </w:rPr>
              <w:t>,</w:t>
            </w:r>
            <w:r w:rsidRPr="0060467F">
              <w:rPr>
                <w:rFonts w:cs="Arial"/>
                <w:color w:val="000000"/>
                <w:sz w:val="16"/>
                <w:szCs w:val="16"/>
              </w:rPr>
              <w:t>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4,7</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54,6</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10,8</w:t>
            </w:r>
          </w:p>
        </w:tc>
      </w:tr>
      <w:tr w:rsidR="005578C1" w:rsidRPr="0011739E" w:rsidTr="0045780F">
        <w:trPr>
          <w:trHeight w:val="20"/>
        </w:trPr>
        <w:tc>
          <w:tcPr>
            <w:tcW w:w="3303" w:type="dxa"/>
            <w:tcBorders>
              <w:top w:val="nil"/>
              <w:left w:val="nil"/>
              <w:bottom w:val="nil"/>
              <w:right w:val="single" w:sz="4" w:space="0" w:color="auto"/>
            </w:tcBorders>
            <w:shd w:val="clear" w:color="000000" w:fill="FFFFFF"/>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 xml:space="preserve">G - Velkoobchod a maloobchod; opravy </w:t>
            </w:r>
            <w:r w:rsidRPr="0011739E">
              <w:rPr>
                <w:rFonts w:cs="Arial"/>
                <w:sz w:val="16"/>
                <w:szCs w:val="16"/>
              </w:rPr>
              <w:br/>
              <w:t xml:space="preserve">     a údržba motorových vozidel</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209,0</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9 388,5</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33</w:t>
            </w:r>
            <w:r>
              <w:rPr>
                <w:rFonts w:cs="Arial"/>
                <w:color w:val="000000"/>
                <w:sz w:val="16"/>
                <w:szCs w:val="16"/>
              </w:rPr>
              <w:t>,</w:t>
            </w:r>
            <w:r w:rsidRPr="0060467F">
              <w:rPr>
                <w:rFonts w:cs="Arial"/>
                <w:color w:val="000000"/>
                <w:sz w:val="16"/>
                <w:szCs w:val="16"/>
              </w:rPr>
              <w:t>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4,1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44,9</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25,7</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H - Doprava a skladování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97,1</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4 455,1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33</w:t>
            </w:r>
            <w:r>
              <w:rPr>
                <w:rFonts w:cs="Arial"/>
                <w:color w:val="000000"/>
                <w:sz w:val="16"/>
                <w:szCs w:val="16"/>
              </w:rPr>
              <w:t>,</w:t>
            </w:r>
            <w:r w:rsidRPr="0060467F">
              <w:rPr>
                <w:rFonts w:cs="Arial"/>
                <w:color w:val="000000"/>
                <w:sz w:val="16"/>
                <w:szCs w:val="16"/>
              </w:rPr>
              <w:t>6</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4,2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45,9</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12,2</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I - Ubytování, stravování a pohostinství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38,3</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2 088,2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28</w:t>
            </w:r>
            <w:r>
              <w:rPr>
                <w:rFonts w:cs="Arial"/>
                <w:color w:val="000000"/>
                <w:sz w:val="16"/>
                <w:szCs w:val="16"/>
              </w:rPr>
              <w:t>,</w:t>
            </w:r>
            <w:r w:rsidRPr="0060467F">
              <w:rPr>
                <w:rFonts w:cs="Arial"/>
                <w:color w:val="000000"/>
                <w:sz w:val="16"/>
                <w:szCs w:val="16"/>
              </w:rPr>
              <w:t>0</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4,2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54,5</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5,7</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J - Informační a komunikační činnosti</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29,4</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766,1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23</w:t>
            </w:r>
            <w:r>
              <w:rPr>
                <w:rFonts w:cs="Arial"/>
                <w:color w:val="000000"/>
                <w:sz w:val="16"/>
                <w:szCs w:val="16"/>
              </w:rPr>
              <w:t>,</w:t>
            </w:r>
            <w:r w:rsidRPr="0060467F">
              <w:rPr>
                <w:rFonts w:cs="Arial"/>
                <w:color w:val="000000"/>
                <w:sz w:val="16"/>
                <w:szCs w:val="16"/>
              </w:rPr>
              <w:t>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1,7</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26,0</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2,1</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K - Peněžnictví a pojišťovnictví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26,0</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844,3</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27</w:t>
            </w:r>
            <w:r>
              <w:rPr>
                <w:rFonts w:cs="Arial"/>
                <w:color w:val="000000"/>
                <w:sz w:val="16"/>
                <w:szCs w:val="16"/>
              </w:rPr>
              <w:t>,</w:t>
            </w:r>
            <w:r w:rsidRPr="0060467F">
              <w:rPr>
                <w:rFonts w:cs="Arial"/>
                <w:color w:val="000000"/>
                <w:sz w:val="16"/>
                <w:szCs w:val="16"/>
              </w:rPr>
              <w:t>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2,5</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32,4</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2,3</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L - Činnosti v oblasti nemovitostí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11,7</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612,4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16</w:t>
            </w:r>
            <w:r>
              <w:rPr>
                <w:rFonts w:cs="Arial"/>
                <w:color w:val="000000"/>
                <w:sz w:val="16"/>
                <w:szCs w:val="16"/>
              </w:rPr>
              <w:t>,</w:t>
            </w:r>
            <w:r w:rsidRPr="0060467F">
              <w:rPr>
                <w:rFonts w:cs="Arial"/>
                <w:color w:val="000000"/>
                <w:sz w:val="16"/>
                <w:szCs w:val="16"/>
              </w:rPr>
              <w:t>5</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2,4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52,5</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1,7</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M - Profesní, vědecké a technické činnosti</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45,2</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1 749,0</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21</w:t>
            </w:r>
            <w:r>
              <w:rPr>
                <w:rFonts w:cs="Arial"/>
                <w:color w:val="000000"/>
                <w:sz w:val="16"/>
                <w:szCs w:val="16"/>
              </w:rPr>
              <w:t>,</w:t>
            </w:r>
            <w:r w:rsidRPr="0060467F">
              <w:rPr>
                <w:rFonts w:cs="Arial"/>
                <w:color w:val="000000"/>
                <w:sz w:val="16"/>
                <w:szCs w:val="16"/>
              </w:rPr>
              <w:t>3</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2,3</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38,7</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4,8</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N - Administrativní a podpůrné činnosti</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134,3</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5 134,8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49</w:t>
            </w:r>
            <w:r>
              <w:rPr>
                <w:rFonts w:cs="Arial"/>
                <w:color w:val="000000"/>
                <w:sz w:val="16"/>
                <w:szCs w:val="16"/>
              </w:rPr>
              <w:t>,</w:t>
            </w:r>
            <w:r w:rsidRPr="0060467F">
              <w:rPr>
                <w:rFonts w:cs="Arial"/>
                <w:color w:val="000000"/>
                <w:sz w:val="16"/>
                <w:szCs w:val="16"/>
              </w:rPr>
              <w:t>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BC091B"/>
                <w:sz w:val="16"/>
                <w:szCs w:val="16"/>
              </w:rPr>
            </w:pPr>
            <w:r>
              <w:rPr>
                <w:rFonts w:cs="Arial"/>
                <w:sz w:val="16"/>
                <w:szCs w:val="16"/>
              </w:rPr>
              <w:t>5,2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38,2</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Pr>
                <w:rFonts w:cs="Arial"/>
                <w:color w:val="000000"/>
                <w:sz w:val="16"/>
                <w:szCs w:val="16"/>
              </w:rPr>
              <w:t>14,0</w:t>
            </w:r>
          </w:p>
        </w:tc>
      </w:tr>
      <w:tr w:rsidR="005578C1" w:rsidRPr="0011739E" w:rsidTr="0045780F">
        <w:trPr>
          <w:trHeight w:val="20"/>
        </w:trPr>
        <w:tc>
          <w:tcPr>
            <w:tcW w:w="3303" w:type="dxa"/>
            <w:tcBorders>
              <w:top w:val="nil"/>
              <w:left w:val="nil"/>
              <w:bottom w:val="nil"/>
              <w:right w:val="single" w:sz="4" w:space="0" w:color="auto"/>
            </w:tcBorders>
            <w:shd w:val="clear" w:color="000000" w:fill="FFFFFF"/>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 xml:space="preserve">O - Veřejná správa a obrana; povinné </w:t>
            </w:r>
            <w:r w:rsidRPr="0011739E">
              <w:rPr>
                <w:rFonts w:cs="Arial"/>
                <w:sz w:val="16"/>
                <w:szCs w:val="16"/>
              </w:rPr>
              <w:br/>
              <w:t xml:space="preserve">    sociální zabezpečení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81,5</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3 036,4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b/>
                <w:bCs/>
                <w:color w:val="000000"/>
                <w:sz w:val="16"/>
                <w:szCs w:val="16"/>
              </w:rPr>
            </w:pPr>
            <w:r w:rsidRPr="0060467F">
              <w:rPr>
                <w:rFonts w:cs="Arial"/>
                <w:color w:val="000000"/>
                <w:sz w:val="16"/>
                <w:szCs w:val="16"/>
              </w:rPr>
              <w:t>30</w:t>
            </w:r>
            <w:r>
              <w:rPr>
                <w:rFonts w:cs="Arial"/>
                <w:color w:val="000000"/>
                <w:sz w:val="16"/>
                <w:szCs w:val="16"/>
              </w:rPr>
              <w:t>,</w:t>
            </w:r>
            <w:r w:rsidRPr="0060467F">
              <w:rPr>
                <w:rFonts w:cs="Arial"/>
                <w:color w:val="000000"/>
                <w:sz w:val="16"/>
                <w:szCs w:val="16"/>
              </w:rPr>
              <w:t>7</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3,1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37,2</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8,3</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P - Vzdělávání</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103,8</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3 452,4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sidRPr="0060467F">
              <w:rPr>
                <w:rFonts w:cs="Arial"/>
                <w:color w:val="000000"/>
                <w:sz w:val="16"/>
                <w:szCs w:val="16"/>
              </w:rPr>
              <w:t>30</w:t>
            </w:r>
            <w:r>
              <w:rPr>
                <w:rFonts w:cs="Arial"/>
                <w:color w:val="000000"/>
                <w:sz w:val="16"/>
                <w:szCs w:val="16"/>
              </w:rPr>
              <w:t>,</w:t>
            </w:r>
            <w:r w:rsidRPr="0060467F">
              <w:rPr>
                <w:rFonts w:cs="Arial"/>
                <w:color w:val="000000"/>
                <w:sz w:val="16"/>
                <w:szCs w:val="16"/>
              </w:rPr>
              <w:t>5</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2,8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33,3</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9,4</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Q - Zdravotní a sociální péče</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106,1</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5 179,4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sidRPr="0060467F">
              <w:rPr>
                <w:rFonts w:cs="Arial"/>
                <w:color w:val="000000"/>
                <w:sz w:val="16"/>
                <w:szCs w:val="16"/>
              </w:rPr>
              <w:t>30</w:t>
            </w:r>
            <w:r>
              <w:rPr>
                <w:rFonts w:cs="Arial"/>
                <w:color w:val="000000"/>
                <w:sz w:val="16"/>
                <w:szCs w:val="16"/>
              </w:rPr>
              <w:t>,</w:t>
            </w:r>
            <w:r w:rsidRPr="0060467F">
              <w:rPr>
                <w:rFonts w:cs="Arial"/>
                <w:color w:val="000000"/>
                <w:sz w:val="16"/>
                <w:szCs w:val="16"/>
              </w:rPr>
              <w:t>4</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4,1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48,8</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14,2</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R - Kulturní, zábavní a rekreační činnosti</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16,2</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676,0</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sidRPr="0060467F">
              <w:rPr>
                <w:rFonts w:cs="Arial"/>
                <w:color w:val="000000"/>
                <w:sz w:val="16"/>
                <w:szCs w:val="16"/>
              </w:rPr>
              <w:t>24</w:t>
            </w:r>
            <w:r>
              <w:rPr>
                <w:rFonts w:cs="Arial"/>
                <w:color w:val="000000"/>
                <w:sz w:val="16"/>
                <w:szCs w:val="16"/>
              </w:rPr>
              <w:t>,</w:t>
            </w:r>
            <w:r w:rsidRPr="0060467F">
              <w:rPr>
                <w:rFonts w:cs="Arial"/>
                <w:color w:val="000000"/>
                <w:sz w:val="16"/>
                <w:szCs w:val="16"/>
              </w:rPr>
              <w:t>6</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2,8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41,9</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1,9</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bottom"/>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S - Ostatní činnosti</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18,0</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880,1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sidRPr="0060467F">
              <w:rPr>
                <w:rFonts w:cs="Arial"/>
                <w:color w:val="000000"/>
                <w:sz w:val="16"/>
                <w:szCs w:val="16"/>
              </w:rPr>
              <w:t>28</w:t>
            </w:r>
            <w:r>
              <w:rPr>
                <w:rFonts w:cs="Arial"/>
                <w:color w:val="000000"/>
                <w:sz w:val="16"/>
                <w:szCs w:val="16"/>
              </w:rPr>
              <w:t>,</w:t>
            </w:r>
            <w:r w:rsidRPr="0060467F">
              <w:rPr>
                <w:rFonts w:cs="Arial"/>
                <w:color w:val="000000"/>
                <w:sz w:val="16"/>
                <w:szCs w:val="16"/>
              </w:rPr>
              <w:t>1</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3,8</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48,9</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2,4</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bottom"/>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U - Činnosti exteritoriálních organizací a orgánů</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0,0</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color w:val="000000"/>
                <w:sz w:val="16"/>
                <w:szCs w:val="16"/>
              </w:rPr>
            </w:pPr>
            <w:r>
              <w:rPr>
                <w:rFonts w:cs="Arial"/>
                <w:color w:val="000000"/>
                <w:sz w:val="16"/>
                <w:szCs w:val="16"/>
              </w:rPr>
              <w:t>0,0</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x</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x</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x</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color w:val="000000"/>
                <w:sz w:val="16"/>
                <w:szCs w:val="16"/>
              </w:rPr>
            </w:pPr>
            <w:r>
              <w:rPr>
                <w:rFonts w:cs="Arial"/>
                <w:color w:val="000000"/>
                <w:sz w:val="16"/>
                <w:szCs w:val="16"/>
              </w:rPr>
              <w:t>x</w:t>
            </w:r>
          </w:p>
        </w:tc>
      </w:tr>
      <w:tr w:rsidR="005578C1" w:rsidRPr="0011739E" w:rsidTr="0045780F">
        <w:trPr>
          <w:trHeight w:val="20"/>
        </w:trPr>
        <w:tc>
          <w:tcPr>
            <w:tcW w:w="3303" w:type="dxa"/>
            <w:tcBorders>
              <w:top w:val="nil"/>
              <w:left w:val="nil"/>
              <w:bottom w:val="nil"/>
              <w:right w:val="single" w:sz="4" w:space="0" w:color="auto"/>
            </w:tcBorders>
            <w:shd w:val="clear" w:color="000000" w:fill="FFFFFF"/>
            <w:noWrap/>
            <w:vAlign w:val="bottom"/>
            <w:hideMark/>
          </w:tcPr>
          <w:p w:rsidR="005578C1" w:rsidRPr="0011739E" w:rsidRDefault="005578C1" w:rsidP="0045780F">
            <w:pPr>
              <w:spacing w:beforeLines="36" w:afterLines="36" w:line="240" w:lineRule="auto"/>
              <w:rPr>
                <w:rFonts w:cs="Arial"/>
                <w:sz w:val="16"/>
                <w:szCs w:val="16"/>
              </w:rPr>
            </w:pPr>
            <w:r w:rsidRPr="0011739E">
              <w:rPr>
                <w:rFonts w:cs="Arial"/>
                <w:sz w:val="16"/>
                <w:szCs w:val="16"/>
              </w:rPr>
              <w:t>Celkem</w:t>
            </w:r>
          </w:p>
        </w:tc>
        <w:tc>
          <w:tcPr>
            <w:tcW w:w="1083" w:type="dxa"/>
            <w:tcBorders>
              <w:top w:val="nil"/>
              <w:left w:val="nil"/>
              <w:bottom w:val="nil"/>
              <w:right w:val="single" w:sz="4" w:space="0" w:color="auto"/>
            </w:tcBorders>
            <w:shd w:val="clear" w:color="000000" w:fill="FFFFFF"/>
            <w:noWrap/>
            <w:vAlign w:val="center"/>
            <w:hideMark/>
          </w:tcPr>
          <w:p w:rsidR="005578C1" w:rsidRPr="0011739E" w:rsidRDefault="005578C1" w:rsidP="0045780F">
            <w:pPr>
              <w:spacing w:beforeLines="36" w:afterLines="36" w:line="240" w:lineRule="auto"/>
              <w:jc w:val="right"/>
              <w:rPr>
                <w:rFonts w:cs="Arial"/>
                <w:sz w:val="16"/>
                <w:szCs w:val="16"/>
              </w:rPr>
            </w:pPr>
            <w:r>
              <w:rPr>
                <w:rFonts w:cs="Arial"/>
                <w:sz w:val="16"/>
                <w:szCs w:val="16"/>
              </w:rPr>
              <w:t>1 633,4</w:t>
            </w:r>
          </w:p>
        </w:tc>
        <w:tc>
          <w:tcPr>
            <w:tcW w:w="1083" w:type="dxa"/>
            <w:tcBorders>
              <w:top w:val="nil"/>
              <w:left w:val="nil"/>
              <w:bottom w:val="nil"/>
              <w:right w:val="single" w:sz="4" w:space="0" w:color="auto"/>
            </w:tcBorders>
            <w:shd w:val="clear" w:color="000000" w:fill="FFFFFF"/>
            <w:noWrap/>
            <w:vAlign w:val="center"/>
            <w:hideMark/>
          </w:tcPr>
          <w:p w:rsidR="005578C1" w:rsidRPr="0060467F" w:rsidRDefault="005578C1" w:rsidP="0045780F">
            <w:pPr>
              <w:spacing w:beforeLines="36" w:afterLines="36" w:line="240" w:lineRule="auto"/>
              <w:jc w:val="right"/>
              <w:rPr>
                <w:rFonts w:cs="Arial"/>
                <w:sz w:val="16"/>
                <w:szCs w:val="16"/>
              </w:rPr>
            </w:pPr>
            <w:r w:rsidRPr="0060467F">
              <w:rPr>
                <w:rFonts w:cs="Arial"/>
                <w:sz w:val="16"/>
                <w:szCs w:val="16"/>
              </w:rPr>
              <w:t>70 252,0</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35,7</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4,2</w:t>
            </w:r>
          </w:p>
        </w:tc>
        <w:tc>
          <w:tcPr>
            <w:tcW w:w="1083" w:type="dxa"/>
            <w:tcBorders>
              <w:top w:val="nil"/>
              <w:left w:val="nil"/>
              <w:bottom w:val="nil"/>
              <w:right w:val="single" w:sz="4" w:space="0" w:color="auto"/>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43,0</w:t>
            </w:r>
          </w:p>
        </w:tc>
        <w:tc>
          <w:tcPr>
            <w:tcW w:w="1083" w:type="dxa"/>
            <w:tcBorders>
              <w:top w:val="nil"/>
              <w:left w:val="nil"/>
              <w:bottom w:val="nil"/>
              <w:right w:val="nil"/>
            </w:tcBorders>
            <w:shd w:val="clear" w:color="000000" w:fill="FFFFFF"/>
            <w:noWrap/>
            <w:vAlign w:val="center"/>
            <w:hideMark/>
          </w:tcPr>
          <w:p w:rsidR="005578C1" w:rsidRDefault="005578C1" w:rsidP="0045780F">
            <w:pPr>
              <w:spacing w:beforeLines="36" w:afterLines="36" w:line="240" w:lineRule="auto"/>
              <w:jc w:val="right"/>
              <w:rPr>
                <w:rFonts w:cs="Arial"/>
                <w:sz w:val="16"/>
                <w:szCs w:val="16"/>
              </w:rPr>
            </w:pPr>
            <w:r>
              <w:rPr>
                <w:rFonts w:cs="Arial"/>
                <w:sz w:val="16"/>
                <w:szCs w:val="16"/>
              </w:rPr>
              <w:t>192,0</w:t>
            </w:r>
          </w:p>
        </w:tc>
      </w:tr>
    </w:tbl>
    <w:p w:rsidR="005578C1" w:rsidRDefault="005578C1" w:rsidP="005578C1">
      <w:pPr>
        <w:ind w:firstLine="708"/>
        <w:jc w:val="both"/>
        <w:rPr>
          <w:rFonts w:cs="Arial"/>
          <w:b/>
        </w:rPr>
      </w:pPr>
    </w:p>
    <w:p w:rsidR="005578C1" w:rsidRDefault="005578C1" w:rsidP="005578C1">
      <w:pPr>
        <w:ind w:firstLine="708"/>
        <w:jc w:val="both"/>
        <w:rPr>
          <w:rFonts w:cs="Arial"/>
        </w:rPr>
      </w:pPr>
      <w:r w:rsidRPr="00C55B6D">
        <w:rPr>
          <w:rFonts w:cs="Arial"/>
        </w:rPr>
        <w:lastRenderedPageBreak/>
        <w:t>Co se týče jednotlivých odvětví ekonomické činnosti,</w:t>
      </w:r>
      <w:r>
        <w:rPr>
          <w:rFonts w:cs="Arial"/>
        </w:rPr>
        <w:t xml:space="preserve"> bylo v absolutních počtech nejvíce nových případů dočasné pracovní neschopnosti hlášeno v subjektech s převažující ekonomickou činností spadajících dle klasifikace CZ-NACE do  odvětvové sekce Zpracovatelský průmysl (570,6 tis. případů) a Velkoobchod a maloobchod; opravy a údržba morových vozidel (209,0 tis. případů), naopak nejmenší absolutní počet byl hlášen u odvětvové sekce Výroba a rozvod elektřiny a jiných energií (7,7 tis. případů) a u Těžby a dobývání (11,1 tis. případů).</w:t>
      </w:r>
    </w:p>
    <w:p w:rsidR="005578C1" w:rsidRDefault="005578C1" w:rsidP="005578C1">
      <w:pPr>
        <w:spacing w:after="0"/>
        <w:ind w:firstLine="709"/>
        <w:jc w:val="both"/>
        <w:rPr>
          <w:rFonts w:cs="Arial"/>
          <w:b/>
        </w:rPr>
      </w:pPr>
      <w:r w:rsidRPr="005F694D">
        <w:rPr>
          <w:rFonts w:cs="Arial"/>
        </w:rPr>
        <w:t>Absolutní údaje o počtu nově hlášených případů je však nutné posuzovat v kontextu zaměstnanosti v daném odvětví, a proto má v případě odvětví vyšší vypovídací schopnost ukazatel relativní, například</w:t>
      </w:r>
      <w:r>
        <w:rPr>
          <w:rFonts w:cs="Arial"/>
          <w:b/>
        </w:rPr>
        <w:t xml:space="preserve"> počet nově hlášených případů dočasné pracovní neschopnosti na 100 pojištěnců.</w:t>
      </w:r>
    </w:p>
    <w:p w:rsidR="005578C1" w:rsidRDefault="005578C1" w:rsidP="005578C1">
      <w:pPr>
        <w:spacing w:before="240"/>
        <w:ind w:firstLine="709"/>
        <w:jc w:val="both"/>
        <w:rPr>
          <w:rFonts w:cs="Arial"/>
        </w:rPr>
      </w:pPr>
      <w:r w:rsidRPr="00C55B6D">
        <w:rPr>
          <w:rFonts w:cs="Arial"/>
        </w:rPr>
        <w:t xml:space="preserve">Tento ukazatel meziročně </w:t>
      </w:r>
      <w:r>
        <w:rPr>
          <w:rFonts w:cs="Arial"/>
        </w:rPr>
        <w:t xml:space="preserve">za Českou republiku celkem </w:t>
      </w:r>
      <w:r w:rsidRPr="00C55B6D">
        <w:rPr>
          <w:rFonts w:cs="Arial"/>
        </w:rPr>
        <w:t xml:space="preserve">vzrostl z 34,7 případů v roce 2015 na 35,7 případů v roce 2016 (tj. o 2,9 %). 31,5 nově hlášených případů dočasné pracovní neschopnosti na 100 pojištěnců </w:t>
      </w:r>
      <w:proofErr w:type="gramStart"/>
      <w:r w:rsidRPr="00C55B6D">
        <w:rPr>
          <w:rFonts w:cs="Arial"/>
        </w:rPr>
        <w:t>bylo</w:t>
      </w:r>
      <w:proofErr w:type="gramEnd"/>
      <w:r w:rsidRPr="00C55B6D">
        <w:rPr>
          <w:rFonts w:cs="Arial"/>
        </w:rPr>
        <w:t xml:space="preserve"> v roce 2016 </w:t>
      </w:r>
      <w:proofErr w:type="gramStart"/>
      <w:r w:rsidRPr="00C55B6D">
        <w:rPr>
          <w:rFonts w:cs="Arial"/>
        </w:rPr>
        <w:t>bylo</w:t>
      </w:r>
      <w:proofErr w:type="gramEnd"/>
      <w:r w:rsidRPr="00C55B6D">
        <w:rPr>
          <w:rFonts w:cs="Arial"/>
        </w:rPr>
        <w:t xml:space="preserve"> zapříčiněno nemocí, 1,0 případů pracovními úrazy a 3,2 případů</w:t>
      </w:r>
      <w:r w:rsidRPr="00C55B6D">
        <w:rPr>
          <w:rFonts w:cs="Arial"/>
          <w:color w:val="FF0000"/>
        </w:rPr>
        <w:t xml:space="preserve"> </w:t>
      </w:r>
      <w:r w:rsidRPr="00C55B6D">
        <w:rPr>
          <w:rFonts w:cs="Arial"/>
        </w:rPr>
        <w:t>ostatními úrazy. Z celkového počtu bylo na 100 mužů hlášeno 33,7 případů, na 100 žen poté 37,9. Meziročně vzrostl počet nově hlášených případů dočasné pracovní neschopnosti na 100 žen z 36,8</w:t>
      </w:r>
      <w:r>
        <w:rPr>
          <w:rFonts w:cs="Arial"/>
        </w:rPr>
        <w:t xml:space="preserve"> případů v roce 2015 na 37,9 případů (</w:t>
      </w:r>
      <w:r w:rsidRPr="005F694D">
        <w:rPr>
          <w:rFonts w:cs="Arial"/>
        </w:rPr>
        <w:t>muži z</w:t>
      </w:r>
      <w:r>
        <w:rPr>
          <w:rFonts w:cs="Arial"/>
          <w:b/>
        </w:rPr>
        <w:t xml:space="preserve"> </w:t>
      </w:r>
      <w:r w:rsidRPr="00FA2C57">
        <w:rPr>
          <w:rFonts w:cs="Arial"/>
        </w:rPr>
        <w:t>32,7</w:t>
      </w:r>
      <w:r>
        <w:rPr>
          <w:rFonts w:cs="Arial"/>
        </w:rPr>
        <w:t xml:space="preserve"> na 33,7 případů) v roce 2016 (tj. o 3 % u obou pohlaví). </w:t>
      </w:r>
    </w:p>
    <w:p w:rsidR="005578C1" w:rsidRDefault="005578C1" w:rsidP="005578C1">
      <w:pPr>
        <w:ind w:firstLine="708"/>
        <w:jc w:val="both"/>
        <w:rPr>
          <w:rFonts w:cs="Arial"/>
        </w:rPr>
      </w:pPr>
      <w:r w:rsidRPr="002D14DE">
        <w:rPr>
          <w:rFonts w:cs="Arial"/>
        </w:rPr>
        <w:t xml:space="preserve">Celková četnost výskytu dočasné pracovní neschopnosti na 100 pojištěnců má sice v posledních přibližně čtyřech letech rostoucí tendenci, ale v delším časovém období je tento ukazatel výrazně nižší než býval v minulosti. </w:t>
      </w:r>
      <w:r>
        <w:rPr>
          <w:rFonts w:cs="Arial"/>
        </w:rPr>
        <w:t>Z</w:t>
      </w:r>
      <w:r w:rsidRPr="002D14DE">
        <w:rPr>
          <w:rFonts w:cs="Arial"/>
        </w:rPr>
        <w:t>atímco v roce 1970 připadalo na 100 pojištěnců téměř 114 případů dočasné pracovní neschopnosti, bylo to v roce 1989 jen 102 případů. V roce 1990 dosahovala četnost nově hlášených případů dočasné pracovní neschopnosti na 100 pojištěnců 95 případů, v roce 2003 necelých 82 případů a ještě v</w:t>
      </w:r>
      <w:r>
        <w:rPr>
          <w:rFonts w:cs="Arial"/>
        </w:rPr>
        <w:t> </w:t>
      </w:r>
      <w:r w:rsidRPr="002D14DE">
        <w:rPr>
          <w:rFonts w:cs="Arial"/>
        </w:rPr>
        <w:t>roce 2005 tento poměrový ukazatel dosáhl 68,2 případů. V roce 2012 hodnota ukazatele klesla doposud nejníže, na 27,4 případů.</w:t>
      </w:r>
      <w:r>
        <w:rPr>
          <w:rFonts w:cs="Arial"/>
        </w:rPr>
        <w:t xml:space="preserve"> </w:t>
      </w:r>
    </w:p>
    <w:p w:rsidR="005578C1" w:rsidRDefault="005578C1" w:rsidP="005578C1">
      <w:pPr>
        <w:jc w:val="both"/>
        <w:rPr>
          <w:rFonts w:cs="Arial"/>
        </w:rPr>
      </w:pPr>
      <w:r>
        <w:rPr>
          <w:rFonts w:cs="Arial"/>
          <w:b/>
        </w:rPr>
        <w:t xml:space="preserve">Graf č. 5: Nově hlášené případy pracovní neschopnosti na 100 pojištěnců v letech 1970 – 2016 </w:t>
      </w:r>
    </w:p>
    <w:p w:rsidR="005578C1" w:rsidRDefault="005578C1" w:rsidP="005578C1">
      <w:pPr>
        <w:jc w:val="both"/>
        <w:rPr>
          <w:rFonts w:cs="Arial"/>
        </w:rPr>
      </w:pPr>
      <w:r w:rsidRPr="00FC6E63">
        <w:rPr>
          <w:rFonts w:cs="Arial"/>
          <w:noProof/>
        </w:rPr>
        <w:drawing>
          <wp:inline distT="0" distB="0" distL="0" distR="0">
            <wp:extent cx="6145619" cy="3774558"/>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78C1" w:rsidRDefault="005578C1" w:rsidP="005578C1">
      <w:pPr>
        <w:jc w:val="both"/>
        <w:rPr>
          <w:rFonts w:cs="Arial"/>
        </w:rPr>
      </w:pPr>
    </w:p>
    <w:p w:rsidR="005578C1" w:rsidRPr="00C55B6D" w:rsidRDefault="005578C1" w:rsidP="005578C1">
      <w:pPr>
        <w:ind w:firstLine="708"/>
        <w:jc w:val="both"/>
        <w:rPr>
          <w:rFonts w:cs="Arial"/>
        </w:rPr>
      </w:pPr>
      <w:r w:rsidRPr="00C55B6D">
        <w:rPr>
          <w:rFonts w:cs="Arial"/>
        </w:rPr>
        <w:lastRenderedPageBreak/>
        <w:t xml:space="preserve">Z pohledu převažující ekonomické činnosti subjektu bylo nejvíce případů dočasné pracovní neschopnosti na 100 pojištěnců v roce 2016 evidováno v oblasti Administrativní a podpůrné činnosti (49,4), následoval Zpracovatelský průmysl (47,2) a dále u fyzicky náročných činností v oblasti Těžba a dobývání (39,7). Nejméně časté případy pracovní neschopnosti na 100 pojištěnců v roce 2016 byly evidovány u osob v odvětví Činností v oblasti nemovitostí (16,5), nízký počet případů byl hlášen i v Profesních, vědeckých a technických činnostech (21,3) a také v sekci Výroby, rozvodu elektřiny a jiných energií (23,5). </w:t>
      </w:r>
    </w:p>
    <w:p w:rsidR="005578C1" w:rsidRDefault="005578C1" w:rsidP="005578C1">
      <w:pPr>
        <w:jc w:val="both"/>
        <w:rPr>
          <w:rFonts w:cs="Arial"/>
        </w:rPr>
      </w:pPr>
      <w:r>
        <w:rPr>
          <w:rFonts w:cs="Arial"/>
          <w:b/>
        </w:rPr>
        <w:t xml:space="preserve">Graf č. </w:t>
      </w:r>
      <w:r w:rsidRPr="002D14DE">
        <w:rPr>
          <w:rFonts w:cs="Arial"/>
          <w:b/>
        </w:rPr>
        <w:t>6:</w:t>
      </w:r>
      <w:r>
        <w:rPr>
          <w:rFonts w:cs="Arial"/>
          <w:b/>
        </w:rPr>
        <w:t xml:space="preserve"> Nově hlášené případy dočasné pracovní neschopnosti (DPN) na 100 pojištěnců dle odvětví ekonomické činnosti v letech 2006 – 2016 </w:t>
      </w:r>
    </w:p>
    <w:p w:rsidR="005578C1" w:rsidRDefault="005578C1" w:rsidP="005578C1">
      <w:pPr>
        <w:ind w:left="-567"/>
        <w:jc w:val="both"/>
        <w:rPr>
          <w:rFonts w:cs="Arial"/>
        </w:rPr>
      </w:pPr>
      <w:r w:rsidRPr="001734D6">
        <w:rPr>
          <w:rFonts w:cs="Arial"/>
          <w:noProof/>
        </w:rPr>
        <w:drawing>
          <wp:inline distT="0" distB="0" distL="0" distR="0">
            <wp:extent cx="6817685" cy="4688958"/>
            <wp:effectExtent l="1905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78C1" w:rsidRDefault="005578C1" w:rsidP="005578C1">
      <w:pPr>
        <w:spacing w:after="0"/>
        <w:jc w:val="both"/>
        <w:rPr>
          <w:b/>
          <w:color w:val="FF0000"/>
        </w:rPr>
      </w:pPr>
    </w:p>
    <w:p w:rsidR="005578C1" w:rsidRDefault="005578C1" w:rsidP="005578C1">
      <w:pPr>
        <w:ind w:firstLine="708"/>
        <w:jc w:val="both"/>
        <w:rPr>
          <w:rFonts w:cs="Arial"/>
        </w:rPr>
      </w:pPr>
      <w:r w:rsidRPr="00C55B6D">
        <w:rPr>
          <w:rFonts w:cs="Arial"/>
        </w:rPr>
        <w:t>Tomu odpovídá i členění počtu případů dočasné pracovní neschopnosti na 100 pojištěnců pro nemoc, kdy jich nejvíce bylo evidováno v oblasti Administrativní a podpůrné činnosti (44,6) a Zpracovatelském průmyslu (40,8), nejméně případů pro nemoc u Činnosti v oblasti nemovitostí (14,6). Nejvíce případů dočasné pracovní neschopnosti na 100 pojištěnců pro pracovní úraz, což je zřejmě ukazatel vyjadřující lépe „stupeň rizikovosti“ daného odvětví, bylo hlášeno u oblasti Zemědělství, lesnictví a rybářství (2,4)</w:t>
      </w:r>
      <w:r w:rsidRPr="00C55B6D">
        <w:rPr>
          <w:rFonts w:cs="Arial"/>
          <w:szCs w:val="20"/>
        </w:rPr>
        <w:t xml:space="preserve">, dále u oblasti </w:t>
      </w:r>
      <w:r w:rsidRPr="00C55B6D">
        <w:rPr>
          <w:rFonts w:cs="Arial"/>
        </w:rPr>
        <w:t>Zásobování vodou, činnosti související s odpadními vodami, odpady a sanacemi (1,7) a</w:t>
      </w:r>
      <w:r>
        <w:rPr>
          <w:rFonts w:cs="Arial"/>
        </w:rPr>
        <w:t> </w:t>
      </w:r>
      <w:r w:rsidRPr="00C55B6D">
        <w:rPr>
          <w:rFonts w:cs="Arial"/>
        </w:rPr>
        <w:t>v oblasti Zpracovatelský průmysl (1,7), Následovala oblast Těžby a dobývání (1,6), Doprava a sk</w:t>
      </w:r>
      <w:r>
        <w:rPr>
          <w:rFonts w:cs="Arial"/>
        </w:rPr>
        <w:t>ladování (1,5) a Stavebnictví (1,</w:t>
      </w:r>
      <w:r w:rsidRPr="00C55B6D">
        <w:rPr>
          <w:rFonts w:cs="Arial"/>
        </w:rPr>
        <w:t>3). Naopak nejméně pracovních úrazů je hlášeno u </w:t>
      </w:r>
      <w:r w:rsidRPr="00C55B6D">
        <w:rPr>
          <w:rFonts w:cs="Arial"/>
          <w:szCs w:val="20"/>
        </w:rPr>
        <w:t xml:space="preserve">Informačních a komunikačních činností (0,1) a </w:t>
      </w:r>
      <w:r w:rsidRPr="00C55B6D">
        <w:rPr>
          <w:rFonts w:cs="Arial"/>
        </w:rPr>
        <w:t>Peněžnictví a pojišťovnictví kde je hodnota rovněž stejná (0,1). Nejvíce případů dočasné pracovní neschopnosti na 100 pojištěnců pro ostatní úraz bylo hlášeno pro oblast Zpracovatelského průmyslu (4,7), Těžba a dobývání (4,4) a Stavebnictví (4,0), nejméně</w:t>
      </w:r>
      <w:r>
        <w:rPr>
          <w:rFonts w:cs="Arial"/>
        </w:rPr>
        <w:t xml:space="preserve"> případů pro ostatní úraz bylo hlášeno u </w:t>
      </w:r>
      <w:r>
        <w:rPr>
          <w:rFonts w:cs="Arial"/>
          <w:szCs w:val="20"/>
        </w:rPr>
        <w:t xml:space="preserve">Informačních a komunikačních činností (1,3) a </w:t>
      </w:r>
      <w:r>
        <w:rPr>
          <w:rFonts w:cs="Arial"/>
        </w:rPr>
        <w:t xml:space="preserve">Peněžnictví a pojišťovnictví (1,4). </w:t>
      </w:r>
    </w:p>
    <w:p w:rsidR="005578C1" w:rsidRPr="00793362" w:rsidRDefault="005578C1" w:rsidP="005578C1">
      <w:pPr>
        <w:spacing w:line="240" w:lineRule="auto"/>
        <w:jc w:val="both"/>
        <w:rPr>
          <w:rFonts w:cs="Arial"/>
          <w:b/>
          <w:bCs/>
          <w:color w:val="000000"/>
          <w:szCs w:val="20"/>
        </w:rPr>
      </w:pPr>
      <w:r>
        <w:rPr>
          <w:rFonts w:cs="Arial"/>
          <w:b/>
          <w:bCs/>
          <w:color w:val="000000"/>
          <w:szCs w:val="20"/>
        </w:rPr>
        <w:lastRenderedPageBreak/>
        <w:t>Tabulka</w:t>
      </w:r>
      <w:r w:rsidRPr="00CD7255">
        <w:rPr>
          <w:rFonts w:cs="Arial"/>
          <w:b/>
          <w:bCs/>
          <w:color w:val="000000"/>
          <w:szCs w:val="20"/>
        </w:rPr>
        <w:t xml:space="preserve"> č. 4:</w:t>
      </w:r>
      <w:r w:rsidRPr="00793362">
        <w:rPr>
          <w:rFonts w:cs="Arial"/>
          <w:b/>
          <w:bCs/>
          <w:color w:val="000000"/>
          <w:szCs w:val="20"/>
        </w:rPr>
        <w:t xml:space="preserve"> Pracovní neschopnost pro nemoc a úraz </w:t>
      </w:r>
      <w:r>
        <w:rPr>
          <w:rFonts w:cs="Arial"/>
          <w:b/>
          <w:bCs/>
          <w:color w:val="000000"/>
          <w:szCs w:val="20"/>
        </w:rPr>
        <w:t xml:space="preserve">dle územního členění v </w:t>
      </w:r>
      <w:r w:rsidRPr="00793362">
        <w:rPr>
          <w:rFonts w:cs="Arial"/>
          <w:b/>
          <w:bCs/>
          <w:color w:val="000000"/>
          <w:szCs w:val="20"/>
        </w:rPr>
        <w:t>ČR v roce 201</w:t>
      </w:r>
      <w:r>
        <w:rPr>
          <w:rFonts w:cs="Arial"/>
          <w:b/>
          <w:bCs/>
          <w:color w:val="000000"/>
          <w:szCs w:val="20"/>
        </w:rPr>
        <w:t>6</w:t>
      </w:r>
      <w:r w:rsidRPr="00793362">
        <w:rPr>
          <w:rFonts w:cs="Arial"/>
          <w:b/>
          <w:bCs/>
          <w:color w:val="000000"/>
          <w:szCs w:val="20"/>
        </w:rPr>
        <w:t xml:space="preserve"> </w:t>
      </w:r>
    </w:p>
    <w:tbl>
      <w:tblPr>
        <w:tblStyle w:val="Mkatabulky"/>
        <w:tblW w:w="9638" w:type="dxa"/>
        <w:tblBorders>
          <w:left w:val="none" w:sz="0" w:space="0" w:color="auto"/>
          <w:bottom w:val="none" w:sz="0" w:space="0" w:color="auto"/>
          <w:right w:val="none" w:sz="0" w:space="0" w:color="auto"/>
          <w:insideH w:val="none" w:sz="0" w:space="0" w:color="auto"/>
        </w:tblBorders>
        <w:tblCellMar>
          <w:left w:w="28" w:type="dxa"/>
          <w:right w:w="85" w:type="dxa"/>
        </w:tblCellMar>
        <w:tblLook w:val="04A0"/>
      </w:tblPr>
      <w:tblGrid>
        <w:gridCol w:w="1814"/>
        <w:gridCol w:w="1304"/>
        <w:gridCol w:w="1304"/>
        <w:gridCol w:w="1304"/>
        <w:gridCol w:w="1304"/>
        <w:gridCol w:w="1304"/>
        <w:gridCol w:w="1304"/>
      </w:tblGrid>
      <w:tr w:rsidR="005578C1" w:rsidRPr="000B535E" w:rsidTr="0045780F">
        <w:tc>
          <w:tcPr>
            <w:tcW w:w="1814" w:type="dxa"/>
            <w:tcBorders>
              <w:top w:val="single" w:sz="4" w:space="0" w:color="auto"/>
              <w:bottom w:val="single" w:sz="4" w:space="0" w:color="auto"/>
            </w:tcBorders>
            <w:shd w:val="clear" w:color="auto" w:fill="F2DBDB" w:themeFill="accent2" w:themeFillTint="33"/>
            <w:vAlign w:val="center"/>
          </w:tcPr>
          <w:p w:rsidR="005578C1" w:rsidRPr="000B535E" w:rsidRDefault="005578C1" w:rsidP="0045780F">
            <w:pPr>
              <w:spacing w:before="40" w:after="40" w:line="240" w:lineRule="auto"/>
              <w:jc w:val="center"/>
              <w:rPr>
                <w:rFonts w:cs="Arial"/>
                <w:sz w:val="16"/>
                <w:szCs w:val="20"/>
              </w:rPr>
            </w:pPr>
            <w:r w:rsidRPr="000B535E">
              <w:rPr>
                <w:rFonts w:cs="Arial"/>
                <w:sz w:val="16"/>
                <w:szCs w:val="20"/>
              </w:rPr>
              <w:t>Území</w:t>
            </w:r>
          </w:p>
        </w:tc>
        <w:tc>
          <w:tcPr>
            <w:tcW w:w="1304" w:type="dxa"/>
            <w:tcBorders>
              <w:top w:val="single" w:sz="4" w:space="0" w:color="auto"/>
              <w:bottom w:val="single" w:sz="4" w:space="0" w:color="auto"/>
            </w:tcBorders>
            <w:shd w:val="clear" w:color="auto" w:fill="F2DBDB" w:themeFill="accent2" w:themeFillTint="33"/>
            <w:vAlign w:val="center"/>
          </w:tcPr>
          <w:p w:rsidR="005578C1" w:rsidRDefault="005578C1" w:rsidP="0045780F">
            <w:pPr>
              <w:spacing w:before="40" w:after="40" w:line="240" w:lineRule="auto"/>
              <w:jc w:val="center"/>
              <w:rPr>
                <w:rFonts w:cs="Arial"/>
                <w:sz w:val="16"/>
                <w:szCs w:val="20"/>
              </w:rPr>
            </w:pPr>
            <w:r w:rsidRPr="000B535E">
              <w:rPr>
                <w:rFonts w:cs="Arial"/>
                <w:sz w:val="16"/>
                <w:szCs w:val="20"/>
              </w:rPr>
              <w:t>Nově hlášené případy dočasné pracovní neschopnosti</w:t>
            </w:r>
            <w:r>
              <w:rPr>
                <w:rFonts w:cs="Arial"/>
                <w:sz w:val="16"/>
                <w:szCs w:val="20"/>
              </w:rPr>
              <w:t xml:space="preserve"> </w:t>
            </w:r>
          </w:p>
          <w:p w:rsidR="005578C1" w:rsidRPr="000B535E" w:rsidRDefault="005578C1" w:rsidP="0045780F">
            <w:pPr>
              <w:spacing w:before="40" w:after="40" w:line="240" w:lineRule="auto"/>
              <w:jc w:val="center"/>
              <w:rPr>
                <w:rFonts w:cs="Arial"/>
                <w:sz w:val="16"/>
                <w:szCs w:val="20"/>
              </w:rPr>
            </w:pPr>
            <w:r>
              <w:rPr>
                <w:rFonts w:cs="Arial"/>
                <w:sz w:val="16"/>
                <w:szCs w:val="20"/>
              </w:rPr>
              <w:t>(v tis.)</w:t>
            </w:r>
          </w:p>
        </w:tc>
        <w:tc>
          <w:tcPr>
            <w:tcW w:w="1304" w:type="dxa"/>
            <w:tcBorders>
              <w:top w:val="single" w:sz="4" w:space="0" w:color="auto"/>
              <w:bottom w:val="single" w:sz="4" w:space="0" w:color="auto"/>
            </w:tcBorders>
            <w:shd w:val="clear" w:color="auto" w:fill="F2DBDB" w:themeFill="accent2" w:themeFillTint="33"/>
            <w:vAlign w:val="center"/>
          </w:tcPr>
          <w:p w:rsidR="005578C1" w:rsidRDefault="005578C1" w:rsidP="0045780F">
            <w:pPr>
              <w:spacing w:before="40" w:after="40" w:line="240" w:lineRule="auto"/>
              <w:jc w:val="center"/>
              <w:rPr>
                <w:rFonts w:cs="Arial"/>
                <w:sz w:val="16"/>
                <w:szCs w:val="20"/>
              </w:rPr>
            </w:pPr>
            <w:r w:rsidRPr="000B535E">
              <w:rPr>
                <w:rFonts w:cs="Arial"/>
                <w:sz w:val="16"/>
                <w:szCs w:val="20"/>
              </w:rPr>
              <w:t>Kalendářní dny pracovní neschopnosti</w:t>
            </w:r>
          </w:p>
          <w:p w:rsidR="005578C1" w:rsidRPr="000B535E" w:rsidRDefault="005578C1" w:rsidP="0045780F">
            <w:pPr>
              <w:spacing w:before="40" w:after="40" w:line="240" w:lineRule="auto"/>
              <w:jc w:val="center"/>
              <w:rPr>
                <w:rFonts w:cs="Arial"/>
                <w:sz w:val="16"/>
                <w:szCs w:val="20"/>
              </w:rPr>
            </w:pPr>
            <w:r>
              <w:rPr>
                <w:rFonts w:cs="Arial"/>
                <w:sz w:val="16"/>
                <w:szCs w:val="20"/>
              </w:rPr>
              <w:t>(v tis.)</w:t>
            </w:r>
          </w:p>
        </w:tc>
        <w:tc>
          <w:tcPr>
            <w:tcW w:w="1304" w:type="dxa"/>
            <w:tcBorders>
              <w:top w:val="single" w:sz="4" w:space="0" w:color="auto"/>
              <w:bottom w:val="single" w:sz="4" w:space="0" w:color="auto"/>
            </w:tcBorders>
            <w:shd w:val="clear" w:color="auto" w:fill="F2DBDB" w:themeFill="accent2" w:themeFillTint="33"/>
            <w:vAlign w:val="center"/>
          </w:tcPr>
          <w:p w:rsidR="005578C1" w:rsidRPr="000B535E" w:rsidRDefault="005578C1" w:rsidP="0045780F">
            <w:pPr>
              <w:spacing w:before="40" w:after="40" w:line="240" w:lineRule="auto"/>
              <w:jc w:val="center"/>
              <w:rPr>
                <w:rFonts w:cs="Arial"/>
                <w:sz w:val="16"/>
                <w:szCs w:val="20"/>
              </w:rPr>
            </w:pPr>
            <w:r w:rsidRPr="000B535E">
              <w:rPr>
                <w:rFonts w:cs="Arial"/>
                <w:sz w:val="16"/>
                <w:szCs w:val="20"/>
              </w:rPr>
              <w:t>Nově hlášené případy pracovní neschopnosti na 100 pojištěnců</w:t>
            </w:r>
          </w:p>
        </w:tc>
        <w:tc>
          <w:tcPr>
            <w:tcW w:w="1304" w:type="dxa"/>
            <w:tcBorders>
              <w:top w:val="single" w:sz="4" w:space="0" w:color="auto"/>
              <w:bottom w:val="single" w:sz="4" w:space="0" w:color="auto"/>
            </w:tcBorders>
            <w:shd w:val="clear" w:color="auto" w:fill="F2DBDB" w:themeFill="accent2" w:themeFillTint="33"/>
            <w:vAlign w:val="center"/>
          </w:tcPr>
          <w:p w:rsidR="005578C1" w:rsidRPr="000B535E" w:rsidRDefault="005578C1" w:rsidP="0045780F">
            <w:pPr>
              <w:spacing w:before="40" w:after="40" w:line="240" w:lineRule="auto"/>
              <w:jc w:val="center"/>
              <w:rPr>
                <w:rFonts w:cs="Arial"/>
                <w:sz w:val="16"/>
                <w:szCs w:val="20"/>
              </w:rPr>
            </w:pPr>
            <w:r w:rsidRPr="000B535E">
              <w:rPr>
                <w:rFonts w:cs="Arial"/>
                <w:sz w:val="16"/>
                <w:szCs w:val="20"/>
              </w:rPr>
              <w:t>Průměrné procento dočasné pracovní neschopnosti</w:t>
            </w:r>
          </w:p>
        </w:tc>
        <w:tc>
          <w:tcPr>
            <w:tcW w:w="1304" w:type="dxa"/>
            <w:tcBorders>
              <w:top w:val="single" w:sz="4" w:space="0" w:color="auto"/>
              <w:bottom w:val="single" w:sz="4" w:space="0" w:color="auto"/>
            </w:tcBorders>
            <w:shd w:val="clear" w:color="auto" w:fill="F2DBDB" w:themeFill="accent2" w:themeFillTint="33"/>
            <w:vAlign w:val="center"/>
          </w:tcPr>
          <w:p w:rsidR="005578C1" w:rsidRPr="000B535E" w:rsidRDefault="005578C1" w:rsidP="0045780F">
            <w:pPr>
              <w:spacing w:before="40" w:after="40" w:line="240" w:lineRule="auto"/>
              <w:jc w:val="center"/>
              <w:rPr>
                <w:rFonts w:cs="Arial"/>
                <w:sz w:val="16"/>
                <w:szCs w:val="20"/>
              </w:rPr>
            </w:pPr>
            <w:r w:rsidRPr="000B535E">
              <w:rPr>
                <w:rFonts w:cs="Arial"/>
                <w:sz w:val="16"/>
                <w:szCs w:val="20"/>
              </w:rPr>
              <w:t>Průměrná délka trvání 1 případu dočasné pracovní neschopnosti</w:t>
            </w:r>
          </w:p>
        </w:tc>
        <w:tc>
          <w:tcPr>
            <w:tcW w:w="1304" w:type="dxa"/>
            <w:tcBorders>
              <w:top w:val="single" w:sz="4" w:space="0" w:color="auto"/>
              <w:bottom w:val="single" w:sz="4" w:space="0" w:color="auto"/>
            </w:tcBorders>
            <w:shd w:val="clear" w:color="auto" w:fill="F2DBDB" w:themeFill="accent2" w:themeFillTint="33"/>
            <w:vAlign w:val="center"/>
          </w:tcPr>
          <w:p w:rsidR="005578C1" w:rsidRDefault="005578C1" w:rsidP="0045780F">
            <w:pPr>
              <w:spacing w:before="40" w:after="40" w:line="240" w:lineRule="auto"/>
              <w:jc w:val="center"/>
              <w:rPr>
                <w:rFonts w:cs="Arial"/>
                <w:sz w:val="16"/>
                <w:szCs w:val="20"/>
              </w:rPr>
            </w:pPr>
            <w:r w:rsidRPr="000B535E">
              <w:rPr>
                <w:rFonts w:cs="Arial"/>
                <w:sz w:val="16"/>
                <w:szCs w:val="20"/>
              </w:rPr>
              <w:t>Průměrný denní stav dočasné pracovní neschopnosti</w:t>
            </w:r>
            <w:r>
              <w:rPr>
                <w:rFonts w:cs="Arial"/>
                <w:sz w:val="16"/>
                <w:szCs w:val="20"/>
              </w:rPr>
              <w:t xml:space="preserve"> </w:t>
            </w:r>
          </w:p>
          <w:p w:rsidR="005578C1" w:rsidRPr="000B535E" w:rsidRDefault="005578C1" w:rsidP="0045780F">
            <w:pPr>
              <w:spacing w:before="40" w:after="40" w:line="240" w:lineRule="auto"/>
              <w:jc w:val="center"/>
              <w:rPr>
                <w:rFonts w:cs="Arial"/>
                <w:sz w:val="16"/>
                <w:szCs w:val="20"/>
              </w:rPr>
            </w:pPr>
            <w:r>
              <w:rPr>
                <w:rFonts w:cs="Arial"/>
                <w:sz w:val="16"/>
                <w:szCs w:val="20"/>
              </w:rPr>
              <w:t>(v tis.)</w:t>
            </w:r>
          </w:p>
        </w:tc>
      </w:tr>
      <w:tr w:rsidR="005578C1" w:rsidRPr="000B535E" w:rsidTr="0045780F">
        <w:tc>
          <w:tcPr>
            <w:tcW w:w="1814" w:type="dxa"/>
            <w:tcBorders>
              <w:top w:val="single" w:sz="4" w:space="0" w:color="auto"/>
            </w:tcBorders>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Hl. m. Praha</w:t>
            </w:r>
          </w:p>
        </w:tc>
        <w:tc>
          <w:tcPr>
            <w:tcW w:w="1304" w:type="dxa"/>
            <w:tcBorders>
              <w:top w:val="single" w:sz="4" w:space="0" w:color="auto"/>
            </w:tcBorders>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368,0</w:t>
            </w:r>
          </w:p>
        </w:tc>
        <w:tc>
          <w:tcPr>
            <w:tcW w:w="1304" w:type="dxa"/>
            <w:tcBorders>
              <w:top w:val="single" w:sz="4" w:space="0" w:color="auto"/>
            </w:tcBorders>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13 856,4</w:t>
            </w:r>
          </w:p>
        </w:tc>
        <w:tc>
          <w:tcPr>
            <w:tcW w:w="1304" w:type="dxa"/>
            <w:tcBorders>
              <w:top w:val="single" w:sz="4" w:space="0" w:color="auto"/>
            </w:tcBorders>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30,1</w:t>
            </w:r>
          </w:p>
        </w:tc>
        <w:tc>
          <w:tcPr>
            <w:tcW w:w="1304" w:type="dxa"/>
            <w:tcBorders>
              <w:top w:val="single" w:sz="4" w:space="0" w:color="auto"/>
            </w:tcBorders>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3,1</w:t>
            </w:r>
          </w:p>
        </w:tc>
        <w:tc>
          <w:tcPr>
            <w:tcW w:w="1304" w:type="dxa"/>
            <w:tcBorders>
              <w:top w:val="single" w:sz="4" w:space="0" w:color="auto"/>
            </w:tcBorders>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37,7</w:t>
            </w:r>
          </w:p>
        </w:tc>
        <w:tc>
          <w:tcPr>
            <w:tcW w:w="1304" w:type="dxa"/>
            <w:tcBorders>
              <w:top w:val="single" w:sz="4" w:space="0" w:color="auto"/>
            </w:tcBorders>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37,9</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Středočeský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163,0</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6 617,6</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38,0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40,6</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15,1</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Jihočeský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91,4</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4 158,3</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40,4</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5,0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45,5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11,4</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Plzeňský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94,6</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3 804,3</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42,8</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4,7</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40,2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10,4</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Karlovarský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35,4</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1 413,7</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40,8</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40,0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3,9</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Ústecký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107,0</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4 602,8</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38,2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43,0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12,6</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Liberecký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64,7</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2 577,4</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43,1</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4,7</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39,8</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7,0</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Královéhradecký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73,7</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2 992,0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38,5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4,3</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40,6</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8,2</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Pardubický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73,0</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3 198,2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37,3</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43,8</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8,7</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Kraj Vysočina</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67,3</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3 042,7</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38,3</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4,7</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45,2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8,3</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Jihomoravský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165,1</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7 418,9</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34,2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4,2</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44,1</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20,3</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Olomoucký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78,5</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3 815,3</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34,0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48,6</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10,4</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Zlínský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78,5</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4 087,5</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36,0</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5,1</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52,1</w:t>
            </w:r>
          </w:p>
        </w:tc>
        <w:tc>
          <w:tcPr>
            <w:tcW w:w="1304" w:type="dxa"/>
            <w:vAlign w:val="center"/>
          </w:tcPr>
          <w:p w:rsidR="005578C1" w:rsidRDefault="005578C1" w:rsidP="0045780F">
            <w:pPr>
              <w:spacing w:beforeLines="20" w:afterLines="20" w:line="240" w:lineRule="auto"/>
              <w:jc w:val="right"/>
              <w:rPr>
                <w:rFonts w:cs="Arial"/>
                <w:b/>
                <w:bCs/>
                <w:iCs/>
                <w:color w:val="BC091B"/>
                <w:sz w:val="16"/>
                <w:szCs w:val="20"/>
              </w:rPr>
            </w:pPr>
            <w:r>
              <w:rPr>
                <w:rFonts w:cs="Arial"/>
                <w:sz w:val="16"/>
                <w:szCs w:val="20"/>
              </w:rPr>
              <w:t>1,2</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Moravskoslezský kraj</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173,3</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8 667,1</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37,5</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5,1</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50,0</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23,7</w:t>
            </w:r>
          </w:p>
        </w:tc>
      </w:tr>
      <w:tr w:rsidR="005578C1" w:rsidRPr="000B535E" w:rsidTr="0045780F">
        <w:tc>
          <w:tcPr>
            <w:tcW w:w="1814" w:type="dxa"/>
          </w:tcPr>
          <w:p w:rsidR="005578C1" w:rsidRPr="000B535E" w:rsidRDefault="005578C1" w:rsidP="0045780F">
            <w:pPr>
              <w:spacing w:beforeLines="20" w:afterLines="20" w:line="240" w:lineRule="auto"/>
              <w:jc w:val="both"/>
              <w:rPr>
                <w:rFonts w:cs="Arial"/>
                <w:sz w:val="16"/>
                <w:szCs w:val="20"/>
              </w:rPr>
            </w:pPr>
            <w:r w:rsidRPr="000B535E">
              <w:rPr>
                <w:rFonts w:cs="Arial"/>
                <w:sz w:val="16"/>
                <w:szCs w:val="20"/>
              </w:rPr>
              <w:t>ČR celkem</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1 633,4</w:t>
            </w:r>
          </w:p>
        </w:tc>
        <w:tc>
          <w:tcPr>
            <w:tcW w:w="1304" w:type="dxa"/>
            <w:vAlign w:val="center"/>
          </w:tcPr>
          <w:p w:rsidR="005578C1" w:rsidRPr="000B535E" w:rsidRDefault="005578C1" w:rsidP="0045780F">
            <w:pPr>
              <w:spacing w:beforeLines="20" w:afterLines="20" w:line="240" w:lineRule="auto"/>
              <w:jc w:val="right"/>
              <w:rPr>
                <w:rFonts w:cs="Arial"/>
                <w:sz w:val="16"/>
                <w:szCs w:val="20"/>
              </w:rPr>
            </w:pPr>
            <w:r>
              <w:rPr>
                <w:rFonts w:cs="Arial"/>
                <w:sz w:val="16"/>
                <w:szCs w:val="20"/>
              </w:rPr>
              <w:t>70 252,0</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35,7</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4,2</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43,0</w:t>
            </w:r>
          </w:p>
        </w:tc>
        <w:tc>
          <w:tcPr>
            <w:tcW w:w="1304" w:type="dxa"/>
            <w:vAlign w:val="center"/>
          </w:tcPr>
          <w:p w:rsidR="005578C1" w:rsidRDefault="005578C1" w:rsidP="0045780F">
            <w:pPr>
              <w:spacing w:beforeLines="20" w:afterLines="20" w:line="240" w:lineRule="auto"/>
              <w:jc w:val="right"/>
              <w:rPr>
                <w:rFonts w:cs="Arial"/>
                <w:sz w:val="16"/>
                <w:szCs w:val="20"/>
              </w:rPr>
            </w:pPr>
            <w:r>
              <w:rPr>
                <w:rFonts w:cs="Arial"/>
                <w:sz w:val="16"/>
                <w:szCs w:val="20"/>
              </w:rPr>
              <w:t>191,9</w:t>
            </w:r>
          </w:p>
        </w:tc>
      </w:tr>
    </w:tbl>
    <w:p w:rsidR="005578C1" w:rsidRPr="00DA5EBB" w:rsidRDefault="005578C1" w:rsidP="005578C1">
      <w:pPr>
        <w:spacing w:before="240"/>
        <w:ind w:firstLine="709"/>
        <w:jc w:val="both"/>
        <w:rPr>
          <w:rFonts w:cs="Arial"/>
          <w:b/>
        </w:rPr>
      </w:pPr>
      <w:r w:rsidRPr="00C55B6D">
        <w:rPr>
          <w:rFonts w:cs="Arial"/>
        </w:rPr>
        <w:t>Z pohledu územního členění, bylo nejvíce případů pracovní neschopnosti na 100 pojištěnců v roce 2015 hlášeno v Libereckém kraji (43,1), Plzeňském kraji (42,8), Karlovarském kraji (40,8) a Jihočeském kraji (40,4). Nejméně pak v Hlavním městě Praze (30,1), Olomouckém kraji (34,0) a Jihomoravském kraji (34,2). V roce 2016 byl rozdíl mezi kraji s nejvyšším a nejnižším počtem pracovní neschopnosti na 100 pojištěnců 13,0 případů. 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Pr>
          <w:rFonts w:cs="Arial"/>
          <w:b/>
        </w:rPr>
        <w:t xml:space="preserve">. </w:t>
      </w:r>
      <w:r w:rsidRPr="00A356D5">
        <w:rPr>
          <w:rFonts w:cs="Arial"/>
        </w:rPr>
        <w:t>Je nutno zohlednit též metodiku zpracování dat, kdy</w:t>
      </w:r>
      <w:r>
        <w:rPr>
          <w:rFonts w:cs="Arial"/>
        </w:rPr>
        <w:t> </w:t>
      </w:r>
      <w:r w:rsidRPr="00A356D5">
        <w:rPr>
          <w:rFonts w:cs="Arial"/>
        </w:rPr>
        <w:t>r</w:t>
      </w:r>
      <w:r w:rsidRPr="00A356D5">
        <w:rPr>
          <w:rFonts w:cs="Arial"/>
          <w:szCs w:val="20"/>
        </w:rPr>
        <w:t>ozlišení</w:t>
      </w:r>
      <w:r>
        <w:rPr>
          <w:rFonts w:cs="Arial"/>
          <w:szCs w:val="20"/>
        </w:rPr>
        <w:t xml:space="preserve"> dle krajů a okresů vychází z údaje o sídle útvaru, který vede evidenci mezd u zaměstnavatele osoby, která je v pracovní neschopnosti.</w:t>
      </w:r>
    </w:p>
    <w:p w:rsidR="005578C1" w:rsidRDefault="005578C1" w:rsidP="005578C1">
      <w:pPr>
        <w:pStyle w:val="Nadpis2"/>
        <w:spacing w:after="240"/>
      </w:pPr>
      <w:bookmarkStart w:id="58" w:name="_Toc483838342"/>
      <w:bookmarkStart w:id="59" w:name="_Toc483901830"/>
      <w:bookmarkEnd w:id="55"/>
      <w:r>
        <w:t>3.3 Počet kalendářních dnů a průměrná délka trvání 1 případu dočasné pracovní neschopnosti</w:t>
      </w:r>
      <w:bookmarkEnd w:id="58"/>
      <w:bookmarkEnd w:id="59"/>
    </w:p>
    <w:p w:rsidR="005578C1" w:rsidRPr="00C55B6D" w:rsidRDefault="005578C1" w:rsidP="005578C1">
      <w:pPr>
        <w:ind w:firstLine="567"/>
        <w:jc w:val="both"/>
      </w:pPr>
      <w:r>
        <w:rPr>
          <w:b/>
        </w:rPr>
        <w:t xml:space="preserve">Počet kalendářních dnů dočasné pracovní neschopnosti </w:t>
      </w:r>
      <w:r w:rsidRPr="00A977AC">
        <w:t>je dán součtem dnů, po kterých trvala dočasná pracovní neschopnost všech hlášených případů. Tento ukazatel</w:t>
      </w:r>
      <w:r>
        <w:rPr>
          <w:b/>
        </w:rPr>
        <w:t xml:space="preserve"> </w:t>
      </w:r>
      <w:r>
        <w:t>meziročně vrostl z 66 817 tis.</w:t>
      </w:r>
      <w:r>
        <w:rPr>
          <w:sz w:val="16"/>
          <w:szCs w:val="16"/>
        </w:rPr>
        <w:t xml:space="preserve"> </w:t>
      </w:r>
      <w:r>
        <w:t xml:space="preserve">prostonaných dnů v roce 2015, na 70 252 tis. </w:t>
      </w:r>
      <w:r w:rsidRPr="00C55B6D">
        <w:t xml:space="preserve">dnů v roce 2016 (tj. o 5,1 %). Struktura počtu dnů pracovní neschopnosti dle jednotlivých příčin je následující: 60 094 tis. (tj. 85,5 %) dnů pro nemoc, 2 575 tis. dnů (tj. 3,7 %) pro pracovní úraz a 7 583 tis. prostonaných dnů (tj. 10,8 %) pro ostatní úrazy. Ženy byly v dočasné pracovní neschopnosti celkem 38 378 tis. dnů, o 6 503 tis. dnů (tj. o 17 %) více než muži, u kterých tento ukazatel činí 31 874 tis. dnů. </w:t>
      </w:r>
    </w:p>
    <w:p w:rsidR="005578C1" w:rsidRPr="003E6827" w:rsidRDefault="005578C1" w:rsidP="005578C1">
      <w:pPr>
        <w:ind w:firstLine="708"/>
        <w:jc w:val="both"/>
        <w:rPr>
          <w:rFonts w:cs="Arial"/>
          <w:lang w:val="en-US"/>
        </w:rPr>
      </w:pPr>
      <w:r>
        <w:rPr>
          <w:rFonts w:cs="Arial"/>
        </w:rPr>
        <w:t xml:space="preserve">Za posledních pět let, tj. mezi roky 2011 a 2016, </w:t>
      </w:r>
      <w:r w:rsidRPr="0038792F">
        <w:rPr>
          <w:rFonts w:cs="Arial"/>
        </w:rPr>
        <w:t xml:space="preserve">počet </w:t>
      </w:r>
      <w:r>
        <w:rPr>
          <w:rFonts w:cs="Arial"/>
        </w:rPr>
        <w:t xml:space="preserve">prostonaných dnů z důvodů dočasné pracovní neschopnosti vzrostl o čtvrtinu (14,3 miliony dne), a to z 55,9 milionů dnů v roce 2011 na výše uvedených 70,3 milionů dnů v roce 2016. Pokud se však zaměříme na vývoj v posledních deseti letech, počet dnů pracovní neschopnosti byl v roce 2006 o 25,2 miliónů dnů vyšší než v roce 2016 </w:t>
      </w:r>
      <w:r w:rsidRPr="001841A8">
        <w:rPr>
          <w:rFonts w:cs="Arial"/>
        </w:rPr>
        <w:t>a v porovnání s výše zmíněným rokem 2011, kdy dosáhla počet prostonaných dnů v České republice nejnižší hodnoty, byl</w:t>
      </w:r>
      <w:r>
        <w:rPr>
          <w:rFonts w:cs="Arial"/>
        </w:rPr>
        <w:t> </w:t>
      </w:r>
      <w:r w:rsidRPr="001841A8">
        <w:rPr>
          <w:rFonts w:cs="Arial"/>
        </w:rPr>
        <w:t>vyšší dokonce o 39,5 milionu dnů.</w:t>
      </w:r>
    </w:p>
    <w:p w:rsidR="005578C1" w:rsidRPr="000C446B" w:rsidRDefault="005578C1" w:rsidP="005578C1">
      <w:pPr>
        <w:ind w:firstLine="708"/>
        <w:jc w:val="both"/>
      </w:pPr>
      <w:r w:rsidRPr="00C55B6D">
        <w:t xml:space="preserve">Nejvíce dnů dočasné pracovní neschopnosti z celorepublikového počtu bylo v odvětví Zpracovatelský průmysl (24 171 tis.), a to jak celkem, tak v jednotlivých kategoriích – pro nemoc (20 333 tis.), pro pracovní úrazy (1 025 tis.) a pro ostatní úrazy (2 813 tis.). Naopak nejmenší počet dnů </w:t>
      </w:r>
      <w:r w:rsidRPr="00C55B6D">
        <w:lastRenderedPageBreak/>
        <w:t>pracovní neschopnosti byl hlášen v oblasti Výroby, rozvodu elektřiny a jiných energií (319 tis</w:t>
      </w:r>
      <w:r>
        <w:t>.), kde bylo evidováno i nejméně dnů pracovní neschopnosti pro nemoc (265 tis.), pro pracovní úrazy (9 tis.) a pro ostatní úrazy (43 tis.).</w:t>
      </w:r>
    </w:p>
    <w:p w:rsidR="005578C1" w:rsidRDefault="005578C1" w:rsidP="005578C1">
      <w:pPr>
        <w:pStyle w:val="Zkladntextodsazen"/>
        <w:spacing w:line="288" w:lineRule="auto"/>
        <w:ind w:left="0"/>
        <w:jc w:val="both"/>
        <w:rPr>
          <w:b/>
          <w:color w:val="000000"/>
        </w:rPr>
      </w:pPr>
      <w:r>
        <w:rPr>
          <w:b/>
          <w:color w:val="000000"/>
        </w:rPr>
        <w:t>Graf č. 7: Počet kalendářních dnů dočasné pracovní neschopnosti na 1 nově hlášený případ pro nemoc a úraz v ČR v období 2006 – 2016</w:t>
      </w:r>
    </w:p>
    <w:p w:rsidR="005578C1" w:rsidRDefault="005578C1" w:rsidP="005578C1">
      <w:pPr>
        <w:pStyle w:val="Zkladntextodsazen"/>
        <w:spacing w:line="288" w:lineRule="auto"/>
        <w:ind w:left="0"/>
        <w:jc w:val="both"/>
        <w:rPr>
          <w:b/>
          <w:color w:val="000000"/>
        </w:rPr>
      </w:pPr>
      <w:r w:rsidRPr="00DB2DB1">
        <w:rPr>
          <w:b/>
          <w:noProof/>
          <w:color w:val="000000"/>
        </w:rPr>
        <w:drawing>
          <wp:inline distT="0" distB="0" distL="0" distR="0">
            <wp:extent cx="6315739" cy="2690037"/>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78C1" w:rsidRDefault="005578C1" w:rsidP="005578C1">
      <w:pPr>
        <w:spacing w:before="240"/>
        <w:ind w:firstLine="709"/>
        <w:jc w:val="both"/>
        <w:rPr>
          <w:b/>
          <w:color w:val="000000"/>
          <w:szCs w:val="20"/>
        </w:rPr>
      </w:pPr>
      <w:r>
        <w:rPr>
          <w:rFonts w:cs="Arial"/>
          <w:b/>
        </w:rPr>
        <w:t xml:space="preserve">Průměrná délka trvání 1 případu dočasné pracovní neschopnosti </w:t>
      </w:r>
      <w:r w:rsidRPr="00C55B6D">
        <w:rPr>
          <w:rFonts w:cs="Arial"/>
        </w:rPr>
        <w:t xml:space="preserve">je dána celkovým počtem </w:t>
      </w:r>
      <w:r>
        <w:rPr>
          <w:rFonts w:cs="Arial"/>
        </w:rPr>
        <w:t xml:space="preserve">nově </w:t>
      </w:r>
      <w:r w:rsidRPr="00C55B6D">
        <w:rPr>
          <w:rFonts w:cs="Arial"/>
        </w:rPr>
        <w:t xml:space="preserve">hlášených případů dočasné pracovní neschopnosti a u nich udávaným počtem kalendářních dnů trvání neschopnosti. Tento ukazatel se meziročně </w:t>
      </w:r>
      <w:r>
        <w:rPr>
          <w:rFonts w:cs="Arial"/>
        </w:rPr>
        <w:t xml:space="preserve">nepatrně </w:t>
      </w:r>
      <w:r w:rsidRPr="00C55B6D">
        <w:rPr>
          <w:rFonts w:cs="Arial"/>
        </w:rPr>
        <w:t>zvýšil ze 42,7 dne v roce 2015 na 43,0 dne v roce 2016</w:t>
      </w:r>
      <w:r w:rsidRPr="00C55B6D">
        <w:rPr>
          <w:bCs/>
        </w:rPr>
        <w:t>.</w:t>
      </w:r>
      <w:r w:rsidRPr="00C55B6D">
        <w:rPr>
          <w:rFonts w:cs="Arial"/>
        </w:rPr>
        <w:t xml:space="preserve"> Průměrná délka trvání 1 případu dočasné pracovní neschopnosti z důvodu nemoci trvala 41,7 dne, z důvodu pracovního úrazu 54,4 dne a z důvodu ostatních úrazů 52,3 dne. Průměrná délka trvání 1 případu pracovní neschopnosti žen se meziročně zvýšila ze 44,8 dne v roce 2015 na 45,2 dne v roce 2016, v případě mužů zůstala na obdobné hodnotě jako v loňském roce, resp. vzrostla ze 40,5 dne na 40,7 dne. V období let 2006 – 2016 se průměrná délka trvání 1 případu dočasné pracovní neschopnosti zvýšila z 35,3 dne na 43,0 dne, tj. o týden, resp. 7,7 dne</w:t>
      </w:r>
      <w:r>
        <w:rPr>
          <w:rFonts w:cs="Arial"/>
        </w:rPr>
        <w:t>, s tím, že nejvyšší hodnoty dosáhla v roce 2012 (46,1 dne)</w:t>
      </w:r>
      <w:r w:rsidRPr="00C55B6D">
        <w:rPr>
          <w:rFonts w:cs="Arial"/>
        </w:rPr>
        <w:t>.</w:t>
      </w:r>
    </w:p>
    <w:p w:rsidR="005578C1" w:rsidRDefault="005578C1" w:rsidP="005578C1">
      <w:pPr>
        <w:pStyle w:val="Zkladntextodsazen"/>
        <w:spacing w:line="288" w:lineRule="auto"/>
        <w:ind w:left="0"/>
        <w:jc w:val="both"/>
        <w:rPr>
          <w:rFonts w:cs="Arial"/>
        </w:rPr>
      </w:pPr>
      <w:r>
        <w:rPr>
          <w:b/>
          <w:color w:val="000000"/>
        </w:rPr>
        <w:t>Graf č. 8: Nově hlášené případy dočasné pracovní neschopnosti (DPN) na 100 pojištěnců a průměrná délka jejich trvání dle pohlaví v ČR v období 2006 – 2016</w:t>
      </w:r>
    </w:p>
    <w:p w:rsidR="005578C1" w:rsidRPr="004F60D9" w:rsidRDefault="005578C1" w:rsidP="005578C1">
      <w:pPr>
        <w:ind w:left="-426"/>
        <w:jc w:val="both"/>
        <w:rPr>
          <w:rFonts w:cs="Arial"/>
          <w:b/>
        </w:rPr>
      </w:pPr>
      <w:r w:rsidRPr="00591C3D">
        <w:rPr>
          <w:rFonts w:cs="Arial"/>
          <w:b/>
          <w:noProof/>
        </w:rPr>
        <w:drawing>
          <wp:inline distT="0" distB="0" distL="0" distR="0">
            <wp:extent cx="6669741" cy="3025589"/>
            <wp:effectExtent l="0" t="0" r="0" b="0"/>
            <wp:docPr id="1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78C1" w:rsidRPr="00C55B6D" w:rsidRDefault="005578C1" w:rsidP="005578C1">
      <w:pPr>
        <w:pStyle w:val="Zkladntextodsazen"/>
        <w:spacing w:line="288" w:lineRule="auto"/>
        <w:ind w:left="0" w:firstLine="708"/>
        <w:jc w:val="both"/>
        <w:rPr>
          <w:rFonts w:cs="Arial"/>
        </w:rPr>
      </w:pPr>
    </w:p>
    <w:p w:rsidR="005578C1" w:rsidRPr="00C55B6D" w:rsidRDefault="005578C1" w:rsidP="005578C1">
      <w:pPr>
        <w:pStyle w:val="Zkladntextodsazen"/>
        <w:spacing w:after="240" w:line="288" w:lineRule="auto"/>
        <w:ind w:left="0" w:firstLine="708"/>
        <w:jc w:val="both"/>
        <w:rPr>
          <w:rFonts w:cs="Arial"/>
        </w:rPr>
      </w:pPr>
      <w:r w:rsidRPr="00C55B6D">
        <w:rPr>
          <w:rFonts w:cs="Arial"/>
        </w:rPr>
        <w:t xml:space="preserve">Nejdelší průměrná doba trvání jednoho případu dočasné pracovní neschopnosti v roce 2016 byla zaznamenána ve Zlínském kraji (52,1 dne) a v Moravskoslezském kraji (50,0 dne), nejkratší zůstává v Praze (37,7 dne). Praha si zachovává s přehledem pozici kraje s nejkratší průměrnou délkou trvání pracovní neschopnosti. </w:t>
      </w:r>
    </w:p>
    <w:p w:rsidR="005578C1" w:rsidRPr="00C55B6D" w:rsidRDefault="005578C1" w:rsidP="005578C1">
      <w:pPr>
        <w:pStyle w:val="Zkladntextodsazen"/>
        <w:spacing w:after="240" w:line="288" w:lineRule="auto"/>
        <w:ind w:left="0" w:firstLine="708"/>
        <w:jc w:val="both"/>
        <w:rPr>
          <w:rFonts w:cs="Arial"/>
        </w:rPr>
      </w:pPr>
      <w:r w:rsidRPr="00C55B6D">
        <w:t>C</w:t>
      </w:r>
      <w:r w:rsidRPr="00C55B6D">
        <w:rPr>
          <w:rFonts w:cs="Arial"/>
        </w:rPr>
        <w:t>elorepubliková průměrná délka trvání 1 případu dočasné pracovní neschopnosti byla v roce 201</w:t>
      </w:r>
      <w:r>
        <w:rPr>
          <w:rFonts w:cs="Arial"/>
        </w:rPr>
        <w:t>6</w:t>
      </w:r>
      <w:r w:rsidRPr="00C55B6D">
        <w:rPr>
          <w:rFonts w:cs="Arial"/>
        </w:rPr>
        <w:t xml:space="preserve"> výrazně překročena v odvětví Zemědělství, lesnictví a rybářství (59 dní), Stavebnictví (54,6 dne), Ubytování, stravování a pohostinství (54,5 dne) a u činností v oblasti nemovitostí (52,5 dne). Nejkratší průměrné trvání 1</w:t>
      </w:r>
      <w:r>
        <w:rPr>
          <w:rFonts w:cs="Arial"/>
        </w:rPr>
        <w:t> </w:t>
      </w:r>
      <w:r w:rsidRPr="00C55B6D">
        <w:rPr>
          <w:rFonts w:cs="Arial"/>
        </w:rPr>
        <w:t xml:space="preserve">případu pracovní neschopnosti bylo v roce 2016 evidováno v odvětví Informačních a komunikačních činností (26 dní). Dalšími oblastmi ekonomických činností s relativně nízkou průměrnou délkou pracovní neschopnosti byly oblasti Peněžnictví a pojišťovnictví (32,4 dne) a Vzdělávání (33,3 dne). Podrobněji viz Tabulka č. 3 a Graf č. </w:t>
      </w:r>
      <w:r>
        <w:rPr>
          <w:rFonts w:cs="Arial"/>
        </w:rPr>
        <w:t>6</w:t>
      </w:r>
      <w:r w:rsidRPr="00C55B6D">
        <w:rPr>
          <w:rFonts w:cs="Arial"/>
        </w:rPr>
        <w:t xml:space="preserve">. </w:t>
      </w:r>
    </w:p>
    <w:p w:rsidR="005578C1" w:rsidRDefault="005578C1" w:rsidP="005578C1">
      <w:pPr>
        <w:pStyle w:val="Nadpis2"/>
        <w:spacing w:before="240" w:after="120"/>
      </w:pPr>
      <w:bookmarkStart w:id="60" w:name="_Toc483838343"/>
      <w:bookmarkStart w:id="61" w:name="_Toc483901831"/>
      <w:r>
        <w:t>3.4 Průměrné procento dočasné pracovní neschopnosti</w:t>
      </w:r>
      <w:bookmarkEnd w:id="60"/>
      <w:bookmarkEnd w:id="61"/>
    </w:p>
    <w:p w:rsidR="005578C1" w:rsidRDefault="005578C1" w:rsidP="005578C1">
      <w:pPr>
        <w:pStyle w:val="Zkladntextodsazen"/>
        <w:spacing w:after="240" w:line="288" w:lineRule="auto"/>
        <w:ind w:left="0"/>
        <w:jc w:val="both"/>
        <w:rPr>
          <w:rFonts w:cs="Arial"/>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p>
    <w:p w:rsidR="005578C1" w:rsidRDefault="005578C1" w:rsidP="005578C1">
      <w:pPr>
        <w:pStyle w:val="Zkladntextodsazen"/>
        <w:spacing w:after="240" w:line="288" w:lineRule="auto"/>
        <w:ind w:left="0" w:firstLine="709"/>
        <w:jc w:val="both"/>
      </w:pPr>
      <w:r>
        <w:rPr>
          <w:rFonts w:cs="Arial"/>
        </w:rPr>
        <w:t>Hodnota tohoto ukazatele</w:t>
      </w:r>
      <w:r>
        <w:rPr>
          <w:rFonts w:cs="Arial"/>
          <w:b/>
        </w:rPr>
        <w:t xml:space="preserve"> </w:t>
      </w:r>
      <w:r>
        <w:rPr>
          <w:rFonts w:cs="Arial"/>
        </w:rPr>
        <w:t>se na počátku devadesátých let pohybovala okolo 5 %, následně se do roku 2003 postupně zvyšovala, až dosáhla svého maxima 6,8 %. Od roku 2004 – v souvislosti s postupnými legislativními změnami zpřísňujícími čerpání nemocenských dávek, začaly hodnoty ukazatele postupně klesat téměř až na polovinu jeho výchozí úrovně (na 3,5% v roce 2012). Počínaje rokem 2013 nastala změna vycházející zřejmě ze skutečnosti, že soubor nemocensky pojištěných osob přivykl přísnějším legislativním podmínkám čerpání nemocenských dávek a výše uvedeného ukazatele začala opět stoupat. V </w:t>
      </w:r>
      <w:r w:rsidRPr="006745A1">
        <w:rPr>
          <w:rFonts w:cs="Arial"/>
        </w:rPr>
        <w:t>roce</w:t>
      </w:r>
      <w:r>
        <w:rPr>
          <w:rFonts w:cs="Arial"/>
        </w:rPr>
        <w:t xml:space="preserve"> 2015 překročila úroveň 4 % a v roce 2016 dosáhla </w:t>
      </w:r>
      <w:r w:rsidRPr="008320A9">
        <w:rPr>
          <w:rFonts w:cs="Arial"/>
        </w:rPr>
        <w:t>4,2 %</w:t>
      </w:r>
      <w:r>
        <w:rPr>
          <w:rFonts w:cs="Arial"/>
        </w:rPr>
        <w:t xml:space="preserve"> </w:t>
      </w:r>
      <w:r w:rsidRPr="00783F52">
        <w:rPr>
          <w:rFonts w:cs="Arial"/>
        </w:rPr>
        <w:t>(v případě mužů 3,8</w:t>
      </w:r>
      <w:r>
        <w:rPr>
          <w:rFonts w:cs="Arial"/>
        </w:rPr>
        <w:t> </w:t>
      </w:r>
      <w:r w:rsidRPr="00783F52">
        <w:rPr>
          <w:rFonts w:cs="Arial"/>
        </w:rPr>
        <w:t>% a žen 4,7 %</w:t>
      </w:r>
      <w:r w:rsidRPr="00783F52">
        <w:rPr>
          <w:rFonts w:cs="Arial"/>
          <w:szCs w:val="24"/>
        </w:rPr>
        <w:t>).</w:t>
      </w:r>
      <w:r>
        <w:rPr>
          <w:rFonts w:cs="Arial"/>
          <w:szCs w:val="24"/>
        </w:rPr>
        <w:t xml:space="preserve"> </w:t>
      </w:r>
    </w:p>
    <w:p w:rsidR="005578C1" w:rsidRPr="00C81290" w:rsidRDefault="005578C1" w:rsidP="005578C1">
      <w:pPr>
        <w:spacing w:after="0" w:line="240" w:lineRule="auto"/>
        <w:rPr>
          <w:rFonts w:cs="Arial"/>
          <w:b/>
          <w:lang w:val="en-US"/>
        </w:rPr>
      </w:pPr>
      <w:r>
        <w:rPr>
          <w:rFonts w:cs="Arial"/>
          <w:b/>
        </w:rPr>
        <w:t xml:space="preserve">Graf č. 9: Struktura průměrného procenta dočasné pracovní neschopnosti pro nemoc a úraz v ČR v období 2006 – 2016 (v </w:t>
      </w:r>
      <w:r>
        <w:rPr>
          <w:rFonts w:cs="Arial"/>
          <w:b/>
          <w:lang w:val="en-US"/>
        </w:rPr>
        <w:t>%)</w:t>
      </w:r>
    </w:p>
    <w:p w:rsidR="005578C1" w:rsidRDefault="005578C1" w:rsidP="005578C1">
      <w:pPr>
        <w:jc w:val="both"/>
      </w:pPr>
      <w:r w:rsidRPr="00F81BA4">
        <w:rPr>
          <w:noProof/>
        </w:rPr>
        <w:drawing>
          <wp:inline distT="0" distB="0" distL="0" distR="0">
            <wp:extent cx="5972175" cy="3398520"/>
            <wp:effectExtent l="0" t="0" r="0" b="0"/>
            <wp:docPr id="3"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78C1" w:rsidRPr="00C55B6D" w:rsidRDefault="005578C1" w:rsidP="005578C1">
      <w:pPr>
        <w:jc w:val="both"/>
        <w:rPr>
          <w:rFonts w:cs="Arial"/>
        </w:rPr>
      </w:pPr>
      <w:r w:rsidRPr="00C55B6D">
        <w:rPr>
          <w:rFonts w:cs="Arial"/>
        </w:rPr>
        <w:lastRenderedPageBreak/>
        <w:t>Nejvyšší hodnoty průměrného procenta pracovní neschopnosti byly v roce 2016 sledovány ve Zlínském (5,1), Moravskoslezském (5,1) a Jihočeském kraji (5,0), dále se stejnou hodnotou (4,7) na Vysočině, v Plzeňském a Libereckém kraji. V Praze byla v roce 2016 díky relativně nízkému počtu případů pracovní neschopnosti na 100 pojištěnců a krátké průměrné době trvání pracovní dočasné neschopnosti nejnižší hodnota průměrného procenta pracovní neschopnosti (3,1). Poměrně nízké hodnoty průměrného procenta pracovní neschopnosti v roce 2016 byly evidovány také ve Středočeském kraji, Jihomoravském kraji a Královéhradecké kraji se stejnou hodnotou 4,2, resp. 4,3 %. Podrobněji viz Tabulka č. 4.</w:t>
      </w:r>
    </w:p>
    <w:p w:rsidR="005578C1" w:rsidRPr="00C55B6D" w:rsidRDefault="005578C1" w:rsidP="005578C1">
      <w:pPr>
        <w:jc w:val="both"/>
        <w:rPr>
          <w:rFonts w:cs="Arial"/>
          <w:szCs w:val="20"/>
        </w:rPr>
      </w:pPr>
      <w:r w:rsidRPr="00C55B6D">
        <w:rPr>
          <w:rFonts w:cs="Arial"/>
        </w:rPr>
        <w:t xml:space="preserve">Nejvyšší průměrné procento dočasné pracovní neschopnosti dle odvětví ekonomické činnosti v roce 2016 bylo </w:t>
      </w:r>
      <w:r w:rsidRPr="00C55B6D">
        <w:rPr>
          <w:rFonts w:cs="Arial"/>
          <w:szCs w:val="20"/>
        </w:rPr>
        <w:t>v odvětví</w:t>
      </w:r>
      <w:r w:rsidRPr="00C55B6D">
        <w:rPr>
          <w:rFonts w:cs="Arial"/>
        </w:rPr>
        <w:t xml:space="preserve"> Těžba a dobývání (5,8), Zpracovatelském průmyslu (5,5) a v odvětví Administrativní a podpůrné činnosti (5,2). Nejnižší průměrné procento pracovní neschopnosti v roce 2016 podle odvětví ekonomických činností bylo v oblasti </w:t>
      </w:r>
      <w:r w:rsidRPr="00C55B6D">
        <w:rPr>
          <w:rFonts w:cs="Arial"/>
          <w:szCs w:val="20"/>
        </w:rPr>
        <w:t xml:space="preserve">Informačních a komunikačních činností (1,7) a Profesních, vědeckých a technických činnostech (2,3). Podrobněji viz Graf č. </w:t>
      </w:r>
      <w:r>
        <w:rPr>
          <w:rFonts w:cs="Arial"/>
          <w:szCs w:val="20"/>
        </w:rPr>
        <w:t>10</w:t>
      </w:r>
      <w:r w:rsidRPr="00C55B6D">
        <w:rPr>
          <w:rFonts w:cs="Arial"/>
          <w:szCs w:val="20"/>
        </w:rPr>
        <w:t xml:space="preserve"> a Tabulka č. 3.</w:t>
      </w:r>
    </w:p>
    <w:p w:rsidR="005578C1" w:rsidRPr="00C81290" w:rsidRDefault="005578C1" w:rsidP="005578C1">
      <w:pPr>
        <w:spacing w:after="0" w:line="240" w:lineRule="auto"/>
        <w:jc w:val="both"/>
        <w:rPr>
          <w:rFonts w:cs="Arial"/>
          <w:b/>
          <w:spacing w:val="-6"/>
          <w:szCs w:val="20"/>
        </w:rPr>
      </w:pPr>
      <w:r w:rsidRPr="00C81290">
        <w:rPr>
          <w:rFonts w:cs="Arial"/>
          <w:b/>
          <w:spacing w:val="-6"/>
          <w:szCs w:val="20"/>
        </w:rPr>
        <w:t>Graf č.</w:t>
      </w:r>
      <w:r>
        <w:rPr>
          <w:rFonts w:cs="Arial"/>
          <w:b/>
          <w:spacing w:val="-6"/>
          <w:szCs w:val="20"/>
        </w:rPr>
        <w:t xml:space="preserve"> 10</w:t>
      </w:r>
      <w:r w:rsidRPr="00C81290">
        <w:rPr>
          <w:rFonts w:cs="Arial"/>
          <w:b/>
          <w:spacing w:val="-6"/>
          <w:szCs w:val="20"/>
        </w:rPr>
        <w:t xml:space="preserve">: Průměrné procento dočasné pracovní neschopnosti v ČR v roce 2016 dle odvětví </w:t>
      </w:r>
      <w:r>
        <w:rPr>
          <w:rFonts w:cs="Arial"/>
          <w:b/>
          <w:spacing w:val="-6"/>
          <w:szCs w:val="20"/>
        </w:rPr>
        <w:t>ekonomické činnosti</w:t>
      </w:r>
      <w:r w:rsidRPr="00C81290">
        <w:rPr>
          <w:rFonts w:cs="Arial"/>
          <w:b/>
          <w:spacing w:val="-6"/>
          <w:szCs w:val="20"/>
        </w:rPr>
        <w:t xml:space="preserve"> </w:t>
      </w:r>
      <w:r w:rsidRPr="00C81290">
        <w:rPr>
          <w:rFonts w:cs="Arial"/>
          <w:b/>
          <w:spacing w:val="-6"/>
        </w:rPr>
        <w:t xml:space="preserve">(v </w:t>
      </w:r>
      <w:r w:rsidRPr="00C81290">
        <w:rPr>
          <w:rFonts w:cs="Arial"/>
          <w:b/>
          <w:spacing w:val="-6"/>
          <w:lang w:val="en-US"/>
        </w:rPr>
        <w:t>%)</w:t>
      </w:r>
    </w:p>
    <w:p w:rsidR="005578C1" w:rsidRDefault="005578C1" w:rsidP="005578C1">
      <w:pPr>
        <w:ind w:left="-426"/>
        <w:jc w:val="both"/>
        <w:rPr>
          <w:rFonts w:cs="Arial"/>
          <w:szCs w:val="20"/>
        </w:rPr>
      </w:pPr>
      <w:r w:rsidRPr="00985F96">
        <w:rPr>
          <w:rFonts w:cs="Arial"/>
          <w:noProof/>
          <w:szCs w:val="20"/>
        </w:rPr>
        <w:drawing>
          <wp:inline distT="0" distB="0" distL="0" distR="0">
            <wp:extent cx="6581775" cy="474726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78C1" w:rsidRDefault="005578C1" w:rsidP="005578C1">
      <w:pPr>
        <w:pStyle w:val="Nadpis2"/>
        <w:spacing w:before="600" w:after="120"/>
      </w:pPr>
      <w:bookmarkStart w:id="62" w:name="_Toc483838344"/>
      <w:bookmarkStart w:id="63" w:name="_Toc483901832"/>
      <w:r>
        <w:t>3.5 Průměrný denní stav dočasně práce neschopných</w:t>
      </w:r>
      <w:bookmarkEnd w:id="62"/>
      <w:bookmarkEnd w:id="63"/>
      <w:r>
        <w:t xml:space="preserve"> </w:t>
      </w:r>
    </w:p>
    <w:p w:rsidR="005578C1" w:rsidRDefault="005578C1" w:rsidP="005578C1">
      <w:pPr>
        <w:pStyle w:val="Zkladntextodsazen"/>
        <w:spacing w:after="60" w:line="288" w:lineRule="auto"/>
        <w:ind w:left="0" w:firstLine="708"/>
        <w:jc w:val="both"/>
        <w:rPr>
          <w:rFonts w:cs="Arial"/>
        </w:rPr>
      </w:pPr>
      <w:r w:rsidRPr="006850EA">
        <w:rPr>
          <w:rFonts w:cs="Arial"/>
        </w:rPr>
        <w:t>Ukazatel</w:t>
      </w:r>
      <w:r>
        <w:rPr>
          <w:rFonts w:cs="Arial"/>
          <w:b/>
        </w:rPr>
        <w:t xml:space="preserve"> průměrný denní stav práce dočasně neschopných </w:t>
      </w:r>
      <w:r w:rsidRPr="006850EA">
        <w:rPr>
          <w:rFonts w:cs="Arial"/>
        </w:rPr>
        <w:t>představuje počet nemocensky pojištěných</w:t>
      </w:r>
      <w:r>
        <w:rPr>
          <w:rFonts w:cs="Arial"/>
        </w:rPr>
        <w:t xml:space="preserve">, kteří byli ve sledovaném období (roce) průměrně denně nepřítomni v práci z důvodů pracovní neschopnosti pro pracovní úraz. </w:t>
      </w:r>
    </w:p>
    <w:p w:rsidR="005578C1" w:rsidRDefault="005578C1" w:rsidP="005578C1">
      <w:pPr>
        <w:ind w:firstLine="708"/>
        <w:jc w:val="both"/>
        <w:rPr>
          <w:rFonts w:cs="Arial"/>
        </w:rPr>
      </w:pPr>
      <w:bookmarkStart w:id="64" w:name="_GoBack"/>
      <w:r>
        <w:rPr>
          <w:rFonts w:cs="Arial"/>
        </w:rPr>
        <w:t xml:space="preserve">V roce 2016 v České republice v důsledku dočasné pracovní neschopnosti pro nemoc a úraz </w:t>
      </w:r>
      <w:r w:rsidRPr="006850EA">
        <w:rPr>
          <w:rFonts w:cs="Arial"/>
        </w:rPr>
        <w:t xml:space="preserve">denně chybělo na svých pracovištích 192 tis. pojištěnců, což </w:t>
      </w:r>
      <w:r>
        <w:rPr>
          <w:rFonts w:cs="Arial"/>
        </w:rPr>
        <w:t>bylo</w:t>
      </w:r>
      <w:r w:rsidRPr="006850EA">
        <w:rPr>
          <w:rFonts w:cs="Arial"/>
        </w:rPr>
        <w:t xml:space="preserve"> ve srovnání se stejným obdobím v loňském roce </w:t>
      </w:r>
      <w:r w:rsidRPr="006850EA">
        <w:rPr>
          <w:rFonts w:cs="Arial"/>
        </w:rPr>
        <w:lastRenderedPageBreak/>
        <w:t xml:space="preserve">(183,1 tis. pojištěnců) o 8,9 tis. (tj. o 4,9 </w:t>
      </w:r>
      <w:r w:rsidRPr="006850EA">
        <w:rPr>
          <w:rFonts w:cs="Arial"/>
          <w:lang w:val="en-US"/>
        </w:rPr>
        <w:t>%</w:t>
      </w:r>
      <w:r w:rsidRPr="006850EA">
        <w:rPr>
          <w:rFonts w:cs="Arial"/>
        </w:rPr>
        <w:t xml:space="preserve">) pojištěnců více. </w:t>
      </w:r>
      <w:bookmarkEnd w:id="64"/>
      <w:r w:rsidRPr="006850EA">
        <w:rPr>
          <w:rFonts w:cs="Arial"/>
        </w:rPr>
        <w:t>Z celkového počtu chybělo na pracovištích 164,1</w:t>
      </w:r>
      <w:r>
        <w:rPr>
          <w:rFonts w:cs="Arial"/>
        </w:rPr>
        <w:t> </w:t>
      </w:r>
      <w:r w:rsidRPr="006850EA">
        <w:rPr>
          <w:rFonts w:cs="Arial"/>
        </w:rPr>
        <w:t>tis. pojištěnců pro nemoc, 7 tis. pojištěnců pro pracovní úraz a 20,7 tis. pojištěnců pro ostatní úraz. Nejvíce pojištěnců z celorepublikového počtu chybělo v absolutních počtech v odvětví Zpracovatelského</w:t>
      </w:r>
      <w:r>
        <w:rPr>
          <w:rFonts w:cs="Arial"/>
        </w:rPr>
        <w:t xml:space="preserve"> průmyslu (66 tis.), naopak nejméně pojištěnců v oblasti Výroby, rozvodu elektřiny a jiných energií (0,8 tis.). </w:t>
      </w:r>
    </w:p>
    <w:p w:rsidR="005578C1" w:rsidRDefault="005578C1" w:rsidP="005578C1">
      <w:pPr>
        <w:spacing w:after="0" w:line="240" w:lineRule="auto"/>
        <w:rPr>
          <w:rFonts w:cs="Arial"/>
          <w:b/>
        </w:rPr>
      </w:pPr>
      <w:r w:rsidRPr="00D722D1">
        <w:rPr>
          <w:rFonts w:cs="Arial"/>
          <w:b/>
        </w:rPr>
        <w:t>Tab.</w:t>
      </w:r>
      <w:r>
        <w:rPr>
          <w:rFonts w:cs="Arial"/>
          <w:b/>
        </w:rPr>
        <w:t xml:space="preserve"> </w:t>
      </w:r>
      <w:proofErr w:type="gramStart"/>
      <w:r>
        <w:rPr>
          <w:rFonts w:cs="Arial"/>
          <w:b/>
        </w:rPr>
        <w:t>č.</w:t>
      </w:r>
      <w:proofErr w:type="gramEnd"/>
      <w:r>
        <w:rPr>
          <w:rFonts w:cs="Arial"/>
          <w:b/>
        </w:rPr>
        <w:t xml:space="preserve"> 5.</w:t>
      </w:r>
      <w:r w:rsidRPr="00D722D1">
        <w:rPr>
          <w:rFonts w:cs="Arial"/>
          <w:b/>
        </w:rPr>
        <w:t xml:space="preserve"> Pracovní neschopnost pro nemoc a úraz podle pohlaví v období 200</w:t>
      </w:r>
      <w:r>
        <w:rPr>
          <w:rFonts w:cs="Arial"/>
          <w:b/>
        </w:rPr>
        <w:t xml:space="preserve">6 </w:t>
      </w:r>
      <w:r w:rsidRPr="00D722D1">
        <w:rPr>
          <w:rFonts w:cs="Arial"/>
          <w:b/>
        </w:rPr>
        <w:t>–</w:t>
      </w:r>
      <w:r>
        <w:rPr>
          <w:rFonts w:cs="Arial"/>
          <w:b/>
        </w:rPr>
        <w:t xml:space="preserve"> </w:t>
      </w:r>
      <w:r w:rsidRPr="00D722D1">
        <w:rPr>
          <w:rFonts w:cs="Arial"/>
          <w:b/>
        </w:rPr>
        <w:t>2016</w:t>
      </w:r>
      <w:r>
        <w:rPr>
          <w:rFonts w:cs="Arial"/>
          <w:b/>
        </w:rPr>
        <w:t xml:space="preserve"> </w:t>
      </w:r>
    </w:p>
    <w:tbl>
      <w:tblPr>
        <w:tblW w:w="9245" w:type="dxa"/>
        <w:tblInd w:w="55" w:type="dxa"/>
        <w:tblCellMar>
          <w:left w:w="70" w:type="dxa"/>
          <w:right w:w="70" w:type="dxa"/>
        </w:tblCellMar>
        <w:tblLook w:val="04A0"/>
      </w:tblPr>
      <w:tblGrid>
        <w:gridCol w:w="1385"/>
        <w:gridCol w:w="1120"/>
        <w:gridCol w:w="1120"/>
        <w:gridCol w:w="1120"/>
        <w:gridCol w:w="1120"/>
        <w:gridCol w:w="1120"/>
        <w:gridCol w:w="1140"/>
        <w:gridCol w:w="1120"/>
      </w:tblGrid>
      <w:tr w:rsidR="005578C1" w:rsidRPr="0093445E" w:rsidTr="0045780F">
        <w:trPr>
          <w:trHeight w:val="180"/>
        </w:trPr>
        <w:tc>
          <w:tcPr>
            <w:tcW w:w="1385"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4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rPr>
                <w:rFonts w:cs="Arial"/>
                <w:color w:val="000000"/>
                <w:sz w:val="16"/>
                <w:szCs w:val="16"/>
              </w:rPr>
            </w:pPr>
            <w:r w:rsidRPr="0093445E">
              <w:rPr>
                <w:rFonts w:cs="Arial"/>
                <w:color w:val="000000"/>
                <w:sz w:val="16"/>
                <w:szCs w:val="16"/>
              </w:rPr>
              <w:t> </w:t>
            </w:r>
          </w:p>
        </w:tc>
      </w:tr>
      <w:tr w:rsidR="005578C1" w:rsidRPr="0093445E" w:rsidTr="0045780F">
        <w:trPr>
          <w:trHeight w:val="1530"/>
        </w:trPr>
        <w:tc>
          <w:tcPr>
            <w:tcW w:w="1385" w:type="dxa"/>
            <w:tcBorders>
              <w:top w:val="single" w:sz="4" w:space="0" w:color="auto"/>
              <w:left w:val="nil"/>
              <w:bottom w:val="single" w:sz="4" w:space="0" w:color="auto"/>
              <w:right w:val="single" w:sz="4" w:space="0" w:color="auto"/>
            </w:tcBorders>
            <w:shd w:val="clear" w:color="000000" w:fill="F2DDDC"/>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 xml:space="preserve">Rok </w:t>
            </w:r>
          </w:p>
        </w:tc>
        <w:tc>
          <w:tcPr>
            <w:tcW w:w="1120" w:type="dxa"/>
            <w:tcBorders>
              <w:top w:val="single" w:sz="4" w:space="0" w:color="auto"/>
              <w:left w:val="nil"/>
              <w:bottom w:val="single" w:sz="4" w:space="0" w:color="auto"/>
              <w:right w:val="single" w:sz="4" w:space="0" w:color="auto"/>
            </w:tcBorders>
            <w:shd w:val="clear" w:color="000000" w:fill="F2DDDC"/>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Pohlaví</w:t>
            </w:r>
          </w:p>
        </w:tc>
        <w:tc>
          <w:tcPr>
            <w:tcW w:w="1120" w:type="dxa"/>
            <w:tcBorders>
              <w:top w:val="single" w:sz="4" w:space="0" w:color="auto"/>
              <w:left w:val="nil"/>
              <w:bottom w:val="single" w:sz="4" w:space="0" w:color="auto"/>
              <w:right w:val="single" w:sz="4" w:space="0" w:color="auto"/>
            </w:tcBorders>
            <w:shd w:val="clear" w:color="000000" w:fill="F2DDDC"/>
            <w:vAlign w:val="center"/>
            <w:hideMark/>
          </w:tcPr>
          <w:p w:rsidR="005578C1" w:rsidRDefault="005578C1" w:rsidP="0045780F">
            <w:pPr>
              <w:spacing w:after="0" w:line="240" w:lineRule="auto"/>
              <w:jc w:val="center"/>
              <w:rPr>
                <w:rFonts w:cs="Arial"/>
                <w:color w:val="000000"/>
                <w:sz w:val="16"/>
                <w:szCs w:val="16"/>
              </w:rPr>
            </w:pPr>
            <w:r w:rsidRPr="0093445E">
              <w:rPr>
                <w:rFonts w:cs="Arial"/>
                <w:color w:val="000000"/>
                <w:sz w:val="16"/>
                <w:szCs w:val="16"/>
              </w:rPr>
              <w:t>Nově hlášené případy dočasné pracovní neschopnosti</w:t>
            </w:r>
          </w:p>
          <w:p w:rsidR="005578C1" w:rsidRPr="0093445E" w:rsidRDefault="005578C1" w:rsidP="0045780F">
            <w:pPr>
              <w:spacing w:after="0" w:line="240" w:lineRule="auto"/>
              <w:jc w:val="center"/>
              <w:rPr>
                <w:rFonts w:cs="Arial"/>
                <w:color w:val="000000"/>
                <w:sz w:val="16"/>
                <w:szCs w:val="16"/>
              </w:rPr>
            </w:pPr>
            <w:r>
              <w:rPr>
                <w:rFonts w:cs="Arial"/>
                <w:color w:val="000000"/>
                <w:sz w:val="16"/>
                <w:szCs w:val="16"/>
              </w:rPr>
              <w:t>(v tis.)</w:t>
            </w:r>
          </w:p>
        </w:tc>
        <w:tc>
          <w:tcPr>
            <w:tcW w:w="1120" w:type="dxa"/>
            <w:tcBorders>
              <w:top w:val="single" w:sz="4" w:space="0" w:color="auto"/>
              <w:left w:val="nil"/>
              <w:bottom w:val="single" w:sz="4" w:space="0" w:color="auto"/>
              <w:right w:val="single" w:sz="4" w:space="0" w:color="auto"/>
            </w:tcBorders>
            <w:shd w:val="clear" w:color="000000" w:fill="F2DDDC"/>
            <w:vAlign w:val="center"/>
            <w:hideMark/>
          </w:tcPr>
          <w:p w:rsidR="005578C1" w:rsidRDefault="005578C1" w:rsidP="0045780F">
            <w:pPr>
              <w:spacing w:after="0" w:line="240" w:lineRule="auto"/>
              <w:jc w:val="center"/>
              <w:rPr>
                <w:rFonts w:cs="Arial"/>
                <w:color w:val="000000"/>
                <w:sz w:val="16"/>
                <w:szCs w:val="16"/>
              </w:rPr>
            </w:pPr>
            <w:r w:rsidRPr="0093445E">
              <w:rPr>
                <w:rFonts w:cs="Arial"/>
                <w:color w:val="000000"/>
                <w:sz w:val="16"/>
                <w:szCs w:val="16"/>
              </w:rPr>
              <w:t>Kalendářní dny pracovní neschopnosti</w:t>
            </w:r>
          </w:p>
          <w:p w:rsidR="005578C1" w:rsidRPr="0093445E" w:rsidRDefault="005578C1" w:rsidP="0045780F">
            <w:pPr>
              <w:spacing w:after="0" w:line="240" w:lineRule="auto"/>
              <w:jc w:val="center"/>
              <w:rPr>
                <w:rFonts w:cs="Arial"/>
                <w:color w:val="000000"/>
                <w:sz w:val="16"/>
                <w:szCs w:val="16"/>
              </w:rPr>
            </w:pPr>
            <w:r>
              <w:rPr>
                <w:rFonts w:cs="Arial"/>
                <w:color w:val="000000"/>
                <w:sz w:val="16"/>
                <w:szCs w:val="16"/>
              </w:rPr>
              <w:t>(v tis.)</w:t>
            </w:r>
          </w:p>
        </w:tc>
        <w:tc>
          <w:tcPr>
            <w:tcW w:w="1120" w:type="dxa"/>
            <w:tcBorders>
              <w:top w:val="single" w:sz="4" w:space="0" w:color="auto"/>
              <w:left w:val="nil"/>
              <w:bottom w:val="single" w:sz="4" w:space="0" w:color="auto"/>
              <w:right w:val="single" w:sz="4" w:space="0" w:color="auto"/>
            </w:tcBorders>
            <w:shd w:val="clear" w:color="000000" w:fill="F2DDDC"/>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Nově hlášené případy pracovní neschopnosti na 100 pojištěnců</w:t>
            </w:r>
          </w:p>
        </w:tc>
        <w:tc>
          <w:tcPr>
            <w:tcW w:w="1120" w:type="dxa"/>
            <w:tcBorders>
              <w:top w:val="single" w:sz="4" w:space="0" w:color="auto"/>
              <w:left w:val="nil"/>
              <w:bottom w:val="single" w:sz="4" w:space="0" w:color="auto"/>
              <w:right w:val="single" w:sz="4" w:space="0" w:color="auto"/>
            </w:tcBorders>
            <w:shd w:val="clear" w:color="000000" w:fill="F2DDDC"/>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Průměrné procento dočasné pracovní neschopnosti</w:t>
            </w:r>
          </w:p>
        </w:tc>
        <w:tc>
          <w:tcPr>
            <w:tcW w:w="1140" w:type="dxa"/>
            <w:tcBorders>
              <w:top w:val="single" w:sz="4" w:space="0" w:color="auto"/>
              <w:left w:val="nil"/>
              <w:bottom w:val="single" w:sz="4" w:space="0" w:color="auto"/>
              <w:right w:val="single" w:sz="4" w:space="0" w:color="auto"/>
            </w:tcBorders>
            <w:shd w:val="clear" w:color="000000" w:fill="F2DDDC"/>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Průměrná délka trvání 1 případu dočasné pracovní neschopnosti</w:t>
            </w:r>
          </w:p>
        </w:tc>
        <w:tc>
          <w:tcPr>
            <w:tcW w:w="1120" w:type="dxa"/>
            <w:tcBorders>
              <w:top w:val="single" w:sz="4" w:space="0" w:color="auto"/>
              <w:left w:val="nil"/>
              <w:bottom w:val="single" w:sz="4" w:space="0" w:color="auto"/>
              <w:right w:val="nil"/>
            </w:tcBorders>
            <w:shd w:val="clear" w:color="000000" w:fill="F2DDDC"/>
            <w:vAlign w:val="center"/>
            <w:hideMark/>
          </w:tcPr>
          <w:p w:rsidR="005578C1" w:rsidRDefault="005578C1" w:rsidP="0045780F">
            <w:pPr>
              <w:spacing w:after="0" w:line="240" w:lineRule="auto"/>
              <w:jc w:val="center"/>
              <w:rPr>
                <w:rFonts w:cs="Arial"/>
                <w:color w:val="000000"/>
                <w:sz w:val="16"/>
                <w:szCs w:val="16"/>
              </w:rPr>
            </w:pPr>
            <w:r>
              <w:rPr>
                <w:rFonts w:cs="Arial"/>
                <w:color w:val="000000"/>
                <w:sz w:val="16"/>
                <w:szCs w:val="16"/>
              </w:rPr>
              <w:t>Průměrný den</w:t>
            </w:r>
            <w:r w:rsidRPr="0093445E">
              <w:rPr>
                <w:rFonts w:cs="Arial"/>
                <w:color w:val="000000"/>
                <w:sz w:val="16"/>
                <w:szCs w:val="16"/>
              </w:rPr>
              <w:t>ní stav dočasné pracovní neschopnosti</w:t>
            </w:r>
          </w:p>
          <w:p w:rsidR="005578C1" w:rsidRPr="0093445E" w:rsidRDefault="005578C1" w:rsidP="0045780F">
            <w:pPr>
              <w:spacing w:after="0" w:line="240" w:lineRule="auto"/>
              <w:jc w:val="center"/>
              <w:rPr>
                <w:rFonts w:cs="Arial"/>
                <w:color w:val="000000"/>
                <w:sz w:val="16"/>
                <w:szCs w:val="16"/>
              </w:rPr>
            </w:pPr>
            <w:r>
              <w:rPr>
                <w:rFonts w:cs="Arial"/>
                <w:color w:val="000000"/>
                <w:sz w:val="16"/>
                <w:szCs w:val="16"/>
              </w:rPr>
              <w:t>(v tis.)</w:t>
            </w:r>
          </w:p>
        </w:tc>
      </w:tr>
      <w:tr w:rsidR="005578C1" w:rsidRPr="0093445E" w:rsidTr="0045780F">
        <w:trPr>
          <w:trHeight w:val="375"/>
        </w:trPr>
        <w:tc>
          <w:tcPr>
            <w:tcW w:w="9245" w:type="dxa"/>
            <w:gridSpan w:val="8"/>
            <w:tcBorders>
              <w:top w:val="single" w:sz="4" w:space="0" w:color="auto"/>
              <w:left w:val="nil"/>
              <w:bottom w:val="single" w:sz="4" w:space="0" w:color="auto"/>
              <w:right w:val="nil"/>
            </w:tcBorders>
            <w:shd w:val="clear" w:color="000000" w:fill="F2DDDC"/>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Dočasná pracovní ne</w:t>
            </w:r>
            <w:r>
              <w:rPr>
                <w:rFonts w:cs="Arial"/>
                <w:color w:val="000000"/>
                <w:sz w:val="16"/>
                <w:szCs w:val="16"/>
              </w:rPr>
              <w:t>s</w:t>
            </w:r>
            <w:r w:rsidRPr="0093445E">
              <w:rPr>
                <w:rFonts w:cs="Arial"/>
                <w:color w:val="000000"/>
                <w:sz w:val="16"/>
                <w:szCs w:val="16"/>
              </w:rPr>
              <w:t>chopnost celkem</w:t>
            </w:r>
          </w:p>
        </w:tc>
      </w:tr>
      <w:tr w:rsidR="005578C1" w:rsidRPr="0093445E" w:rsidTr="0045780F">
        <w:trPr>
          <w:trHeight w:val="259"/>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2006</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1 369</w:t>
            </w:r>
            <w:r>
              <w:rPr>
                <w:rFonts w:cs="Arial"/>
                <w:color w:val="000000"/>
                <w:sz w:val="16"/>
                <w:szCs w:val="16"/>
              </w:rPr>
              <w:t>,</w:t>
            </w:r>
            <w:r w:rsidRPr="0093445E">
              <w:rPr>
                <w:rFonts w:cs="Arial"/>
                <w:color w:val="000000"/>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46 409</w:t>
            </w:r>
            <w:r>
              <w:rPr>
                <w:rFonts w:cs="Arial"/>
                <w:sz w:val="16"/>
                <w:szCs w:val="16"/>
              </w:rPr>
              <w:t>,</w:t>
            </w:r>
            <w:r w:rsidRPr="0093445E">
              <w:rPr>
                <w:rFonts w:cs="Arial"/>
                <w:sz w:val="16"/>
                <w:szCs w:val="16"/>
              </w:rPr>
              <w:t>0</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63</w:t>
            </w:r>
            <w:r>
              <w:rPr>
                <w:rFonts w:cs="Arial"/>
                <w:sz w:val="16"/>
                <w:szCs w:val="16"/>
              </w:rPr>
              <w:t>,</w:t>
            </w:r>
            <w:r w:rsidRPr="0093445E">
              <w:rPr>
                <w:rFonts w:cs="Arial"/>
                <w:sz w:val="16"/>
                <w:szCs w:val="16"/>
              </w:rPr>
              <w:t>4</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8</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35</w:t>
            </w:r>
            <w:r>
              <w:rPr>
                <w:rFonts w:cs="Arial"/>
                <w:sz w:val="16"/>
                <w:szCs w:val="16"/>
              </w:rPr>
              <w:t>,</w:t>
            </w:r>
            <w:r w:rsidRPr="0093445E">
              <w:rPr>
                <w:rFonts w:cs="Arial"/>
                <w:sz w:val="16"/>
                <w:szCs w:val="16"/>
              </w:rPr>
              <w:t>3</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127</w:t>
            </w:r>
            <w:r>
              <w:rPr>
                <w:rFonts w:cs="Arial"/>
                <w:sz w:val="16"/>
                <w:szCs w:val="16"/>
              </w:rPr>
              <w:t>,</w:t>
            </w:r>
            <w:r w:rsidRPr="0093445E">
              <w:rPr>
                <w:rFonts w:cs="Arial"/>
                <w:sz w:val="16"/>
                <w:szCs w:val="16"/>
              </w:rPr>
              <w:t>1</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1 336</w:t>
            </w:r>
            <w:r>
              <w:rPr>
                <w:rFonts w:cs="Arial"/>
                <w:color w:val="000000"/>
                <w:sz w:val="16"/>
                <w:szCs w:val="16"/>
              </w:rPr>
              <w:t>,</w:t>
            </w:r>
            <w:r w:rsidRPr="0093445E">
              <w:rPr>
                <w:rFonts w:cs="Arial"/>
                <w:color w:val="000000"/>
                <w:sz w:val="16"/>
                <w:szCs w:val="16"/>
              </w:rPr>
              <w:t>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49 019</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63</w:t>
            </w:r>
            <w:r>
              <w:rPr>
                <w:rFonts w:cs="Arial"/>
                <w:sz w:val="16"/>
                <w:szCs w:val="16"/>
              </w:rPr>
              <w:t>,</w:t>
            </w:r>
            <w:r w:rsidRPr="0093445E">
              <w:rPr>
                <w:rFonts w:cs="Arial"/>
                <w:sz w:val="16"/>
                <w:szCs w:val="16"/>
              </w:rPr>
              <w:t>4</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w:t>
            </w:r>
            <w:r>
              <w:rPr>
                <w:rFonts w:cs="Arial"/>
                <w:sz w:val="16"/>
                <w:szCs w:val="16"/>
              </w:rPr>
              <w:t>,</w:t>
            </w:r>
            <w:r w:rsidRPr="0093445E">
              <w:rPr>
                <w:rFonts w:cs="Arial"/>
                <w:sz w:val="16"/>
                <w:szCs w:val="16"/>
              </w:rPr>
              <w:t>4</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36</w:t>
            </w:r>
            <w:r>
              <w:rPr>
                <w:rFonts w:cs="Arial"/>
                <w:sz w:val="16"/>
                <w:szCs w:val="16"/>
              </w:rPr>
              <w:t>,</w:t>
            </w:r>
            <w:r w:rsidRPr="0093445E">
              <w:rPr>
                <w:rFonts w:cs="Arial"/>
                <w:sz w:val="16"/>
                <w:szCs w:val="16"/>
              </w:rPr>
              <w:t>7</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134</w:t>
            </w:r>
            <w:r>
              <w:rPr>
                <w:rFonts w:cs="Arial"/>
                <w:sz w:val="16"/>
                <w:szCs w:val="16"/>
              </w:rPr>
              <w:t>,</w:t>
            </w:r>
            <w:r w:rsidRPr="0093445E">
              <w:rPr>
                <w:rFonts w:cs="Arial"/>
                <w:sz w:val="16"/>
                <w:szCs w:val="16"/>
              </w:rPr>
              <w:t>3</w:t>
            </w:r>
          </w:p>
        </w:tc>
      </w:tr>
      <w:tr w:rsidR="005578C1" w:rsidRPr="0093445E" w:rsidTr="0045780F">
        <w:trPr>
          <w:trHeight w:val="255"/>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2 706</w:t>
            </w:r>
            <w:r>
              <w:rPr>
                <w:rFonts w:cs="Arial"/>
                <w:color w:val="000000"/>
                <w:sz w:val="16"/>
                <w:szCs w:val="16"/>
              </w:rPr>
              <w:t>,</w:t>
            </w:r>
            <w:r w:rsidRPr="0093445E">
              <w:rPr>
                <w:rFonts w:cs="Arial"/>
                <w:color w:val="000000"/>
                <w:sz w:val="16"/>
                <w:szCs w:val="16"/>
              </w:rPr>
              <w:t>7</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95 428</w:t>
            </w:r>
            <w:r>
              <w:rPr>
                <w:rFonts w:cs="Arial"/>
                <w:sz w:val="16"/>
                <w:szCs w:val="16"/>
              </w:rPr>
              <w:t>,</w:t>
            </w:r>
            <w:r w:rsidRPr="0093445E">
              <w:rPr>
                <w:rFonts w:cs="Arial"/>
                <w:sz w:val="16"/>
                <w:szCs w:val="16"/>
              </w:rPr>
              <w:t>1</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60</w:t>
            </w:r>
            <w:r>
              <w:rPr>
                <w:rFonts w:cs="Arial"/>
                <w:sz w:val="16"/>
                <w:szCs w:val="16"/>
              </w:rPr>
              <w:t>,</w:t>
            </w:r>
            <w:r w:rsidRPr="0093445E">
              <w:rPr>
                <w:rFonts w:cs="Arial"/>
                <w:sz w:val="16"/>
                <w:szCs w:val="16"/>
              </w:rPr>
              <w:t>2</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8</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35</w:t>
            </w:r>
            <w:r>
              <w:rPr>
                <w:rFonts w:cs="Arial"/>
                <w:sz w:val="16"/>
                <w:szCs w:val="16"/>
              </w:rPr>
              <w:t>,</w:t>
            </w:r>
            <w:r w:rsidRPr="0093445E">
              <w:rPr>
                <w:rFonts w:cs="Arial"/>
                <w:sz w:val="16"/>
                <w:szCs w:val="16"/>
              </w:rPr>
              <w:t>3</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261</w:t>
            </w:r>
            <w:r>
              <w:rPr>
                <w:rFonts w:cs="Arial"/>
                <w:sz w:val="16"/>
                <w:szCs w:val="16"/>
              </w:rPr>
              <w:t>,</w:t>
            </w:r>
            <w:r w:rsidRPr="0093445E">
              <w:rPr>
                <w:rFonts w:cs="Arial"/>
                <w:sz w:val="16"/>
                <w:szCs w:val="16"/>
              </w:rPr>
              <w:t>4</w:t>
            </w:r>
          </w:p>
        </w:tc>
      </w:tr>
      <w:tr w:rsidR="005578C1" w:rsidRPr="0093445E" w:rsidTr="0045780F">
        <w:trPr>
          <w:trHeight w:val="259"/>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2007</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1 366</w:t>
            </w:r>
            <w:r>
              <w:rPr>
                <w:rFonts w:cs="Arial"/>
                <w:color w:val="000000"/>
                <w:sz w:val="16"/>
                <w:szCs w:val="16"/>
              </w:rPr>
              <w:t>,</w:t>
            </w:r>
            <w:r w:rsidRPr="0093445E">
              <w:rPr>
                <w:rFonts w:cs="Arial"/>
                <w:color w:val="000000"/>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45 077</w:t>
            </w:r>
            <w:r>
              <w:rPr>
                <w:rFonts w:cs="Arial"/>
                <w:sz w:val="16"/>
                <w:szCs w:val="16"/>
              </w:rPr>
              <w:t>,</w:t>
            </w:r>
            <w:r w:rsidRPr="0093445E">
              <w:rPr>
                <w:rFonts w:cs="Arial"/>
                <w:sz w:val="16"/>
                <w:szCs w:val="16"/>
              </w:rPr>
              <w:t>3</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56</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1</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33</w:t>
            </w:r>
            <w:r>
              <w:rPr>
                <w:rFonts w:cs="Arial"/>
                <w:sz w:val="16"/>
                <w:szCs w:val="16"/>
              </w:rPr>
              <w:t>,</w:t>
            </w:r>
            <w:r w:rsidRPr="0093445E">
              <w:rPr>
                <w:rFonts w:cs="Arial"/>
                <w:sz w:val="16"/>
                <w:szCs w:val="16"/>
              </w:rPr>
              <w:t>0</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123</w:t>
            </w:r>
            <w:r>
              <w:rPr>
                <w:rFonts w:cs="Arial"/>
                <w:sz w:val="16"/>
                <w:szCs w:val="16"/>
              </w:rPr>
              <w:t>,</w:t>
            </w:r>
            <w:r w:rsidRPr="0093445E">
              <w:rPr>
                <w:rFonts w:cs="Arial"/>
                <w:sz w:val="16"/>
                <w:szCs w:val="16"/>
              </w:rPr>
              <w:t>5</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1 360</w:t>
            </w:r>
            <w:r>
              <w:rPr>
                <w:rFonts w:cs="Arial"/>
                <w:color w:val="000000"/>
                <w:sz w:val="16"/>
                <w:szCs w:val="16"/>
              </w:rPr>
              <w:t>,</w:t>
            </w:r>
            <w:r w:rsidRPr="0093445E">
              <w:rPr>
                <w:rFonts w:cs="Arial"/>
                <w:color w:val="000000"/>
                <w:sz w:val="16"/>
                <w:szCs w:val="16"/>
              </w:rPr>
              <w:t>4</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49 196</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62</w:t>
            </w:r>
            <w:r>
              <w:rPr>
                <w:rFonts w:cs="Arial"/>
                <w:sz w:val="16"/>
                <w:szCs w:val="16"/>
              </w:rPr>
              <w:t>,</w:t>
            </w:r>
            <w:r w:rsidRPr="0093445E">
              <w:rPr>
                <w:rFonts w:cs="Arial"/>
                <w:sz w:val="16"/>
                <w:szCs w:val="16"/>
              </w:rPr>
              <w:t>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w:t>
            </w:r>
            <w:r>
              <w:rPr>
                <w:rFonts w:cs="Arial"/>
                <w:sz w:val="16"/>
                <w:szCs w:val="16"/>
              </w:rPr>
              <w:t>,</w:t>
            </w:r>
            <w:r w:rsidRPr="0093445E">
              <w:rPr>
                <w:rFonts w:cs="Arial"/>
                <w:sz w:val="16"/>
                <w:szCs w:val="16"/>
              </w:rPr>
              <w:t>2</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36</w:t>
            </w:r>
            <w:r>
              <w:rPr>
                <w:rFonts w:cs="Arial"/>
                <w:sz w:val="16"/>
                <w:szCs w:val="16"/>
              </w:rPr>
              <w:t>,</w:t>
            </w:r>
            <w:r w:rsidRPr="0093445E">
              <w:rPr>
                <w:rFonts w:cs="Arial"/>
                <w:sz w:val="16"/>
                <w:szCs w:val="16"/>
              </w:rPr>
              <w:t>2</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134</w:t>
            </w:r>
            <w:r>
              <w:rPr>
                <w:rFonts w:cs="Arial"/>
                <w:sz w:val="16"/>
                <w:szCs w:val="16"/>
              </w:rPr>
              <w:t>,</w:t>
            </w:r>
            <w:r w:rsidRPr="0093445E">
              <w:rPr>
                <w:rFonts w:cs="Arial"/>
                <w:sz w:val="16"/>
                <w:szCs w:val="16"/>
              </w:rPr>
              <w:t>8</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2 726</w:t>
            </w:r>
            <w:r>
              <w:rPr>
                <w:rFonts w:cs="Arial"/>
                <w:color w:val="000000"/>
                <w:sz w:val="16"/>
                <w:szCs w:val="16"/>
              </w:rPr>
              <w:t>,</w:t>
            </w:r>
            <w:r w:rsidRPr="0093445E">
              <w:rPr>
                <w:rFonts w:cs="Arial"/>
                <w:color w:val="000000"/>
                <w:sz w:val="16"/>
                <w:szCs w:val="16"/>
              </w:rPr>
              <w:t>6</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94 274</w:t>
            </w:r>
            <w:r>
              <w:rPr>
                <w:rFonts w:cs="Arial"/>
                <w:sz w:val="16"/>
                <w:szCs w:val="16"/>
              </w:rPr>
              <w:t>,</w:t>
            </w:r>
            <w:r w:rsidRPr="0093445E">
              <w:rPr>
                <w:rFonts w:cs="Arial"/>
                <w:sz w:val="16"/>
                <w:szCs w:val="16"/>
              </w:rPr>
              <w:t>0</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59</w:t>
            </w:r>
            <w:r>
              <w:rPr>
                <w:rFonts w:cs="Arial"/>
                <w:sz w:val="16"/>
                <w:szCs w:val="16"/>
              </w:rPr>
              <w:t>,</w:t>
            </w:r>
            <w:r w:rsidRPr="0093445E">
              <w:rPr>
                <w:rFonts w:cs="Arial"/>
                <w:sz w:val="16"/>
                <w:szCs w:val="16"/>
              </w:rPr>
              <w:t>3</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6</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34</w:t>
            </w:r>
            <w:r>
              <w:rPr>
                <w:rFonts w:cs="Arial"/>
                <w:sz w:val="16"/>
                <w:szCs w:val="16"/>
              </w:rPr>
              <w:t>,</w:t>
            </w:r>
            <w:r w:rsidRPr="0093445E">
              <w:rPr>
                <w:rFonts w:cs="Arial"/>
                <w:sz w:val="16"/>
                <w:szCs w:val="16"/>
              </w:rPr>
              <w:t>6</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258</w:t>
            </w:r>
            <w:r>
              <w:rPr>
                <w:rFonts w:cs="Arial"/>
                <w:sz w:val="16"/>
                <w:szCs w:val="16"/>
              </w:rPr>
              <w:t>,</w:t>
            </w:r>
            <w:r w:rsidRPr="0093445E">
              <w:rPr>
                <w:rFonts w:cs="Arial"/>
                <w:sz w:val="16"/>
                <w:szCs w:val="16"/>
              </w:rPr>
              <w:t>3</w:t>
            </w:r>
          </w:p>
        </w:tc>
      </w:tr>
      <w:tr w:rsidR="005578C1" w:rsidRPr="0093445E" w:rsidTr="0045780F">
        <w:trPr>
          <w:trHeight w:val="255"/>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2008</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1 092</w:t>
            </w:r>
            <w:r>
              <w:rPr>
                <w:rFonts w:cs="Arial"/>
                <w:color w:val="000000"/>
                <w:sz w:val="16"/>
                <w:szCs w:val="16"/>
              </w:rPr>
              <w:t>,</w:t>
            </w:r>
            <w:r w:rsidRPr="0093445E">
              <w:rPr>
                <w:rFonts w:cs="Arial"/>
                <w:color w:val="000000"/>
                <w:sz w:val="16"/>
                <w:szCs w:val="16"/>
              </w:rPr>
              <w:t>6</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40 564</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2</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37</w:t>
            </w:r>
            <w:r>
              <w:rPr>
                <w:rFonts w:cs="Arial"/>
                <w:sz w:val="16"/>
                <w:szCs w:val="16"/>
              </w:rPr>
              <w:t>,</w:t>
            </w:r>
            <w:r w:rsidRPr="0093445E">
              <w:rPr>
                <w:rFonts w:cs="Arial"/>
                <w:sz w:val="16"/>
                <w:szCs w:val="16"/>
              </w:rPr>
              <w:t>1</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110</w:t>
            </w:r>
            <w:r>
              <w:rPr>
                <w:rFonts w:cs="Arial"/>
                <w:sz w:val="16"/>
                <w:szCs w:val="16"/>
              </w:rPr>
              <w:t>,</w:t>
            </w:r>
            <w:r w:rsidRPr="0093445E">
              <w:rPr>
                <w:rFonts w:cs="Arial"/>
                <w:sz w:val="16"/>
                <w:szCs w:val="16"/>
              </w:rPr>
              <w:t>8</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1 129</w:t>
            </w:r>
            <w:r>
              <w:rPr>
                <w:rFonts w:cs="Arial"/>
                <w:color w:val="000000"/>
                <w:sz w:val="16"/>
                <w:szCs w:val="16"/>
              </w:rPr>
              <w:t>,</w:t>
            </w:r>
            <w:r w:rsidRPr="0093445E">
              <w:rPr>
                <w:rFonts w:cs="Arial"/>
                <w:color w:val="000000"/>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46 191</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52</w:t>
            </w:r>
            <w:r>
              <w:rPr>
                <w:rFonts w:cs="Arial"/>
                <w:sz w:val="16"/>
                <w:szCs w:val="16"/>
              </w:rPr>
              <w:t>,</w:t>
            </w:r>
            <w:r w:rsidRPr="0093445E">
              <w:rPr>
                <w:rFonts w:cs="Arial"/>
                <w:sz w:val="16"/>
                <w:szCs w:val="16"/>
              </w:rPr>
              <w:t>6</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9</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40</w:t>
            </w:r>
            <w:r>
              <w:rPr>
                <w:rFonts w:cs="Arial"/>
                <w:sz w:val="16"/>
                <w:szCs w:val="16"/>
              </w:rPr>
              <w:t>,</w:t>
            </w:r>
            <w:r w:rsidRPr="0093445E">
              <w:rPr>
                <w:rFonts w:cs="Arial"/>
                <w:sz w:val="16"/>
                <w:szCs w:val="16"/>
              </w:rPr>
              <w:t>9</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126</w:t>
            </w:r>
            <w:r>
              <w:rPr>
                <w:rFonts w:cs="Arial"/>
                <w:sz w:val="16"/>
                <w:szCs w:val="16"/>
              </w:rPr>
              <w:t>,</w:t>
            </w:r>
            <w:r w:rsidRPr="0093445E">
              <w:rPr>
                <w:rFonts w:cs="Arial"/>
                <w:sz w:val="16"/>
                <w:szCs w:val="16"/>
              </w:rPr>
              <w:t>2</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2 221</w:t>
            </w:r>
            <w:r>
              <w:rPr>
                <w:rFonts w:cs="Arial"/>
                <w:color w:val="000000"/>
                <w:sz w:val="16"/>
                <w:szCs w:val="16"/>
              </w:rPr>
              <w:t>,</w:t>
            </w:r>
            <w:r w:rsidRPr="0093445E">
              <w:rPr>
                <w:rFonts w:cs="Arial"/>
                <w:color w:val="000000"/>
                <w:sz w:val="16"/>
                <w:szCs w:val="16"/>
              </w:rPr>
              <w:t>7</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86 756</w:t>
            </w:r>
            <w:r>
              <w:rPr>
                <w:rFonts w:cs="Arial"/>
                <w:sz w:val="16"/>
                <w:szCs w:val="16"/>
              </w:rPr>
              <w:t>,</w:t>
            </w:r>
            <w:r w:rsidRPr="0093445E">
              <w:rPr>
                <w:rFonts w:cs="Arial"/>
                <w:sz w:val="16"/>
                <w:szCs w:val="16"/>
              </w:rPr>
              <w:t>6</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48</w:t>
            </w:r>
            <w:r>
              <w:rPr>
                <w:rFonts w:cs="Arial"/>
                <w:sz w:val="16"/>
                <w:szCs w:val="16"/>
              </w:rPr>
              <w:t>,</w:t>
            </w:r>
            <w:r w:rsidRPr="0093445E">
              <w:rPr>
                <w:rFonts w:cs="Arial"/>
                <w:sz w:val="16"/>
                <w:szCs w:val="16"/>
              </w:rPr>
              <w:t>6</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w:t>
            </w:r>
            <w:r>
              <w:rPr>
                <w:rFonts w:cs="Arial"/>
                <w:sz w:val="16"/>
                <w:szCs w:val="16"/>
              </w:rPr>
              <w:t>,</w:t>
            </w:r>
            <w:r w:rsidRPr="0093445E">
              <w:rPr>
                <w:rFonts w:cs="Arial"/>
                <w:sz w:val="16"/>
                <w:szCs w:val="16"/>
              </w:rPr>
              <w:t>2</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39</w:t>
            </w:r>
            <w:r>
              <w:rPr>
                <w:rFonts w:cs="Arial"/>
                <w:sz w:val="16"/>
                <w:szCs w:val="16"/>
              </w:rPr>
              <w:t>,</w:t>
            </w:r>
            <w:r w:rsidRPr="0093445E">
              <w:rPr>
                <w:rFonts w:cs="Arial"/>
                <w:sz w:val="16"/>
                <w:szCs w:val="16"/>
              </w:rPr>
              <w:t>1</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237</w:t>
            </w:r>
            <w:r>
              <w:rPr>
                <w:rFonts w:cs="Arial"/>
                <w:sz w:val="16"/>
                <w:szCs w:val="16"/>
              </w:rPr>
              <w:t>,</w:t>
            </w:r>
            <w:r w:rsidRPr="0093445E">
              <w:rPr>
                <w:rFonts w:cs="Arial"/>
                <w:sz w:val="16"/>
                <w:szCs w:val="16"/>
              </w:rPr>
              <w:t>0</w:t>
            </w:r>
          </w:p>
        </w:tc>
      </w:tr>
      <w:tr w:rsidR="005578C1" w:rsidRPr="0093445E" w:rsidTr="0045780F">
        <w:trPr>
          <w:trHeight w:val="259"/>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2009</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694</w:t>
            </w:r>
            <w:r>
              <w:rPr>
                <w:rFonts w:cs="Arial"/>
                <w:color w:val="000000"/>
                <w:sz w:val="16"/>
                <w:szCs w:val="16"/>
              </w:rPr>
              <w:t>,</w:t>
            </w:r>
            <w:r w:rsidRPr="0093445E">
              <w:rPr>
                <w:rFonts w:cs="Arial"/>
                <w:color w:val="000000"/>
                <w:sz w:val="16"/>
                <w:szCs w:val="16"/>
              </w:rPr>
              <w:t>3</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30 275</w:t>
            </w:r>
            <w:r>
              <w:rPr>
                <w:rFonts w:cs="Arial"/>
                <w:sz w:val="16"/>
                <w:szCs w:val="16"/>
              </w:rPr>
              <w:t>,</w:t>
            </w:r>
            <w:r w:rsidRPr="0093445E">
              <w:rPr>
                <w:rFonts w:cs="Arial"/>
                <w:sz w:val="16"/>
                <w:szCs w:val="16"/>
              </w:rPr>
              <w:t>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31</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2</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43</w:t>
            </w:r>
            <w:r>
              <w:rPr>
                <w:rFonts w:cs="Arial"/>
                <w:sz w:val="16"/>
                <w:szCs w:val="16"/>
              </w:rPr>
              <w:t>,</w:t>
            </w:r>
            <w:r w:rsidRPr="0093445E">
              <w:rPr>
                <w:rFonts w:cs="Arial"/>
                <w:sz w:val="16"/>
                <w:szCs w:val="16"/>
              </w:rPr>
              <w:t>6</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82</w:t>
            </w:r>
            <w:r>
              <w:rPr>
                <w:rFonts w:cs="Arial"/>
                <w:sz w:val="16"/>
                <w:szCs w:val="16"/>
              </w:rPr>
              <w:t>,</w:t>
            </w:r>
            <w:r w:rsidRPr="0093445E">
              <w:rPr>
                <w:rFonts w:cs="Arial"/>
                <w:sz w:val="16"/>
                <w:szCs w:val="16"/>
              </w:rPr>
              <w:t>9</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747</w:t>
            </w:r>
            <w:r>
              <w:rPr>
                <w:rFonts w:cs="Arial"/>
                <w:color w:val="000000"/>
                <w:sz w:val="16"/>
                <w:szCs w:val="16"/>
              </w:rPr>
              <w:t>,</w:t>
            </w:r>
            <w:r w:rsidRPr="0093445E">
              <w:rPr>
                <w:rFonts w:cs="Arial"/>
                <w:color w:val="000000"/>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34 680</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37</w:t>
            </w:r>
            <w:r>
              <w:rPr>
                <w:rFonts w:cs="Arial"/>
                <w:sz w:val="16"/>
                <w:szCs w:val="16"/>
              </w:rPr>
              <w:t>,</w:t>
            </w:r>
            <w:r w:rsidRPr="0093445E">
              <w:rPr>
                <w:rFonts w:cs="Arial"/>
                <w:sz w:val="16"/>
                <w:szCs w:val="16"/>
              </w:rPr>
              <w:t>0</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7</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46</w:t>
            </w:r>
            <w:r>
              <w:rPr>
                <w:rFonts w:cs="Arial"/>
                <w:sz w:val="16"/>
                <w:szCs w:val="16"/>
              </w:rPr>
              <w:t>,</w:t>
            </w:r>
            <w:r w:rsidRPr="0093445E">
              <w:rPr>
                <w:rFonts w:cs="Arial"/>
                <w:sz w:val="16"/>
                <w:szCs w:val="16"/>
              </w:rPr>
              <w:t>4</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95</w:t>
            </w:r>
            <w:r>
              <w:rPr>
                <w:rFonts w:cs="Arial"/>
                <w:sz w:val="16"/>
                <w:szCs w:val="16"/>
              </w:rPr>
              <w:t>,</w:t>
            </w:r>
            <w:r w:rsidRPr="0093445E">
              <w:rPr>
                <w:rFonts w:cs="Arial"/>
                <w:sz w:val="16"/>
                <w:szCs w:val="16"/>
              </w:rPr>
              <w:t>0</w:t>
            </w:r>
          </w:p>
        </w:tc>
      </w:tr>
      <w:tr w:rsidR="005578C1" w:rsidRPr="0093445E" w:rsidTr="0045780F">
        <w:trPr>
          <w:trHeight w:val="255"/>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1 441</w:t>
            </w:r>
            <w:r>
              <w:rPr>
                <w:rFonts w:cs="Arial"/>
                <w:color w:val="000000"/>
                <w:sz w:val="16"/>
                <w:szCs w:val="16"/>
              </w:rPr>
              <w:t>,</w:t>
            </w:r>
            <w:r w:rsidRPr="0093445E">
              <w:rPr>
                <w:rFonts w:cs="Arial"/>
                <w:color w:val="000000"/>
                <w:sz w:val="16"/>
                <w:szCs w:val="16"/>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64 956</w:t>
            </w:r>
            <w:r>
              <w:rPr>
                <w:rFonts w:cs="Arial"/>
                <w:sz w:val="16"/>
                <w:szCs w:val="16"/>
              </w:rPr>
              <w:t>,</w:t>
            </w:r>
            <w:r w:rsidRPr="0093445E">
              <w:rPr>
                <w:rFonts w:cs="Arial"/>
                <w:sz w:val="16"/>
                <w:szCs w:val="16"/>
              </w:rPr>
              <w:t>0</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33</w:t>
            </w:r>
            <w:r>
              <w:rPr>
                <w:rFonts w:cs="Arial"/>
                <w:sz w:val="16"/>
                <w:szCs w:val="16"/>
              </w:rPr>
              <w:t>,</w:t>
            </w:r>
            <w:r w:rsidRPr="0093445E">
              <w:rPr>
                <w:rFonts w:cs="Arial"/>
                <w:sz w:val="16"/>
                <w:szCs w:val="16"/>
              </w:rPr>
              <w:t>9</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2</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6</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178</w:t>
            </w:r>
            <w:r>
              <w:rPr>
                <w:rFonts w:cs="Arial"/>
                <w:sz w:val="16"/>
                <w:szCs w:val="16"/>
              </w:rPr>
              <w:t>,</w:t>
            </w:r>
            <w:r w:rsidRPr="0093445E">
              <w:rPr>
                <w:rFonts w:cs="Arial"/>
                <w:sz w:val="16"/>
                <w:szCs w:val="16"/>
              </w:rPr>
              <w:t>0</w:t>
            </w:r>
          </w:p>
        </w:tc>
      </w:tr>
      <w:tr w:rsidR="005578C1" w:rsidRPr="0093445E" w:rsidTr="0045780F">
        <w:trPr>
          <w:trHeight w:val="259"/>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2010</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642</w:t>
            </w:r>
            <w:r>
              <w:rPr>
                <w:rFonts w:cs="Arial"/>
                <w:color w:val="000000"/>
                <w:sz w:val="16"/>
                <w:szCs w:val="16"/>
              </w:rPr>
              <w:t>,</w:t>
            </w:r>
            <w:r w:rsidRPr="0093445E">
              <w:rPr>
                <w:rFonts w:cs="Arial"/>
                <w:color w:val="000000"/>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28 008</w:t>
            </w:r>
            <w:r>
              <w:rPr>
                <w:rFonts w:cs="Arial"/>
                <w:sz w:val="16"/>
                <w:szCs w:val="16"/>
              </w:rPr>
              <w:t>,</w:t>
            </w:r>
            <w:r w:rsidRPr="0093445E">
              <w:rPr>
                <w:rFonts w:cs="Arial"/>
                <w:sz w:val="16"/>
                <w:szCs w:val="16"/>
              </w:rPr>
              <w:t>4</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28</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4</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43</w:t>
            </w:r>
            <w:r>
              <w:rPr>
                <w:rFonts w:cs="Arial"/>
                <w:sz w:val="16"/>
                <w:szCs w:val="16"/>
              </w:rPr>
              <w:t>,</w:t>
            </w:r>
            <w:r w:rsidRPr="0093445E">
              <w:rPr>
                <w:rFonts w:cs="Arial"/>
                <w:sz w:val="16"/>
                <w:szCs w:val="16"/>
              </w:rPr>
              <w:t>6</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76</w:t>
            </w:r>
            <w:r>
              <w:rPr>
                <w:rFonts w:cs="Arial"/>
                <w:sz w:val="16"/>
                <w:szCs w:val="16"/>
              </w:rPr>
              <w:t>,</w:t>
            </w:r>
            <w:r w:rsidRPr="0093445E">
              <w:rPr>
                <w:rFonts w:cs="Arial"/>
                <w:sz w:val="16"/>
                <w:szCs w:val="16"/>
              </w:rPr>
              <w:t>7</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682</w:t>
            </w:r>
            <w:r>
              <w:rPr>
                <w:rFonts w:cs="Arial"/>
                <w:color w:val="000000"/>
                <w:sz w:val="16"/>
                <w:szCs w:val="16"/>
              </w:rPr>
              <w:t>,</w:t>
            </w:r>
            <w:r w:rsidRPr="0093445E">
              <w:rPr>
                <w:rFonts w:cs="Arial"/>
                <w:color w:val="000000"/>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31 200</w:t>
            </w:r>
            <w:r>
              <w:rPr>
                <w:rFonts w:cs="Arial"/>
                <w:sz w:val="16"/>
                <w:szCs w:val="16"/>
              </w:rPr>
              <w:t>,</w:t>
            </w:r>
            <w:r w:rsidRPr="0093445E">
              <w:rPr>
                <w:rFonts w:cs="Arial"/>
                <w:sz w:val="16"/>
                <w:szCs w:val="16"/>
              </w:rPr>
              <w:t>0</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32</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1</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7</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85</w:t>
            </w:r>
            <w:r>
              <w:rPr>
                <w:rFonts w:cs="Arial"/>
                <w:sz w:val="16"/>
                <w:szCs w:val="16"/>
              </w:rPr>
              <w:t>,</w:t>
            </w:r>
            <w:r w:rsidRPr="0093445E">
              <w:rPr>
                <w:rFonts w:cs="Arial"/>
                <w:sz w:val="16"/>
                <w:szCs w:val="16"/>
              </w:rPr>
              <w:t>5</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1 324</w:t>
            </w:r>
            <w:r>
              <w:rPr>
                <w:rFonts w:cs="Arial"/>
                <w:color w:val="000000"/>
                <w:sz w:val="16"/>
                <w:szCs w:val="16"/>
              </w:rPr>
              <w:t>,</w:t>
            </w:r>
            <w:r w:rsidRPr="0093445E">
              <w:rPr>
                <w:rFonts w:cs="Arial"/>
                <w:color w:val="000000"/>
                <w:sz w:val="16"/>
                <w:szCs w:val="16"/>
              </w:rPr>
              <w:t>9</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59 208</w:t>
            </w:r>
            <w:r>
              <w:rPr>
                <w:rFonts w:cs="Arial"/>
                <w:sz w:val="16"/>
                <w:szCs w:val="16"/>
              </w:rPr>
              <w:t>,</w:t>
            </w:r>
            <w:r w:rsidRPr="0093445E">
              <w:rPr>
                <w:rFonts w:cs="Arial"/>
                <w:sz w:val="16"/>
                <w:szCs w:val="16"/>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30</w:t>
            </w:r>
            <w:r>
              <w:rPr>
                <w:rFonts w:cs="Arial"/>
                <w:sz w:val="16"/>
                <w:szCs w:val="16"/>
              </w:rPr>
              <w:t>,</w:t>
            </w:r>
            <w:r w:rsidRPr="0093445E">
              <w:rPr>
                <w:rFonts w:cs="Arial"/>
                <w:sz w:val="16"/>
                <w:szCs w:val="16"/>
              </w:rPr>
              <w:t>7</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8</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44</w:t>
            </w:r>
            <w:r>
              <w:rPr>
                <w:rFonts w:cs="Arial"/>
                <w:sz w:val="16"/>
                <w:szCs w:val="16"/>
              </w:rPr>
              <w:t>,</w:t>
            </w:r>
            <w:r w:rsidRPr="0093445E">
              <w:rPr>
                <w:rFonts w:cs="Arial"/>
                <w:sz w:val="16"/>
                <w:szCs w:val="16"/>
              </w:rPr>
              <w:t>7</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162</w:t>
            </w:r>
            <w:r>
              <w:rPr>
                <w:rFonts w:cs="Arial"/>
                <w:sz w:val="16"/>
                <w:szCs w:val="16"/>
              </w:rPr>
              <w:t>,</w:t>
            </w:r>
            <w:r w:rsidRPr="0093445E">
              <w:rPr>
                <w:rFonts w:cs="Arial"/>
                <w:sz w:val="16"/>
                <w:szCs w:val="16"/>
              </w:rPr>
              <w:t>2</w:t>
            </w:r>
          </w:p>
        </w:tc>
      </w:tr>
      <w:tr w:rsidR="005578C1" w:rsidRPr="0093445E" w:rsidTr="0045780F">
        <w:trPr>
          <w:trHeight w:val="255"/>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2011</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605</w:t>
            </w:r>
            <w:r>
              <w:rPr>
                <w:rFonts w:cs="Arial"/>
                <w:color w:val="000000"/>
                <w:sz w:val="16"/>
                <w:szCs w:val="16"/>
              </w:rPr>
              <w:t>,</w:t>
            </w:r>
            <w:r w:rsidRPr="0093445E">
              <w:rPr>
                <w:rFonts w:cs="Arial"/>
                <w:color w:val="000000"/>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25 995</w:t>
            </w:r>
            <w:r>
              <w:rPr>
                <w:rFonts w:cs="Arial"/>
                <w:sz w:val="16"/>
                <w:szCs w:val="16"/>
              </w:rPr>
              <w:t>,</w:t>
            </w:r>
            <w:r w:rsidRPr="0093445E">
              <w:rPr>
                <w:rFonts w:cs="Arial"/>
                <w:sz w:val="16"/>
                <w:szCs w:val="16"/>
              </w:rPr>
              <w:t>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28</w:t>
            </w:r>
            <w:r>
              <w:rPr>
                <w:rFonts w:cs="Arial"/>
                <w:sz w:val="16"/>
                <w:szCs w:val="16"/>
              </w:rPr>
              <w:t>,</w:t>
            </w:r>
            <w:r w:rsidRPr="0093445E">
              <w:rPr>
                <w:rFonts w:cs="Arial"/>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3</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43</w:t>
            </w:r>
            <w:r>
              <w:rPr>
                <w:rFonts w:cs="Arial"/>
                <w:sz w:val="16"/>
                <w:szCs w:val="16"/>
              </w:rPr>
              <w:t>,</w:t>
            </w:r>
            <w:r w:rsidRPr="0093445E">
              <w:rPr>
                <w:rFonts w:cs="Arial"/>
                <w:sz w:val="16"/>
                <w:szCs w:val="16"/>
              </w:rPr>
              <w:t>0</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71</w:t>
            </w:r>
            <w:r>
              <w:rPr>
                <w:rFonts w:cs="Arial"/>
                <w:sz w:val="16"/>
                <w:szCs w:val="16"/>
              </w:rPr>
              <w:t>,</w:t>
            </w:r>
            <w:r w:rsidRPr="0093445E">
              <w:rPr>
                <w:rFonts w:cs="Arial"/>
                <w:sz w:val="16"/>
                <w:szCs w:val="16"/>
              </w:rPr>
              <w:t>2</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663</w:t>
            </w:r>
            <w:r>
              <w:rPr>
                <w:rFonts w:cs="Arial"/>
                <w:color w:val="000000"/>
                <w:sz w:val="16"/>
                <w:szCs w:val="16"/>
              </w:rPr>
              <w:t>,</w:t>
            </w:r>
            <w:r w:rsidRPr="0093445E">
              <w:rPr>
                <w:rFonts w:cs="Arial"/>
                <w:color w:val="000000"/>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29 928</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32</w:t>
            </w:r>
            <w:r>
              <w:rPr>
                <w:rFonts w:cs="Arial"/>
                <w:sz w:val="16"/>
                <w:szCs w:val="16"/>
              </w:rPr>
              <w:t>,</w:t>
            </w:r>
            <w:r w:rsidRPr="0093445E">
              <w:rPr>
                <w:rFonts w:cs="Arial"/>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0</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1</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82</w:t>
            </w:r>
            <w:r>
              <w:rPr>
                <w:rFonts w:cs="Arial"/>
                <w:sz w:val="16"/>
                <w:szCs w:val="16"/>
              </w:rPr>
              <w:t>,</w:t>
            </w:r>
            <w:r w:rsidRPr="0093445E">
              <w:rPr>
                <w:rFonts w:cs="Arial"/>
                <w:sz w:val="16"/>
                <w:szCs w:val="16"/>
              </w:rPr>
              <w:t>0</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1 268</w:t>
            </w:r>
            <w:r>
              <w:rPr>
                <w:rFonts w:cs="Arial"/>
                <w:color w:val="000000"/>
                <w:sz w:val="16"/>
                <w:szCs w:val="16"/>
              </w:rPr>
              <w:t>,</w:t>
            </w:r>
            <w:r w:rsidRPr="0093445E">
              <w:rPr>
                <w:rFonts w:cs="Arial"/>
                <w:color w:val="000000"/>
                <w:sz w:val="16"/>
                <w:szCs w:val="16"/>
              </w:rPr>
              <w:t>8</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55 924</w:t>
            </w:r>
            <w:r>
              <w:rPr>
                <w:rFonts w:cs="Arial"/>
                <w:sz w:val="16"/>
                <w:szCs w:val="16"/>
              </w:rPr>
              <w:t>,</w:t>
            </w:r>
            <w:r w:rsidRPr="0093445E">
              <w:rPr>
                <w:rFonts w:cs="Arial"/>
                <w:sz w:val="16"/>
                <w:szCs w:val="16"/>
              </w:rPr>
              <w:t>0</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30</w:t>
            </w:r>
            <w:r>
              <w:rPr>
                <w:rFonts w:cs="Arial"/>
                <w:sz w:val="16"/>
                <w:szCs w:val="16"/>
              </w:rPr>
              <w:t>,</w:t>
            </w:r>
            <w:r w:rsidRPr="0093445E">
              <w:rPr>
                <w:rFonts w:cs="Arial"/>
                <w:sz w:val="16"/>
                <w:szCs w:val="16"/>
              </w:rPr>
              <w:t>1</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6</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44</w:t>
            </w:r>
            <w:r>
              <w:rPr>
                <w:rFonts w:cs="Arial"/>
                <w:sz w:val="16"/>
                <w:szCs w:val="16"/>
              </w:rPr>
              <w:t>,</w:t>
            </w:r>
            <w:r w:rsidRPr="0093445E">
              <w:rPr>
                <w:rFonts w:cs="Arial"/>
                <w:sz w:val="16"/>
                <w:szCs w:val="16"/>
              </w:rPr>
              <w:t>1</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153</w:t>
            </w:r>
            <w:r>
              <w:rPr>
                <w:rFonts w:cs="Arial"/>
                <w:sz w:val="16"/>
                <w:szCs w:val="16"/>
              </w:rPr>
              <w:t>,</w:t>
            </w:r>
            <w:r w:rsidRPr="0093445E">
              <w:rPr>
                <w:rFonts w:cs="Arial"/>
                <w:sz w:val="16"/>
                <w:szCs w:val="16"/>
              </w:rPr>
              <w:t>2</w:t>
            </w:r>
          </w:p>
        </w:tc>
      </w:tr>
      <w:tr w:rsidR="005578C1" w:rsidRPr="0093445E" w:rsidTr="0045780F">
        <w:trPr>
          <w:trHeight w:val="259"/>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2012</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593</w:t>
            </w:r>
            <w:r>
              <w:rPr>
                <w:rFonts w:cs="Arial"/>
                <w:color w:val="000000"/>
                <w:sz w:val="16"/>
                <w:szCs w:val="16"/>
              </w:rPr>
              <w:t>,</w:t>
            </w:r>
            <w:r w:rsidRPr="0093445E">
              <w:rPr>
                <w:rFonts w:cs="Arial"/>
                <w:color w:val="000000"/>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26 190</w:t>
            </w:r>
            <w:r>
              <w:rPr>
                <w:rFonts w:cs="Arial"/>
                <w:sz w:val="16"/>
                <w:szCs w:val="16"/>
              </w:rPr>
              <w:t>,</w:t>
            </w:r>
            <w:r w:rsidRPr="0093445E">
              <w:rPr>
                <w:rFonts w:cs="Arial"/>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26</w:t>
            </w:r>
            <w:r>
              <w:rPr>
                <w:rFonts w:cs="Arial"/>
                <w:sz w:val="16"/>
                <w:szCs w:val="16"/>
              </w:rPr>
              <w:t>,</w:t>
            </w:r>
            <w:r w:rsidRPr="0093445E">
              <w:rPr>
                <w:rFonts w:cs="Arial"/>
                <w:sz w:val="16"/>
                <w:szCs w:val="16"/>
              </w:rPr>
              <w:t>0</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2</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44</w:t>
            </w:r>
            <w:r>
              <w:rPr>
                <w:rFonts w:cs="Arial"/>
                <w:sz w:val="16"/>
                <w:szCs w:val="16"/>
              </w:rPr>
              <w:t>,</w:t>
            </w:r>
            <w:r w:rsidRPr="0093445E">
              <w:rPr>
                <w:rFonts w:cs="Arial"/>
                <w:sz w:val="16"/>
                <w:szCs w:val="16"/>
              </w:rPr>
              <w:t>1</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71</w:t>
            </w:r>
            <w:r>
              <w:rPr>
                <w:rFonts w:cs="Arial"/>
                <w:sz w:val="16"/>
                <w:szCs w:val="16"/>
              </w:rPr>
              <w:t>,</w:t>
            </w:r>
            <w:r w:rsidRPr="0093445E">
              <w:rPr>
                <w:rFonts w:cs="Arial"/>
                <w:sz w:val="16"/>
                <w:szCs w:val="16"/>
              </w:rPr>
              <w:t>6</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633</w:t>
            </w:r>
            <w:r>
              <w:rPr>
                <w:rFonts w:cs="Arial"/>
                <w:color w:val="000000"/>
                <w:sz w:val="16"/>
                <w:szCs w:val="16"/>
              </w:rPr>
              <w:t>,</w:t>
            </w:r>
            <w:r w:rsidRPr="0093445E">
              <w:rPr>
                <w:rFonts w:cs="Arial"/>
                <w:color w:val="000000"/>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30 302</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28</w:t>
            </w:r>
            <w:r>
              <w:rPr>
                <w:rFonts w:cs="Arial"/>
                <w:sz w:val="16"/>
                <w:szCs w:val="16"/>
              </w:rPr>
              <w:t>,</w:t>
            </w:r>
            <w:r w:rsidRPr="0093445E">
              <w:rPr>
                <w:rFonts w:cs="Arial"/>
                <w:sz w:val="16"/>
                <w:szCs w:val="16"/>
              </w:rPr>
              <w:t>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8</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47</w:t>
            </w:r>
            <w:r>
              <w:rPr>
                <w:rFonts w:cs="Arial"/>
                <w:sz w:val="16"/>
                <w:szCs w:val="16"/>
              </w:rPr>
              <w:t>,</w:t>
            </w:r>
            <w:r w:rsidRPr="0093445E">
              <w:rPr>
                <w:rFonts w:cs="Arial"/>
                <w:sz w:val="16"/>
                <w:szCs w:val="16"/>
              </w:rPr>
              <w:t>9</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82</w:t>
            </w:r>
            <w:r>
              <w:rPr>
                <w:rFonts w:cs="Arial"/>
                <w:sz w:val="16"/>
                <w:szCs w:val="16"/>
              </w:rPr>
              <w:t>,</w:t>
            </w:r>
            <w:r w:rsidRPr="0093445E">
              <w:rPr>
                <w:rFonts w:cs="Arial"/>
                <w:sz w:val="16"/>
                <w:szCs w:val="16"/>
              </w:rPr>
              <w:t>8</w:t>
            </w:r>
          </w:p>
        </w:tc>
      </w:tr>
      <w:tr w:rsidR="005578C1" w:rsidRPr="0093445E" w:rsidTr="0045780F">
        <w:trPr>
          <w:trHeight w:val="255"/>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1 226</w:t>
            </w:r>
            <w:r>
              <w:rPr>
                <w:rFonts w:cs="Arial"/>
                <w:color w:val="000000"/>
                <w:sz w:val="16"/>
                <w:szCs w:val="16"/>
              </w:rPr>
              <w:t>,</w:t>
            </w:r>
            <w:r w:rsidRPr="0093445E">
              <w:rPr>
                <w:rFonts w:cs="Arial"/>
                <w:color w:val="000000"/>
                <w:sz w:val="16"/>
                <w:szCs w:val="16"/>
              </w:rPr>
              <w:t>9</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56 492</w:t>
            </w:r>
            <w:r>
              <w:rPr>
                <w:rFonts w:cs="Arial"/>
                <w:sz w:val="16"/>
                <w:szCs w:val="16"/>
              </w:rPr>
              <w:t>,</w:t>
            </w:r>
            <w:r w:rsidRPr="0093445E">
              <w:rPr>
                <w:rFonts w:cs="Arial"/>
                <w:sz w:val="16"/>
                <w:szCs w:val="16"/>
              </w:rPr>
              <w:t>9</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27</w:t>
            </w:r>
            <w:r>
              <w:rPr>
                <w:rFonts w:cs="Arial"/>
                <w:sz w:val="16"/>
                <w:szCs w:val="16"/>
              </w:rPr>
              <w:t>,</w:t>
            </w:r>
            <w:r w:rsidRPr="0093445E">
              <w:rPr>
                <w:rFonts w:cs="Arial"/>
                <w:sz w:val="16"/>
                <w:szCs w:val="16"/>
              </w:rPr>
              <w:t>4</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5</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46</w:t>
            </w:r>
            <w:r>
              <w:rPr>
                <w:rFonts w:cs="Arial"/>
                <w:sz w:val="16"/>
                <w:szCs w:val="16"/>
              </w:rPr>
              <w:t>,</w:t>
            </w:r>
            <w:r w:rsidRPr="0093445E">
              <w:rPr>
                <w:rFonts w:cs="Arial"/>
                <w:sz w:val="16"/>
                <w:szCs w:val="16"/>
              </w:rPr>
              <w:t>1</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154</w:t>
            </w:r>
            <w:r>
              <w:rPr>
                <w:rFonts w:cs="Arial"/>
                <w:sz w:val="16"/>
                <w:szCs w:val="16"/>
              </w:rPr>
              <w:t>,</w:t>
            </w:r>
            <w:r w:rsidRPr="0093445E">
              <w:rPr>
                <w:rFonts w:cs="Arial"/>
                <w:sz w:val="16"/>
                <w:szCs w:val="16"/>
              </w:rPr>
              <w:t>4</w:t>
            </w:r>
          </w:p>
        </w:tc>
      </w:tr>
      <w:tr w:rsidR="005578C1" w:rsidRPr="0093445E" w:rsidTr="0045780F">
        <w:trPr>
          <w:trHeight w:val="259"/>
        </w:trPr>
        <w:tc>
          <w:tcPr>
            <w:tcW w:w="1385" w:type="dxa"/>
            <w:vMerge w:val="restart"/>
            <w:tcBorders>
              <w:top w:val="nil"/>
              <w:left w:val="nil"/>
              <w:bottom w:val="single" w:sz="4" w:space="0" w:color="000000"/>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2013</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631</w:t>
            </w:r>
            <w:r>
              <w:rPr>
                <w:rFonts w:cs="Arial"/>
                <w:color w:val="000000"/>
                <w:sz w:val="16"/>
                <w:szCs w:val="16"/>
              </w:rPr>
              <w:t>,</w:t>
            </w:r>
            <w:r w:rsidRPr="0093445E">
              <w:rPr>
                <w:rFonts w:cs="Arial"/>
                <w:color w:val="000000"/>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27 024</w:t>
            </w:r>
            <w:r>
              <w:rPr>
                <w:rFonts w:cs="Arial"/>
                <w:sz w:val="16"/>
                <w:szCs w:val="16"/>
              </w:rPr>
              <w:t>,</w:t>
            </w:r>
            <w:r w:rsidRPr="0093445E">
              <w:rPr>
                <w:rFonts w:cs="Arial"/>
                <w:sz w:val="16"/>
                <w:szCs w:val="16"/>
              </w:rPr>
              <w:t>0</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28</w:t>
            </w:r>
            <w:r>
              <w:rPr>
                <w:rFonts w:cs="Arial"/>
                <w:sz w:val="16"/>
                <w:szCs w:val="16"/>
              </w:rPr>
              <w:t>,</w:t>
            </w:r>
            <w:r w:rsidRPr="0093445E">
              <w:rPr>
                <w:rFonts w:cs="Arial"/>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3</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42</w:t>
            </w:r>
            <w:r>
              <w:rPr>
                <w:rFonts w:cs="Arial"/>
                <w:sz w:val="16"/>
                <w:szCs w:val="16"/>
              </w:rPr>
              <w:t>,</w:t>
            </w:r>
            <w:r w:rsidRPr="0093445E">
              <w:rPr>
                <w:rFonts w:cs="Arial"/>
                <w:sz w:val="16"/>
                <w:szCs w:val="16"/>
              </w:rPr>
              <w:t>3</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74</w:t>
            </w:r>
            <w:r>
              <w:rPr>
                <w:rFonts w:cs="Arial"/>
                <w:sz w:val="16"/>
                <w:szCs w:val="16"/>
              </w:rPr>
              <w:t>,</w:t>
            </w:r>
            <w:r w:rsidRPr="0093445E">
              <w:rPr>
                <w:rFonts w:cs="Arial"/>
                <w:sz w:val="16"/>
                <w:szCs w:val="16"/>
              </w:rPr>
              <w:t>0</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683</w:t>
            </w:r>
            <w:r>
              <w:rPr>
                <w:rFonts w:cs="Arial"/>
                <w:color w:val="000000"/>
                <w:sz w:val="16"/>
                <w:szCs w:val="16"/>
              </w:rPr>
              <w:t>,</w:t>
            </w:r>
            <w:r w:rsidRPr="0093445E">
              <w:rPr>
                <w:rFonts w:cs="Arial"/>
                <w:color w:val="000000"/>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31 562</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31</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0</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5</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86</w:t>
            </w:r>
            <w:r>
              <w:rPr>
                <w:rFonts w:cs="Arial"/>
                <w:sz w:val="16"/>
                <w:szCs w:val="16"/>
              </w:rPr>
              <w:t>,</w:t>
            </w:r>
            <w:r w:rsidRPr="0093445E">
              <w:rPr>
                <w:rFonts w:cs="Arial"/>
                <w:sz w:val="16"/>
                <w:szCs w:val="16"/>
              </w:rPr>
              <w:t>5</w:t>
            </w:r>
          </w:p>
        </w:tc>
      </w:tr>
      <w:tr w:rsidR="005578C1" w:rsidRPr="0093445E" w:rsidTr="0045780F">
        <w:trPr>
          <w:trHeight w:val="259"/>
        </w:trPr>
        <w:tc>
          <w:tcPr>
            <w:tcW w:w="1385" w:type="dxa"/>
            <w:vMerge/>
            <w:tcBorders>
              <w:top w:val="nil"/>
              <w:left w:val="nil"/>
              <w:bottom w:val="single" w:sz="4" w:space="0" w:color="000000"/>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1 314</w:t>
            </w:r>
            <w:r>
              <w:rPr>
                <w:rFonts w:cs="Arial"/>
                <w:color w:val="000000"/>
                <w:sz w:val="16"/>
                <w:szCs w:val="16"/>
              </w:rPr>
              <w:t>,</w:t>
            </w:r>
            <w:r w:rsidRPr="0093445E">
              <w:rPr>
                <w:rFonts w:cs="Arial"/>
                <w:color w:val="000000"/>
                <w:sz w:val="16"/>
                <w:szCs w:val="16"/>
              </w:rPr>
              <w:t>8</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58 586</w:t>
            </w:r>
            <w:r>
              <w:rPr>
                <w:rFonts w:cs="Arial"/>
                <w:sz w:val="16"/>
                <w:szCs w:val="16"/>
              </w:rPr>
              <w:t>,</w:t>
            </w:r>
            <w:r w:rsidRPr="0093445E">
              <w:rPr>
                <w:rFonts w:cs="Arial"/>
                <w:sz w:val="16"/>
                <w:szCs w:val="16"/>
              </w:rPr>
              <w:t>7</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30</w:t>
            </w:r>
            <w:r>
              <w:rPr>
                <w:rFonts w:cs="Arial"/>
                <w:sz w:val="16"/>
                <w:szCs w:val="16"/>
              </w:rPr>
              <w:t>,</w:t>
            </w:r>
            <w:r w:rsidRPr="0093445E">
              <w:rPr>
                <w:rFonts w:cs="Arial"/>
                <w:sz w:val="16"/>
                <w:szCs w:val="16"/>
              </w:rPr>
              <w:t>0</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6</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44</w:t>
            </w:r>
            <w:r>
              <w:rPr>
                <w:rFonts w:cs="Arial"/>
                <w:sz w:val="16"/>
                <w:szCs w:val="16"/>
              </w:rPr>
              <w:t>,</w:t>
            </w:r>
            <w:r w:rsidRPr="0093445E">
              <w:rPr>
                <w:rFonts w:cs="Arial"/>
                <w:sz w:val="16"/>
                <w:szCs w:val="16"/>
              </w:rPr>
              <w:t>0</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160</w:t>
            </w:r>
            <w:r>
              <w:rPr>
                <w:rFonts w:cs="Arial"/>
                <w:sz w:val="16"/>
                <w:szCs w:val="16"/>
              </w:rPr>
              <w:t>,</w:t>
            </w:r>
            <w:r w:rsidRPr="0093445E">
              <w:rPr>
                <w:rFonts w:cs="Arial"/>
                <w:sz w:val="16"/>
                <w:szCs w:val="16"/>
              </w:rPr>
              <w:t>5</w:t>
            </w:r>
          </w:p>
        </w:tc>
      </w:tr>
      <w:tr w:rsidR="005578C1" w:rsidRPr="0093445E" w:rsidTr="0045780F">
        <w:trPr>
          <w:trHeight w:val="259"/>
        </w:trPr>
        <w:tc>
          <w:tcPr>
            <w:tcW w:w="1385" w:type="dxa"/>
            <w:vMerge w:val="restart"/>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2014</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751</w:t>
            </w:r>
            <w:r>
              <w:rPr>
                <w:rFonts w:cs="Arial"/>
                <w:color w:val="000000"/>
                <w:sz w:val="16"/>
                <w:szCs w:val="16"/>
              </w:rPr>
              <w:t>,</w:t>
            </w:r>
            <w:r w:rsidRPr="0093445E">
              <w:rPr>
                <w:rFonts w:cs="Arial"/>
                <w:color w:val="000000"/>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27 428</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27</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3</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43</w:t>
            </w:r>
            <w:r>
              <w:rPr>
                <w:rFonts w:cs="Arial"/>
                <w:sz w:val="16"/>
                <w:szCs w:val="16"/>
              </w:rPr>
              <w:t>,</w:t>
            </w:r>
            <w:r w:rsidRPr="0093445E">
              <w:rPr>
                <w:rFonts w:cs="Arial"/>
                <w:sz w:val="16"/>
                <w:szCs w:val="16"/>
              </w:rPr>
              <w:t>4</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75</w:t>
            </w:r>
            <w:r>
              <w:rPr>
                <w:rFonts w:cs="Arial"/>
                <w:sz w:val="16"/>
                <w:szCs w:val="16"/>
              </w:rPr>
              <w:t>,</w:t>
            </w:r>
            <w:r w:rsidRPr="0093445E">
              <w:rPr>
                <w:rFonts w:cs="Arial"/>
                <w:sz w:val="16"/>
                <w:szCs w:val="16"/>
              </w:rPr>
              <w:t>2</w:t>
            </w:r>
          </w:p>
        </w:tc>
      </w:tr>
      <w:tr w:rsidR="005578C1" w:rsidRPr="0093445E" w:rsidTr="0045780F">
        <w:trPr>
          <w:trHeight w:val="259"/>
        </w:trPr>
        <w:tc>
          <w:tcPr>
            <w:tcW w:w="1385" w:type="dxa"/>
            <w:vMerge/>
            <w:tcBorders>
              <w:top w:val="nil"/>
              <w:left w:val="nil"/>
              <w:bottom w:val="nil"/>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811</w:t>
            </w:r>
            <w:r>
              <w:rPr>
                <w:rFonts w:cs="Arial"/>
                <w:color w:val="000000"/>
                <w:sz w:val="16"/>
                <w:szCs w:val="16"/>
              </w:rPr>
              <w:t>,</w:t>
            </w:r>
            <w:r w:rsidRPr="0093445E">
              <w:rPr>
                <w:rFonts w:cs="Arial"/>
                <w:color w:val="000000"/>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32 806</w:t>
            </w:r>
            <w:r>
              <w:rPr>
                <w:rFonts w:cs="Arial"/>
                <w:sz w:val="16"/>
                <w:szCs w:val="16"/>
              </w:rPr>
              <w:t>,</w:t>
            </w:r>
            <w:r w:rsidRPr="0093445E">
              <w:rPr>
                <w:rFonts w:cs="Arial"/>
                <w:sz w:val="16"/>
                <w:szCs w:val="16"/>
              </w:rPr>
              <w:t>1</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31</w:t>
            </w:r>
            <w:r>
              <w:rPr>
                <w:rFonts w:cs="Arial"/>
                <w:sz w:val="16"/>
                <w:szCs w:val="16"/>
              </w:rPr>
              <w:t>,</w:t>
            </w:r>
            <w:r w:rsidRPr="0093445E">
              <w:rPr>
                <w:rFonts w:cs="Arial"/>
                <w:sz w:val="16"/>
                <w:szCs w:val="16"/>
              </w:rPr>
              <w:t>2</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1</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48</w:t>
            </w:r>
            <w:r>
              <w:rPr>
                <w:rFonts w:cs="Arial"/>
                <w:sz w:val="16"/>
                <w:szCs w:val="16"/>
              </w:rPr>
              <w:t>,</w:t>
            </w:r>
            <w:r w:rsidRPr="0093445E">
              <w:rPr>
                <w:rFonts w:cs="Arial"/>
                <w:sz w:val="16"/>
                <w:szCs w:val="16"/>
              </w:rPr>
              <w:t>0</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89</w:t>
            </w:r>
            <w:r>
              <w:rPr>
                <w:rFonts w:cs="Arial"/>
                <w:sz w:val="16"/>
                <w:szCs w:val="16"/>
              </w:rPr>
              <w:t>,</w:t>
            </w:r>
            <w:r w:rsidRPr="0093445E">
              <w:rPr>
                <w:rFonts w:cs="Arial"/>
                <w:sz w:val="16"/>
                <w:szCs w:val="16"/>
              </w:rPr>
              <w:t>9</w:t>
            </w:r>
          </w:p>
        </w:tc>
      </w:tr>
      <w:tr w:rsidR="005578C1" w:rsidRPr="0093445E" w:rsidTr="0045780F">
        <w:trPr>
          <w:trHeight w:val="259"/>
        </w:trPr>
        <w:tc>
          <w:tcPr>
            <w:tcW w:w="1385" w:type="dxa"/>
            <w:vMerge/>
            <w:tcBorders>
              <w:top w:val="nil"/>
              <w:left w:val="nil"/>
              <w:bottom w:val="nil"/>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color w:val="000000"/>
                <w:sz w:val="16"/>
                <w:szCs w:val="16"/>
              </w:rPr>
            </w:pPr>
            <w:r w:rsidRPr="0093445E">
              <w:rPr>
                <w:rFonts w:cs="Arial"/>
                <w:color w:val="000000"/>
                <w:sz w:val="16"/>
                <w:szCs w:val="16"/>
              </w:rPr>
              <w:t>1 563</w:t>
            </w:r>
            <w:r>
              <w:rPr>
                <w:rFonts w:cs="Arial"/>
                <w:color w:val="000000"/>
                <w:sz w:val="16"/>
                <w:szCs w:val="16"/>
              </w:rPr>
              <w:t>,</w:t>
            </w:r>
            <w:r w:rsidRPr="0093445E">
              <w:rPr>
                <w:rFonts w:cs="Arial"/>
                <w:color w:val="000000"/>
                <w:sz w:val="16"/>
                <w:szCs w:val="16"/>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60 234</w:t>
            </w:r>
            <w:r>
              <w:rPr>
                <w:rFonts w:cs="Arial"/>
                <w:sz w:val="16"/>
                <w:szCs w:val="16"/>
              </w:rPr>
              <w:t>,</w:t>
            </w:r>
            <w:r w:rsidRPr="0093445E">
              <w:rPr>
                <w:rFonts w:cs="Arial"/>
                <w:sz w:val="16"/>
                <w:szCs w:val="16"/>
              </w:rPr>
              <w:t>9</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29</w:t>
            </w:r>
            <w:r>
              <w:rPr>
                <w:rFonts w:cs="Arial"/>
                <w:sz w:val="16"/>
                <w:szCs w:val="16"/>
              </w:rPr>
              <w:t>,</w:t>
            </w:r>
            <w:r w:rsidRPr="0093445E">
              <w:rPr>
                <w:rFonts w:cs="Arial"/>
                <w:sz w:val="16"/>
                <w:szCs w:val="16"/>
              </w:rPr>
              <w:t>5</w:t>
            </w:r>
          </w:p>
        </w:tc>
        <w:tc>
          <w:tcPr>
            <w:tcW w:w="112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7</w:t>
            </w:r>
          </w:p>
        </w:tc>
        <w:tc>
          <w:tcPr>
            <w:tcW w:w="1140" w:type="dxa"/>
            <w:tcBorders>
              <w:top w:val="nil"/>
              <w:left w:val="nil"/>
              <w:bottom w:val="single" w:sz="4" w:space="0" w:color="auto"/>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8</w:t>
            </w:r>
          </w:p>
        </w:tc>
        <w:tc>
          <w:tcPr>
            <w:tcW w:w="1120" w:type="dxa"/>
            <w:tcBorders>
              <w:top w:val="nil"/>
              <w:left w:val="nil"/>
              <w:bottom w:val="single" w:sz="4" w:space="0" w:color="auto"/>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165</w:t>
            </w:r>
            <w:r>
              <w:rPr>
                <w:rFonts w:cs="Arial"/>
                <w:sz w:val="16"/>
                <w:szCs w:val="16"/>
              </w:rPr>
              <w:t>,</w:t>
            </w:r>
            <w:r w:rsidRPr="0093445E">
              <w:rPr>
                <w:rFonts w:cs="Arial"/>
                <w:sz w:val="16"/>
                <w:szCs w:val="16"/>
              </w:rPr>
              <w:t>0</w:t>
            </w:r>
          </w:p>
        </w:tc>
      </w:tr>
      <w:tr w:rsidR="005578C1" w:rsidRPr="0093445E" w:rsidTr="0045780F">
        <w:trPr>
          <w:trHeight w:val="259"/>
        </w:trPr>
        <w:tc>
          <w:tcPr>
            <w:tcW w:w="1385" w:type="dxa"/>
            <w:vMerge w:val="restart"/>
            <w:tcBorders>
              <w:top w:val="single" w:sz="4" w:space="0" w:color="auto"/>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2015</w:t>
            </w: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751</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30 472</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32</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w:t>
            </w:r>
            <w:r>
              <w:rPr>
                <w:rFonts w:cs="Arial"/>
                <w:sz w:val="16"/>
                <w:szCs w:val="16"/>
              </w:rPr>
              <w:t>,</w:t>
            </w:r>
            <w:r w:rsidRPr="0093445E">
              <w:rPr>
                <w:rFonts w:cs="Arial"/>
                <w:sz w:val="16"/>
                <w:szCs w:val="16"/>
              </w:rPr>
              <w:t>6</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40</w:t>
            </w:r>
            <w:r>
              <w:rPr>
                <w:rFonts w:cs="Arial"/>
                <w:sz w:val="16"/>
                <w:szCs w:val="16"/>
              </w:rPr>
              <w:t>,</w:t>
            </w:r>
            <w:r w:rsidRPr="0093445E">
              <w:rPr>
                <w:rFonts w:cs="Arial"/>
                <w:sz w:val="16"/>
                <w:szCs w:val="16"/>
              </w:rPr>
              <w:t>5</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83</w:t>
            </w:r>
            <w:r>
              <w:rPr>
                <w:rFonts w:cs="Arial"/>
                <w:sz w:val="16"/>
                <w:szCs w:val="16"/>
              </w:rPr>
              <w:t>,</w:t>
            </w:r>
            <w:r w:rsidRPr="0093445E">
              <w:rPr>
                <w:rFonts w:cs="Arial"/>
                <w:sz w:val="16"/>
                <w:szCs w:val="16"/>
              </w:rPr>
              <w:t>5</w:t>
            </w:r>
          </w:p>
        </w:tc>
      </w:tr>
      <w:tr w:rsidR="005578C1" w:rsidRPr="0093445E" w:rsidTr="0045780F">
        <w:trPr>
          <w:trHeight w:val="259"/>
        </w:trPr>
        <w:tc>
          <w:tcPr>
            <w:tcW w:w="1385" w:type="dxa"/>
            <w:vMerge/>
            <w:tcBorders>
              <w:top w:val="single" w:sz="4" w:space="0" w:color="auto"/>
              <w:left w:val="nil"/>
              <w:bottom w:val="nil"/>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811</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36 344</w:t>
            </w:r>
            <w:r>
              <w:rPr>
                <w:rFonts w:cs="Arial"/>
                <w:sz w:val="16"/>
                <w:szCs w:val="16"/>
              </w:rPr>
              <w:t>,</w:t>
            </w:r>
            <w:r w:rsidRPr="0093445E">
              <w:rPr>
                <w:rFonts w:cs="Arial"/>
                <w:sz w:val="16"/>
                <w:szCs w:val="16"/>
              </w:rPr>
              <w:t>6</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36</w:t>
            </w:r>
            <w:r>
              <w:rPr>
                <w:rFonts w:cs="Arial"/>
                <w:sz w:val="16"/>
                <w:szCs w:val="16"/>
              </w:rPr>
              <w:t>,</w:t>
            </w:r>
            <w:r w:rsidRPr="0093445E">
              <w:rPr>
                <w:rFonts w:cs="Arial"/>
                <w:sz w:val="16"/>
                <w:szCs w:val="16"/>
              </w:rPr>
              <w:t>8</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5</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44</w:t>
            </w:r>
            <w:r>
              <w:rPr>
                <w:rFonts w:cs="Arial"/>
                <w:sz w:val="16"/>
                <w:szCs w:val="16"/>
              </w:rPr>
              <w:t>,</w:t>
            </w:r>
            <w:r w:rsidRPr="0093445E">
              <w:rPr>
                <w:rFonts w:cs="Arial"/>
                <w:sz w:val="16"/>
                <w:szCs w:val="16"/>
              </w:rPr>
              <w:t>8</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99</w:t>
            </w:r>
            <w:r>
              <w:rPr>
                <w:rFonts w:cs="Arial"/>
                <w:sz w:val="16"/>
                <w:szCs w:val="16"/>
              </w:rPr>
              <w:t>,</w:t>
            </w:r>
            <w:r w:rsidRPr="0093445E">
              <w:rPr>
                <w:rFonts w:cs="Arial"/>
                <w:sz w:val="16"/>
                <w:szCs w:val="16"/>
              </w:rPr>
              <w:t>6</w:t>
            </w:r>
          </w:p>
        </w:tc>
      </w:tr>
      <w:tr w:rsidR="005578C1" w:rsidRPr="0093445E" w:rsidTr="0045780F">
        <w:trPr>
          <w:trHeight w:val="259"/>
        </w:trPr>
        <w:tc>
          <w:tcPr>
            <w:tcW w:w="1385" w:type="dxa"/>
            <w:vMerge/>
            <w:tcBorders>
              <w:top w:val="single" w:sz="4" w:space="0" w:color="auto"/>
              <w:left w:val="nil"/>
              <w:bottom w:val="nil"/>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1 563</w:t>
            </w:r>
            <w:r>
              <w:rPr>
                <w:rFonts w:cs="Arial"/>
                <w:sz w:val="16"/>
                <w:szCs w:val="16"/>
              </w:rPr>
              <w:t>,</w:t>
            </w:r>
            <w:r w:rsidRPr="0093445E">
              <w:rPr>
                <w:rFonts w:cs="Arial"/>
                <w:sz w:val="16"/>
                <w:szCs w:val="16"/>
              </w:rPr>
              <w:t>5</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66 817</w:t>
            </w:r>
            <w:r>
              <w:rPr>
                <w:rFonts w:cs="Arial"/>
                <w:sz w:val="16"/>
                <w:szCs w:val="16"/>
              </w:rPr>
              <w:t>,</w:t>
            </w:r>
            <w:r w:rsidRPr="0093445E">
              <w:rPr>
                <w:rFonts w:cs="Arial"/>
                <w:sz w:val="16"/>
                <w:szCs w:val="16"/>
              </w:rPr>
              <w:t>4</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34</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1</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42</w:t>
            </w:r>
            <w:r>
              <w:rPr>
                <w:rFonts w:cs="Arial"/>
                <w:sz w:val="16"/>
                <w:szCs w:val="16"/>
              </w:rPr>
              <w:t>,</w:t>
            </w:r>
            <w:r w:rsidRPr="0093445E">
              <w:rPr>
                <w:rFonts w:cs="Arial"/>
                <w:sz w:val="16"/>
                <w:szCs w:val="16"/>
              </w:rPr>
              <w:t>7</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183</w:t>
            </w:r>
            <w:r>
              <w:rPr>
                <w:rFonts w:cs="Arial"/>
                <w:sz w:val="16"/>
                <w:szCs w:val="16"/>
              </w:rPr>
              <w:t>,</w:t>
            </w:r>
            <w:r w:rsidRPr="0093445E">
              <w:rPr>
                <w:rFonts w:cs="Arial"/>
                <w:sz w:val="16"/>
                <w:szCs w:val="16"/>
              </w:rPr>
              <w:t>1</w:t>
            </w:r>
          </w:p>
        </w:tc>
      </w:tr>
      <w:tr w:rsidR="005578C1" w:rsidRPr="0093445E" w:rsidTr="0045780F">
        <w:trPr>
          <w:trHeight w:val="259"/>
        </w:trPr>
        <w:tc>
          <w:tcPr>
            <w:tcW w:w="1385" w:type="dxa"/>
            <w:vMerge w:val="restart"/>
            <w:tcBorders>
              <w:top w:val="single" w:sz="4" w:space="0" w:color="auto"/>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2016</w:t>
            </w:r>
          </w:p>
        </w:tc>
        <w:tc>
          <w:tcPr>
            <w:tcW w:w="1120" w:type="dxa"/>
            <w:tcBorders>
              <w:top w:val="single" w:sz="4" w:space="0" w:color="auto"/>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muži</w:t>
            </w:r>
          </w:p>
        </w:tc>
        <w:tc>
          <w:tcPr>
            <w:tcW w:w="1120" w:type="dxa"/>
            <w:tcBorders>
              <w:top w:val="single" w:sz="4" w:space="0" w:color="auto"/>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784</w:t>
            </w:r>
            <w:r>
              <w:rPr>
                <w:rFonts w:cs="Arial"/>
                <w:sz w:val="16"/>
                <w:szCs w:val="16"/>
              </w:rPr>
              <w:t>,</w:t>
            </w:r>
            <w:r w:rsidRPr="0093445E">
              <w:rPr>
                <w:rFonts w:cs="Arial"/>
                <w:sz w:val="16"/>
                <w:szCs w:val="16"/>
              </w:rPr>
              <w:t>0</w:t>
            </w:r>
          </w:p>
        </w:tc>
        <w:tc>
          <w:tcPr>
            <w:tcW w:w="1120" w:type="dxa"/>
            <w:tcBorders>
              <w:top w:val="single" w:sz="4" w:space="0" w:color="auto"/>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31 874,1</w:t>
            </w:r>
          </w:p>
        </w:tc>
        <w:tc>
          <w:tcPr>
            <w:tcW w:w="1120" w:type="dxa"/>
            <w:tcBorders>
              <w:top w:val="single" w:sz="4" w:space="0" w:color="auto"/>
              <w:left w:val="nil"/>
              <w:bottom w:val="nil"/>
              <w:right w:val="single" w:sz="4" w:space="0" w:color="auto"/>
            </w:tcBorders>
            <w:shd w:val="clear" w:color="000000" w:fill="FFFFFF"/>
            <w:noWrap/>
            <w:vAlign w:val="bottom"/>
            <w:hideMark/>
          </w:tcPr>
          <w:p w:rsidR="005578C1" w:rsidRPr="00157FA0" w:rsidRDefault="005578C1" w:rsidP="0045780F">
            <w:pPr>
              <w:spacing w:after="0" w:line="240" w:lineRule="auto"/>
              <w:jc w:val="right"/>
              <w:rPr>
                <w:rFonts w:cs="Arial"/>
                <w:sz w:val="16"/>
                <w:szCs w:val="16"/>
                <w:highlight w:val="yellow"/>
              </w:rPr>
            </w:pPr>
            <w:r w:rsidRPr="00FB1494">
              <w:rPr>
                <w:rFonts w:cs="Arial"/>
                <w:sz w:val="16"/>
                <w:szCs w:val="16"/>
              </w:rPr>
              <w:t>33,7</w:t>
            </w:r>
          </w:p>
        </w:tc>
        <w:tc>
          <w:tcPr>
            <w:tcW w:w="1120" w:type="dxa"/>
            <w:tcBorders>
              <w:top w:val="single" w:sz="4" w:space="0" w:color="auto"/>
              <w:left w:val="nil"/>
              <w:bottom w:val="nil"/>
              <w:right w:val="single" w:sz="4" w:space="0" w:color="auto"/>
            </w:tcBorders>
            <w:shd w:val="clear" w:color="000000" w:fill="FFFFFF"/>
            <w:noWrap/>
            <w:vAlign w:val="bottom"/>
            <w:hideMark/>
          </w:tcPr>
          <w:p w:rsidR="005578C1" w:rsidRPr="00157FA0" w:rsidRDefault="005578C1" w:rsidP="0045780F">
            <w:pPr>
              <w:spacing w:after="0" w:line="240" w:lineRule="auto"/>
              <w:jc w:val="right"/>
              <w:rPr>
                <w:rFonts w:cs="Arial"/>
                <w:sz w:val="16"/>
                <w:szCs w:val="16"/>
                <w:highlight w:val="yellow"/>
              </w:rPr>
            </w:pPr>
            <w:r w:rsidRPr="00830E19">
              <w:rPr>
                <w:rFonts w:cs="Arial"/>
                <w:sz w:val="16"/>
                <w:szCs w:val="16"/>
              </w:rPr>
              <w:t>3,8</w:t>
            </w:r>
          </w:p>
        </w:tc>
        <w:tc>
          <w:tcPr>
            <w:tcW w:w="1140" w:type="dxa"/>
            <w:tcBorders>
              <w:top w:val="single" w:sz="4" w:space="0" w:color="auto"/>
              <w:left w:val="nil"/>
              <w:bottom w:val="nil"/>
              <w:right w:val="single" w:sz="4" w:space="0" w:color="auto"/>
            </w:tcBorders>
            <w:shd w:val="clear" w:color="000000" w:fill="FFFFFF"/>
            <w:noWrap/>
            <w:vAlign w:val="bottom"/>
            <w:hideMark/>
          </w:tcPr>
          <w:p w:rsidR="005578C1" w:rsidRPr="00157FA0" w:rsidRDefault="005578C1" w:rsidP="0045780F">
            <w:pPr>
              <w:spacing w:after="0" w:line="240" w:lineRule="auto"/>
              <w:jc w:val="right"/>
              <w:rPr>
                <w:rFonts w:cs="Arial"/>
                <w:sz w:val="16"/>
                <w:szCs w:val="16"/>
                <w:highlight w:val="yellow"/>
              </w:rPr>
            </w:pPr>
            <w:r w:rsidRPr="00FB1494">
              <w:rPr>
                <w:rFonts w:cs="Arial"/>
                <w:sz w:val="16"/>
                <w:szCs w:val="16"/>
              </w:rPr>
              <w:t>40,7</w:t>
            </w:r>
          </w:p>
        </w:tc>
        <w:tc>
          <w:tcPr>
            <w:tcW w:w="1120" w:type="dxa"/>
            <w:tcBorders>
              <w:top w:val="single" w:sz="4" w:space="0" w:color="auto"/>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87</w:t>
            </w:r>
            <w:r>
              <w:rPr>
                <w:rFonts w:cs="Arial"/>
                <w:sz w:val="16"/>
                <w:szCs w:val="16"/>
              </w:rPr>
              <w:t>,</w:t>
            </w:r>
            <w:r w:rsidRPr="0093445E">
              <w:rPr>
                <w:rFonts w:cs="Arial"/>
                <w:sz w:val="16"/>
                <w:szCs w:val="16"/>
              </w:rPr>
              <w:t>4</w:t>
            </w:r>
          </w:p>
        </w:tc>
      </w:tr>
      <w:tr w:rsidR="005578C1" w:rsidRPr="0093445E" w:rsidTr="0045780F">
        <w:trPr>
          <w:trHeight w:val="259"/>
        </w:trPr>
        <w:tc>
          <w:tcPr>
            <w:tcW w:w="1385" w:type="dxa"/>
            <w:vMerge/>
            <w:tcBorders>
              <w:top w:val="single" w:sz="4" w:space="0" w:color="auto"/>
              <w:left w:val="nil"/>
              <w:bottom w:val="nil"/>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ženy</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849</w:t>
            </w:r>
            <w:r>
              <w:rPr>
                <w:rFonts w:cs="Arial"/>
                <w:sz w:val="16"/>
                <w:szCs w:val="16"/>
              </w:rPr>
              <w:t>,</w:t>
            </w:r>
            <w:r w:rsidRPr="0093445E">
              <w:rPr>
                <w:rFonts w:cs="Arial"/>
                <w:sz w:val="16"/>
                <w:szCs w:val="16"/>
              </w:rPr>
              <w:t>3</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38 377,9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37</w:t>
            </w:r>
            <w:r>
              <w:rPr>
                <w:rFonts w:cs="Arial"/>
                <w:sz w:val="16"/>
                <w:szCs w:val="16"/>
              </w:rPr>
              <w:t>,</w:t>
            </w:r>
            <w:r w:rsidRPr="0093445E">
              <w:rPr>
                <w:rFonts w:cs="Arial"/>
                <w:sz w:val="16"/>
                <w:szCs w:val="16"/>
              </w:rPr>
              <w:t>9</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7</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45</w:t>
            </w:r>
            <w:r>
              <w:rPr>
                <w:rFonts w:cs="Arial"/>
                <w:sz w:val="16"/>
                <w:szCs w:val="16"/>
              </w:rPr>
              <w:t>,</w:t>
            </w:r>
            <w:r w:rsidRPr="0093445E">
              <w:rPr>
                <w:rFonts w:cs="Arial"/>
                <w:sz w:val="16"/>
                <w:szCs w:val="16"/>
              </w:rPr>
              <w:t>2</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104</w:t>
            </w:r>
            <w:r>
              <w:rPr>
                <w:rFonts w:cs="Arial"/>
                <w:sz w:val="16"/>
                <w:szCs w:val="16"/>
              </w:rPr>
              <w:t>,</w:t>
            </w:r>
            <w:r w:rsidRPr="0093445E">
              <w:rPr>
                <w:rFonts w:cs="Arial"/>
                <w:sz w:val="16"/>
                <w:szCs w:val="16"/>
              </w:rPr>
              <w:t>6</w:t>
            </w:r>
          </w:p>
        </w:tc>
      </w:tr>
      <w:tr w:rsidR="005578C1" w:rsidRPr="0093445E" w:rsidTr="0045780F">
        <w:trPr>
          <w:trHeight w:val="259"/>
        </w:trPr>
        <w:tc>
          <w:tcPr>
            <w:tcW w:w="1385" w:type="dxa"/>
            <w:vMerge/>
            <w:tcBorders>
              <w:top w:val="single" w:sz="4" w:space="0" w:color="auto"/>
              <w:left w:val="nil"/>
              <w:bottom w:val="nil"/>
              <w:right w:val="single" w:sz="4" w:space="0" w:color="auto"/>
            </w:tcBorders>
            <w:vAlign w:val="center"/>
            <w:hideMark/>
          </w:tcPr>
          <w:p w:rsidR="005578C1" w:rsidRPr="0093445E" w:rsidRDefault="005578C1" w:rsidP="0045780F">
            <w:pPr>
              <w:spacing w:after="0" w:line="240" w:lineRule="auto"/>
              <w:rPr>
                <w:rFonts w:cs="Arial"/>
                <w:color w:val="000000"/>
                <w:sz w:val="16"/>
                <w:szCs w:val="16"/>
              </w:rPr>
            </w:pPr>
          </w:p>
        </w:tc>
        <w:tc>
          <w:tcPr>
            <w:tcW w:w="1120" w:type="dxa"/>
            <w:tcBorders>
              <w:top w:val="nil"/>
              <w:left w:val="nil"/>
              <w:bottom w:val="nil"/>
              <w:right w:val="single" w:sz="4" w:space="0" w:color="auto"/>
            </w:tcBorders>
            <w:shd w:val="clear" w:color="000000" w:fill="FFFFFF"/>
            <w:vAlign w:val="center"/>
            <w:hideMark/>
          </w:tcPr>
          <w:p w:rsidR="005578C1" w:rsidRPr="0093445E" w:rsidRDefault="005578C1" w:rsidP="0045780F">
            <w:pPr>
              <w:spacing w:after="0" w:line="240" w:lineRule="auto"/>
              <w:jc w:val="center"/>
              <w:rPr>
                <w:rFonts w:cs="Arial"/>
                <w:color w:val="000000"/>
                <w:sz w:val="16"/>
                <w:szCs w:val="16"/>
              </w:rPr>
            </w:pPr>
            <w:r w:rsidRPr="0093445E">
              <w:rPr>
                <w:rFonts w:cs="Arial"/>
                <w:color w:val="000000"/>
                <w:sz w:val="16"/>
                <w:szCs w:val="16"/>
              </w:rPr>
              <w:t>celkem</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w:t>
            </w:r>
            <w:r>
              <w:rPr>
                <w:rFonts w:cs="Arial"/>
                <w:sz w:val="16"/>
                <w:szCs w:val="16"/>
              </w:rPr>
              <w:t xml:space="preserve"> </w:t>
            </w:r>
            <w:r w:rsidRPr="0093445E">
              <w:rPr>
                <w:rFonts w:cs="Arial"/>
                <w:sz w:val="16"/>
                <w:szCs w:val="16"/>
              </w:rPr>
              <w:t>633,4</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70 252,0</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35</w:t>
            </w:r>
            <w:r>
              <w:rPr>
                <w:rFonts w:cs="Arial"/>
                <w:sz w:val="16"/>
                <w:szCs w:val="16"/>
              </w:rPr>
              <w:t>,</w:t>
            </w:r>
            <w:r w:rsidRPr="0093445E">
              <w:rPr>
                <w:rFonts w:cs="Arial"/>
                <w:sz w:val="16"/>
                <w:szCs w:val="16"/>
              </w:rPr>
              <w:t>7</w:t>
            </w:r>
          </w:p>
        </w:tc>
        <w:tc>
          <w:tcPr>
            <w:tcW w:w="112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w:t>
            </w:r>
            <w:r>
              <w:rPr>
                <w:rFonts w:cs="Arial"/>
                <w:sz w:val="16"/>
                <w:szCs w:val="16"/>
              </w:rPr>
              <w:t>,</w:t>
            </w:r>
            <w:r w:rsidRPr="0093445E">
              <w:rPr>
                <w:rFonts w:cs="Arial"/>
                <w:sz w:val="16"/>
                <w:szCs w:val="16"/>
              </w:rPr>
              <w:t>2</w:t>
            </w:r>
          </w:p>
        </w:tc>
        <w:tc>
          <w:tcPr>
            <w:tcW w:w="1140" w:type="dxa"/>
            <w:tcBorders>
              <w:top w:val="nil"/>
              <w:left w:val="nil"/>
              <w:bottom w:val="nil"/>
              <w:right w:val="single" w:sz="4" w:space="0" w:color="auto"/>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43</w:t>
            </w:r>
            <w:r>
              <w:rPr>
                <w:rFonts w:cs="Arial"/>
                <w:sz w:val="16"/>
                <w:szCs w:val="16"/>
              </w:rPr>
              <w:t>,</w:t>
            </w:r>
            <w:r w:rsidRPr="0093445E">
              <w:rPr>
                <w:rFonts w:cs="Arial"/>
                <w:sz w:val="16"/>
                <w:szCs w:val="16"/>
              </w:rPr>
              <w:t>0</w:t>
            </w:r>
          </w:p>
        </w:tc>
        <w:tc>
          <w:tcPr>
            <w:tcW w:w="1120" w:type="dxa"/>
            <w:tcBorders>
              <w:top w:val="nil"/>
              <w:left w:val="nil"/>
              <w:bottom w:val="nil"/>
              <w:right w:val="nil"/>
            </w:tcBorders>
            <w:shd w:val="clear" w:color="000000" w:fill="FFFFFF"/>
            <w:noWrap/>
            <w:vAlign w:val="bottom"/>
            <w:hideMark/>
          </w:tcPr>
          <w:p w:rsidR="005578C1" w:rsidRPr="0093445E" w:rsidRDefault="005578C1" w:rsidP="0045780F">
            <w:pPr>
              <w:spacing w:after="0" w:line="240" w:lineRule="auto"/>
              <w:jc w:val="right"/>
              <w:rPr>
                <w:rFonts w:cs="Arial"/>
                <w:sz w:val="16"/>
                <w:szCs w:val="16"/>
              </w:rPr>
            </w:pPr>
            <w:r w:rsidRPr="0093445E">
              <w:rPr>
                <w:rFonts w:cs="Arial"/>
                <w:sz w:val="16"/>
                <w:szCs w:val="16"/>
              </w:rPr>
              <w:t>192</w:t>
            </w:r>
            <w:r>
              <w:rPr>
                <w:rFonts w:cs="Arial"/>
                <w:sz w:val="16"/>
                <w:szCs w:val="16"/>
              </w:rPr>
              <w:t>,</w:t>
            </w:r>
            <w:r w:rsidRPr="0093445E">
              <w:rPr>
                <w:rFonts w:cs="Arial"/>
                <w:sz w:val="16"/>
                <w:szCs w:val="16"/>
              </w:rPr>
              <w:t>0</w:t>
            </w:r>
          </w:p>
        </w:tc>
      </w:tr>
    </w:tbl>
    <w:p w:rsidR="005578C1" w:rsidRDefault="005578C1" w:rsidP="005578C1"/>
    <w:p w:rsidR="005578C1" w:rsidRPr="00C02546" w:rsidRDefault="005578C1" w:rsidP="005578C1">
      <w:pPr>
        <w:spacing w:after="0" w:line="240" w:lineRule="auto"/>
        <w:rPr>
          <w:rFonts w:eastAsia="MS Gothic"/>
          <w:b/>
          <w:bCs/>
          <w:color w:val="C00000"/>
          <w:sz w:val="32"/>
          <w:szCs w:val="28"/>
        </w:rPr>
      </w:pPr>
      <w:bookmarkStart w:id="65" w:name="_Příloha_č._1"/>
      <w:bookmarkEnd w:id="65"/>
    </w:p>
    <w:p w:rsidR="005578C1" w:rsidRPr="007D09E0" w:rsidRDefault="005578C1" w:rsidP="005578C1">
      <w:pPr>
        <w:pStyle w:val="Nadpis1"/>
      </w:pPr>
      <w:bookmarkStart w:id="66" w:name="_Toc483838345"/>
      <w:bookmarkStart w:id="67" w:name="_Toc483901833"/>
      <w:r w:rsidRPr="007D09E0">
        <w:lastRenderedPageBreak/>
        <w:t>4. Přílohy</w:t>
      </w:r>
      <w:bookmarkEnd w:id="66"/>
      <w:bookmarkEnd w:id="67"/>
      <w:r w:rsidRPr="007D09E0">
        <w:t xml:space="preserve"> </w:t>
      </w:r>
    </w:p>
    <w:p w:rsidR="005578C1" w:rsidRPr="007D09E0" w:rsidRDefault="005578C1" w:rsidP="005578C1">
      <w:pPr>
        <w:pStyle w:val="Nadpis2"/>
        <w:rPr>
          <w:szCs w:val="20"/>
        </w:rPr>
      </w:pPr>
      <w:bookmarkStart w:id="68" w:name="_Toc483838346"/>
      <w:bookmarkStart w:id="69" w:name="_Toc483901834"/>
      <w:r w:rsidRPr="007D09E0">
        <w:rPr>
          <w:rStyle w:val="Nadpis1Char"/>
          <w:b/>
          <w:bCs/>
          <w:color w:val="BC091B"/>
          <w:sz w:val="28"/>
        </w:rPr>
        <w:t>Příloha č. 1 - Nemocenské pojištění v roce 2016</w:t>
      </w:r>
      <w:bookmarkEnd w:id="68"/>
      <w:bookmarkEnd w:id="69"/>
    </w:p>
    <w:p w:rsidR="005578C1" w:rsidRDefault="005578C1" w:rsidP="005578C1">
      <w:pPr>
        <w:pStyle w:val="Normlnweb"/>
        <w:jc w:val="both"/>
        <w:rPr>
          <w:rFonts w:ascii="Arial" w:hAnsi="Arial" w:cs="Arial"/>
          <w:b/>
          <w:bCs/>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5578C1" w:rsidRDefault="005578C1" w:rsidP="005578C1">
      <w:pPr>
        <w:pStyle w:val="Normlnweb"/>
        <w:jc w:val="both"/>
        <w:rPr>
          <w:rFonts w:cs="Arial"/>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5578C1" w:rsidRPr="00C91277" w:rsidRDefault="005578C1" w:rsidP="005578C1">
      <w:pPr>
        <w:rPr>
          <w:b/>
          <w:sz w:val="24"/>
          <w:szCs w:val="20"/>
        </w:rPr>
      </w:pPr>
      <w:r w:rsidRPr="00C91277">
        <w:rPr>
          <w:b/>
          <w:sz w:val="24"/>
        </w:rPr>
        <w:t>Účast na nemocenském pojištění</w:t>
      </w:r>
    </w:p>
    <w:p w:rsidR="005578C1" w:rsidRDefault="005578C1" w:rsidP="005578C1">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 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5578C1" w:rsidRDefault="005578C1" w:rsidP="005578C1">
      <w:pPr>
        <w:pStyle w:val="Normlnweb"/>
        <w:jc w:val="both"/>
        <w:rPr>
          <w:rFonts w:cs="Arial"/>
          <w:szCs w:val="20"/>
        </w:rPr>
      </w:pPr>
      <w:r>
        <w:rPr>
          <w:rFonts w:ascii="Arial" w:hAnsi="Arial" w:cs="Arial"/>
          <w:sz w:val="20"/>
          <w:szCs w:val="20"/>
        </w:rPr>
        <w:t>Od 1. 1. 2014 se nově definují některé pojmy:</w:t>
      </w:r>
    </w:p>
    <w:p w:rsidR="005578C1" w:rsidRDefault="005578C1" w:rsidP="005578C1">
      <w:pPr>
        <w:numPr>
          <w:ilvl w:val="0"/>
          <w:numId w:val="15"/>
        </w:numPr>
        <w:suppressAutoHyphens/>
        <w:spacing w:before="280" w:after="0" w:line="240" w:lineRule="auto"/>
        <w:jc w:val="both"/>
        <w:rPr>
          <w:rFonts w:cs="Arial"/>
          <w:b/>
          <w:bCs/>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5578C1" w:rsidRDefault="005578C1" w:rsidP="005578C1">
      <w:pPr>
        <w:numPr>
          <w:ilvl w:val="0"/>
          <w:numId w:val="15"/>
        </w:numPr>
        <w:suppressAutoHyphens/>
        <w:spacing w:after="280"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 nejsou od této daně osvobozeny.</w:t>
      </w:r>
    </w:p>
    <w:p w:rsidR="005578C1" w:rsidRDefault="005578C1" w:rsidP="005578C1">
      <w:pPr>
        <w:pStyle w:val="Normlnweb"/>
        <w:jc w:val="both"/>
        <w:rPr>
          <w:rFonts w:cs="Arial"/>
          <w:b/>
          <w:bCs/>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 výjimkou zaměstnance činného na základě dohody o provedení práce), pokud splňuje podmínky stanovené zákonem o nemocenském pojištění. Jedná se o dvě základní podmínky, a to o:</w:t>
      </w:r>
    </w:p>
    <w:p w:rsidR="005578C1" w:rsidRDefault="005578C1" w:rsidP="005578C1">
      <w:pPr>
        <w:numPr>
          <w:ilvl w:val="0"/>
          <w:numId w:val="16"/>
        </w:numPr>
        <w:suppressAutoHyphens/>
        <w:spacing w:before="280" w:after="0" w:line="240" w:lineRule="auto"/>
        <w:jc w:val="both"/>
        <w:rPr>
          <w:rFonts w:cs="Arial"/>
          <w:b/>
          <w:bCs/>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5578C1" w:rsidRDefault="005578C1" w:rsidP="005578C1">
      <w:pPr>
        <w:numPr>
          <w:ilvl w:val="0"/>
          <w:numId w:val="16"/>
        </w:numPr>
        <w:suppressAutoHyphens/>
        <w:spacing w:after="280"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xml:space="preserve">, jehož hranice byla od 1. 1. 2009 stanovena na </w:t>
      </w:r>
      <w:r>
        <w:rPr>
          <w:rFonts w:cs="Arial"/>
          <w:b/>
          <w:bCs/>
          <w:szCs w:val="20"/>
        </w:rPr>
        <w:t>2 000 Kč. Tato částka se od 1. 1. 2012 zvýšila na částku 2 500 Kč</w:t>
      </w:r>
      <w:r>
        <w:rPr>
          <w:rFonts w:cs="Arial"/>
          <w:szCs w:val="20"/>
        </w:rPr>
        <w:t>).</w:t>
      </w:r>
    </w:p>
    <w:p w:rsidR="005578C1" w:rsidRDefault="005578C1" w:rsidP="005578C1">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5578C1" w:rsidRDefault="005578C1" w:rsidP="005578C1">
      <w:pPr>
        <w:pStyle w:val="Normlnweb"/>
        <w:jc w:val="both"/>
        <w:rPr>
          <w:rFonts w:ascii="Arial" w:hAnsi="Arial" w:cs="Arial"/>
          <w:sz w:val="20"/>
          <w:szCs w:val="20"/>
        </w:rPr>
      </w:pPr>
      <w:r>
        <w:rPr>
          <w:rFonts w:ascii="Arial" w:hAnsi="Arial" w:cs="Arial"/>
          <w:sz w:val="20"/>
          <w:szCs w:val="20"/>
        </w:rPr>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5578C1" w:rsidRDefault="005578C1" w:rsidP="005578C1">
      <w:pPr>
        <w:pStyle w:val="Normlnweb"/>
        <w:jc w:val="both"/>
        <w:rPr>
          <w:rFonts w:cs="Arial"/>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5578C1" w:rsidRDefault="005578C1" w:rsidP="005578C1">
      <w:pPr>
        <w:numPr>
          <w:ilvl w:val="0"/>
          <w:numId w:val="17"/>
        </w:numPr>
        <w:suppressAutoHyphens/>
        <w:spacing w:before="280" w:after="0" w:line="240" w:lineRule="auto"/>
        <w:jc w:val="both"/>
        <w:rPr>
          <w:rFonts w:cs="Arial"/>
          <w:szCs w:val="20"/>
        </w:rPr>
      </w:pPr>
      <w:r>
        <w:rPr>
          <w:rFonts w:cs="Arial"/>
          <w:szCs w:val="20"/>
        </w:rPr>
        <w:lastRenderedPageBreak/>
        <w:t>výkon práce na území ČR a</w:t>
      </w:r>
    </w:p>
    <w:p w:rsidR="005578C1" w:rsidRDefault="005578C1" w:rsidP="005578C1">
      <w:pPr>
        <w:numPr>
          <w:ilvl w:val="0"/>
          <w:numId w:val="17"/>
        </w:numPr>
        <w:suppressAutoHyphens/>
        <w:spacing w:after="280"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5578C1" w:rsidRDefault="005578C1" w:rsidP="005578C1">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5578C1" w:rsidRDefault="005578C1" w:rsidP="005578C1">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 zaplacením pojistného na nemocenské pojištění.</w:t>
      </w:r>
    </w:p>
    <w:p w:rsidR="005578C1" w:rsidRDefault="005578C1" w:rsidP="005578C1">
      <w:pPr>
        <w:pStyle w:val="Normlnweb"/>
        <w:jc w:val="both"/>
        <w:rPr>
          <w:rFonts w:ascii="Arial" w:hAnsi="Arial" w:cs="Arial"/>
          <w:sz w:val="20"/>
          <w:szCs w:val="20"/>
        </w:rPr>
      </w:pPr>
      <w:r>
        <w:rPr>
          <w:rFonts w:ascii="Arial" w:hAnsi="Arial" w:cs="Arial"/>
          <w:sz w:val="20"/>
          <w:szCs w:val="20"/>
        </w:rPr>
        <w:t>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1. 1. 2012. Při sazbě 2,3 % činí minimální pojistné na nemocenské pojištění 115 Kč za kalendářní měsíc.</w:t>
      </w:r>
    </w:p>
    <w:p w:rsidR="005578C1" w:rsidRDefault="005578C1" w:rsidP="005578C1">
      <w:pPr>
        <w:pStyle w:val="Normlnweb"/>
        <w:jc w:val="both"/>
      </w:pPr>
      <w:r>
        <w:rPr>
          <w:rFonts w:ascii="Arial" w:hAnsi="Arial" w:cs="Arial"/>
          <w:sz w:val="20"/>
          <w:szCs w:val="20"/>
        </w:rPr>
        <w:t xml:space="preserve">Další informace k účasti na nemocenském pojištění získáte na adrese: </w:t>
      </w:r>
      <w:hyperlink r:id="rId22" w:anchor="_blank" w:history="1">
        <w:r>
          <w:rPr>
            <w:rStyle w:val="Hypertextovodkaz"/>
            <w:rFonts w:ascii="Arial" w:eastAsia="MS Gothic" w:hAnsi="Arial" w:cs="Arial"/>
            <w:sz w:val="20"/>
            <w:szCs w:val="20"/>
          </w:rPr>
          <w:t>http://www.cssz.cz/cz/nemocenske-pojisteni/ucast-na-pojisteni/</w:t>
        </w:r>
      </w:hyperlink>
      <w:r>
        <w:rPr>
          <w:rFonts w:ascii="Arial" w:hAnsi="Arial" w:cs="Arial"/>
          <w:sz w:val="20"/>
          <w:szCs w:val="20"/>
        </w:rPr>
        <w:t xml:space="preserve"> a na adrese </w:t>
      </w:r>
      <w:hyperlink r:id="rId23" w:anchor="_blank" w:history="1">
        <w:r>
          <w:rPr>
            <w:rStyle w:val="Hypertextovodkaz"/>
            <w:rFonts w:ascii="Arial" w:eastAsia="MS Gothic" w:hAnsi="Arial" w:cs="Arial"/>
            <w:sz w:val="20"/>
            <w:szCs w:val="20"/>
          </w:rPr>
          <w:t>http://www.cssz.cz/cz/pojisteni-osvc/ucast-na-pojisteni/nemocenske-pojisteni-osvc.htm</w:t>
        </w:r>
      </w:hyperlink>
      <w:r>
        <w:rPr>
          <w:rFonts w:ascii="Arial" w:hAnsi="Arial" w:cs="Arial"/>
          <w:sz w:val="20"/>
          <w:szCs w:val="20"/>
        </w:rPr>
        <w:t>.</w:t>
      </w:r>
    </w:p>
    <w:p w:rsidR="005578C1" w:rsidRPr="007D09E0" w:rsidRDefault="005578C1" w:rsidP="005578C1">
      <w:pPr>
        <w:rPr>
          <w:rFonts w:cs="Arial"/>
          <w:b/>
          <w:sz w:val="24"/>
          <w:szCs w:val="20"/>
        </w:rPr>
      </w:pPr>
      <w:r w:rsidRPr="007D09E0">
        <w:rPr>
          <w:b/>
          <w:sz w:val="24"/>
        </w:rPr>
        <w:t>Nemocenské</w:t>
      </w:r>
    </w:p>
    <w:p w:rsidR="005578C1" w:rsidRDefault="005578C1" w:rsidP="005578C1">
      <w:pPr>
        <w:pStyle w:val="Normlnweb"/>
        <w:jc w:val="both"/>
        <w:rPr>
          <w:rFonts w:ascii="Arial" w:hAnsi="Arial" w:cs="Arial"/>
          <w:b/>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5578C1" w:rsidRDefault="005578C1" w:rsidP="005578C1">
      <w:pPr>
        <w:pStyle w:val="Normlnweb"/>
        <w:jc w:val="both"/>
        <w:rPr>
          <w:rFonts w:ascii="Arial" w:hAnsi="Arial" w:cs="Arial"/>
          <w:b/>
          <w:bCs/>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5578C1" w:rsidRDefault="005578C1" w:rsidP="005578C1">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rsidR="005578C1" w:rsidRDefault="005578C1" w:rsidP="005578C1">
      <w:pPr>
        <w:pStyle w:val="Normlnweb"/>
        <w:jc w:val="both"/>
        <w:rPr>
          <w:rFonts w:cs="Arial"/>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5578C1" w:rsidRPr="00CD16FC" w:rsidRDefault="005578C1" w:rsidP="005578C1">
      <w:pPr>
        <w:rPr>
          <w:b/>
          <w:sz w:val="24"/>
        </w:rPr>
      </w:pPr>
      <w:r w:rsidRPr="00CD16FC">
        <w:rPr>
          <w:b/>
          <w:sz w:val="24"/>
        </w:rPr>
        <w:t>Ochranná lhůta neplyne</w:t>
      </w:r>
    </w:p>
    <w:p w:rsidR="005578C1" w:rsidRDefault="005578C1" w:rsidP="005578C1">
      <w:pPr>
        <w:numPr>
          <w:ilvl w:val="0"/>
          <w:numId w:val="18"/>
        </w:numPr>
        <w:suppressAutoHyphens/>
        <w:spacing w:before="280" w:after="0" w:line="240" w:lineRule="auto"/>
        <w:jc w:val="both"/>
        <w:rPr>
          <w:rFonts w:cs="Arial"/>
          <w:szCs w:val="20"/>
        </w:rPr>
      </w:pPr>
      <w:r>
        <w:rPr>
          <w:rFonts w:cs="Arial"/>
          <w:szCs w:val="20"/>
        </w:rPr>
        <w:t xml:space="preserve">z pojištěné činnosti poživatele starobního důchodu nebo invalidního důchodu pro invaliditu 3. stupně, </w:t>
      </w:r>
    </w:p>
    <w:p w:rsidR="005578C1" w:rsidRDefault="005578C1" w:rsidP="005578C1">
      <w:pPr>
        <w:numPr>
          <w:ilvl w:val="0"/>
          <w:numId w:val="18"/>
        </w:numPr>
        <w:suppressAutoHyphens/>
        <w:spacing w:after="0" w:line="240" w:lineRule="auto"/>
        <w:jc w:val="both"/>
        <w:rPr>
          <w:rFonts w:cs="Arial"/>
          <w:szCs w:val="20"/>
        </w:rPr>
      </w:pPr>
      <w:r>
        <w:rPr>
          <w:rFonts w:cs="Arial"/>
          <w:szCs w:val="20"/>
        </w:rPr>
        <w:t xml:space="preserve">z dalšího zaměstnání sjednaného jen na dobu dovolené v jiném zaměstnání, </w:t>
      </w:r>
    </w:p>
    <w:p w:rsidR="005578C1" w:rsidRDefault="005578C1" w:rsidP="005578C1">
      <w:pPr>
        <w:numPr>
          <w:ilvl w:val="0"/>
          <w:numId w:val="18"/>
        </w:numPr>
        <w:suppressAutoHyphens/>
        <w:spacing w:after="0" w:line="240" w:lineRule="auto"/>
        <w:jc w:val="both"/>
        <w:rPr>
          <w:rFonts w:cs="Arial"/>
          <w:szCs w:val="20"/>
        </w:rPr>
      </w:pPr>
      <w:r>
        <w:rPr>
          <w:rFonts w:cs="Arial"/>
          <w:szCs w:val="20"/>
        </w:rPr>
        <w:t>ze zaměstnání zaměstnance činného na základě dohody o provedení práce,</w:t>
      </w:r>
    </w:p>
    <w:p w:rsidR="005578C1" w:rsidRDefault="005578C1" w:rsidP="005578C1">
      <w:pPr>
        <w:numPr>
          <w:ilvl w:val="0"/>
          <w:numId w:val="18"/>
        </w:numPr>
        <w:suppressAutoHyphens/>
        <w:spacing w:after="0" w:line="240" w:lineRule="auto"/>
        <w:jc w:val="both"/>
        <w:rPr>
          <w:rFonts w:cs="Arial"/>
          <w:szCs w:val="20"/>
        </w:rPr>
      </w:pPr>
      <w:r>
        <w:rPr>
          <w:rFonts w:cs="Arial"/>
          <w:szCs w:val="20"/>
        </w:rPr>
        <w:t xml:space="preserve">ze zaměstnání malého rozsahu, </w:t>
      </w:r>
    </w:p>
    <w:p w:rsidR="005578C1" w:rsidRDefault="005578C1" w:rsidP="005578C1">
      <w:pPr>
        <w:numPr>
          <w:ilvl w:val="0"/>
          <w:numId w:val="18"/>
        </w:numPr>
        <w:suppressAutoHyphens/>
        <w:spacing w:after="0" w:line="240" w:lineRule="auto"/>
        <w:jc w:val="both"/>
        <w:rPr>
          <w:rFonts w:cs="Arial"/>
          <w:szCs w:val="20"/>
        </w:rPr>
      </w:pPr>
      <w:r>
        <w:rPr>
          <w:rFonts w:cs="Arial"/>
          <w:szCs w:val="20"/>
        </w:rPr>
        <w:t xml:space="preserve">ze zaměstnání, které si žák nebo student sjednali výlučně na dobu školních prázdnin nebo jejich část, </w:t>
      </w:r>
    </w:p>
    <w:p w:rsidR="005578C1" w:rsidRDefault="005578C1" w:rsidP="005578C1">
      <w:pPr>
        <w:numPr>
          <w:ilvl w:val="0"/>
          <w:numId w:val="18"/>
        </w:numPr>
        <w:suppressAutoHyphens/>
        <w:spacing w:after="280" w:line="240" w:lineRule="auto"/>
        <w:jc w:val="both"/>
        <w:rPr>
          <w:color w:val="000000"/>
          <w:sz w:val="24"/>
        </w:rPr>
      </w:pPr>
      <w:r>
        <w:rPr>
          <w:rFonts w:cs="Arial"/>
          <w:szCs w:val="20"/>
        </w:rPr>
        <w:t>v případě, že pojištění odsouzeného skončí v době jeho útěku z místa výkonu trestu odnětí svobody.</w:t>
      </w:r>
    </w:p>
    <w:p w:rsidR="005578C1" w:rsidRPr="007D09E0" w:rsidRDefault="005578C1" w:rsidP="005578C1">
      <w:pPr>
        <w:rPr>
          <w:rFonts w:cs="Arial"/>
          <w:b/>
          <w:sz w:val="24"/>
          <w:szCs w:val="20"/>
        </w:rPr>
      </w:pPr>
      <w:r w:rsidRPr="007D09E0">
        <w:rPr>
          <w:b/>
          <w:sz w:val="24"/>
        </w:rPr>
        <w:lastRenderedPageBreak/>
        <w:t>Výpočet dávek nemocenského pojištění</w:t>
      </w:r>
    </w:p>
    <w:p w:rsidR="005578C1" w:rsidRPr="007D09E0" w:rsidRDefault="005578C1" w:rsidP="005578C1">
      <w:pPr>
        <w:rPr>
          <w:b/>
        </w:rPr>
      </w:pPr>
      <w:r w:rsidRPr="007D09E0">
        <w:rPr>
          <w:b/>
        </w:rPr>
        <w:t>Určení denního vyměřovacího základu</w:t>
      </w:r>
    </w:p>
    <w:p w:rsidR="005578C1" w:rsidRDefault="005578C1" w:rsidP="005578C1">
      <w:pPr>
        <w:pStyle w:val="Normlnweb"/>
        <w:jc w:val="both"/>
        <w:rPr>
          <w:rFonts w:cs="Arial"/>
          <w:color w:val="000000"/>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5578C1" w:rsidRPr="007D09E0" w:rsidRDefault="005578C1" w:rsidP="005578C1">
      <w:pPr>
        <w:rPr>
          <w:b/>
        </w:rPr>
      </w:pPr>
      <w:r w:rsidRPr="007D09E0">
        <w:rPr>
          <w:b/>
        </w:rPr>
        <w:t>Redukce denního vyměřovacího základu</w:t>
      </w:r>
    </w:p>
    <w:p w:rsidR="005578C1" w:rsidRDefault="005578C1" w:rsidP="005578C1">
      <w:pPr>
        <w:pStyle w:val="Normlnweb"/>
        <w:rPr>
          <w:rFonts w:ascii="Arial" w:hAnsi="Arial" w:cs="Arial"/>
          <w:b/>
          <w:bCs/>
          <w:sz w:val="20"/>
          <w:szCs w:val="20"/>
        </w:rPr>
      </w:pPr>
      <w:r>
        <w:rPr>
          <w:rFonts w:ascii="Arial" w:hAnsi="Arial" w:cs="Arial"/>
          <w:sz w:val="20"/>
          <w:szCs w:val="20"/>
        </w:rPr>
        <w:t>Výši tří redukčních hranic platných od 1. ledna kalendářního roku vyhlašuje Ministerstvo práce a sociálních věcí formou Sdělení ve Sbírce zákonů.</w:t>
      </w:r>
    </w:p>
    <w:p w:rsidR="005578C1" w:rsidRDefault="005578C1" w:rsidP="005578C1">
      <w:pPr>
        <w:pStyle w:val="Normlnweb"/>
        <w:jc w:val="both"/>
        <w:rPr>
          <w:rFonts w:ascii="Arial" w:hAnsi="Arial" w:cs="Arial"/>
          <w:b/>
          <w:bCs/>
          <w:sz w:val="20"/>
          <w:szCs w:val="20"/>
        </w:rPr>
      </w:pPr>
      <w:r>
        <w:rPr>
          <w:rFonts w:ascii="Arial" w:hAnsi="Arial" w:cs="Arial"/>
          <w:b/>
          <w:bCs/>
          <w:sz w:val="20"/>
          <w:szCs w:val="20"/>
        </w:rPr>
        <w:t>V roce 2015 činí 1. redukční hranice 888 Kč, 2. redukční hranice 1 331 Kč, 3. redukční hranice 2 662 Kč.</w:t>
      </w:r>
    </w:p>
    <w:p w:rsidR="005578C1" w:rsidRDefault="005578C1" w:rsidP="005578C1">
      <w:pPr>
        <w:pStyle w:val="Normlnweb"/>
        <w:jc w:val="both"/>
        <w:rPr>
          <w:rFonts w:ascii="Arial" w:hAnsi="Arial" w:cs="Arial"/>
          <w:b/>
          <w:bCs/>
          <w:sz w:val="20"/>
          <w:szCs w:val="20"/>
        </w:rPr>
      </w:pPr>
      <w:r>
        <w:rPr>
          <w:rFonts w:ascii="Arial" w:hAnsi="Arial" w:cs="Arial"/>
          <w:b/>
          <w:bCs/>
          <w:sz w:val="20"/>
          <w:szCs w:val="20"/>
        </w:rPr>
        <w:t>V roce 2016 činí 1. redukční hranice 901 Kč, 2. redukční hranice 1 351 Kč, 3. redukční hranice 2 701 Kč.</w:t>
      </w:r>
    </w:p>
    <w:p w:rsidR="005578C1" w:rsidRDefault="005578C1" w:rsidP="005578C1">
      <w:pPr>
        <w:pStyle w:val="Normlnweb"/>
        <w:rPr>
          <w:rFonts w:cs="Arial"/>
          <w:szCs w:val="20"/>
        </w:rPr>
      </w:pPr>
      <w:r>
        <w:rPr>
          <w:rFonts w:ascii="Arial" w:hAnsi="Arial" w:cs="Arial"/>
          <w:b/>
          <w:bCs/>
          <w:sz w:val="20"/>
          <w:szCs w:val="20"/>
        </w:rPr>
        <w:t>Redukce se provede tak, že se započte</w:t>
      </w:r>
    </w:p>
    <w:p w:rsidR="005578C1" w:rsidRDefault="005578C1" w:rsidP="005578C1">
      <w:pPr>
        <w:numPr>
          <w:ilvl w:val="0"/>
          <w:numId w:val="19"/>
        </w:numPr>
        <w:suppressAutoHyphens/>
        <w:spacing w:before="280" w:after="0" w:line="240" w:lineRule="auto"/>
        <w:rPr>
          <w:rFonts w:cs="Arial"/>
          <w:b/>
          <w:bCs/>
          <w:szCs w:val="20"/>
        </w:rPr>
      </w:pPr>
      <w:r>
        <w:rPr>
          <w:rFonts w:cs="Arial"/>
          <w:szCs w:val="20"/>
        </w:rPr>
        <w:t xml:space="preserve">do první redukční hranice </w:t>
      </w:r>
    </w:p>
    <w:p w:rsidR="005578C1" w:rsidRDefault="005578C1" w:rsidP="005578C1">
      <w:pPr>
        <w:numPr>
          <w:ilvl w:val="1"/>
          <w:numId w:val="19"/>
        </w:numPr>
        <w:suppressAutoHyphens/>
        <w:spacing w:after="0" w:line="240" w:lineRule="auto"/>
        <w:rPr>
          <w:rFonts w:cs="Arial"/>
          <w:b/>
          <w:bCs/>
          <w:szCs w:val="20"/>
        </w:rPr>
      </w:pPr>
      <w:r>
        <w:rPr>
          <w:rFonts w:cs="Arial"/>
          <w:b/>
          <w:bCs/>
          <w:szCs w:val="20"/>
        </w:rPr>
        <w:t>u nemocenského a ošetřovného 90 %</w:t>
      </w:r>
      <w:r>
        <w:rPr>
          <w:rFonts w:cs="Arial"/>
          <w:szCs w:val="20"/>
        </w:rPr>
        <w:t xml:space="preserve"> denního vyměřovacího základu,</w:t>
      </w:r>
    </w:p>
    <w:p w:rsidR="005578C1" w:rsidRDefault="005578C1" w:rsidP="005578C1">
      <w:pPr>
        <w:numPr>
          <w:ilvl w:val="1"/>
          <w:numId w:val="19"/>
        </w:numPr>
        <w:suppressAutoHyphens/>
        <w:spacing w:after="0"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5578C1" w:rsidRDefault="005578C1" w:rsidP="005578C1">
      <w:pPr>
        <w:numPr>
          <w:ilvl w:val="0"/>
          <w:numId w:val="19"/>
        </w:numPr>
        <w:suppressAutoHyphens/>
        <w:spacing w:after="0"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5578C1" w:rsidRDefault="005578C1" w:rsidP="005578C1">
      <w:pPr>
        <w:numPr>
          <w:ilvl w:val="0"/>
          <w:numId w:val="19"/>
        </w:numPr>
        <w:suppressAutoHyphens/>
        <w:spacing w:after="0"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5578C1" w:rsidRDefault="005578C1" w:rsidP="005578C1">
      <w:pPr>
        <w:numPr>
          <w:ilvl w:val="0"/>
          <w:numId w:val="19"/>
        </w:numPr>
        <w:suppressAutoHyphens/>
        <w:spacing w:after="280" w:line="240" w:lineRule="auto"/>
        <w:rPr>
          <w:rFonts w:cs="Arial"/>
          <w:color w:val="000000"/>
          <w:szCs w:val="20"/>
        </w:rPr>
      </w:pPr>
      <w:r>
        <w:rPr>
          <w:rFonts w:cs="Arial"/>
          <w:szCs w:val="20"/>
        </w:rPr>
        <w:t>k části nad třetí redukční hranici se nepřihlédne.</w:t>
      </w:r>
    </w:p>
    <w:p w:rsidR="005578C1" w:rsidRPr="007D09E0" w:rsidRDefault="005578C1" w:rsidP="005578C1">
      <w:pPr>
        <w:rPr>
          <w:b/>
        </w:rPr>
      </w:pPr>
      <w:r w:rsidRPr="007D09E0">
        <w:rPr>
          <w:b/>
        </w:rPr>
        <w:t>Výše dávek nemocenského pojištění</w:t>
      </w:r>
    </w:p>
    <w:p w:rsidR="005578C1" w:rsidRDefault="005578C1" w:rsidP="005578C1">
      <w:pPr>
        <w:numPr>
          <w:ilvl w:val="0"/>
          <w:numId w:val="20"/>
        </w:numPr>
        <w:suppressAutoHyphens/>
        <w:spacing w:before="280" w:after="0" w:line="240" w:lineRule="auto"/>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5578C1" w:rsidRDefault="005578C1" w:rsidP="005578C1">
      <w:pPr>
        <w:numPr>
          <w:ilvl w:val="0"/>
          <w:numId w:val="20"/>
        </w:numPr>
        <w:suppressAutoHyphens/>
        <w:spacing w:after="0" w:line="240" w:lineRule="auto"/>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5578C1" w:rsidRDefault="005578C1" w:rsidP="005578C1">
      <w:pPr>
        <w:numPr>
          <w:ilvl w:val="0"/>
          <w:numId w:val="20"/>
        </w:numPr>
        <w:suppressAutoHyphens/>
        <w:spacing w:after="0" w:line="240" w:lineRule="auto"/>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5578C1" w:rsidRDefault="005578C1" w:rsidP="005578C1">
      <w:pPr>
        <w:numPr>
          <w:ilvl w:val="0"/>
          <w:numId w:val="20"/>
        </w:numPr>
        <w:suppressAutoHyphens/>
        <w:spacing w:after="280" w:line="240" w:lineRule="auto"/>
        <w:rPr>
          <w:rFonts w:cs="Arial"/>
          <w:b/>
          <w:szCs w:val="20"/>
        </w:rPr>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 průměrem jejích započitatelných příjmů připadajícím na jeden kalendářní den v jednotlivých kalendářních měsících po tomto převedení.</w:t>
      </w:r>
    </w:p>
    <w:p w:rsidR="005578C1" w:rsidRPr="007D09E0" w:rsidRDefault="005578C1" w:rsidP="005578C1">
      <w:pPr>
        <w:rPr>
          <w:rStyle w:val="Hypertextovodkaz"/>
          <w:rFonts w:cs="Arial"/>
          <w:szCs w:val="20"/>
        </w:rPr>
      </w:pPr>
      <w:r w:rsidRPr="007D09E0">
        <w:t xml:space="preserve">Další informace k nemocenskému pojištění na adrese </w:t>
      </w:r>
      <w:hyperlink r:id="rId24" w:history="1">
        <w:r w:rsidRPr="007D09E0">
          <w:rPr>
            <w:rStyle w:val="Hypertextovodkaz"/>
            <w:rFonts w:cs="Arial"/>
            <w:szCs w:val="20"/>
          </w:rPr>
          <w:t>http://www.mpsv.cz/cs/7</w:t>
        </w:r>
      </w:hyperlink>
    </w:p>
    <w:p w:rsidR="005578C1" w:rsidRDefault="005578C1" w:rsidP="005578C1">
      <w:pPr>
        <w:rPr>
          <w:rStyle w:val="Hypertextovodkaz"/>
          <w:rFonts w:eastAsia="MS Gothic" w:cs="Arial"/>
          <w:b/>
          <w:bCs/>
          <w:szCs w:val="20"/>
        </w:rPr>
      </w:pPr>
      <w:r>
        <w:rPr>
          <w:rStyle w:val="Hypertextovodkaz"/>
          <w:rFonts w:cs="Arial"/>
          <w:szCs w:val="20"/>
        </w:rPr>
        <w:br w:type="page"/>
      </w:r>
    </w:p>
    <w:p w:rsidR="005578C1" w:rsidRDefault="005578C1" w:rsidP="005578C1">
      <w:pPr>
        <w:pStyle w:val="Nadpis2"/>
        <w:rPr>
          <w:szCs w:val="20"/>
        </w:rPr>
      </w:pPr>
      <w:bookmarkStart w:id="70" w:name="_Příloha_č._2"/>
      <w:bookmarkStart w:id="71" w:name="_Toc483838347"/>
      <w:bookmarkStart w:id="72" w:name="_Toc483901835"/>
      <w:bookmarkEnd w:id="70"/>
      <w:r>
        <w:lastRenderedPageBreak/>
        <w:t>Příloha č. 2 - Legislativní změny v nemocenském pojištění v období 1999 - 2016</w:t>
      </w:r>
      <w:r w:rsidRPr="00C91277">
        <w:rPr>
          <w:b w:val="0"/>
          <w:color w:val="auto"/>
          <w:sz w:val="20"/>
          <w:vertAlign w:val="superscript"/>
        </w:rPr>
        <w:footnoteReference w:id="4"/>
      </w:r>
      <w:bookmarkEnd w:id="71"/>
      <w:bookmarkEnd w:id="72"/>
    </w:p>
    <w:p w:rsidR="005578C1" w:rsidRDefault="005578C1" w:rsidP="005578C1">
      <w:pPr>
        <w:spacing w:before="240" w:after="120"/>
        <w:jc w:val="both"/>
        <w:rPr>
          <w:rFonts w:cs="Arial"/>
          <w:szCs w:val="20"/>
        </w:rPr>
      </w:pPr>
      <w:r>
        <w:rPr>
          <w:rFonts w:cs="Arial"/>
          <w:b/>
          <w:szCs w:val="20"/>
        </w:rPr>
        <w:t>V roce 1999</w:t>
      </w:r>
    </w:p>
    <w:p w:rsidR="005578C1" w:rsidRDefault="005578C1" w:rsidP="005578C1">
      <w:pPr>
        <w:numPr>
          <w:ilvl w:val="0"/>
          <w:numId w:val="21"/>
        </w:numPr>
        <w:suppressAutoHyphens/>
        <w:spacing w:after="0"/>
        <w:jc w:val="both"/>
        <w:rPr>
          <w:rFonts w:cs="Arial"/>
          <w:szCs w:val="20"/>
        </w:rPr>
      </w:pPr>
      <w:r>
        <w:rPr>
          <w:rFonts w:cs="Arial"/>
          <w:szCs w:val="20"/>
        </w:rPr>
        <w:t xml:space="preserve">Byl zaveden systém redukčních hranic pro stanovení výše nemocenského a jejich pravidelná valorizace (každoročně k 1. lednu) </w:t>
      </w:r>
    </w:p>
    <w:p w:rsidR="005578C1" w:rsidRDefault="005578C1" w:rsidP="005578C1">
      <w:pPr>
        <w:spacing w:before="240" w:after="120"/>
        <w:rPr>
          <w:rFonts w:cs="Arial"/>
          <w:szCs w:val="20"/>
        </w:rPr>
      </w:pPr>
      <w:r>
        <w:rPr>
          <w:rFonts w:cs="Arial"/>
          <w:b/>
          <w:szCs w:val="20"/>
        </w:rPr>
        <w:t xml:space="preserve">V roce 2002 </w:t>
      </w:r>
    </w:p>
    <w:p w:rsidR="005578C1" w:rsidRDefault="005578C1" w:rsidP="005578C1">
      <w:pPr>
        <w:pStyle w:val="Odstavecseseznamem"/>
        <w:numPr>
          <w:ilvl w:val="0"/>
          <w:numId w:val="22"/>
        </w:numPr>
        <w:spacing w:before="0" w:after="0"/>
        <w:jc w:val="both"/>
        <w:rPr>
          <w:rFonts w:cs="Arial"/>
          <w:b/>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5578C1" w:rsidRDefault="005578C1" w:rsidP="005578C1">
      <w:pPr>
        <w:spacing w:before="240" w:after="120" w:line="240" w:lineRule="auto"/>
        <w:jc w:val="both"/>
        <w:rPr>
          <w:rFonts w:cs="Arial"/>
          <w:szCs w:val="20"/>
        </w:rPr>
      </w:pPr>
      <w:r>
        <w:rPr>
          <w:rFonts w:cs="Arial"/>
          <w:b/>
          <w:szCs w:val="20"/>
        </w:rPr>
        <w:t>V roce 2003</w:t>
      </w:r>
    </w:p>
    <w:p w:rsidR="005578C1" w:rsidRDefault="005578C1" w:rsidP="005578C1">
      <w:pPr>
        <w:spacing w:line="240" w:lineRule="auto"/>
        <w:jc w:val="both"/>
        <w:rPr>
          <w:rFonts w:cs="Arial"/>
          <w:szCs w:val="20"/>
        </w:rPr>
      </w:pPr>
      <w:r>
        <w:rPr>
          <w:rFonts w:cs="Arial"/>
          <w:szCs w:val="20"/>
        </w:rPr>
        <w:t xml:space="preserve">S účinností od 1. ledna 2004 </w:t>
      </w:r>
    </w:p>
    <w:p w:rsidR="005578C1" w:rsidRPr="00C91277" w:rsidRDefault="005578C1" w:rsidP="005578C1">
      <w:pPr>
        <w:pStyle w:val="Odstavecseseznamem"/>
        <w:numPr>
          <w:ilvl w:val="0"/>
          <w:numId w:val="22"/>
        </w:numPr>
        <w:spacing w:before="0" w:after="0"/>
        <w:jc w:val="both"/>
        <w:rPr>
          <w:rFonts w:ascii="Arial" w:hAnsi="Arial" w:cs="Arial"/>
          <w:sz w:val="20"/>
          <w:szCs w:val="20"/>
        </w:rPr>
      </w:pPr>
      <w:r w:rsidRPr="00C91277">
        <w:rPr>
          <w:rFonts w:ascii="Arial" w:hAnsi="Arial" w:cs="Arial"/>
          <w:sz w:val="20"/>
          <w:szCs w:val="20"/>
        </w:rPr>
        <w:t xml:space="preserve">bylo prodlouženo rozhodné období, ze kterého se zjišťuje denní vyměřovací základ pro stanovení dávek nemocenského pojištění, z </w:t>
      </w:r>
      <w:r w:rsidRPr="00C91277">
        <w:rPr>
          <w:rFonts w:cs="Arial"/>
          <w:szCs w:val="20"/>
        </w:rPr>
        <w:t xml:space="preserve">kalendářního </w:t>
      </w:r>
      <w:r w:rsidRPr="00C91277">
        <w:rPr>
          <w:rFonts w:ascii="Arial" w:hAnsi="Arial" w:cs="Arial"/>
          <w:sz w:val="20"/>
          <w:szCs w:val="20"/>
        </w:rPr>
        <w:t>čtvrtletí na 12 kalendářních měsíců,</w:t>
      </w:r>
      <w:r w:rsidRPr="00C91277">
        <w:rPr>
          <w:rFonts w:cs="Arial"/>
          <w:szCs w:val="20"/>
        </w:rPr>
        <w:t xml:space="preserve"> </w:t>
      </w:r>
    </w:p>
    <w:p w:rsidR="005578C1" w:rsidRDefault="005578C1" w:rsidP="005578C1">
      <w:pPr>
        <w:pStyle w:val="Odstavecseseznamem"/>
        <w:numPr>
          <w:ilvl w:val="0"/>
          <w:numId w:val="22"/>
        </w:numPr>
        <w:spacing w:before="0" w:after="0"/>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5578C1" w:rsidRDefault="005578C1" w:rsidP="005578C1">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byla snížena procentní sazba pro výpočet nemocenské </w:t>
      </w:r>
      <w:proofErr w:type="gramStart"/>
      <w:r>
        <w:rPr>
          <w:rFonts w:ascii="Arial" w:hAnsi="Arial" w:cs="Arial"/>
          <w:sz w:val="20"/>
          <w:szCs w:val="20"/>
        </w:rPr>
        <w:t>ho</w:t>
      </w:r>
      <w:proofErr w:type="gramEnd"/>
      <w:r>
        <w:rPr>
          <w:rFonts w:ascii="Arial" w:hAnsi="Arial" w:cs="Arial"/>
          <w:sz w:val="20"/>
          <w:szCs w:val="20"/>
        </w:rPr>
        <w:t xml:space="preserve"> z 50% na 25% za první tři kalendářní dny pracovní neschopnosti</w:t>
      </w:r>
    </w:p>
    <w:p w:rsidR="005578C1" w:rsidRDefault="005578C1" w:rsidP="005578C1">
      <w:pPr>
        <w:pStyle w:val="Odstavecseseznamem"/>
        <w:numPr>
          <w:ilvl w:val="0"/>
          <w:numId w:val="22"/>
        </w:numPr>
        <w:spacing w:before="0" w:after="0"/>
        <w:jc w:val="both"/>
        <w:rPr>
          <w:rFonts w:cs="Arial"/>
          <w:szCs w:val="20"/>
        </w:rPr>
      </w:pPr>
      <w:r>
        <w:rPr>
          <w:rFonts w:ascii="Arial" w:hAnsi="Arial" w:cs="Arial"/>
          <w:sz w:val="20"/>
          <w:szCs w:val="20"/>
        </w:rPr>
        <w:t>byla prodloužena doba, po kterou nebudou zvyšovány redukční hranice denního vyměřovacího základu, i na roky 2004 a 2005</w:t>
      </w:r>
    </w:p>
    <w:p w:rsidR="005578C1" w:rsidRDefault="005578C1" w:rsidP="005578C1">
      <w:pPr>
        <w:spacing w:before="240" w:after="120" w:line="240" w:lineRule="auto"/>
        <w:jc w:val="both"/>
        <w:rPr>
          <w:rFonts w:cs="Arial"/>
          <w:b/>
          <w:szCs w:val="20"/>
        </w:rPr>
      </w:pPr>
      <w:r>
        <w:rPr>
          <w:rFonts w:cs="Arial"/>
          <w:b/>
          <w:szCs w:val="20"/>
        </w:rPr>
        <w:t>V roce 2006</w:t>
      </w:r>
    </w:p>
    <w:p w:rsidR="005578C1" w:rsidRDefault="005578C1" w:rsidP="005578C1">
      <w:pPr>
        <w:pStyle w:val="Odstavecseseznamem"/>
        <w:numPr>
          <w:ilvl w:val="0"/>
          <w:numId w:val="23"/>
        </w:numPr>
        <w:spacing w:before="0" w:after="0"/>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5578C1" w:rsidRDefault="005578C1" w:rsidP="005578C1">
      <w:pPr>
        <w:pStyle w:val="Odstavecseseznamem"/>
        <w:numPr>
          <w:ilvl w:val="0"/>
          <w:numId w:val="23"/>
        </w:numPr>
        <w:spacing w:before="0" w:after="0"/>
        <w:jc w:val="both"/>
        <w:rPr>
          <w:rFonts w:cs="Arial"/>
          <w:b/>
          <w:szCs w:val="20"/>
        </w:rPr>
      </w:pPr>
      <w:r>
        <w:rPr>
          <w:rFonts w:ascii="Arial" w:hAnsi="Arial" w:cs="Arial"/>
          <w:sz w:val="20"/>
          <w:szCs w:val="20"/>
        </w:rPr>
        <w:t xml:space="preserve"> 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 účinnost však byla odložena ještě jednou až na 1. 1. 2009 - viz níže)</w:t>
      </w:r>
    </w:p>
    <w:p w:rsidR="005578C1" w:rsidRDefault="005578C1" w:rsidP="005578C1">
      <w:pPr>
        <w:spacing w:before="240" w:after="120" w:line="240" w:lineRule="auto"/>
        <w:jc w:val="both"/>
        <w:rPr>
          <w:rFonts w:cs="Arial"/>
          <w:szCs w:val="20"/>
        </w:rPr>
      </w:pPr>
      <w:r>
        <w:rPr>
          <w:rFonts w:cs="Arial"/>
          <w:b/>
          <w:szCs w:val="20"/>
        </w:rPr>
        <w:t>V roce 2007</w:t>
      </w:r>
    </w:p>
    <w:p w:rsidR="005578C1" w:rsidRDefault="005578C1" w:rsidP="005578C1">
      <w:pPr>
        <w:pStyle w:val="Odstavecseseznamem"/>
        <w:numPr>
          <w:ilvl w:val="0"/>
          <w:numId w:val="24"/>
        </w:numPr>
        <w:spacing w:before="0" w:after="0"/>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5578C1" w:rsidRDefault="005578C1" w:rsidP="005578C1">
      <w:pPr>
        <w:pStyle w:val="Odstavecseseznamem"/>
        <w:numPr>
          <w:ilvl w:val="0"/>
          <w:numId w:val="24"/>
        </w:numPr>
        <w:spacing w:before="0" w:after="0"/>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5578C1" w:rsidRDefault="005578C1" w:rsidP="005578C1">
      <w:pPr>
        <w:pStyle w:val="Odstavecseseznamem"/>
        <w:numPr>
          <w:ilvl w:val="1"/>
          <w:numId w:val="24"/>
        </w:numPr>
        <w:spacing w:before="0" w:after="0"/>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5578C1" w:rsidRPr="00C91277" w:rsidRDefault="005578C1" w:rsidP="005578C1">
      <w:pPr>
        <w:pStyle w:val="Odstavecseseznamem"/>
        <w:numPr>
          <w:ilvl w:val="1"/>
          <w:numId w:val="24"/>
        </w:numPr>
        <w:spacing w:before="0" w:after="0"/>
        <w:jc w:val="both"/>
        <w:rPr>
          <w:rFonts w:ascii="Arial" w:hAnsi="Arial" w:cs="Arial"/>
          <w:sz w:val="20"/>
          <w:szCs w:val="20"/>
        </w:rPr>
      </w:pPr>
      <w:r>
        <w:rPr>
          <w:rFonts w:ascii="Arial" w:hAnsi="Arial" w:cs="Arial"/>
          <w:sz w:val="20"/>
          <w:szCs w:val="20"/>
        </w:rPr>
        <w:t>ponechání redukce příjmu do výše první redukční hranice pro výpočet nemocenské ho a podpory při ošetřování člena rodiny i po 14. dnu trvání sociální události, pro kterou tyto dávky náleží,</w:t>
      </w:r>
    </w:p>
    <w:p w:rsidR="005578C1" w:rsidRDefault="005578C1" w:rsidP="005578C1">
      <w:pPr>
        <w:pStyle w:val="Odstavecseseznamem"/>
        <w:numPr>
          <w:ilvl w:val="1"/>
          <w:numId w:val="24"/>
        </w:numPr>
        <w:spacing w:before="0" w:after="0"/>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5578C1" w:rsidRDefault="005578C1" w:rsidP="005578C1">
      <w:pPr>
        <w:pStyle w:val="Odstavecseseznamem"/>
        <w:numPr>
          <w:ilvl w:val="1"/>
          <w:numId w:val="24"/>
        </w:numPr>
        <w:spacing w:before="0" w:after="0"/>
        <w:jc w:val="both"/>
        <w:rPr>
          <w:rFonts w:ascii="Arial" w:hAnsi="Arial" w:cs="Arial"/>
          <w:sz w:val="20"/>
          <w:szCs w:val="20"/>
        </w:rPr>
      </w:pPr>
      <w:r>
        <w:rPr>
          <w:rFonts w:ascii="Arial" w:hAnsi="Arial" w:cs="Arial"/>
          <w:sz w:val="20"/>
          <w:szCs w:val="20"/>
        </w:rPr>
        <w:t>zkrácení ochranné lhůty (obecná délka ochranné lhůty 42 kalendářních dnů byla zkrácena na 7 kalendářních dnů),</w:t>
      </w:r>
    </w:p>
    <w:p w:rsidR="005578C1" w:rsidRDefault="005578C1" w:rsidP="005578C1">
      <w:pPr>
        <w:pStyle w:val="Odstavecseseznamem"/>
        <w:numPr>
          <w:ilvl w:val="1"/>
          <w:numId w:val="24"/>
        </w:numPr>
        <w:spacing w:before="0" w:after="0"/>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5578C1" w:rsidRDefault="005578C1" w:rsidP="005578C1">
      <w:pPr>
        <w:pStyle w:val="Odstavecseseznamem"/>
        <w:numPr>
          <w:ilvl w:val="1"/>
          <w:numId w:val="24"/>
        </w:numPr>
        <w:spacing w:before="0" w:after="0"/>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5578C1" w:rsidRDefault="005578C1" w:rsidP="005578C1">
      <w:pPr>
        <w:pStyle w:val="Odstavecseseznamem"/>
        <w:numPr>
          <w:ilvl w:val="1"/>
          <w:numId w:val="24"/>
        </w:numPr>
        <w:spacing w:before="0" w:after="0"/>
        <w:jc w:val="both"/>
        <w:rPr>
          <w:rFonts w:cs="Arial"/>
          <w:szCs w:val="20"/>
        </w:rPr>
      </w:pPr>
      <w:r>
        <w:rPr>
          <w:rFonts w:ascii="Arial" w:hAnsi="Arial" w:cs="Arial"/>
          <w:sz w:val="20"/>
          <w:szCs w:val="20"/>
        </w:rPr>
        <w:lastRenderedPageBreak/>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5578C1" w:rsidRDefault="005578C1" w:rsidP="005578C1">
      <w:pPr>
        <w:spacing w:before="240" w:after="120"/>
        <w:rPr>
          <w:rFonts w:cs="Arial"/>
          <w:szCs w:val="20"/>
        </w:rPr>
      </w:pPr>
      <w:r>
        <w:rPr>
          <w:rFonts w:cs="Arial"/>
          <w:b/>
          <w:szCs w:val="20"/>
        </w:rPr>
        <w:t xml:space="preserve">V roce 2008 </w:t>
      </w:r>
    </w:p>
    <w:p w:rsidR="005578C1" w:rsidRDefault="005578C1" w:rsidP="005578C1">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Nálezem Ústavního soudu ze dne 23. dubna 2008 vyhlášeným pod č.166/2008 Sb. byla s účinností od 30. 6. 2008 zrušena úprava, kdy se neposkytovalo nemocenské v době prvních tří dnů dočasné pracovní neschopnosti. </w:t>
      </w:r>
    </w:p>
    <w:p w:rsidR="005578C1" w:rsidRDefault="005578C1" w:rsidP="005578C1">
      <w:pPr>
        <w:pStyle w:val="Odstavecseseznamem"/>
        <w:numPr>
          <w:ilvl w:val="0"/>
          <w:numId w:val="22"/>
        </w:numPr>
        <w:spacing w:before="0" w:after="0"/>
        <w:jc w:val="both"/>
        <w:rPr>
          <w:rFonts w:ascii="Arial" w:hAnsi="Arial" w:cs="Arial"/>
          <w:sz w:val="20"/>
          <w:szCs w:val="20"/>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5578C1" w:rsidRDefault="005578C1" w:rsidP="005578C1">
      <w:pPr>
        <w:pStyle w:val="Odstavecseseznamem"/>
        <w:numPr>
          <w:ilvl w:val="1"/>
          <w:numId w:val="22"/>
        </w:numPr>
        <w:spacing w:before="0" w:after="0"/>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5578C1" w:rsidRDefault="005578C1" w:rsidP="005578C1">
      <w:pPr>
        <w:pStyle w:val="Odstavecseseznamem"/>
        <w:numPr>
          <w:ilvl w:val="1"/>
          <w:numId w:val="22"/>
        </w:numPr>
        <w:spacing w:before="0" w:after="0"/>
        <w:jc w:val="both"/>
        <w:rPr>
          <w:rFonts w:ascii="Arial" w:hAnsi="Arial" w:cs="Arial"/>
          <w:sz w:val="20"/>
          <w:szCs w:val="20"/>
        </w:rPr>
      </w:pPr>
      <w:r>
        <w:rPr>
          <w:rFonts w:ascii="Arial" w:hAnsi="Arial" w:cs="Arial"/>
          <w:sz w:val="20"/>
          <w:szCs w:val="20"/>
        </w:rPr>
        <w:t xml:space="preserve">nemocenské náleží i při karanténě kratší než 4 dny, </w:t>
      </w:r>
    </w:p>
    <w:p w:rsidR="005578C1" w:rsidRDefault="005578C1" w:rsidP="005578C1">
      <w:pPr>
        <w:pStyle w:val="Odstavecseseznamem"/>
        <w:numPr>
          <w:ilvl w:val="1"/>
          <w:numId w:val="22"/>
        </w:numPr>
        <w:spacing w:before="0" w:after="0"/>
        <w:jc w:val="both"/>
        <w:rPr>
          <w:rFonts w:cs="Arial"/>
          <w:b/>
          <w:szCs w:val="20"/>
        </w:rPr>
      </w:pPr>
      <w:r>
        <w:rPr>
          <w:rFonts w:ascii="Arial" w:hAnsi="Arial" w:cs="Arial"/>
          <w:sz w:val="20"/>
          <w:szCs w:val="20"/>
        </w:rPr>
        <w:t xml:space="preserve">vojákům z povolání a příslušníkům bezpečnostních sborů náleží nemocenské za první 3 kalendářní dny dočasné pracovní neschopnosti ke službě. </w:t>
      </w:r>
    </w:p>
    <w:p w:rsidR="005578C1" w:rsidRDefault="005578C1" w:rsidP="005578C1">
      <w:pPr>
        <w:spacing w:before="240" w:after="120"/>
        <w:jc w:val="both"/>
        <w:rPr>
          <w:rFonts w:cs="Arial"/>
          <w:szCs w:val="20"/>
        </w:rPr>
      </w:pPr>
      <w:r>
        <w:rPr>
          <w:rFonts w:cs="Arial"/>
          <w:b/>
          <w:szCs w:val="20"/>
        </w:rPr>
        <w:t xml:space="preserve">V roce 2009 </w:t>
      </w:r>
    </w:p>
    <w:p w:rsidR="005578C1" w:rsidRDefault="005578C1" w:rsidP="005578C1">
      <w:pPr>
        <w:pStyle w:val="Odstavecseseznamem"/>
        <w:numPr>
          <w:ilvl w:val="0"/>
          <w:numId w:val="25"/>
        </w:numPr>
        <w:spacing w:before="0" w:after="200" w:line="276" w:lineRule="auto"/>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5578C1" w:rsidRDefault="005578C1" w:rsidP="005578C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5578C1" w:rsidRDefault="005578C1" w:rsidP="005578C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5578C1" w:rsidRDefault="005578C1" w:rsidP="005578C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5578C1" w:rsidRDefault="005578C1" w:rsidP="005578C1">
      <w:pPr>
        <w:pStyle w:val="Odstavecseseznamem"/>
        <w:numPr>
          <w:ilvl w:val="1"/>
          <w:numId w:val="25"/>
        </w:numPr>
        <w:spacing w:before="0" w:after="0" w:line="276" w:lineRule="auto"/>
        <w:ind w:left="1434" w:hanging="357"/>
        <w:jc w:val="both"/>
        <w:rPr>
          <w:rFonts w:ascii="Arial" w:hAnsi="Arial" w:cs="Arial"/>
          <w:sz w:val="20"/>
          <w:szCs w:val="20"/>
        </w:rPr>
      </w:pPr>
      <w:r>
        <w:rPr>
          <w:rFonts w:ascii="Arial" w:hAnsi="Arial" w:cs="Arial"/>
          <w:sz w:val="20"/>
          <w:szCs w:val="20"/>
        </w:rPr>
        <w:t xml:space="preserve">zainteresoval zaměstnavatele na vývoji pracovní neschopnosti zaměstnanců. Zaměstnavatelé začali vyplácet náhradu mzdy za prvních 14 (později 21) dnů dočasné pracovní neschopnosti. </w:t>
      </w:r>
    </w:p>
    <w:p w:rsidR="005578C1" w:rsidRDefault="005578C1" w:rsidP="005578C1">
      <w:pPr>
        <w:pStyle w:val="Odstavecseseznamem"/>
        <w:numPr>
          <w:ilvl w:val="0"/>
          <w:numId w:val="22"/>
        </w:numPr>
        <w:spacing w:before="0" w:after="0"/>
        <w:jc w:val="both"/>
        <w:rPr>
          <w:rFonts w:ascii="Arial" w:hAnsi="Arial" w:cs="Arial"/>
          <w:sz w:val="20"/>
          <w:szCs w:val="20"/>
        </w:rPr>
      </w:pPr>
      <w:r>
        <w:rPr>
          <w:rFonts w:ascii="Arial" w:hAnsi="Arial" w:cs="Arial"/>
          <w:sz w:val="20"/>
          <w:szCs w:val="20"/>
        </w:rPr>
        <w:t>V zákoně o pojistném na sociální zabezpečení:</w:t>
      </w:r>
    </w:p>
    <w:p w:rsidR="005578C1" w:rsidRDefault="005578C1" w:rsidP="005578C1">
      <w:pPr>
        <w:pStyle w:val="Odstavecseseznamem"/>
        <w:numPr>
          <w:ilvl w:val="1"/>
          <w:numId w:val="25"/>
        </w:numPr>
        <w:spacing w:before="0" w:after="0" w:line="276" w:lineRule="auto"/>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5578C1" w:rsidRDefault="005578C1" w:rsidP="005578C1">
      <w:pPr>
        <w:pStyle w:val="Odstavecseseznamem"/>
        <w:numPr>
          <w:ilvl w:val="1"/>
          <w:numId w:val="25"/>
        </w:numPr>
        <w:spacing w:before="0" w:after="0" w:line="276" w:lineRule="auto"/>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1 130 640 Kč).</w:t>
      </w:r>
    </w:p>
    <w:p w:rsidR="005578C1" w:rsidRDefault="005578C1" w:rsidP="005578C1">
      <w:pPr>
        <w:pStyle w:val="Odstavecseseznamem"/>
        <w:numPr>
          <w:ilvl w:val="2"/>
          <w:numId w:val="22"/>
        </w:numPr>
        <w:spacing w:before="0" w:after="0"/>
        <w:ind w:left="709" w:hanging="283"/>
        <w:jc w:val="both"/>
        <w:rPr>
          <w:rFonts w:cs="Arial"/>
          <w:szCs w:val="20"/>
        </w:rPr>
      </w:pPr>
      <w:r>
        <w:rPr>
          <w:rFonts w:ascii="Arial" w:hAnsi="Arial" w:cs="Arial"/>
          <w:sz w:val="20"/>
          <w:szCs w:val="20"/>
        </w:rPr>
        <w:t xml:space="preserve">Od 1. prosince 2009 nabyl účinnosti zákon č. 302/2009 Sb. Tímto zákonem se změnily některé povinnosti ošetřujícího lékaře a zaměstnavatele. </w:t>
      </w:r>
    </w:p>
    <w:p w:rsidR="005578C1" w:rsidRDefault="005578C1" w:rsidP="005578C1">
      <w:pPr>
        <w:spacing w:before="240" w:after="120"/>
        <w:rPr>
          <w:rFonts w:cs="Arial"/>
          <w:szCs w:val="20"/>
        </w:rPr>
      </w:pPr>
      <w:r>
        <w:rPr>
          <w:rFonts w:cs="Arial"/>
          <w:b/>
          <w:szCs w:val="20"/>
        </w:rPr>
        <w:t xml:space="preserve">V roce 2010 </w:t>
      </w:r>
    </w:p>
    <w:p w:rsidR="005578C1" w:rsidRDefault="005578C1" w:rsidP="005578C1">
      <w:pPr>
        <w:pStyle w:val="Odstavecseseznamem"/>
        <w:numPr>
          <w:ilvl w:val="0"/>
          <w:numId w:val="22"/>
        </w:numPr>
        <w:spacing w:before="0" w:after="120" w:line="276" w:lineRule="auto"/>
        <w:ind w:left="714" w:hanging="357"/>
        <w:rPr>
          <w:rFonts w:ascii="Arial" w:hAnsi="Arial" w:cs="Arial"/>
          <w:sz w:val="20"/>
          <w:szCs w:val="20"/>
        </w:rPr>
      </w:pPr>
      <w:r>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 jejichž cílem bylo snížení deficitu státního rozpočtu.</w:t>
      </w:r>
    </w:p>
    <w:p w:rsidR="005578C1" w:rsidRPr="001F64B4" w:rsidRDefault="005578C1" w:rsidP="005578C1">
      <w:pPr>
        <w:pStyle w:val="Odstavecseseznamem"/>
        <w:spacing w:before="0" w:after="120" w:line="288" w:lineRule="auto"/>
        <w:ind w:left="357" w:firstLine="346"/>
        <w:rPr>
          <w:rFonts w:ascii="Arial" w:hAnsi="Arial" w:cs="Arial"/>
          <w:sz w:val="20"/>
          <w:szCs w:val="20"/>
        </w:rPr>
      </w:pPr>
      <w:r w:rsidRPr="001F64B4">
        <w:rPr>
          <w:rFonts w:ascii="Arial" w:hAnsi="Arial" w:cs="Arial"/>
          <w:sz w:val="20"/>
          <w:szCs w:val="20"/>
        </w:rPr>
        <w:t xml:space="preserve">Přehled změn v oblasti nemocenského pojištění: </w:t>
      </w:r>
    </w:p>
    <w:p w:rsidR="005578C1" w:rsidRPr="001F64B4" w:rsidRDefault="005578C1" w:rsidP="005578C1">
      <w:pPr>
        <w:pStyle w:val="Odstavecseseznamem"/>
        <w:numPr>
          <w:ilvl w:val="1"/>
          <w:numId w:val="24"/>
        </w:numPr>
        <w:spacing w:before="0" w:after="0" w:line="288" w:lineRule="auto"/>
        <w:ind w:left="1080"/>
        <w:jc w:val="both"/>
        <w:rPr>
          <w:rFonts w:ascii="Arial" w:hAnsi="Arial" w:cs="Arial"/>
          <w:sz w:val="20"/>
          <w:szCs w:val="20"/>
        </w:rPr>
      </w:pPr>
      <w:r w:rsidRPr="001F64B4">
        <w:rPr>
          <w:rFonts w:ascii="Arial" w:hAnsi="Arial" w:cs="Arial"/>
          <w:sz w:val="20"/>
          <w:szCs w:val="20"/>
        </w:rPr>
        <w:t xml:space="preserve">zavedení jednotné procentní sazby pro výpočet denní výše nemocenského ve výši 60 %, </w:t>
      </w:r>
    </w:p>
    <w:p w:rsidR="005578C1" w:rsidRPr="001F64B4" w:rsidRDefault="005578C1" w:rsidP="005578C1">
      <w:pPr>
        <w:pStyle w:val="Odstavecseseznamem"/>
        <w:numPr>
          <w:ilvl w:val="1"/>
          <w:numId w:val="24"/>
        </w:numPr>
        <w:spacing w:before="0" w:after="0" w:line="288" w:lineRule="auto"/>
        <w:ind w:left="1080"/>
        <w:jc w:val="both"/>
        <w:rPr>
          <w:rFonts w:ascii="Arial" w:hAnsi="Arial" w:cs="Arial"/>
          <w:sz w:val="20"/>
          <w:szCs w:val="20"/>
        </w:rPr>
      </w:pPr>
      <w:r w:rsidRPr="001F64B4">
        <w:rPr>
          <w:rFonts w:ascii="Arial" w:hAnsi="Arial" w:cs="Arial"/>
          <w:sz w:val="20"/>
          <w:szCs w:val="20"/>
        </w:rPr>
        <w:t xml:space="preserve">snížení zápočtu příjmu pro stanovení denního vyměřovacího základu do první redukční hranice u peněžité pomoci v mateřství a vyrovnávacího příspěvku v těhotenství a mateřství ze 100 % na 90 %, snížení procentní sazby pro výpočet peněžité pomoci v mateřství ze 70 % na 60 %, </w:t>
      </w:r>
    </w:p>
    <w:p w:rsidR="005578C1" w:rsidRPr="001F64B4" w:rsidRDefault="005578C1" w:rsidP="005578C1">
      <w:pPr>
        <w:pStyle w:val="Odstavecseseznamem"/>
        <w:numPr>
          <w:ilvl w:val="1"/>
          <w:numId w:val="24"/>
        </w:numPr>
        <w:spacing w:before="0" w:after="60" w:line="288" w:lineRule="auto"/>
        <w:ind w:left="1077" w:hanging="357"/>
        <w:jc w:val="both"/>
        <w:rPr>
          <w:rFonts w:ascii="Arial" w:hAnsi="Arial" w:cs="Arial"/>
          <w:sz w:val="20"/>
          <w:szCs w:val="20"/>
        </w:rPr>
      </w:pPr>
      <w:r w:rsidRPr="001F64B4">
        <w:rPr>
          <w:rFonts w:ascii="Arial" w:hAnsi="Arial" w:cs="Arial"/>
          <w:sz w:val="20"/>
          <w:szCs w:val="20"/>
        </w:rPr>
        <w:t xml:space="preserve">zavedení třídenní karenční doby u ošetřovného. </w:t>
      </w:r>
    </w:p>
    <w:p w:rsidR="005578C1" w:rsidRDefault="005578C1" w:rsidP="005578C1">
      <w:pPr>
        <w:pStyle w:val="Odstavecseseznamem"/>
        <w:numPr>
          <w:ilvl w:val="0"/>
          <w:numId w:val="22"/>
        </w:numPr>
        <w:spacing w:before="0" w:after="0"/>
        <w:jc w:val="both"/>
        <w:rPr>
          <w:rFonts w:cs="Arial"/>
          <w:szCs w:val="20"/>
        </w:rPr>
      </w:pPr>
      <w:r w:rsidRPr="001F64B4">
        <w:rPr>
          <w:rFonts w:ascii="Arial" w:hAnsi="Arial" w:cs="Arial"/>
          <w:sz w:val="20"/>
          <w:szCs w:val="20"/>
        </w:rPr>
        <w:t xml:space="preserve">Od 1. 6. 2010 nabyl účinnosti zákon č. 166/2010 Sb. Tímto zákonem byly zrušeny změny zavedené zákonem č. 362/2009 Sb., které byly účinné od 1. 1. 2010 a týkaly se výše peněžité pomoci </w:t>
      </w:r>
      <w:r w:rsidRPr="001F64B4">
        <w:rPr>
          <w:rFonts w:ascii="Arial" w:hAnsi="Arial" w:cs="Arial"/>
          <w:sz w:val="20"/>
          <w:szCs w:val="20"/>
        </w:rPr>
        <w:lastRenderedPageBreak/>
        <w:t>v</w:t>
      </w:r>
      <w:r>
        <w:rPr>
          <w:rFonts w:ascii="Arial" w:hAnsi="Arial" w:cs="Arial"/>
          <w:sz w:val="20"/>
          <w:szCs w:val="20"/>
        </w:rPr>
        <w:t xml:space="preserve"> mateřství, ošetřovného a vyrovnávacího příspěvku v těhotenství a mateřství, byla zrušena ustanovení § 21a, § 37a a § 40a. </w:t>
      </w:r>
    </w:p>
    <w:p w:rsidR="005578C1" w:rsidRDefault="005578C1" w:rsidP="005578C1">
      <w:pPr>
        <w:spacing w:before="240" w:after="120" w:line="240" w:lineRule="auto"/>
        <w:jc w:val="both"/>
        <w:rPr>
          <w:rFonts w:cs="Arial"/>
          <w:szCs w:val="20"/>
        </w:rPr>
      </w:pPr>
      <w:r>
        <w:rPr>
          <w:rFonts w:cs="Arial"/>
          <w:b/>
          <w:szCs w:val="20"/>
        </w:rPr>
        <w:t xml:space="preserve">V roce 2011 </w:t>
      </w:r>
    </w:p>
    <w:p w:rsidR="005578C1" w:rsidRDefault="005578C1" w:rsidP="005578C1">
      <w:pPr>
        <w:numPr>
          <w:ilvl w:val="0"/>
          <w:numId w:val="22"/>
        </w:numPr>
        <w:suppressAutoHyphens/>
        <w:spacing w:after="0"/>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5578C1" w:rsidRDefault="005578C1" w:rsidP="005578C1">
      <w:pPr>
        <w:numPr>
          <w:ilvl w:val="1"/>
          <w:numId w:val="22"/>
        </w:numPr>
        <w:suppressAutoHyphens/>
        <w:spacing w:after="0"/>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neschopnosti či nařízené karantény poskytuje zaměstnavatel zaměstnanci náhradu mzdy podle zákoníku práce (toto opatření platí do 31. 12. 2013), </w:t>
      </w:r>
    </w:p>
    <w:p w:rsidR="005578C1" w:rsidRDefault="005578C1" w:rsidP="005578C1">
      <w:pPr>
        <w:numPr>
          <w:ilvl w:val="1"/>
          <w:numId w:val="22"/>
        </w:numPr>
        <w:suppressAutoHyphens/>
        <w:spacing w:after="0"/>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5578C1" w:rsidRDefault="005578C1" w:rsidP="005578C1">
      <w:pPr>
        <w:numPr>
          <w:ilvl w:val="1"/>
          <w:numId w:val="22"/>
        </w:numPr>
        <w:suppressAutoHyphens/>
        <w:spacing w:after="0"/>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5578C1" w:rsidRDefault="005578C1" w:rsidP="005578C1">
      <w:pPr>
        <w:numPr>
          <w:ilvl w:val="0"/>
          <w:numId w:val="22"/>
        </w:numPr>
        <w:suppressAutoHyphens/>
        <w:spacing w:after="0"/>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5578C1" w:rsidRDefault="005578C1" w:rsidP="005578C1">
      <w:pPr>
        <w:numPr>
          <w:ilvl w:val="0"/>
          <w:numId w:val="22"/>
        </w:numPr>
        <w:suppressAutoHyphens/>
        <w:spacing w:after="0"/>
        <w:jc w:val="both"/>
        <w:rPr>
          <w:rFonts w:cs="Arial"/>
          <w:szCs w:val="20"/>
        </w:rPr>
      </w:pPr>
      <w:r>
        <w:rPr>
          <w:rFonts w:cs="Arial"/>
          <w:szCs w:val="20"/>
        </w:rPr>
        <w:t xml:space="preserve">Nález Ústavního soudu </w:t>
      </w:r>
      <w:proofErr w:type="spellStart"/>
      <w:r>
        <w:rPr>
          <w:rFonts w:cs="Arial"/>
          <w:szCs w:val="20"/>
        </w:rPr>
        <w:t>Pl</w:t>
      </w:r>
      <w:proofErr w:type="spellEnd"/>
      <w:r>
        <w:rPr>
          <w:rFonts w:cs="Arial"/>
          <w:szCs w:val="20"/>
        </w:rPr>
        <w:t xml:space="preserve">. ÚS 55/10 vyhlášený pod č. 80/2011 Sb. - zrušil některá ustanovení zákona č. 347/2010 Sb., kterým se měnily některé zákony v souvislosti s úspornými opatřeními v působnosti MPSV, uplynutím dne 31. prosince 2011. </w:t>
      </w:r>
    </w:p>
    <w:p w:rsidR="005578C1" w:rsidRDefault="005578C1" w:rsidP="005578C1">
      <w:pPr>
        <w:spacing w:before="240" w:after="120" w:line="240" w:lineRule="auto"/>
        <w:jc w:val="both"/>
        <w:rPr>
          <w:rFonts w:cs="Arial"/>
          <w:szCs w:val="20"/>
        </w:rPr>
      </w:pPr>
      <w:r>
        <w:rPr>
          <w:rFonts w:cs="Arial"/>
          <w:b/>
          <w:szCs w:val="20"/>
        </w:rPr>
        <w:t xml:space="preserve">V roce 2012 </w:t>
      </w:r>
    </w:p>
    <w:p w:rsidR="005578C1" w:rsidRDefault="005578C1" w:rsidP="005578C1">
      <w:pPr>
        <w:numPr>
          <w:ilvl w:val="0"/>
          <w:numId w:val="26"/>
        </w:numPr>
        <w:suppressAutoHyphens/>
        <w:spacing w:after="0"/>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5578C1" w:rsidRDefault="005578C1" w:rsidP="005578C1">
      <w:pPr>
        <w:numPr>
          <w:ilvl w:val="0"/>
          <w:numId w:val="26"/>
        </w:numPr>
        <w:suppressAutoHyphens/>
        <w:spacing w:after="0"/>
        <w:jc w:val="both"/>
        <w:rPr>
          <w:rFonts w:cs="Arial"/>
          <w:szCs w:val="20"/>
        </w:rPr>
      </w:pPr>
      <w:r>
        <w:rPr>
          <w:rFonts w:cs="Arial"/>
          <w:szCs w:val="20"/>
        </w:rPr>
        <w:t xml:space="preserve">Zákonem č. 365/2011 Sb., kterým se měnil zákon č. 262/2006 Sb., zákoník práce, ve znění pozdějších předpisů, a další související zákony, byl od 1. 1. 2012 novelizován také zákon č. 187/2006 Sb., o nemocenském pojištění. Touto novelou se rozšířil okruh nemocensky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5578C1" w:rsidRDefault="005578C1" w:rsidP="005578C1">
      <w:pPr>
        <w:numPr>
          <w:ilvl w:val="0"/>
          <w:numId w:val="26"/>
        </w:numPr>
        <w:suppressAutoHyphens/>
        <w:spacing w:after="0"/>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nemocensky pojištěných osob. </w:t>
      </w:r>
    </w:p>
    <w:p w:rsidR="005578C1" w:rsidRDefault="005578C1" w:rsidP="005578C1">
      <w:pPr>
        <w:ind w:firstLine="708"/>
        <w:jc w:val="both"/>
        <w:rPr>
          <w:rFonts w:cs="Arial"/>
          <w:szCs w:val="20"/>
        </w:rPr>
      </w:pPr>
      <w:r>
        <w:rPr>
          <w:rFonts w:cs="Arial"/>
          <w:szCs w:val="20"/>
        </w:rPr>
        <w:t xml:space="preserve">Další změny v oblasti nemocenského pojištění: </w:t>
      </w:r>
    </w:p>
    <w:p w:rsidR="005578C1" w:rsidRDefault="005578C1" w:rsidP="005578C1">
      <w:pPr>
        <w:numPr>
          <w:ilvl w:val="0"/>
          <w:numId w:val="27"/>
        </w:numPr>
        <w:suppressAutoHyphens/>
        <w:spacing w:after="0"/>
        <w:jc w:val="both"/>
        <w:rPr>
          <w:rFonts w:cs="Arial"/>
          <w:szCs w:val="20"/>
        </w:rPr>
      </w:pPr>
      <w:r>
        <w:rPr>
          <w:rFonts w:cs="Arial"/>
          <w:szCs w:val="20"/>
        </w:rPr>
        <w:t xml:space="preserve">do vyloučených dnů se nově zahrnují dny neplaceného pracovního volna, </w:t>
      </w:r>
    </w:p>
    <w:p w:rsidR="005578C1" w:rsidRDefault="005578C1" w:rsidP="005578C1">
      <w:pPr>
        <w:numPr>
          <w:ilvl w:val="0"/>
          <w:numId w:val="27"/>
        </w:numPr>
        <w:suppressAutoHyphens/>
        <w:spacing w:after="0"/>
        <w:jc w:val="both"/>
        <w:rPr>
          <w:rFonts w:cs="Arial"/>
          <w:szCs w:val="20"/>
        </w:rPr>
      </w:pPr>
      <w:r>
        <w:rPr>
          <w:rFonts w:cs="Arial"/>
          <w:szCs w:val="20"/>
        </w:rPr>
        <w:t xml:space="preserve">změny v úpravě při stanovování rozhodného období a pravděpodobného příjmu, </w:t>
      </w:r>
    </w:p>
    <w:p w:rsidR="005578C1" w:rsidRDefault="005578C1" w:rsidP="005578C1">
      <w:pPr>
        <w:numPr>
          <w:ilvl w:val="0"/>
          <w:numId w:val="27"/>
        </w:numPr>
        <w:suppressAutoHyphens/>
        <w:spacing w:after="0"/>
        <w:jc w:val="both"/>
        <w:rPr>
          <w:rFonts w:cs="Arial"/>
          <w:szCs w:val="20"/>
        </w:rPr>
      </w:pPr>
      <w:r>
        <w:rPr>
          <w:rFonts w:cs="Arial"/>
          <w:szCs w:val="20"/>
        </w:rPr>
        <w:t xml:space="preserve">doba studia, pokud bylo úspěšně ukončeno, se započítává jako doba účasti na nemocenském pojištění při zjišťování podmínky 270 dnů účasti na nemocenském pojištění v posledních dvou letech před nástupem na peněžitou pomoc v mateřství, </w:t>
      </w:r>
    </w:p>
    <w:p w:rsidR="005578C1" w:rsidRDefault="005578C1" w:rsidP="005578C1">
      <w:pPr>
        <w:spacing w:before="240" w:after="120"/>
        <w:rPr>
          <w:rFonts w:cs="Arial"/>
          <w:szCs w:val="20"/>
        </w:rPr>
      </w:pPr>
      <w:r>
        <w:rPr>
          <w:rFonts w:cs="Arial"/>
          <w:b/>
          <w:szCs w:val="20"/>
        </w:rPr>
        <w:t xml:space="preserve">V roce 2013 </w:t>
      </w:r>
    </w:p>
    <w:p w:rsidR="005578C1" w:rsidRDefault="005578C1" w:rsidP="005578C1">
      <w:pPr>
        <w:ind w:firstLine="708"/>
        <w:jc w:val="both"/>
        <w:rPr>
          <w:rFonts w:cs="Arial"/>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5578C1" w:rsidRDefault="005578C1" w:rsidP="005578C1">
      <w:pPr>
        <w:numPr>
          <w:ilvl w:val="0"/>
          <w:numId w:val="28"/>
        </w:numPr>
        <w:suppressAutoHyphens/>
        <w:spacing w:after="0"/>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w:t>
      </w:r>
      <w:r>
        <w:rPr>
          <w:rFonts w:cs="Arial"/>
          <w:szCs w:val="20"/>
        </w:rPr>
        <w:lastRenderedPageBreak/>
        <w:t xml:space="preserve">počítaných od vzniku dočasné pracovní neschopnosti (včetně zápočtů předchozí doby trvání dočasné pracovní neschopnosti). </w:t>
      </w:r>
    </w:p>
    <w:p w:rsidR="005578C1" w:rsidRDefault="005578C1" w:rsidP="005578C1">
      <w:pPr>
        <w:numPr>
          <w:ilvl w:val="0"/>
          <w:numId w:val="28"/>
        </w:numPr>
        <w:suppressAutoHyphens/>
        <w:spacing w:after="0"/>
        <w:jc w:val="both"/>
        <w:rPr>
          <w:rFonts w:cs="Arial"/>
          <w:b/>
          <w:szCs w:val="20"/>
        </w:rPr>
      </w:pPr>
      <w:r>
        <w:rPr>
          <w:rFonts w:cs="Arial"/>
          <w:szCs w:val="20"/>
        </w:rPr>
        <w:t xml:space="preserve">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 pracovního dne (při karanténě od prvního pracovního dne). </w:t>
      </w:r>
    </w:p>
    <w:p w:rsidR="005578C1" w:rsidRDefault="005578C1" w:rsidP="005578C1">
      <w:pPr>
        <w:spacing w:before="240" w:after="120"/>
        <w:rPr>
          <w:rFonts w:cs="Arial"/>
          <w:szCs w:val="20"/>
        </w:rPr>
      </w:pPr>
      <w:r>
        <w:rPr>
          <w:rFonts w:cs="Arial"/>
          <w:b/>
          <w:szCs w:val="20"/>
        </w:rPr>
        <w:t xml:space="preserve">V roce 2014 </w:t>
      </w:r>
    </w:p>
    <w:p w:rsidR="005578C1" w:rsidRDefault="005578C1" w:rsidP="005578C1">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5578C1" w:rsidRDefault="005578C1" w:rsidP="005578C1">
      <w:pPr>
        <w:numPr>
          <w:ilvl w:val="0"/>
          <w:numId w:val="29"/>
        </w:numPr>
        <w:suppressAutoHyphens/>
        <w:spacing w:after="0"/>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5578C1" w:rsidRDefault="005578C1" w:rsidP="005578C1">
      <w:pPr>
        <w:numPr>
          <w:ilvl w:val="0"/>
          <w:numId w:val="29"/>
        </w:numPr>
        <w:suppressAutoHyphens/>
        <w:spacing w:after="0"/>
        <w:jc w:val="both"/>
        <w:rPr>
          <w:rFonts w:cs="Arial"/>
          <w:szCs w:val="20"/>
        </w:rPr>
      </w:pPr>
      <w:r>
        <w:rPr>
          <w:rFonts w:cs="Arial"/>
          <w:szCs w:val="20"/>
        </w:rPr>
        <w:t xml:space="preserve">Byly nově definovány některé pojmy </w:t>
      </w:r>
    </w:p>
    <w:p w:rsidR="005578C1" w:rsidRDefault="005578C1" w:rsidP="005578C1">
      <w:pPr>
        <w:numPr>
          <w:ilvl w:val="0"/>
          <w:numId w:val="30"/>
        </w:numPr>
        <w:suppressAutoHyphens/>
        <w:spacing w:after="0"/>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5578C1" w:rsidRDefault="005578C1" w:rsidP="005578C1">
      <w:pPr>
        <w:numPr>
          <w:ilvl w:val="0"/>
          <w:numId w:val="30"/>
        </w:numPr>
        <w:suppressAutoHyphens/>
        <w:spacing w:after="0"/>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5578C1" w:rsidRDefault="005578C1" w:rsidP="005578C1">
      <w:pPr>
        <w:numPr>
          <w:ilvl w:val="0"/>
          <w:numId w:val="31"/>
        </w:numPr>
        <w:suppressAutoHyphens/>
        <w:spacing w:after="0"/>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5578C1" w:rsidRDefault="005578C1" w:rsidP="005578C1">
      <w:pPr>
        <w:numPr>
          <w:ilvl w:val="0"/>
          <w:numId w:val="31"/>
        </w:numPr>
        <w:suppressAutoHyphens/>
        <w:spacing w:after="0"/>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 výkonu zaměstnání malého rozsahu je zaměstnanec pojištěn jen v těch kalendářních měsících, v nichž dosáhl aspoň příjmu v příslušné rozhodné výši.</w:t>
      </w:r>
    </w:p>
    <w:p w:rsidR="005578C1" w:rsidRDefault="005578C1" w:rsidP="005578C1">
      <w:pPr>
        <w:numPr>
          <w:ilvl w:val="0"/>
          <w:numId w:val="31"/>
        </w:numPr>
        <w:suppressAutoHyphens/>
        <w:spacing w:after="0"/>
        <w:ind w:left="709"/>
        <w:jc w:val="both"/>
        <w:rPr>
          <w:rFonts w:cs="Arial"/>
          <w:szCs w:val="20"/>
        </w:rPr>
      </w:pPr>
      <w:r>
        <w:rPr>
          <w:rFonts w:cs="Arial"/>
          <w:szCs w:val="20"/>
        </w:rPr>
        <w:t xml:space="preserve">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 sazbě 2,3 % činí minimální pojistné na nemocenské pojištění 115 Kč za kalendářní měsíc. </w:t>
      </w:r>
    </w:p>
    <w:p w:rsidR="005578C1" w:rsidRDefault="005578C1" w:rsidP="005578C1">
      <w:pPr>
        <w:numPr>
          <w:ilvl w:val="0"/>
          <w:numId w:val="31"/>
        </w:numPr>
        <w:suppressAutoHyphens/>
        <w:spacing w:after="0"/>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5578C1" w:rsidRDefault="005578C1" w:rsidP="005578C1">
      <w:pPr>
        <w:spacing w:before="240" w:after="120"/>
        <w:ind w:left="709" w:hanging="709"/>
        <w:rPr>
          <w:rFonts w:cs="Arial"/>
          <w:b/>
        </w:rPr>
      </w:pPr>
    </w:p>
    <w:p w:rsidR="005578C1" w:rsidRPr="00C91277" w:rsidRDefault="005578C1" w:rsidP="005578C1">
      <w:pPr>
        <w:spacing w:before="240" w:after="120"/>
        <w:ind w:left="709" w:hanging="709"/>
        <w:rPr>
          <w:rFonts w:cs="Arial"/>
          <w:sz w:val="16"/>
          <w:szCs w:val="20"/>
        </w:rPr>
      </w:pPr>
      <w:r w:rsidRPr="00C91277">
        <w:rPr>
          <w:rFonts w:cs="Arial"/>
          <w:b/>
        </w:rPr>
        <w:lastRenderedPageBreak/>
        <w:t>V roce 2015</w:t>
      </w:r>
    </w:p>
    <w:p w:rsidR="005578C1" w:rsidRDefault="005578C1" w:rsidP="005578C1">
      <w:pPr>
        <w:numPr>
          <w:ilvl w:val="0"/>
          <w:numId w:val="32"/>
        </w:numPr>
        <w:suppressAutoHyphens/>
        <w:spacing w:after="0"/>
        <w:ind w:left="567"/>
        <w:jc w:val="both"/>
        <w:rPr>
          <w:rFonts w:cs="Arial"/>
          <w:szCs w:val="20"/>
        </w:rPr>
      </w:pPr>
      <w:r>
        <w:rPr>
          <w:rFonts w:cs="Arial"/>
          <w:szCs w:val="20"/>
        </w:rPr>
        <w:t>V roce 2015 je zrušena zvýšená sazba pojistného na sociální zabezpečení pro zaměstnavatele s počtem zaměstnanců menším než 26 a navazující úprava, kdy si takový zaměstnavatel mohl od pojistného odečíst polovinu ze zúčtované a vyplacené náhrady mzdy za dobu trvání dočasné pracovní neschopnosti jeho zaměstnanců.</w:t>
      </w:r>
    </w:p>
    <w:p w:rsidR="005578C1" w:rsidRDefault="005578C1" w:rsidP="005578C1">
      <w:pPr>
        <w:suppressAutoHyphens/>
        <w:spacing w:after="0"/>
        <w:ind w:left="567"/>
        <w:jc w:val="both"/>
        <w:rPr>
          <w:rFonts w:cs="Arial"/>
          <w:szCs w:val="20"/>
        </w:rPr>
      </w:pPr>
    </w:p>
    <w:p w:rsidR="005578C1" w:rsidRPr="004736B0" w:rsidRDefault="005578C1" w:rsidP="005578C1">
      <w:pPr>
        <w:rPr>
          <w:rFonts w:cs="Arial"/>
          <w:b/>
          <w:szCs w:val="20"/>
        </w:rPr>
      </w:pPr>
      <w:r>
        <w:rPr>
          <w:rFonts w:cs="Arial"/>
          <w:b/>
          <w:szCs w:val="20"/>
        </w:rPr>
        <w:t>V roce 2016</w:t>
      </w:r>
    </w:p>
    <w:p w:rsidR="005578C1" w:rsidRDefault="005578C1" w:rsidP="005578C1">
      <w:pPr>
        <w:numPr>
          <w:ilvl w:val="0"/>
          <w:numId w:val="39"/>
        </w:numPr>
        <w:spacing w:after="0"/>
        <w:ind w:left="567"/>
        <w:jc w:val="both"/>
        <w:rPr>
          <w:rFonts w:cs="Arial"/>
          <w:szCs w:val="20"/>
        </w:rPr>
      </w:pPr>
      <w:r>
        <w:rPr>
          <w:rFonts w:cs="Arial"/>
          <w:szCs w:val="20"/>
        </w:rPr>
        <w:t>V</w:t>
      </w:r>
      <w:r w:rsidRPr="00664943">
        <w:rPr>
          <w:rFonts w:cs="Arial"/>
          <w:szCs w:val="20"/>
        </w:rPr>
        <w:t xml:space="preserve"> návaznosti na zvýšení průměrné mzdy se od 1. 1. 2016 zvýšily redukční hranice pro výpočet náhrady mzdy za dobu dočasné pracovní neschopnosti a pro výpočet dávek nemocenského pojištění.</w:t>
      </w:r>
    </w:p>
    <w:p w:rsidR="005578C1" w:rsidRDefault="005578C1" w:rsidP="005578C1">
      <w:pPr>
        <w:numPr>
          <w:ilvl w:val="0"/>
          <w:numId w:val="39"/>
        </w:numPr>
        <w:spacing w:after="0"/>
        <w:ind w:left="567"/>
        <w:jc w:val="both"/>
        <w:rPr>
          <w:rFonts w:cs="Arial"/>
          <w:szCs w:val="20"/>
        </w:rPr>
      </w:pPr>
      <w:r w:rsidRPr="00664943">
        <w:rPr>
          <w:rFonts w:cs="Arial"/>
          <w:szCs w:val="20"/>
        </w:rPr>
        <w:t>K významné změně dochází ve stanovení místní příslušnosti zaměstnavatelů k okresní správě sociálního zabezpečení, která se již nemusí řídit pouze sídlem zaměstnavatele.</w:t>
      </w:r>
      <w:r>
        <w:rPr>
          <w:rFonts w:cs="Arial"/>
          <w:szCs w:val="20"/>
        </w:rPr>
        <w:t> </w:t>
      </w:r>
    </w:p>
    <w:p w:rsidR="005578C1" w:rsidRDefault="005578C1" w:rsidP="005578C1">
      <w:pPr>
        <w:jc w:val="both"/>
        <w:rPr>
          <w:rFonts w:cs="Arial"/>
          <w:szCs w:val="20"/>
        </w:rPr>
      </w:pPr>
    </w:p>
    <w:p w:rsidR="005578C1" w:rsidRPr="009C1E88" w:rsidRDefault="005578C1" w:rsidP="005578C1">
      <w:pPr>
        <w:spacing w:after="0" w:line="240" w:lineRule="auto"/>
        <w:rPr>
          <w:rFonts w:eastAsia="MS Gothic"/>
          <w:b/>
          <w:bCs/>
          <w:color w:val="BC091B"/>
          <w:sz w:val="28"/>
          <w:szCs w:val="26"/>
        </w:rPr>
      </w:pPr>
    </w:p>
    <w:p w:rsidR="005578C1" w:rsidRDefault="005578C1">
      <w:pPr>
        <w:spacing w:after="0" w:line="240" w:lineRule="auto"/>
        <w:rPr>
          <w:rFonts w:eastAsia="MS Gothic"/>
          <w:b/>
          <w:bCs/>
          <w:color w:val="BC091B"/>
          <w:sz w:val="28"/>
          <w:szCs w:val="26"/>
        </w:rPr>
      </w:pPr>
      <w:r>
        <w:rPr>
          <w:rFonts w:eastAsia="MS Gothic"/>
          <w:b/>
          <w:bCs/>
          <w:color w:val="BC091B"/>
          <w:sz w:val="28"/>
          <w:szCs w:val="26"/>
        </w:rPr>
        <w:br w:type="page"/>
      </w:r>
    </w:p>
    <w:p w:rsidR="005578C1" w:rsidRDefault="005578C1" w:rsidP="005578C1">
      <w:pPr>
        <w:pStyle w:val="Nadpis1"/>
      </w:pPr>
      <w:bookmarkStart w:id="73" w:name="_Toc483838348"/>
      <w:bookmarkStart w:id="74" w:name="_Toc483901836"/>
      <w:r>
        <w:lastRenderedPageBreak/>
        <w:t>5. Použité značky, zkratky</w:t>
      </w:r>
      <w:bookmarkEnd w:id="73"/>
      <w:bookmarkEnd w:id="74"/>
    </w:p>
    <w:p w:rsidR="005578C1" w:rsidRDefault="005578C1" w:rsidP="005578C1">
      <w:pPr>
        <w:pStyle w:val="Zkladntextodsazen"/>
        <w:ind w:left="0"/>
        <w:jc w:val="both"/>
        <w:rPr>
          <w:rFonts w:cs="Arial"/>
        </w:rPr>
      </w:pPr>
      <w:r>
        <w:rPr>
          <w:rFonts w:cs="Arial"/>
        </w:rPr>
        <w:t>.</w:t>
      </w:r>
      <w:r>
        <w:rPr>
          <w:rFonts w:cs="Arial"/>
        </w:rPr>
        <w:tab/>
      </w:r>
      <w:r>
        <w:rPr>
          <w:rFonts w:cs="Arial"/>
        </w:rPr>
        <w:tab/>
        <w:t>tečka na místě čísla značí nezjištěný údaj</w:t>
      </w:r>
    </w:p>
    <w:p w:rsidR="005578C1" w:rsidRDefault="005578C1" w:rsidP="005578C1">
      <w:pPr>
        <w:pStyle w:val="Zkladntextodsazen"/>
        <w:ind w:left="0"/>
        <w:jc w:val="both"/>
        <w:rPr>
          <w:rFonts w:cs="Arial"/>
        </w:rPr>
      </w:pPr>
      <w:r>
        <w:rPr>
          <w:rFonts w:cs="Arial"/>
        </w:rPr>
        <w:t>-</w:t>
      </w:r>
      <w:r>
        <w:rPr>
          <w:rFonts w:cs="Arial"/>
        </w:rPr>
        <w:tab/>
      </w:r>
      <w:r>
        <w:rPr>
          <w:rFonts w:cs="Arial"/>
        </w:rPr>
        <w:tab/>
        <w:t>ležatá čárka na místě čísla značí, že se jev nevyskytoval</w:t>
      </w:r>
    </w:p>
    <w:p w:rsidR="005578C1" w:rsidRDefault="005578C1" w:rsidP="005578C1">
      <w:pPr>
        <w:pStyle w:val="Zkladntextodsazen"/>
        <w:ind w:left="0"/>
        <w:jc w:val="both"/>
        <w:rPr>
          <w:rFonts w:cs="Arial"/>
        </w:rPr>
      </w:pPr>
      <w:r>
        <w:rPr>
          <w:rFonts w:cs="Arial"/>
        </w:rPr>
        <w:t>x</w:t>
      </w:r>
      <w:r>
        <w:rPr>
          <w:rFonts w:cs="Arial"/>
        </w:rPr>
        <w:tab/>
      </w:r>
      <w:r>
        <w:rPr>
          <w:rFonts w:cs="Arial"/>
        </w:rPr>
        <w:tab/>
        <w:t>ležatý křížek na místě čísla značí, že zápis není možný z logických důvodů</w:t>
      </w:r>
    </w:p>
    <w:p w:rsidR="005578C1" w:rsidRDefault="005578C1" w:rsidP="005578C1">
      <w:pPr>
        <w:pStyle w:val="Zkladntextodsazen"/>
        <w:ind w:left="0"/>
        <w:jc w:val="both"/>
        <w:rPr>
          <w:rFonts w:cs="Arial"/>
        </w:rPr>
      </w:pPr>
      <w:r>
        <w:rPr>
          <w:rFonts w:cs="Arial"/>
        </w:rPr>
        <w:t xml:space="preserve">i. </w:t>
      </w:r>
      <w:proofErr w:type="spellStart"/>
      <w:r>
        <w:rPr>
          <w:rFonts w:cs="Arial"/>
        </w:rPr>
        <w:t>d</w:t>
      </w:r>
      <w:proofErr w:type="spellEnd"/>
      <w:r>
        <w:rPr>
          <w:rFonts w:cs="Arial"/>
        </w:rPr>
        <w:t>.</w:t>
      </w:r>
      <w:r>
        <w:rPr>
          <w:rFonts w:cs="Arial"/>
        </w:rPr>
        <w:tab/>
      </w:r>
      <w:r>
        <w:rPr>
          <w:rFonts w:cs="Arial"/>
        </w:rPr>
        <w:tab/>
        <w:t>individuální data</w:t>
      </w:r>
    </w:p>
    <w:p w:rsidR="005578C1" w:rsidRDefault="005578C1" w:rsidP="005578C1">
      <w:pPr>
        <w:pStyle w:val="Zkladntextodsazen"/>
        <w:ind w:left="0"/>
        <w:jc w:val="both"/>
      </w:pPr>
      <w:r>
        <w:rPr>
          <w:rFonts w:cs="Arial"/>
        </w:rPr>
        <w:t>DPN</w:t>
      </w:r>
      <w:r>
        <w:rPr>
          <w:rFonts w:cs="Arial"/>
        </w:rPr>
        <w:tab/>
      </w:r>
      <w:r>
        <w:rPr>
          <w:rFonts w:cs="Arial"/>
        </w:rPr>
        <w:tab/>
        <w:t>dočasná pracovní neschopnost</w:t>
      </w:r>
    </w:p>
    <w:p w:rsidR="005578C1" w:rsidRDefault="005578C1" w:rsidP="005578C1">
      <w:pPr>
        <w:pStyle w:val="Zkladntextodsazen"/>
        <w:ind w:left="0"/>
      </w:pPr>
      <w:r>
        <w:t xml:space="preserve">ČBÚ     </w:t>
      </w:r>
      <w:r>
        <w:tab/>
      </w:r>
      <w:r>
        <w:tab/>
        <w:t>Český báňský úřad</w:t>
      </w:r>
    </w:p>
    <w:p w:rsidR="005578C1" w:rsidRDefault="005578C1" w:rsidP="005578C1">
      <w:pPr>
        <w:pStyle w:val="Zkladntextodsazen"/>
        <w:ind w:left="0"/>
      </w:pPr>
      <w:r>
        <w:t xml:space="preserve">ČSÚ     </w:t>
      </w:r>
      <w:r>
        <w:tab/>
      </w:r>
      <w:r>
        <w:tab/>
        <w:t>Český statistický úřad</w:t>
      </w:r>
    </w:p>
    <w:p w:rsidR="005578C1" w:rsidRDefault="005578C1" w:rsidP="005578C1">
      <w:pPr>
        <w:pStyle w:val="Zkladntextodsazen"/>
        <w:ind w:left="0"/>
      </w:pPr>
      <w:r>
        <w:t xml:space="preserve">ČSSZ   </w:t>
      </w:r>
      <w:r>
        <w:tab/>
      </w:r>
      <w:r>
        <w:tab/>
        <w:t xml:space="preserve">Česká správa sociálního zabezpečení </w:t>
      </w:r>
    </w:p>
    <w:p w:rsidR="005578C1" w:rsidRDefault="005578C1" w:rsidP="005578C1">
      <w:pPr>
        <w:pStyle w:val="Zkladntextodsazen"/>
        <w:ind w:left="0"/>
      </w:pPr>
      <w:r>
        <w:t xml:space="preserve">SÚIP </w:t>
      </w:r>
      <w:r>
        <w:tab/>
      </w:r>
      <w:r>
        <w:tab/>
        <w:t>Státní úřad inspekce práce</w:t>
      </w:r>
    </w:p>
    <w:p w:rsidR="005578C1" w:rsidRDefault="005578C1" w:rsidP="005578C1">
      <w:pPr>
        <w:pStyle w:val="Zkladntextodsazen"/>
        <w:ind w:left="0"/>
      </w:pPr>
      <w:r>
        <w:t xml:space="preserve">ÚZIS ČR    </w:t>
      </w:r>
      <w:r>
        <w:tab/>
        <w:t xml:space="preserve">Ústav zdravotnických informací České republiky </w:t>
      </w:r>
    </w:p>
    <w:p w:rsidR="005578C1" w:rsidRDefault="005578C1" w:rsidP="005578C1">
      <w:pPr>
        <w:pStyle w:val="Zkladntextodsazen"/>
        <w:ind w:left="0"/>
      </w:pPr>
      <w:r>
        <w:t xml:space="preserve">MPSV  </w:t>
      </w:r>
      <w:r>
        <w:tab/>
      </w:r>
      <w:r>
        <w:tab/>
        <w:t>Ministerstvo práce a sociálních věcí</w:t>
      </w:r>
    </w:p>
    <w:p w:rsidR="005578C1" w:rsidRDefault="005578C1" w:rsidP="005578C1">
      <w:bookmarkStart w:id="75" w:name="__RefHeading___Toc449685193"/>
      <w:bookmarkEnd w:id="75"/>
    </w:p>
    <w:p w:rsidR="005578C1" w:rsidRPr="0011739E" w:rsidRDefault="005578C1" w:rsidP="005578C1"/>
    <w:p w:rsidR="005578C1" w:rsidRDefault="005578C1">
      <w:pPr>
        <w:spacing w:after="0" w:line="240" w:lineRule="auto"/>
        <w:rPr>
          <w:rFonts w:eastAsia="MS Gothic"/>
          <w:b/>
          <w:bCs/>
          <w:color w:val="BC091B"/>
          <w:sz w:val="28"/>
          <w:szCs w:val="26"/>
        </w:rPr>
      </w:pPr>
    </w:p>
    <w:sectPr w:rsidR="005578C1" w:rsidSect="006F5416">
      <w:headerReference w:type="even" r:id="rId25"/>
      <w:headerReference w:type="default" r:id="rId26"/>
      <w:footerReference w:type="even" r:id="rId27"/>
      <w:footerReference w:type="default" r:id="rId28"/>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39" w:rsidRDefault="002A3339" w:rsidP="00E71A58">
      <w:r>
        <w:separator/>
      </w:r>
    </w:p>
  </w:endnote>
  <w:endnote w:type="continuationSeparator" w:id="0">
    <w:p w:rsidR="002A3339" w:rsidRDefault="002A333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932443" w:rsidRDefault="002A333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r w:rsidR="003B224A" w:rsidRPr="00932443">
      <w:rPr>
        <w:szCs w:val="16"/>
      </w:rPr>
      <w:fldChar w:fldCharType="begin"/>
    </w:r>
    <w:r w:rsidRPr="00932443">
      <w:rPr>
        <w:szCs w:val="16"/>
      </w:rPr>
      <w:instrText>PAGE   \* MERGEFORMAT</w:instrText>
    </w:r>
    <w:r w:rsidR="003B224A" w:rsidRPr="00932443">
      <w:rPr>
        <w:szCs w:val="16"/>
      </w:rPr>
      <w:fldChar w:fldCharType="separate"/>
    </w:r>
    <w:r w:rsidR="005578C1">
      <w:rPr>
        <w:szCs w:val="16"/>
      </w:rPr>
      <w:t>30</w:t>
    </w:r>
    <w:r w:rsidR="003B224A" w:rsidRPr="00932443">
      <w:rPr>
        <w:szCs w:val="16"/>
      </w:rPr>
      <w:fldChar w:fldCharType="end"/>
    </w:r>
    <w:r w:rsidRPr="00932443">
      <w:rPr>
        <w:szCs w:val="16"/>
      </w:rPr>
      <w:tab/>
    </w:r>
    <w:r>
      <w:rPr>
        <w:szCs w:val="16"/>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932443" w:rsidRDefault="002A3339"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2016</w:t>
    </w:r>
    <w:r w:rsidRPr="00932443">
      <w:rPr>
        <w:szCs w:val="16"/>
      </w:rPr>
      <w:tab/>
    </w:r>
    <w:r w:rsidR="003B224A" w:rsidRPr="00932443">
      <w:rPr>
        <w:rStyle w:val="ZpatChar"/>
        <w:szCs w:val="16"/>
      </w:rPr>
      <w:fldChar w:fldCharType="begin"/>
    </w:r>
    <w:r w:rsidRPr="00932443">
      <w:rPr>
        <w:rStyle w:val="ZpatChar"/>
        <w:szCs w:val="16"/>
      </w:rPr>
      <w:instrText>PAGE   \* MERGEFORMAT</w:instrText>
    </w:r>
    <w:r w:rsidR="003B224A" w:rsidRPr="00932443">
      <w:rPr>
        <w:rStyle w:val="ZpatChar"/>
        <w:szCs w:val="16"/>
      </w:rPr>
      <w:fldChar w:fldCharType="separate"/>
    </w:r>
    <w:r w:rsidR="005578C1">
      <w:rPr>
        <w:rStyle w:val="ZpatChar"/>
        <w:szCs w:val="16"/>
      </w:rPr>
      <w:t>29</w:t>
    </w:r>
    <w:r w:rsidR="003B224A"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39" w:rsidRDefault="002A3339" w:rsidP="00E71A58">
      <w:r>
        <w:separator/>
      </w:r>
    </w:p>
  </w:footnote>
  <w:footnote w:type="continuationSeparator" w:id="0">
    <w:p w:rsidR="002A3339" w:rsidRDefault="002A3339" w:rsidP="00E71A58">
      <w:r>
        <w:continuationSeparator/>
      </w:r>
    </w:p>
  </w:footnote>
  <w:footnote w:id="1">
    <w:p w:rsidR="002A3339" w:rsidRPr="00F443D9" w:rsidRDefault="002A3339" w:rsidP="00F443D9">
      <w:pPr>
        <w:pStyle w:val="Textpoznpodarou"/>
        <w:spacing w:line="240" w:lineRule="auto"/>
        <w:rPr>
          <w:sz w:val="16"/>
        </w:rPr>
      </w:pPr>
      <w:r>
        <w:rPr>
          <w:rStyle w:val="Znakapoznpodarou"/>
        </w:rPr>
        <w:footnoteRef/>
      </w:r>
      <w:r>
        <w:t xml:space="preserve"> </w:t>
      </w:r>
      <w:r w:rsidRPr="00DF6EE5">
        <w:rPr>
          <w:sz w:val="16"/>
        </w:rPr>
        <w:t>P</w:t>
      </w:r>
      <w:r>
        <w:rPr>
          <w:sz w:val="16"/>
        </w:rPr>
        <w:t>ublikaci</w:t>
      </w:r>
      <w:r w:rsidRPr="006D66F2">
        <w:rPr>
          <w:sz w:val="16"/>
        </w:rPr>
        <w:t xml:space="preserve"> s daty za</w:t>
      </w:r>
      <w:r>
        <w:rPr>
          <w:sz w:val="16"/>
        </w:rPr>
        <w:t xml:space="preserve"> 1. pololetí</w:t>
      </w:r>
      <w:r w:rsidRPr="006D66F2">
        <w:rPr>
          <w:sz w:val="16"/>
        </w:rPr>
        <w:t xml:space="preserve"> rok</w:t>
      </w:r>
      <w:r>
        <w:rPr>
          <w:sz w:val="16"/>
        </w:rPr>
        <w:t>u 2016</w:t>
      </w:r>
      <w:r w:rsidRPr="006D66F2">
        <w:rPr>
          <w:sz w:val="16"/>
        </w:rPr>
        <w:t xml:space="preserve"> lze nalézt </w:t>
      </w:r>
      <w:r>
        <w:rPr>
          <w:sz w:val="16"/>
        </w:rPr>
        <w:t xml:space="preserve">na </w:t>
      </w:r>
      <w:hyperlink r:id="rId1" w:history="1">
        <w:r w:rsidRPr="00844C00">
          <w:rPr>
            <w:rStyle w:val="Hypertextovodkaz"/>
            <w:sz w:val="16"/>
          </w:rPr>
          <w:t>https://www.czso.cz/csu/czso/pracovni-neschopnost-pro-nemoc-a-uraz-v-ceske-republice-1-pololeti-2016</w:t>
        </w:r>
      </w:hyperlink>
    </w:p>
  </w:footnote>
  <w:footnote w:id="2">
    <w:p w:rsidR="002A3339" w:rsidRPr="00785650" w:rsidRDefault="002A3339" w:rsidP="00F443D9">
      <w:pPr>
        <w:spacing w:before="20" w:line="240" w:lineRule="auto"/>
        <w:jc w:val="both"/>
        <w:rPr>
          <w:rFonts w:cs="Arial"/>
          <w:sz w:val="16"/>
          <w:szCs w:val="20"/>
        </w:rPr>
      </w:pPr>
      <w:r w:rsidRPr="006D66F2">
        <w:rPr>
          <w:rStyle w:val="Znakapoznpodarou"/>
          <w:sz w:val="16"/>
        </w:rPr>
        <w:footnoteRef/>
      </w:r>
      <w:r w:rsidRPr="006D66F2">
        <w:rPr>
          <w:sz w:val="16"/>
        </w:rPr>
        <w:t xml:space="preserve"> V údajích ČSSZ nejsou zahrnuti příslušníci </w:t>
      </w:r>
      <w:r w:rsidRPr="006D66F2">
        <w:rPr>
          <w:rFonts w:cs="Arial"/>
          <w:sz w:val="16"/>
        </w:rPr>
        <w:t xml:space="preserve">Policie ČR, Hasičského záchranného sboru ČR, Celní správy ČR, </w:t>
      </w:r>
      <w:r w:rsidRPr="006D66F2">
        <w:rPr>
          <w:rFonts w:cs="Arial"/>
          <w:sz w:val="16"/>
          <w:szCs w:val="20"/>
        </w:rPr>
        <w:t>Vězeňské služby ČR, Bezpečnostní informační služby, Úřadu pro zahraniční styky a informace a vojáky z povolání (§ 5 písm. a) bod 2 zákona č.187/2006 Sb.).</w:t>
      </w:r>
      <w:r w:rsidRPr="006D66F2">
        <w:rPr>
          <w:rFonts w:cs="Arial"/>
          <w:sz w:val="16"/>
        </w:rPr>
        <w:t xml:space="preserve"> </w:t>
      </w:r>
    </w:p>
  </w:footnote>
  <w:footnote w:id="3">
    <w:p w:rsidR="005578C1" w:rsidRPr="006D66F2" w:rsidRDefault="005578C1" w:rsidP="005578C1">
      <w:pPr>
        <w:spacing w:before="20" w:line="240" w:lineRule="auto"/>
        <w:jc w:val="both"/>
        <w:rPr>
          <w:sz w:val="16"/>
        </w:rPr>
      </w:pPr>
      <w:r w:rsidRPr="006D66F2">
        <w:rPr>
          <w:rStyle w:val="Znakapoznpodarou"/>
          <w:sz w:val="16"/>
        </w:rPr>
        <w:footnoteRef/>
      </w:r>
      <w:r w:rsidRPr="006D66F2">
        <w:rPr>
          <w:sz w:val="16"/>
        </w:rPr>
        <w:t xml:space="preserve"> </w:t>
      </w:r>
      <w:r w:rsidRPr="006D66F2">
        <w:rPr>
          <w:rFonts w:cs="Arial"/>
          <w:sz w:val="16"/>
          <w:szCs w:val="20"/>
        </w:rPr>
        <w:t xml:space="preserve">Podrobné informace k tiskopisu </w:t>
      </w:r>
      <w:r w:rsidRPr="006D66F2">
        <w:rPr>
          <w:rFonts w:cs="Arial"/>
          <w:iCs/>
          <w:sz w:val="16"/>
          <w:szCs w:val="20"/>
        </w:rPr>
        <w:t>Rozhodnutí o dočasné pracovní neschopnosti</w:t>
      </w:r>
      <w:r w:rsidRPr="006D66F2">
        <w:rPr>
          <w:rFonts w:cs="Arial"/>
          <w:sz w:val="16"/>
          <w:szCs w:val="20"/>
        </w:rPr>
        <w:t xml:space="preserve"> lze nalézt na </w:t>
      </w:r>
      <w:r w:rsidRPr="006D66F2">
        <w:rPr>
          <w:sz w:val="16"/>
        </w:rPr>
        <w:t xml:space="preserve">internetových stránkách </w:t>
      </w:r>
      <w:r>
        <w:rPr>
          <w:sz w:val="16"/>
        </w:rPr>
        <w:t>Č</w:t>
      </w:r>
      <w:r w:rsidRPr="006D66F2">
        <w:rPr>
          <w:sz w:val="16"/>
        </w:rPr>
        <w:t>SSZ</w:t>
      </w:r>
      <w:r w:rsidRPr="006D66F2">
        <w:rPr>
          <w:rFonts w:cs="Arial"/>
          <w:sz w:val="16"/>
          <w:szCs w:val="20"/>
        </w:rPr>
        <w:t xml:space="preserve"> </w:t>
      </w:r>
      <w:r w:rsidRPr="006D66F2">
        <w:rPr>
          <w:rStyle w:val="Hypertextovodkaz"/>
          <w:rFonts w:eastAsia="MS Gothic" w:cs="Arial"/>
          <w:sz w:val="16"/>
        </w:rPr>
        <w:t xml:space="preserve">http://www.cssz.cz/cz/nemocenske-pojisteni/novy-zakon-o-nemocenskem-pojisteni/informace-k-novym-tiskopisum-vyplnovanymi-osetrujicimi-lekari.htm </w:t>
      </w:r>
    </w:p>
  </w:footnote>
  <w:footnote w:id="4">
    <w:p w:rsidR="005578C1" w:rsidRDefault="005578C1" w:rsidP="005578C1">
      <w:pPr>
        <w:pStyle w:val="Textpoznpodarou"/>
      </w:pPr>
      <w:r>
        <w:rPr>
          <w:rStyle w:val="Znakapoznpodarou"/>
        </w:rPr>
        <w:footnoteRef/>
      </w:r>
      <w:r>
        <w:t xml:space="preserve"> </w:t>
      </w:r>
      <w:r w:rsidRPr="00C91277">
        <w:rPr>
          <w:sz w:val="16"/>
        </w:rPr>
        <w:t xml:space="preserve">podrobněji viz </w:t>
      </w:r>
      <w:hyperlink r:id="rId2" w:history="1">
        <w:r w:rsidRPr="00C91277">
          <w:rPr>
            <w:rStyle w:val="Hypertextovodkaz"/>
            <w:sz w:val="16"/>
          </w:rPr>
          <w:t>http://www.mpsv.cz/files/clanky/23180/Analyza_nemocenskeho_pojisteni_2015.pdf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6F5416" w:rsidRDefault="002A3339" w:rsidP="00940A27">
    <w:pPr>
      <w:pStyle w:val="Zhlav"/>
    </w:pPr>
    <w:r>
      <w:t>Pracovní neschopnost pro nemoc a úraz v České republice za rok 2016</w:t>
    </w:r>
  </w:p>
  <w:p w:rsidR="002A3339" w:rsidRPr="00940A27" w:rsidRDefault="002A3339" w:rsidP="00940A2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9" w:rsidRPr="006F5416" w:rsidRDefault="002A3339" w:rsidP="00937AE2">
    <w:pPr>
      <w:pStyle w:val="Zhlav"/>
    </w:pPr>
    <w:r>
      <w:t>Pracovní neschopnost pro nemoc a úraz v České republice za rok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3"/>
    <w:multiLevelType w:val="multilevel"/>
    <w:tmpl w:val="00000003"/>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4"/>
    <w:multiLevelType w:val="multilevel"/>
    <w:tmpl w:val="00000004"/>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5"/>
    <w:multiLevelType w:val="multilevel"/>
    <w:tmpl w:val="00000005"/>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6"/>
    <w:multiLevelType w:val="multilevel"/>
    <w:tmpl w:val="00000006"/>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07"/>
    <w:multiLevelType w:val="multilevel"/>
    <w:tmpl w:val="00000007"/>
    <w:lvl w:ilvl="0">
      <w:numFmt w:val="bullet"/>
      <w:lvlText w:val=""/>
      <w:lvlJc w:val="left"/>
      <w:pPr>
        <w:tabs>
          <w:tab w:val="num" w:pos="720"/>
        </w:tabs>
        <w:ind w:left="720" w:hanging="360"/>
      </w:pPr>
      <w:rPr>
        <w:rFonts w:ascii="Symbol" w:hAnsi="Symbol" w:cs="Symbol" w:hint="default"/>
        <w:sz w:val="20"/>
        <w:szCs w:val="20"/>
      </w:rPr>
    </w:lvl>
    <w:lvl w:ilv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0"/>
        </w:tabs>
        <w:ind w:left="2160" w:hanging="360"/>
      </w:pPr>
      <w:rPr>
        <w:rFonts w:cs="Times New Roman"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08"/>
    <w:multiLevelType w:val="multilevel"/>
    <w:tmpl w:val="00000008"/>
    <w:lvl w:ilvl="0">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0A"/>
    <w:multiLevelType w:val="singleLevel"/>
    <w:tmpl w:val="0000000A"/>
    <w:lvl w:ilvl="0">
      <w:numFmt w:val="bullet"/>
      <w:lvlText w:val=""/>
      <w:lvlJc w:val="left"/>
      <w:pPr>
        <w:tabs>
          <w:tab w:val="num" w:pos="0"/>
        </w:tabs>
        <w:ind w:left="720" w:hanging="360"/>
      </w:pPr>
      <w:rPr>
        <w:rFonts w:ascii="Symbol" w:hAnsi="Symbol" w:cs="Symbol" w:hint="default"/>
      </w:rPr>
    </w:lvl>
  </w:abstractNum>
  <w:abstractNum w:abstractNumId="18">
    <w:nsid w:val="0000000B"/>
    <w:multiLevelType w:val="multilevel"/>
    <w:tmpl w:val="14E6014E"/>
    <w:lvl w:ilvl="0">
      <w:numFmt w:val="bullet"/>
      <w:lvlText w:val=""/>
      <w:lvlJc w:val="left"/>
      <w:pPr>
        <w:tabs>
          <w:tab w:val="num" w:pos="0"/>
        </w:tabs>
        <w:ind w:left="720" w:hanging="360"/>
      </w:pPr>
      <w:rPr>
        <w:rFonts w:ascii="Symbol" w:hAnsi="Symbol" w:cs="Symbol" w:hint="default"/>
        <w:sz w:val="20"/>
        <w:szCs w:val="20"/>
      </w:rPr>
    </w:lvl>
    <w:lvl w:ilvl="1">
      <w:numFmt w:val="bullet"/>
      <w:lvlText w:val=""/>
      <w:lvlJc w:val="left"/>
      <w:pPr>
        <w:tabs>
          <w:tab w:val="num" w:pos="0"/>
        </w:tabs>
        <w:ind w:left="1440" w:hanging="360"/>
      </w:pPr>
      <w:rPr>
        <w:rFonts w:ascii="Wingdings" w:hAnsi="Wingdings" w:cs="Wingdings" w:hint="default"/>
        <w:sz w:val="20"/>
        <w:szCs w:val="20"/>
      </w:rPr>
    </w:lvl>
    <w:lvl w:ilvl="2">
      <w:start w:val="1"/>
      <w:numFmt w:val="bullet"/>
      <w:lvlText w:val=""/>
      <w:lvlJc w:val="left"/>
      <w:pPr>
        <w:tabs>
          <w:tab w:val="num" w:pos="0"/>
        </w:tabs>
        <w:ind w:left="2160" w:hanging="360"/>
      </w:pPr>
      <w:rPr>
        <w:rFonts w:ascii="Symbol" w:hAnsi="Symbol" w:cs="Wingdings" w:hint="default"/>
        <w:sz w:val="20"/>
        <w:szCs w:val="20"/>
      </w:rPr>
    </w:lvl>
    <w:lvl w:ilvl="3">
      <w:start w:val="1"/>
      <w:numFmt w:val="bullet"/>
      <w:lvlText w:val=""/>
      <w:lvlJc w:val="left"/>
      <w:pPr>
        <w:tabs>
          <w:tab w:val="num" w:pos="0"/>
        </w:tabs>
        <w:ind w:left="2880" w:hanging="360"/>
      </w:pPr>
      <w:rPr>
        <w:rFonts w:ascii="Symbol" w:hAnsi="Symbol" w:cs="Symbol" w:hint="default"/>
        <w:sz w:val="20"/>
        <w:szCs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sz w:val="20"/>
        <w:szCs w:val="2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19">
    <w:nsid w:val="0000000C"/>
    <w:multiLevelType w:val="singleLevel"/>
    <w:tmpl w:val="0000000C"/>
    <w:lvl w:ilvl="0">
      <w:numFmt w:val="bullet"/>
      <w:lvlText w:val=""/>
      <w:lvlJc w:val="left"/>
      <w:pPr>
        <w:tabs>
          <w:tab w:val="num" w:pos="0"/>
        </w:tabs>
        <w:ind w:left="720" w:hanging="360"/>
      </w:pPr>
      <w:rPr>
        <w:rFonts w:ascii="Symbol" w:hAnsi="Symbol" w:cs="Symbol" w:hint="default"/>
      </w:rPr>
    </w:lvl>
  </w:abstractNum>
  <w:abstractNum w:abstractNumId="20">
    <w:nsid w:val="0000000D"/>
    <w:multiLevelType w:val="multilevel"/>
    <w:tmpl w:val="0000000D"/>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Wingdings" w:hAnsi="Wingdings" w:cs="Wingdings" w:hint="default"/>
        <w:sz w:val="20"/>
        <w:szCs w:val="20"/>
      </w:rPr>
    </w:lvl>
    <w:lvl w:ilvl="2">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21">
    <w:nsid w:val="0000000E"/>
    <w:multiLevelType w:val="multilevel"/>
    <w:tmpl w:val="0000000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0000000F"/>
    <w:multiLevelType w:val="singleLevel"/>
    <w:tmpl w:val="0000000F"/>
    <w:lvl w:ilvl="0">
      <w:numFmt w:val="bullet"/>
      <w:lvlText w:val=""/>
      <w:lvlJc w:val="left"/>
      <w:pPr>
        <w:tabs>
          <w:tab w:val="num" w:pos="0"/>
        </w:tabs>
        <w:ind w:left="720" w:hanging="360"/>
      </w:pPr>
      <w:rPr>
        <w:rFonts w:ascii="Symbol" w:hAnsi="Symbol" w:cs="Symbol" w:hint="default"/>
      </w:rPr>
    </w:lvl>
  </w:abstractNum>
  <w:abstractNum w:abstractNumId="23">
    <w:nsid w:val="00000010"/>
    <w:multiLevelType w:val="singleLevel"/>
    <w:tmpl w:val="00000010"/>
    <w:lvl w:ilvl="0">
      <w:numFmt w:val="bullet"/>
      <w:lvlText w:val=""/>
      <w:lvlJc w:val="left"/>
      <w:pPr>
        <w:tabs>
          <w:tab w:val="num" w:pos="0"/>
        </w:tabs>
        <w:ind w:left="1428" w:hanging="360"/>
      </w:pPr>
      <w:rPr>
        <w:rFonts w:ascii="Wingdings" w:hAnsi="Wingdings" w:cs="Wingdings" w:hint="default"/>
      </w:rPr>
    </w:lvl>
  </w:abstractNum>
  <w:abstractNum w:abstractNumId="24">
    <w:nsid w:val="00000011"/>
    <w:multiLevelType w:val="singleLevel"/>
    <w:tmpl w:val="00000011"/>
    <w:lvl w:ilvl="0">
      <w:numFmt w:val="bullet"/>
      <w:lvlText w:val=""/>
      <w:lvlJc w:val="left"/>
      <w:pPr>
        <w:tabs>
          <w:tab w:val="num" w:pos="0"/>
        </w:tabs>
        <w:ind w:left="720" w:hanging="360"/>
      </w:pPr>
      <w:rPr>
        <w:rFonts w:ascii="Symbol" w:hAnsi="Symbol" w:cs="Symbol" w:hint="default"/>
      </w:rPr>
    </w:lvl>
  </w:abstractNum>
  <w:abstractNum w:abstractNumId="25">
    <w:nsid w:val="00000012"/>
    <w:multiLevelType w:val="singleLevel"/>
    <w:tmpl w:val="00000012"/>
    <w:lvl w:ilvl="0">
      <w:numFmt w:val="bullet"/>
      <w:lvlText w:val=""/>
      <w:lvlJc w:val="left"/>
      <w:pPr>
        <w:tabs>
          <w:tab w:val="num" w:pos="0"/>
        </w:tabs>
        <w:ind w:left="720" w:hanging="360"/>
      </w:pPr>
      <w:rPr>
        <w:rFonts w:ascii="Symbol" w:hAnsi="Symbol" w:cs="Symbol" w:hint="default"/>
      </w:rPr>
    </w:lvl>
  </w:abstractNum>
  <w:abstractNum w:abstractNumId="26">
    <w:nsid w:val="00000013"/>
    <w:multiLevelType w:val="singleLevel"/>
    <w:tmpl w:val="00000013"/>
    <w:lvl w:ilvl="0">
      <w:numFmt w:val="bullet"/>
      <w:lvlText w:val=""/>
      <w:lvlJc w:val="left"/>
      <w:pPr>
        <w:tabs>
          <w:tab w:val="num" w:pos="0"/>
        </w:tabs>
        <w:ind w:left="1068" w:hanging="360"/>
      </w:pPr>
      <w:rPr>
        <w:rFonts w:ascii="Wingdings" w:hAnsi="Wingdings" w:cs="Wingdings" w:hint="default"/>
      </w:rPr>
    </w:lvl>
  </w:abstractNum>
  <w:abstractNum w:abstractNumId="27">
    <w:nsid w:val="00000014"/>
    <w:multiLevelType w:val="singleLevel"/>
    <w:tmpl w:val="00000014"/>
    <w:lvl w:ilvl="0">
      <w:numFmt w:val="bullet"/>
      <w:lvlText w:val=""/>
      <w:lvlJc w:val="left"/>
      <w:pPr>
        <w:tabs>
          <w:tab w:val="num" w:pos="0"/>
        </w:tabs>
        <w:ind w:left="1068" w:hanging="360"/>
      </w:pPr>
      <w:rPr>
        <w:rFonts w:ascii="Symbol" w:hAnsi="Symbol" w:cs="Symbol" w:hint="default"/>
      </w:rPr>
    </w:lvl>
  </w:abstractNum>
  <w:abstractNum w:abstractNumId="28">
    <w:nsid w:val="00000015"/>
    <w:multiLevelType w:val="singleLevel"/>
    <w:tmpl w:val="00000015"/>
    <w:lvl w:ilvl="0">
      <w:numFmt w:val="bullet"/>
      <w:lvlText w:val=""/>
      <w:lvlJc w:val="left"/>
      <w:pPr>
        <w:tabs>
          <w:tab w:val="num" w:pos="0"/>
        </w:tabs>
        <w:ind w:left="862" w:hanging="360"/>
      </w:pPr>
      <w:rPr>
        <w:rFonts w:ascii="Symbol" w:hAnsi="Symbol" w:cs="Symbol" w:hint="default"/>
      </w:rPr>
    </w:lvl>
  </w:abstractNum>
  <w:abstractNum w:abstractNumId="29">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B353A5A"/>
    <w:multiLevelType w:val="hybridMultilevel"/>
    <w:tmpl w:val="C734C23E"/>
    <w:lvl w:ilvl="0" w:tplc="05806C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6">
    <w:nsid w:val="618E6117"/>
    <w:multiLevelType w:val="hybridMultilevel"/>
    <w:tmpl w:val="1550FFDC"/>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7">
    <w:nsid w:val="62AE080E"/>
    <w:multiLevelType w:val="hybridMultilevel"/>
    <w:tmpl w:val="4C9A3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0"/>
  </w:num>
  <w:num w:numId="13">
    <w:abstractNumId w:val="34"/>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5"/>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1"/>
  </w:num>
  <w:num w:numId="38">
    <w:abstractNumId w:val="37"/>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rsids>
    <w:rsidRoot w:val="00E84756"/>
    <w:rsid w:val="0000209D"/>
    <w:rsid w:val="00004D5A"/>
    <w:rsid w:val="000056D5"/>
    <w:rsid w:val="0000767A"/>
    <w:rsid w:val="00010702"/>
    <w:rsid w:val="000168EC"/>
    <w:rsid w:val="00016992"/>
    <w:rsid w:val="000234D6"/>
    <w:rsid w:val="00023D29"/>
    <w:rsid w:val="00026389"/>
    <w:rsid w:val="00031AE0"/>
    <w:rsid w:val="000322EF"/>
    <w:rsid w:val="00033FCD"/>
    <w:rsid w:val="00041CEC"/>
    <w:rsid w:val="0004694F"/>
    <w:rsid w:val="000522E4"/>
    <w:rsid w:val="000610E1"/>
    <w:rsid w:val="00062EC5"/>
    <w:rsid w:val="00062F22"/>
    <w:rsid w:val="0006675B"/>
    <w:rsid w:val="000712B3"/>
    <w:rsid w:val="0008263E"/>
    <w:rsid w:val="00082C19"/>
    <w:rsid w:val="00085395"/>
    <w:rsid w:val="00087634"/>
    <w:rsid w:val="00087F2B"/>
    <w:rsid w:val="000974D1"/>
    <w:rsid w:val="0009799E"/>
    <w:rsid w:val="000A1183"/>
    <w:rsid w:val="000A256D"/>
    <w:rsid w:val="000A3A2C"/>
    <w:rsid w:val="000B535E"/>
    <w:rsid w:val="000C08DA"/>
    <w:rsid w:val="000C1ECC"/>
    <w:rsid w:val="000C3408"/>
    <w:rsid w:val="000C6AFD"/>
    <w:rsid w:val="000D5637"/>
    <w:rsid w:val="000E4E05"/>
    <w:rsid w:val="000E6FBD"/>
    <w:rsid w:val="00100F5C"/>
    <w:rsid w:val="00101AD4"/>
    <w:rsid w:val="0010437D"/>
    <w:rsid w:val="00104C4C"/>
    <w:rsid w:val="0011739E"/>
    <w:rsid w:val="0012192F"/>
    <w:rsid w:val="00125D69"/>
    <w:rsid w:val="001405FA"/>
    <w:rsid w:val="001425C3"/>
    <w:rsid w:val="00157FA0"/>
    <w:rsid w:val="0016256B"/>
    <w:rsid w:val="00163793"/>
    <w:rsid w:val="001706D6"/>
    <w:rsid w:val="001714F2"/>
    <w:rsid w:val="001734D6"/>
    <w:rsid w:val="001841A8"/>
    <w:rsid w:val="00184B08"/>
    <w:rsid w:val="00185010"/>
    <w:rsid w:val="001A552F"/>
    <w:rsid w:val="001B2CA9"/>
    <w:rsid w:val="001B3110"/>
    <w:rsid w:val="001B4729"/>
    <w:rsid w:val="001B6C09"/>
    <w:rsid w:val="001C05CD"/>
    <w:rsid w:val="001D68B2"/>
    <w:rsid w:val="001E4E08"/>
    <w:rsid w:val="001F4597"/>
    <w:rsid w:val="001F64B4"/>
    <w:rsid w:val="001F7E69"/>
    <w:rsid w:val="001F7EE8"/>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5412"/>
    <w:rsid w:val="002A00BE"/>
    <w:rsid w:val="002A0E77"/>
    <w:rsid w:val="002A16D4"/>
    <w:rsid w:val="002A230C"/>
    <w:rsid w:val="002A3339"/>
    <w:rsid w:val="002C43BD"/>
    <w:rsid w:val="002D0E59"/>
    <w:rsid w:val="002D14DE"/>
    <w:rsid w:val="002E02A1"/>
    <w:rsid w:val="002E4E4C"/>
    <w:rsid w:val="00304771"/>
    <w:rsid w:val="003052D4"/>
    <w:rsid w:val="00306C5B"/>
    <w:rsid w:val="003209D6"/>
    <w:rsid w:val="00321924"/>
    <w:rsid w:val="0032656E"/>
    <w:rsid w:val="00332190"/>
    <w:rsid w:val="00344668"/>
    <w:rsid w:val="003462D9"/>
    <w:rsid w:val="00360C86"/>
    <w:rsid w:val="003657F3"/>
    <w:rsid w:val="0037611E"/>
    <w:rsid w:val="003818DC"/>
    <w:rsid w:val="00384327"/>
    <w:rsid w:val="00385D98"/>
    <w:rsid w:val="0038792F"/>
    <w:rsid w:val="003A2B4D"/>
    <w:rsid w:val="003A478C"/>
    <w:rsid w:val="003A5525"/>
    <w:rsid w:val="003A6B38"/>
    <w:rsid w:val="003B224A"/>
    <w:rsid w:val="003B5A32"/>
    <w:rsid w:val="003C295B"/>
    <w:rsid w:val="003C3490"/>
    <w:rsid w:val="003D019C"/>
    <w:rsid w:val="003D5551"/>
    <w:rsid w:val="003D6920"/>
    <w:rsid w:val="003E0B54"/>
    <w:rsid w:val="003E42AE"/>
    <w:rsid w:val="003E4C91"/>
    <w:rsid w:val="003E6827"/>
    <w:rsid w:val="003F313C"/>
    <w:rsid w:val="003F4B2C"/>
    <w:rsid w:val="003F551C"/>
    <w:rsid w:val="003F7D23"/>
    <w:rsid w:val="00407C13"/>
    <w:rsid w:val="00410638"/>
    <w:rsid w:val="00432A58"/>
    <w:rsid w:val="004336A9"/>
    <w:rsid w:val="00434617"/>
    <w:rsid w:val="00440900"/>
    <w:rsid w:val="00443FDF"/>
    <w:rsid w:val="004441A0"/>
    <w:rsid w:val="00450EF8"/>
    <w:rsid w:val="00451C8F"/>
    <w:rsid w:val="00460FB3"/>
    <w:rsid w:val="00465864"/>
    <w:rsid w:val="0047307D"/>
    <w:rsid w:val="00476240"/>
    <w:rsid w:val="00476439"/>
    <w:rsid w:val="0047735C"/>
    <w:rsid w:val="004776BC"/>
    <w:rsid w:val="004806B0"/>
    <w:rsid w:val="0048139F"/>
    <w:rsid w:val="00481E40"/>
    <w:rsid w:val="00483609"/>
    <w:rsid w:val="00484ECE"/>
    <w:rsid w:val="004900FF"/>
    <w:rsid w:val="004915CB"/>
    <w:rsid w:val="004924DC"/>
    <w:rsid w:val="004A14E4"/>
    <w:rsid w:val="004A3212"/>
    <w:rsid w:val="004A61C5"/>
    <w:rsid w:val="004A77DF"/>
    <w:rsid w:val="004B1417"/>
    <w:rsid w:val="004B199F"/>
    <w:rsid w:val="004B55B7"/>
    <w:rsid w:val="004B6468"/>
    <w:rsid w:val="004C384C"/>
    <w:rsid w:val="004C3867"/>
    <w:rsid w:val="004C4CD0"/>
    <w:rsid w:val="004C70DC"/>
    <w:rsid w:val="004D0211"/>
    <w:rsid w:val="004D0794"/>
    <w:rsid w:val="004D1DCC"/>
    <w:rsid w:val="004F06F5"/>
    <w:rsid w:val="004F33A0"/>
    <w:rsid w:val="004F60D9"/>
    <w:rsid w:val="00500A8A"/>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578C1"/>
    <w:rsid w:val="005647BF"/>
    <w:rsid w:val="0057364B"/>
    <w:rsid w:val="00574773"/>
    <w:rsid w:val="00583FFD"/>
    <w:rsid w:val="005911BE"/>
    <w:rsid w:val="00591C3D"/>
    <w:rsid w:val="00593152"/>
    <w:rsid w:val="005A10F2"/>
    <w:rsid w:val="005A21E0"/>
    <w:rsid w:val="005A28FF"/>
    <w:rsid w:val="005A3DF8"/>
    <w:rsid w:val="005A5549"/>
    <w:rsid w:val="005B121D"/>
    <w:rsid w:val="005C019F"/>
    <w:rsid w:val="005C0219"/>
    <w:rsid w:val="005C06ED"/>
    <w:rsid w:val="005C528E"/>
    <w:rsid w:val="005C60A8"/>
    <w:rsid w:val="005D2888"/>
    <w:rsid w:val="005D5802"/>
    <w:rsid w:val="005D7890"/>
    <w:rsid w:val="005E7C78"/>
    <w:rsid w:val="005F3EB1"/>
    <w:rsid w:val="005F5469"/>
    <w:rsid w:val="005F694D"/>
    <w:rsid w:val="00602BDF"/>
    <w:rsid w:val="00604307"/>
    <w:rsid w:val="0060467F"/>
    <w:rsid w:val="0060487F"/>
    <w:rsid w:val="00604EAD"/>
    <w:rsid w:val="00606E50"/>
    <w:rsid w:val="006104FB"/>
    <w:rsid w:val="00612A2F"/>
    <w:rsid w:val="00616E05"/>
    <w:rsid w:val="00624093"/>
    <w:rsid w:val="006306D0"/>
    <w:rsid w:val="006404A7"/>
    <w:rsid w:val="00645051"/>
    <w:rsid w:val="006451E4"/>
    <w:rsid w:val="00645B33"/>
    <w:rsid w:val="006516CB"/>
    <w:rsid w:val="00657E87"/>
    <w:rsid w:val="00661E90"/>
    <w:rsid w:val="00664803"/>
    <w:rsid w:val="00665BA4"/>
    <w:rsid w:val="00667AF2"/>
    <w:rsid w:val="006710C9"/>
    <w:rsid w:val="006745A1"/>
    <w:rsid w:val="00674D89"/>
    <w:rsid w:val="00675E37"/>
    <w:rsid w:val="0068174E"/>
    <w:rsid w:val="00681DCE"/>
    <w:rsid w:val="0068260E"/>
    <w:rsid w:val="006850EA"/>
    <w:rsid w:val="00695BEF"/>
    <w:rsid w:val="006977F6"/>
    <w:rsid w:val="00697A13"/>
    <w:rsid w:val="006A109C"/>
    <w:rsid w:val="006A255E"/>
    <w:rsid w:val="006B344A"/>
    <w:rsid w:val="006B78D8"/>
    <w:rsid w:val="006C113F"/>
    <w:rsid w:val="006C123E"/>
    <w:rsid w:val="006C56D4"/>
    <w:rsid w:val="006C6924"/>
    <w:rsid w:val="006C7CA6"/>
    <w:rsid w:val="006D356F"/>
    <w:rsid w:val="006D3E8A"/>
    <w:rsid w:val="006D61F6"/>
    <w:rsid w:val="006E279A"/>
    <w:rsid w:val="006E313B"/>
    <w:rsid w:val="006F2B57"/>
    <w:rsid w:val="006F5416"/>
    <w:rsid w:val="006F7137"/>
    <w:rsid w:val="00706AD4"/>
    <w:rsid w:val="0071206E"/>
    <w:rsid w:val="007140BE"/>
    <w:rsid w:val="007211F5"/>
    <w:rsid w:val="00721DE2"/>
    <w:rsid w:val="00725BB5"/>
    <w:rsid w:val="00730AE8"/>
    <w:rsid w:val="00737DF2"/>
    <w:rsid w:val="00741493"/>
    <w:rsid w:val="0075019E"/>
    <w:rsid w:val="00752180"/>
    <w:rsid w:val="00755202"/>
    <w:rsid w:val="00755D3A"/>
    <w:rsid w:val="007578D3"/>
    <w:rsid w:val="007609C6"/>
    <w:rsid w:val="0076175D"/>
    <w:rsid w:val="0076521E"/>
    <w:rsid w:val="007661E9"/>
    <w:rsid w:val="00776169"/>
    <w:rsid w:val="00776527"/>
    <w:rsid w:val="00780EF1"/>
    <w:rsid w:val="00783F52"/>
    <w:rsid w:val="00790764"/>
    <w:rsid w:val="0079453C"/>
    <w:rsid w:val="00794677"/>
    <w:rsid w:val="007B00BD"/>
    <w:rsid w:val="007B6689"/>
    <w:rsid w:val="007D0416"/>
    <w:rsid w:val="007D09E0"/>
    <w:rsid w:val="007D40DF"/>
    <w:rsid w:val="007E7E61"/>
    <w:rsid w:val="007F0845"/>
    <w:rsid w:val="00807C82"/>
    <w:rsid w:val="00816905"/>
    <w:rsid w:val="00821C6F"/>
    <w:rsid w:val="00821FF6"/>
    <w:rsid w:val="00825628"/>
    <w:rsid w:val="00825C4D"/>
    <w:rsid w:val="00830E19"/>
    <w:rsid w:val="00830E27"/>
    <w:rsid w:val="0083143E"/>
    <w:rsid w:val="00831CDE"/>
    <w:rsid w:val="008320A9"/>
    <w:rsid w:val="00834304"/>
    <w:rsid w:val="00834FAA"/>
    <w:rsid w:val="00836086"/>
    <w:rsid w:val="0084708F"/>
    <w:rsid w:val="008477C8"/>
    <w:rsid w:val="0085114D"/>
    <w:rsid w:val="00851819"/>
    <w:rsid w:val="00852217"/>
    <w:rsid w:val="00855408"/>
    <w:rsid w:val="00856D65"/>
    <w:rsid w:val="00861B41"/>
    <w:rsid w:val="00863434"/>
    <w:rsid w:val="00865E4C"/>
    <w:rsid w:val="00867DA1"/>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9003A8"/>
    <w:rsid w:val="00902500"/>
    <w:rsid w:val="00902EFF"/>
    <w:rsid w:val="00904DDC"/>
    <w:rsid w:val="00906401"/>
    <w:rsid w:val="0091155E"/>
    <w:rsid w:val="00912A92"/>
    <w:rsid w:val="0091728D"/>
    <w:rsid w:val="0092180B"/>
    <w:rsid w:val="00921F14"/>
    <w:rsid w:val="00924AC8"/>
    <w:rsid w:val="0092597A"/>
    <w:rsid w:val="00932443"/>
    <w:rsid w:val="0093445E"/>
    <w:rsid w:val="00936783"/>
    <w:rsid w:val="00937AE2"/>
    <w:rsid w:val="00940A27"/>
    <w:rsid w:val="0094427A"/>
    <w:rsid w:val="00945C47"/>
    <w:rsid w:val="009516EA"/>
    <w:rsid w:val="00974923"/>
    <w:rsid w:val="00976B41"/>
    <w:rsid w:val="00980055"/>
    <w:rsid w:val="00980D3D"/>
    <w:rsid w:val="00984FF2"/>
    <w:rsid w:val="00985F96"/>
    <w:rsid w:val="00987A30"/>
    <w:rsid w:val="00992CF3"/>
    <w:rsid w:val="009968D6"/>
    <w:rsid w:val="009A1CAB"/>
    <w:rsid w:val="009A60D1"/>
    <w:rsid w:val="009B6FD3"/>
    <w:rsid w:val="009C1750"/>
    <w:rsid w:val="009C2E29"/>
    <w:rsid w:val="009C554B"/>
    <w:rsid w:val="009C719E"/>
    <w:rsid w:val="009D3ACD"/>
    <w:rsid w:val="009E3386"/>
    <w:rsid w:val="009E5273"/>
    <w:rsid w:val="009E5DDB"/>
    <w:rsid w:val="009F4CA7"/>
    <w:rsid w:val="00A10D66"/>
    <w:rsid w:val="00A116A7"/>
    <w:rsid w:val="00A14114"/>
    <w:rsid w:val="00A16413"/>
    <w:rsid w:val="00A23E43"/>
    <w:rsid w:val="00A30F65"/>
    <w:rsid w:val="00A333BA"/>
    <w:rsid w:val="00A356D5"/>
    <w:rsid w:val="00A418BC"/>
    <w:rsid w:val="00A422FD"/>
    <w:rsid w:val="00A46DE0"/>
    <w:rsid w:val="00A50D73"/>
    <w:rsid w:val="00A52CAD"/>
    <w:rsid w:val="00A53FC7"/>
    <w:rsid w:val="00A62CE1"/>
    <w:rsid w:val="00A6741E"/>
    <w:rsid w:val="00A75E40"/>
    <w:rsid w:val="00A77D1D"/>
    <w:rsid w:val="00A857C0"/>
    <w:rsid w:val="00A977AC"/>
    <w:rsid w:val="00AA2996"/>
    <w:rsid w:val="00AA52BF"/>
    <w:rsid w:val="00AA559A"/>
    <w:rsid w:val="00AB2AF1"/>
    <w:rsid w:val="00AD306C"/>
    <w:rsid w:val="00AE09B3"/>
    <w:rsid w:val="00AE1A83"/>
    <w:rsid w:val="00AE5A3D"/>
    <w:rsid w:val="00AF4936"/>
    <w:rsid w:val="00B00913"/>
    <w:rsid w:val="00B01593"/>
    <w:rsid w:val="00B10A4D"/>
    <w:rsid w:val="00B138AB"/>
    <w:rsid w:val="00B17E71"/>
    <w:rsid w:val="00B17FDE"/>
    <w:rsid w:val="00B21B4A"/>
    <w:rsid w:val="00B2379C"/>
    <w:rsid w:val="00B2687D"/>
    <w:rsid w:val="00B32DDB"/>
    <w:rsid w:val="00B34528"/>
    <w:rsid w:val="00B402FC"/>
    <w:rsid w:val="00B46604"/>
    <w:rsid w:val="00B530CD"/>
    <w:rsid w:val="00B55F5E"/>
    <w:rsid w:val="00B5752E"/>
    <w:rsid w:val="00B63A11"/>
    <w:rsid w:val="00B64C24"/>
    <w:rsid w:val="00B6608F"/>
    <w:rsid w:val="00B679FB"/>
    <w:rsid w:val="00B70030"/>
    <w:rsid w:val="00B76D1E"/>
    <w:rsid w:val="00B80EC6"/>
    <w:rsid w:val="00B850F3"/>
    <w:rsid w:val="00B92D1D"/>
    <w:rsid w:val="00B938C5"/>
    <w:rsid w:val="00B95940"/>
    <w:rsid w:val="00BB2131"/>
    <w:rsid w:val="00BB46F3"/>
    <w:rsid w:val="00BB4CB1"/>
    <w:rsid w:val="00BB4F98"/>
    <w:rsid w:val="00BC7154"/>
    <w:rsid w:val="00BD366B"/>
    <w:rsid w:val="00BD6D50"/>
    <w:rsid w:val="00BE18B9"/>
    <w:rsid w:val="00BE2495"/>
    <w:rsid w:val="00BF1578"/>
    <w:rsid w:val="00C21F94"/>
    <w:rsid w:val="00C27913"/>
    <w:rsid w:val="00C27ECC"/>
    <w:rsid w:val="00C31483"/>
    <w:rsid w:val="00C33B68"/>
    <w:rsid w:val="00C36A79"/>
    <w:rsid w:val="00C405D4"/>
    <w:rsid w:val="00C41EA4"/>
    <w:rsid w:val="00C43067"/>
    <w:rsid w:val="00C4513B"/>
    <w:rsid w:val="00C50D09"/>
    <w:rsid w:val="00C54697"/>
    <w:rsid w:val="00C55B6D"/>
    <w:rsid w:val="00C73885"/>
    <w:rsid w:val="00C747B1"/>
    <w:rsid w:val="00C81290"/>
    <w:rsid w:val="00C82191"/>
    <w:rsid w:val="00C90CF4"/>
    <w:rsid w:val="00C91277"/>
    <w:rsid w:val="00C9155B"/>
    <w:rsid w:val="00C92EB6"/>
    <w:rsid w:val="00C93389"/>
    <w:rsid w:val="00CB4930"/>
    <w:rsid w:val="00CB6DF5"/>
    <w:rsid w:val="00CC16D5"/>
    <w:rsid w:val="00CC2E7D"/>
    <w:rsid w:val="00CD10A5"/>
    <w:rsid w:val="00CD16FC"/>
    <w:rsid w:val="00CD2076"/>
    <w:rsid w:val="00CD7255"/>
    <w:rsid w:val="00CE670B"/>
    <w:rsid w:val="00CF51EC"/>
    <w:rsid w:val="00CF73AE"/>
    <w:rsid w:val="00D040DD"/>
    <w:rsid w:val="00D13986"/>
    <w:rsid w:val="00D235B7"/>
    <w:rsid w:val="00D25F28"/>
    <w:rsid w:val="00D26C95"/>
    <w:rsid w:val="00D27973"/>
    <w:rsid w:val="00D3656E"/>
    <w:rsid w:val="00D50F46"/>
    <w:rsid w:val="00D54E0E"/>
    <w:rsid w:val="00D579A7"/>
    <w:rsid w:val="00D66223"/>
    <w:rsid w:val="00D8084C"/>
    <w:rsid w:val="00DA5EBB"/>
    <w:rsid w:val="00DA7C0C"/>
    <w:rsid w:val="00DB2DB1"/>
    <w:rsid w:val="00DB2EC8"/>
    <w:rsid w:val="00DB34CC"/>
    <w:rsid w:val="00DB4EC8"/>
    <w:rsid w:val="00DC5B3B"/>
    <w:rsid w:val="00DD129F"/>
    <w:rsid w:val="00DF42FF"/>
    <w:rsid w:val="00DF57CA"/>
    <w:rsid w:val="00DF5FBC"/>
    <w:rsid w:val="00DF6EE5"/>
    <w:rsid w:val="00E01C0E"/>
    <w:rsid w:val="00E03F9A"/>
    <w:rsid w:val="00E04694"/>
    <w:rsid w:val="00E11D1C"/>
    <w:rsid w:val="00E12B1E"/>
    <w:rsid w:val="00E17262"/>
    <w:rsid w:val="00E253A2"/>
    <w:rsid w:val="00E3309D"/>
    <w:rsid w:val="00E50156"/>
    <w:rsid w:val="00E53470"/>
    <w:rsid w:val="00E539F6"/>
    <w:rsid w:val="00E6519D"/>
    <w:rsid w:val="00E67696"/>
    <w:rsid w:val="00E71A58"/>
    <w:rsid w:val="00E72A7A"/>
    <w:rsid w:val="00E7514E"/>
    <w:rsid w:val="00E75C94"/>
    <w:rsid w:val="00E84756"/>
    <w:rsid w:val="00E93820"/>
    <w:rsid w:val="00E94AB3"/>
    <w:rsid w:val="00EA0C68"/>
    <w:rsid w:val="00EA32BC"/>
    <w:rsid w:val="00EB4511"/>
    <w:rsid w:val="00EB5AF2"/>
    <w:rsid w:val="00EC03D7"/>
    <w:rsid w:val="00EC5F71"/>
    <w:rsid w:val="00ED62C6"/>
    <w:rsid w:val="00ED64C1"/>
    <w:rsid w:val="00EE3446"/>
    <w:rsid w:val="00EE3E78"/>
    <w:rsid w:val="00EE4B1B"/>
    <w:rsid w:val="00EE590C"/>
    <w:rsid w:val="00EE69CC"/>
    <w:rsid w:val="00EF0E09"/>
    <w:rsid w:val="00EF150D"/>
    <w:rsid w:val="00EF1F5A"/>
    <w:rsid w:val="00EF47BF"/>
    <w:rsid w:val="00F04811"/>
    <w:rsid w:val="00F0488C"/>
    <w:rsid w:val="00F05F5E"/>
    <w:rsid w:val="00F0736C"/>
    <w:rsid w:val="00F10F11"/>
    <w:rsid w:val="00F1163D"/>
    <w:rsid w:val="00F15AAA"/>
    <w:rsid w:val="00F15BEF"/>
    <w:rsid w:val="00F2077B"/>
    <w:rsid w:val="00F212F9"/>
    <w:rsid w:val="00F23422"/>
    <w:rsid w:val="00F24407"/>
    <w:rsid w:val="00F24FAA"/>
    <w:rsid w:val="00F3364D"/>
    <w:rsid w:val="00F437CC"/>
    <w:rsid w:val="00F443D9"/>
    <w:rsid w:val="00F47067"/>
    <w:rsid w:val="00F525EB"/>
    <w:rsid w:val="00F63DDE"/>
    <w:rsid w:val="00F63FB7"/>
    <w:rsid w:val="00F649D2"/>
    <w:rsid w:val="00F6602B"/>
    <w:rsid w:val="00F7260E"/>
    <w:rsid w:val="00F73A0C"/>
    <w:rsid w:val="00F756DB"/>
    <w:rsid w:val="00F81BA4"/>
    <w:rsid w:val="00F85066"/>
    <w:rsid w:val="00F86D63"/>
    <w:rsid w:val="00F87E03"/>
    <w:rsid w:val="00F932FF"/>
    <w:rsid w:val="00FA2C57"/>
    <w:rsid w:val="00FA5D4D"/>
    <w:rsid w:val="00FB0831"/>
    <w:rsid w:val="00FB0EE2"/>
    <w:rsid w:val="00FB1494"/>
    <w:rsid w:val="00FB542E"/>
    <w:rsid w:val="00FC0E5F"/>
    <w:rsid w:val="00FC1A95"/>
    <w:rsid w:val="00FC1D9A"/>
    <w:rsid w:val="00FC3B99"/>
    <w:rsid w:val="00FC56DE"/>
    <w:rsid w:val="00FC684B"/>
    <w:rsid w:val="00FC6E63"/>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99"/>
    <w:rsid w:val="00A33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443D9"/>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F443D9"/>
    <w:rPr>
      <w:rFonts w:ascii="Arial" w:eastAsia="Times New Roman" w:hAnsi="Arial"/>
      <w:lang w:eastAsia="cs-CZ"/>
    </w:rPr>
  </w:style>
  <w:style w:type="character" w:customStyle="1" w:styleId="Znakypropoznmkupodarou">
    <w:name w:val="Znaky pro poznámku pod čarou"/>
    <w:rsid w:val="00F443D9"/>
    <w:rPr>
      <w:rFonts w:cs="Times New Roman"/>
      <w:vertAlign w:val="superscript"/>
    </w:rPr>
  </w:style>
  <w:style w:type="character" w:styleId="Znakapoznpodarou">
    <w:name w:val="footnote reference"/>
    <w:uiPriority w:val="99"/>
    <w:rsid w:val="00F443D9"/>
    <w:rPr>
      <w:vertAlign w:val="superscript"/>
    </w:rPr>
  </w:style>
  <w:style w:type="paragraph" w:styleId="Odstavecseseznamem">
    <w:name w:val="List Paragraph"/>
    <w:basedOn w:val="Normln"/>
    <w:uiPriority w:val="99"/>
    <w:qFormat/>
    <w:rsid w:val="00F443D9"/>
    <w:pPr>
      <w:suppressAutoHyphens/>
      <w:spacing w:before="280" w:after="280" w:line="240" w:lineRule="auto"/>
      <w:ind w:left="720"/>
    </w:pPr>
    <w:rPr>
      <w:rFonts w:ascii="Times New Roman" w:hAnsi="Times New Roman"/>
      <w:sz w:val="24"/>
      <w:lang w:eastAsia="ar-SA"/>
    </w:rPr>
  </w:style>
  <w:style w:type="paragraph" w:styleId="Normlnweb">
    <w:name w:val="Normal (Web)"/>
    <w:basedOn w:val="Normln"/>
    <w:rsid w:val="00F443D9"/>
    <w:pPr>
      <w:suppressAutoHyphens/>
      <w:spacing w:before="280" w:after="280" w:line="240" w:lineRule="auto"/>
    </w:pPr>
    <w:rPr>
      <w:rFonts w:ascii="Times New Roman" w:hAnsi="Times New Roman"/>
      <w:sz w:val="24"/>
      <w:lang w:eastAsia="ar-SA"/>
    </w:rPr>
  </w:style>
  <w:style w:type="paragraph" w:styleId="Textpoznpodarou">
    <w:name w:val="footnote text"/>
    <w:basedOn w:val="Normln"/>
    <w:link w:val="TextpoznpodarouChar"/>
    <w:uiPriority w:val="99"/>
    <w:semiHidden/>
    <w:rsid w:val="00F443D9"/>
    <w:pPr>
      <w:spacing w:after="0"/>
    </w:pPr>
    <w:rPr>
      <w:szCs w:val="20"/>
    </w:rPr>
  </w:style>
  <w:style w:type="character" w:customStyle="1" w:styleId="TextpoznpodarouChar">
    <w:name w:val="Text pozn. pod čarou Char"/>
    <w:basedOn w:val="Standardnpsmoodstavce"/>
    <w:link w:val="Textpoznpodarou"/>
    <w:uiPriority w:val="99"/>
    <w:semiHidden/>
    <w:rsid w:val="00F443D9"/>
    <w:rPr>
      <w:rFonts w:ascii="Arial" w:eastAsia="Times New Roman" w:hAnsi="Arial"/>
      <w:lang w:eastAsia="cs-CZ"/>
    </w:rPr>
  </w:style>
  <w:style w:type="paragraph" w:styleId="Nadpisobsahu">
    <w:name w:val="TOC Heading"/>
    <w:basedOn w:val="Nadpis1"/>
    <w:next w:val="Normln"/>
    <w:uiPriority w:val="39"/>
    <w:unhideWhenUsed/>
    <w:qFormat/>
    <w:rsid w:val="00C91277"/>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F2077B"/>
    <w:rPr>
      <w:sz w:val="16"/>
      <w:szCs w:val="16"/>
    </w:rPr>
  </w:style>
  <w:style w:type="paragraph" w:styleId="Textkomente">
    <w:name w:val="annotation text"/>
    <w:basedOn w:val="Normln"/>
    <w:link w:val="TextkomenteChar"/>
    <w:uiPriority w:val="99"/>
    <w:semiHidden/>
    <w:unhideWhenUsed/>
    <w:rsid w:val="00F2077B"/>
    <w:pPr>
      <w:spacing w:line="240" w:lineRule="auto"/>
    </w:pPr>
    <w:rPr>
      <w:szCs w:val="20"/>
    </w:rPr>
  </w:style>
  <w:style w:type="character" w:customStyle="1" w:styleId="TextkomenteChar">
    <w:name w:val="Text komentáře Char"/>
    <w:basedOn w:val="Standardnpsmoodstavce"/>
    <w:link w:val="Textkomente"/>
    <w:uiPriority w:val="99"/>
    <w:semiHidden/>
    <w:rsid w:val="00F2077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F2077B"/>
    <w:rPr>
      <w:b/>
      <w:bCs/>
    </w:rPr>
  </w:style>
  <w:style w:type="character" w:customStyle="1" w:styleId="PedmtkomenteChar">
    <w:name w:val="Předmět komentáře Char"/>
    <w:basedOn w:val="TextkomenteChar"/>
    <w:link w:val="Pedmtkomente"/>
    <w:uiPriority w:val="99"/>
    <w:semiHidden/>
    <w:rsid w:val="00F2077B"/>
    <w:rPr>
      <w:rFonts w:ascii="Arial" w:eastAsia="Times New Roman" w:hAnsi="Arial"/>
      <w:b/>
      <w:bCs/>
      <w:lang w:eastAsia="cs-CZ"/>
    </w:rPr>
  </w:style>
  <w:style w:type="character" w:styleId="Sledovanodkaz">
    <w:name w:val="FollowedHyperlink"/>
    <w:basedOn w:val="Standardnpsmoodstavce"/>
    <w:uiPriority w:val="99"/>
    <w:semiHidden/>
    <w:unhideWhenUsed/>
    <w:rsid w:val="00F207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38380764">
      <w:bodyDiv w:val="1"/>
      <w:marLeft w:val="0"/>
      <w:marRight w:val="0"/>
      <w:marTop w:val="0"/>
      <w:marBottom w:val="0"/>
      <w:divBdr>
        <w:top w:val="none" w:sz="0" w:space="0" w:color="auto"/>
        <w:left w:val="none" w:sz="0" w:space="0" w:color="auto"/>
        <w:bottom w:val="none" w:sz="0" w:space="0" w:color="auto"/>
        <w:right w:val="none" w:sz="0" w:space="0" w:color="auto"/>
      </w:divBdr>
    </w:div>
    <w:div w:id="44403637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64238754">
      <w:bodyDiv w:val="1"/>
      <w:marLeft w:val="0"/>
      <w:marRight w:val="0"/>
      <w:marTop w:val="0"/>
      <w:marBottom w:val="0"/>
      <w:divBdr>
        <w:top w:val="none" w:sz="0" w:space="0" w:color="auto"/>
        <w:left w:val="none" w:sz="0" w:space="0" w:color="auto"/>
        <w:bottom w:val="none" w:sz="0" w:space="0" w:color="auto"/>
        <w:right w:val="none" w:sz="0" w:space="0" w:color="auto"/>
      </w:divBdr>
    </w:div>
    <w:div w:id="115757575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is.cz/category/tematicke-rady/zdravotnicka-statistika/pracovni-neschopnost"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vyvoj-pracovni-neschopnosti-pro-nemoc-a-uraz-1990-2003-sr1ec1vy2w" TargetMode="External"/><Relationship Id="rId24" Type="http://schemas.openxmlformats.org/officeDocument/2006/relationships/hyperlink" Target="http://www.mpsv.cz/cs/7"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cssz.cz/cz/pojisteni-osvc/ucast-na-pojisteni/nemocenske-pojisteni-osvc.htm" TargetMode="External"/><Relationship Id="rId28" Type="http://schemas.openxmlformats.org/officeDocument/2006/relationships/footer" Target="footer2.xml"/><Relationship Id="rId10" Type="http://schemas.openxmlformats.org/officeDocument/2006/relationships/hyperlink" Target="https://www.czso.cz/csu/czso/cri/vyvoj-pracovni-neschopnosti-pro-nemoc-a-uraz-2004-az-2011-ux4n8t7uea" TargetMode="External"/><Relationship Id="rId19" Type="http://schemas.openxmlformats.org/officeDocument/2006/relationships/chart" Target="charts/chart8.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ssz.cz/cz/o-cssz/informace/statistiky/nemocenska-statistika/" TargetMode="External"/><Relationship Id="rId14" Type="http://schemas.openxmlformats.org/officeDocument/2006/relationships/chart" Target="charts/chart3.xml"/><Relationship Id="rId22" Type="http://schemas.openxmlformats.org/officeDocument/2006/relationships/hyperlink" Target="http://www.cssz.cz/cz/nemocenske-pojisteni/ucast-na-pojisteni/"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mpsv.cz/files/clanky/23180/Analyza_nemocenskeho_pojisteni_2015.pdf" TargetMode="External"/><Relationship Id="rId1" Type="http://schemas.openxmlformats.org/officeDocument/2006/relationships/hyperlink" Target="https://www.czso.cz/csu/czso/pracovni-neschopnost-pro-nemoc-a-uraz-v-ceske-republice-1-pololeti-201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12-0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2\DATA\DATA\ZPRAC\TECHNOL\oddeleni_6301\1_Zdravotnictv&#237;\ADMNEMUR_Statistika%20pracovn&#237;%20neschopnosti%20pro%20nemoc%20a%20&#250;raz_Hriv&#237;kov&#225;\E-PUBLIKACE_PRACOVN&#205;%20NESCHOPNOST%20PRO%20NEMOC%20A%20&#218;RAZ%20V%20&#268;R\2017-PN-tab.2017\Nemur_2016_publikac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kumenty\Desktop\Nemur_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BFS2\DATA\DATA\ZPRAC\TECHNOL\oddeleni_6301\1_Zdravotnictv&#237;\ADMNEMUR_Statistika%20pracovn&#237;%20neschopnosti%20pro%20nemoc%20a%20&#250;raz_Hriv&#237;kov&#225;\E-PUBLIKACE_PRACOVN&#205;%20NESCHOPNOST%20PRO%20NEMOC%20A%20&#218;RAZ%20V%20&#268;R\2017-PN-tab.2017\Nemur_2016_publikace_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Desktop\Nemur_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stacked"/>
        <c:ser>
          <c:idx val="1"/>
          <c:order val="1"/>
          <c:tx>
            <c:strRef>
              <c:f>List1!$C$2</c:f>
              <c:strCache>
                <c:ptCount val="1"/>
                <c:pt idx="0">
                  <c:v> zaměstnanci muži</c:v>
                </c:pt>
              </c:strCache>
            </c:strRef>
          </c:tx>
          <c:spPr>
            <a:solidFill>
              <a:schemeClr val="accent1">
                <a:lumMod val="75000"/>
              </a:schemeClr>
            </a:solidFill>
            <a:ln>
              <a:solidFill>
                <a:schemeClr val="accent1">
                  <a:lumMod val="50000"/>
                </a:schemeClr>
              </a:solidFill>
            </a:ln>
          </c:spPr>
          <c:dLbls>
            <c:spPr>
              <a:noFill/>
              <a:ln>
                <a:noFill/>
              </a:ln>
              <a:effectLst/>
            </c:spPr>
            <c:txPr>
              <a:bodyPr/>
              <a:lstStyle/>
              <a:p>
                <a:pPr>
                  <a:defRPr>
                    <a:solidFill>
                      <a:schemeClr val="bg1"/>
                    </a:solidFill>
                  </a:defRPr>
                </a:pPr>
                <a:endParaRPr lang="cs-CZ"/>
              </a:p>
            </c:txPr>
            <c:showVal val="1"/>
            <c:extLst xmlns:c16r2="http://schemas.microsoft.com/office/drawing/2015/06/chart">
              <c:ext xmlns:c15="http://schemas.microsoft.com/office/drawing/2012/chart" uri="{CE6537A1-D6FC-4f65-9D91-7224C49458BB}">
                <c15:showLeaderLines val="0"/>
              </c:ext>
            </c:extLst>
          </c:dLbls>
          <c:cat>
            <c:numRef>
              <c:f>List1!$A$3:$A$13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List1!$C$3:$C$13</c:f>
              <c:numCache>
                <c:formatCode>#,##0.0</c:formatCode>
                <c:ptCount val="11"/>
                <c:pt idx="0">
                  <c:v>2239.6</c:v>
                </c:pt>
                <c:pt idx="1">
                  <c:v>2294</c:v>
                </c:pt>
                <c:pt idx="2">
                  <c:v>2293</c:v>
                </c:pt>
                <c:pt idx="3">
                  <c:v>2121.5</c:v>
                </c:pt>
                <c:pt idx="4">
                  <c:v>2121.9</c:v>
                </c:pt>
                <c:pt idx="5">
                  <c:v>2053.8000000000002</c:v>
                </c:pt>
                <c:pt idx="6">
                  <c:v>2216.3000000000002</c:v>
                </c:pt>
                <c:pt idx="7">
                  <c:v>2194.1999999999998</c:v>
                </c:pt>
                <c:pt idx="8">
                  <c:v>2207.8000000000002</c:v>
                </c:pt>
                <c:pt idx="9">
                  <c:v>2252.8000000000002</c:v>
                </c:pt>
                <c:pt idx="10">
                  <c:v>2273.5</c:v>
                </c:pt>
              </c:numCache>
            </c:numRef>
          </c:val>
          <c:extLst xmlns:c16r2="http://schemas.microsoft.com/office/drawing/2015/06/chart">
            <c:ext xmlns:c16="http://schemas.microsoft.com/office/drawing/2014/chart" uri="{C3380CC4-5D6E-409C-BE32-E72D297353CC}">
              <c16:uniqueId val="{00000000-3C8F-4511-96F4-A6E7FDA47258}"/>
            </c:ext>
          </c:extLst>
        </c:ser>
        <c:ser>
          <c:idx val="2"/>
          <c:order val="2"/>
          <c:tx>
            <c:strRef>
              <c:f>List1!$D$2</c:f>
              <c:strCache>
                <c:ptCount val="1"/>
                <c:pt idx="0">
                  <c:v> zaměstnanci ženy</c:v>
                </c:pt>
              </c:strCache>
            </c:strRef>
          </c:tx>
          <c:spPr>
            <a:solidFill>
              <a:schemeClr val="accent2"/>
            </a:solidFill>
            <a:ln>
              <a:solidFill>
                <a:schemeClr val="accent2">
                  <a:lumMod val="75000"/>
                </a:schemeClr>
              </a:solidFill>
            </a:ln>
          </c:spPr>
          <c:dLbls>
            <c:spPr>
              <a:noFill/>
              <a:ln>
                <a:noFill/>
              </a:ln>
              <a:effectLst/>
            </c:spPr>
            <c:txPr>
              <a:bodyPr/>
              <a:lstStyle/>
              <a:p>
                <a:pPr>
                  <a:defRPr>
                    <a:solidFill>
                      <a:schemeClr val="bg1"/>
                    </a:solidFill>
                  </a:defRPr>
                </a:pPr>
                <a:endParaRPr lang="cs-CZ"/>
              </a:p>
            </c:txPr>
            <c:showVal val="1"/>
            <c:extLst xmlns:c16r2="http://schemas.microsoft.com/office/drawing/2015/06/chart">
              <c:ext xmlns:c15="http://schemas.microsoft.com/office/drawing/2012/chart" uri="{CE6537A1-D6FC-4f65-9D91-7224C49458BB}">
                <c15:showLeaderLines val="0"/>
              </c:ext>
            </c:extLst>
          </c:dLbls>
          <c:cat>
            <c:numRef>
              <c:f>List1!$A$3:$A$13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List1!$D$3:$D$13</c:f>
              <c:numCache>
                <c:formatCode>#,##0.0</c:formatCode>
                <c:ptCount val="11"/>
                <c:pt idx="0">
                  <c:v>2036.4</c:v>
                </c:pt>
                <c:pt idx="1">
                  <c:v>2096</c:v>
                </c:pt>
                <c:pt idx="2">
                  <c:v>2088</c:v>
                </c:pt>
                <c:pt idx="3">
                  <c:v>1957.7</c:v>
                </c:pt>
                <c:pt idx="4">
                  <c:v>2010.9</c:v>
                </c:pt>
                <c:pt idx="5">
                  <c:v>2008</c:v>
                </c:pt>
                <c:pt idx="6">
                  <c:v>2149.9</c:v>
                </c:pt>
                <c:pt idx="7">
                  <c:v>2136.9</c:v>
                </c:pt>
                <c:pt idx="8">
                  <c:v>2150.6</c:v>
                </c:pt>
                <c:pt idx="9">
                  <c:v>2164.8000000000002</c:v>
                </c:pt>
                <c:pt idx="10">
                  <c:v>2208.3000000000002</c:v>
                </c:pt>
              </c:numCache>
            </c:numRef>
          </c:val>
          <c:extLst xmlns:c16r2="http://schemas.microsoft.com/office/drawing/2015/06/chart">
            <c:ext xmlns:c16="http://schemas.microsoft.com/office/drawing/2014/chart" uri="{C3380CC4-5D6E-409C-BE32-E72D297353CC}">
              <c16:uniqueId val="{00000001-3C8F-4511-96F4-A6E7FDA47258}"/>
            </c:ext>
          </c:extLst>
        </c:ser>
        <c:ser>
          <c:idx val="3"/>
          <c:order val="3"/>
          <c:tx>
            <c:strRef>
              <c:f>List1!$E$2</c:f>
              <c:strCache>
                <c:ptCount val="1"/>
                <c:pt idx="0">
                  <c:v> OSVČ muži</c:v>
                </c:pt>
              </c:strCache>
            </c:strRef>
          </c:tx>
          <c:spPr>
            <a:solidFill>
              <a:schemeClr val="accent5">
                <a:lumMod val="60000"/>
                <a:lumOff val="40000"/>
              </a:schemeClr>
            </a:solidFill>
            <a:ln>
              <a:solidFill>
                <a:schemeClr val="accent5">
                  <a:lumMod val="75000"/>
                </a:schemeClr>
              </a:solidFill>
            </a:ln>
          </c:spPr>
          <c:cat>
            <c:numRef>
              <c:f>List1!$A$3:$A$13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List1!$E$3:$E$13</c:f>
              <c:numCache>
                <c:formatCode>#,##0.0</c:formatCode>
                <c:ptCount val="11"/>
                <c:pt idx="0">
                  <c:v>149.80000000000001</c:v>
                </c:pt>
                <c:pt idx="1">
                  <c:v>141.1</c:v>
                </c:pt>
                <c:pt idx="2">
                  <c:v>130.80000000000001</c:v>
                </c:pt>
                <c:pt idx="3">
                  <c:v>112.6</c:v>
                </c:pt>
                <c:pt idx="4">
                  <c:v>112.2</c:v>
                </c:pt>
                <c:pt idx="5">
                  <c:v>94.6</c:v>
                </c:pt>
                <c:pt idx="6">
                  <c:v>65.099999999999994</c:v>
                </c:pt>
                <c:pt idx="7">
                  <c:v>66.5</c:v>
                </c:pt>
                <c:pt idx="8">
                  <c:v>65.099999999999994</c:v>
                </c:pt>
                <c:pt idx="9">
                  <c:v>48.5</c:v>
                </c:pt>
                <c:pt idx="10">
                  <c:v>55</c:v>
                </c:pt>
              </c:numCache>
            </c:numRef>
          </c:val>
          <c:extLst xmlns:c16r2="http://schemas.microsoft.com/office/drawing/2015/06/chart">
            <c:ext xmlns:c16="http://schemas.microsoft.com/office/drawing/2014/chart" uri="{C3380CC4-5D6E-409C-BE32-E72D297353CC}">
              <c16:uniqueId val="{00000002-3C8F-4511-96F4-A6E7FDA47258}"/>
            </c:ext>
          </c:extLst>
        </c:ser>
        <c:ser>
          <c:idx val="4"/>
          <c:order val="4"/>
          <c:tx>
            <c:strRef>
              <c:f>List1!$F$2</c:f>
              <c:strCache>
                <c:ptCount val="1"/>
                <c:pt idx="0">
                  <c:v> OSVČ ženy</c:v>
                </c:pt>
              </c:strCache>
            </c:strRef>
          </c:tx>
          <c:spPr>
            <a:solidFill>
              <a:schemeClr val="accent6">
                <a:lumMod val="60000"/>
                <a:lumOff val="40000"/>
              </a:schemeClr>
            </a:solidFill>
            <a:ln>
              <a:solidFill>
                <a:schemeClr val="accent6">
                  <a:lumMod val="50000"/>
                </a:schemeClr>
              </a:solidFill>
            </a:ln>
          </c:spPr>
          <c:cat>
            <c:numRef>
              <c:f>List1!$A$3:$A$13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List1!$F$3:$F$13</c:f>
              <c:numCache>
                <c:formatCode>#,##0.0</c:formatCode>
                <c:ptCount val="11"/>
                <c:pt idx="0">
                  <c:v>71.3</c:v>
                </c:pt>
                <c:pt idx="1">
                  <c:v>65.900000000000006</c:v>
                </c:pt>
                <c:pt idx="2">
                  <c:v>60.7</c:v>
                </c:pt>
                <c:pt idx="3">
                  <c:v>61.3</c:v>
                </c:pt>
                <c:pt idx="4">
                  <c:v>66</c:v>
                </c:pt>
                <c:pt idx="5">
                  <c:v>55.2</c:v>
                </c:pt>
                <c:pt idx="6">
                  <c:v>40.6</c:v>
                </c:pt>
                <c:pt idx="7">
                  <c:v>42.7</c:v>
                </c:pt>
                <c:pt idx="8">
                  <c:v>40.6</c:v>
                </c:pt>
                <c:pt idx="9">
                  <c:v>40.9</c:v>
                </c:pt>
                <c:pt idx="10">
                  <c:v>34.5</c:v>
                </c:pt>
              </c:numCache>
            </c:numRef>
          </c:val>
          <c:extLst xmlns:c16r2="http://schemas.microsoft.com/office/drawing/2015/06/chart">
            <c:ext xmlns:c16="http://schemas.microsoft.com/office/drawing/2014/chart" uri="{C3380CC4-5D6E-409C-BE32-E72D297353CC}">
              <c16:uniqueId val="{00000003-3C8F-4511-96F4-A6E7FDA47258}"/>
            </c:ext>
          </c:extLst>
        </c:ser>
        <c:gapWidth val="34"/>
        <c:overlap val="100"/>
        <c:axId val="111593728"/>
        <c:axId val="111955968"/>
      </c:barChart>
      <c:barChart>
        <c:barDir val="col"/>
        <c:grouping val="stacked"/>
        <c:ser>
          <c:idx val="0"/>
          <c:order val="0"/>
          <c:tx>
            <c:strRef>
              <c:f>List1!$B$2</c:f>
              <c:strCache>
                <c:ptCount val="1"/>
                <c:pt idx="0">
                  <c:v>celkem</c:v>
                </c:pt>
              </c:strCache>
            </c:strRef>
          </c:tx>
          <c:spPr>
            <a:noFill/>
          </c:spPr>
          <c:dLbls>
            <c:dLbl>
              <c:idx val="4"/>
              <c:layout>
                <c:manualLayout>
                  <c:x val="5.3546904848627883E-17"/>
                  <c:y val="-0.34311101523268545"/>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C8F-4511-96F4-A6E7FDA47258}"/>
                </c:ext>
              </c:extLst>
            </c:dLbl>
            <c:dLbl>
              <c:idx val="5"/>
              <c:layout>
                <c:manualLayout>
                  <c:x val="0"/>
                  <c:y val="-0.3403672143721763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C8F-4511-96F4-A6E7FDA47258}"/>
                </c:ext>
              </c:extLst>
            </c:dLbl>
            <c:spPr>
              <a:noFill/>
              <a:ln>
                <a:noFill/>
              </a:ln>
              <a:effectLst/>
            </c:spPr>
            <c:txPr>
              <a:bodyPr/>
              <a:lstStyle/>
              <a:p>
                <a:pPr>
                  <a:defRPr b="1"/>
                </a:pPr>
                <a:endParaRPr lang="cs-CZ"/>
              </a:p>
            </c:txPr>
            <c:dLblPos val="inEnd"/>
            <c:showVal val="1"/>
            <c:extLst xmlns:c16r2="http://schemas.microsoft.com/office/drawing/2015/06/chart">
              <c:ext xmlns:c15="http://schemas.microsoft.com/office/drawing/2012/chart" uri="{CE6537A1-D6FC-4f65-9D91-7224C49458BB}">
                <c15:showLeaderLines val="0"/>
              </c:ext>
            </c:extLst>
          </c:dLbls>
          <c:cat>
            <c:numRef>
              <c:f>List1!$A$3:$A$13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List1!$B$3:$B$13</c:f>
              <c:numCache>
                <c:formatCode>0.0</c:formatCode>
                <c:ptCount val="11"/>
                <c:pt idx="0">
                  <c:v>4497</c:v>
                </c:pt>
                <c:pt idx="1">
                  <c:v>4597</c:v>
                </c:pt>
                <c:pt idx="2">
                  <c:v>4572.4000000000005</c:v>
                </c:pt>
                <c:pt idx="3">
                  <c:v>4253.1000000000004</c:v>
                </c:pt>
                <c:pt idx="4">
                  <c:v>4311</c:v>
                </c:pt>
                <c:pt idx="5">
                  <c:v>4211.5</c:v>
                </c:pt>
                <c:pt idx="6">
                  <c:v>4471.9000000000005</c:v>
                </c:pt>
                <c:pt idx="7">
                  <c:v>4440.3</c:v>
                </c:pt>
                <c:pt idx="8">
                  <c:v>4464.1000000000004</c:v>
                </c:pt>
                <c:pt idx="9">
                  <c:v>4507</c:v>
                </c:pt>
                <c:pt idx="10">
                  <c:v>4571.3</c:v>
                </c:pt>
              </c:numCache>
            </c:numRef>
          </c:val>
          <c:extLst xmlns:c16r2="http://schemas.microsoft.com/office/drawing/2015/06/chart">
            <c:ext xmlns:c16="http://schemas.microsoft.com/office/drawing/2014/chart" uri="{C3380CC4-5D6E-409C-BE32-E72D297353CC}">
              <c16:uniqueId val="{00000006-3C8F-4511-96F4-A6E7FDA47258}"/>
            </c:ext>
          </c:extLst>
        </c:ser>
        <c:gapWidth val="500"/>
        <c:overlap val="-100"/>
        <c:axId val="111959040"/>
        <c:axId val="111957504"/>
      </c:barChart>
      <c:catAx>
        <c:axId val="111593728"/>
        <c:scaling>
          <c:orientation val="minMax"/>
        </c:scaling>
        <c:axPos val="b"/>
        <c:numFmt formatCode="General" sourceLinked="1"/>
        <c:tickLblPos val="nextTo"/>
        <c:crossAx val="111955968"/>
        <c:crosses val="autoZero"/>
        <c:auto val="1"/>
        <c:lblAlgn val="ctr"/>
        <c:lblOffset val="100"/>
      </c:catAx>
      <c:valAx>
        <c:axId val="111955968"/>
        <c:scaling>
          <c:orientation val="minMax"/>
        </c:scaling>
        <c:axPos val="l"/>
        <c:majorGridlines>
          <c:spPr>
            <a:ln>
              <a:prstDash val="sysDot"/>
            </a:ln>
          </c:spPr>
        </c:majorGridlines>
        <c:numFmt formatCode="#,##0" sourceLinked="0"/>
        <c:tickLblPos val="nextTo"/>
        <c:spPr>
          <a:ln>
            <a:noFill/>
          </a:ln>
        </c:spPr>
        <c:crossAx val="111593728"/>
        <c:crosses val="autoZero"/>
        <c:crossBetween val="between"/>
      </c:valAx>
      <c:valAx>
        <c:axId val="111957504"/>
        <c:scaling>
          <c:orientation val="minMax"/>
          <c:max val="4600"/>
          <c:min val="0"/>
        </c:scaling>
        <c:axPos val="r"/>
        <c:numFmt formatCode="0.0" sourceLinked="1"/>
        <c:tickLblPos val="nextTo"/>
        <c:spPr>
          <a:ln>
            <a:noFill/>
          </a:ln>
        </c:spPr>
        <c:txPr>
          <a:bodyPr/>
          <a:lstStyle/>
          <a:p>
            <a:pPr>
              <a:defRPr sz="100">
                <a:solidFill>
                  <a:schemeClr val="bg1"/>
                </a:solidFill>
              </a:defRPr>
            </a:pPr>
            <a:endParaRPr lang="cs-CZ"/>
          </a:p>
        </c:txPr>
        <c:crossAx val="111959040"/>
        <c:crosses val="max"/>
        <c:crossBetween val="between"/>
      </c:valAx>
      <c:catAx>
        <c:axId val="111959040"/>
        <c:scaling>
          <c:orientation val="minMax"/>
        </c:scaling>
        <c:delete val="1"/>
        <c:axPos val="b"/>
        <c:numFmt formatCode="General" sourceLinked="1"/>
        <c:tickLblPos val="none"/>
        <c:crossAx val="111957504"/>
        <c:crosses val="autoZero"/>
        <c:auto val="1"/>
        <c:lblAlgn val="ctr"/>
        <c:lblOffset val="100"/>
      </c:catAx>
    </c:plotArea>
    <c:legend>
      <c:legendPos val="b"/>
      <c:legendEntry>
        <c:idx val="4"/>
        <c:delete val="1"/>
      </c:legendEntry>
      <c:layout>
        <c:manualLayout>
          <c:xMode val="edge"/>
          <c:yMode val="edge"/>
          <c:x val="0.19734609521115251"/>
          <c:y val="0.9451686406235239"/>
          <c:w val="0.60530780957769503"/>
          <c:h val="5.4831359376476825E-2"/>
        </c:manualLayout>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7354102476320895E-2"/>
          <c:y val="4.5977011494252866E-2"/>
          <c:w val="0.94540119441591541"/>
          <c:h val="0.51982978069163943"/>
        </c:manualLayout>
      </c:layout>
      <c:barChart>
        <c:barDir val="col"/>
        <c:grouping val="stacked"/>
        <c:ser>
          <c:idx val="1"/>
          <c:order val="1"/>
          <c:tx>
            <c:strRef>
              <c:f>List7!$C$2</c:f>
              <c:strCache>
                <c:ptCount val="1"/>
                <c:pt idx="0">
                  <c:v> nemoc</c:v>
                </c:pt>
              </c:strCache>
            </c:strRef>
          </c:tx>
          <c:spPr>
            <a:solidFill>
              <a:schemeClr val="accent6">
                <a:lumMod val="60000"/>
                <a:lumOff val="40000"/>
              </a:schemeClr>
            </a:solidFill>
            <a:ln>
              <a:solidFill>
                <a:schemeClr val="accent6">
                  <a:lumMod val="50000"/>
                </a:schemeClr>
              </a:solidFill>
            </a:ln>
          </c:spPr>
          <c:cat>
            <c:strRef>
              <c:f>List7!$A$3:$A$22</c:f>
              <c:strCache>
                <c:ptCount val="20"/>
                <c:pt idx="0">
                  <c:v>Celkem</c:v>
                </c:pt>
                <c:pt idx="1">
                  <c:v>A - Zeměd., les., rybář.</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List7!$C$3:$C$22</c:f>
              <c:numCache>
                <c:formatCode>0.0</c:formatCode>
                <c:ptCount val="20"/>
                <c:pt idx="0">
                  <c:v>3.5917529473999998</c:v>
                </c:pt>
                <c:pt idx="1">
                  <c:v>4.0486953999999997</c:v>
                </c:pt>
                <c:pt idx="2">
                  <c:v>4.6276682943000003</c:v>
                </c:pt>
                <c:pt idx="3">
                  <c:v>4.5936797369000004</c:v>
                </c:pt>
                <c:pt idx="4">
                  <c:v>2.2186060565000001</c:v>
                </c:pt>
                <c:pt idx="5">
                  <c:v>3.6194213806</c:v>
                </c:pt>
                <c:pt idx="6">
                  <c:v>3.7406561580000002</c:v>
                </c:pt>
                <c:pt idx="7">
                  <c:v>3.592935287</c:v>
                </c:pt>
                <c:pt idx="8">
                  <c:v>3.4619023928999999</c:v>
                </c:pt>
                <c:pt idx="9">
                  <c:v>3.6072730379000002</c:v>
                </c:pt>
                <c:pt idx="10">
                  <c:v>1.5277700824999974</c:v>
                </c:pt>
                <c:pt idx="11">
                  <c:v>2.2650851297999997</c:v>
                </c:pt>
                <c:pt idx="12">
                  <c:v>2.0552379856999998</c:v>
                </c:pt>
                <c:pt idx="13">
                  <c:v>1.9773858296000038</c:v>
                </c:pt>
                <c:pt idx="14">
                  <c:v>4.5370056924000002</c:v>
                </c:pt>
                <c:pt idx="15">
                  <c:v>2.7850963124000012</c:v>
                </c:pt>
                <c:pt idx="16">
                  <c:v>2.4850895847999999</c:v>
                </c:pt>
                <c:pt idx="17">
                  <c:v>3.6068006851999987</c:v>
                </c:pt>
                <c:pt idx="18">
                  <c:v>2.4322689828999962</c:v>
                </c:pt>
                <c:pt idx="19">
                  <c:v>3.4037156530999999</c:v>
                </c:pt>
              </c:numCache>
            </c:numRef>
          </c:val>
          <c:extLst xmlns:c16r2="http://schemas.microsoft.com/office/drawing/2015/06/chart">
            <c:ext xmlns:c16="http://schemas.microsoft.com/office/drawing/2014/chart" uri="{C3380CC4-5D6E-409C-BE32-E72D297353CC}">
              <c16:uniqueId val="{00000000-F47C-45A5-B949-F934707ABBB8}"/>
            </c:ext>
          </c:extLst>
        </c:ser>
        <c:ser>
          <c:idx val="2"/>
          <c:order val="2"/>
          <c:tx>
            <c:strRef>
              <c:f>List7!$D$2</c:f>
              <c:strCache>
                <c:ptCount val="1"/>
                <c:pt idx="0">
                  <c:v> pracovní úraz</c:v>
                </c:pt>
              </c:strCache>
            </c:strRef>
          </c:tx>
          <c:spPr>
            <a:solidFill>
              <a:srgbClr val="FF0000"/>
            </a:solidFill>
            <a:ln>
              <a:solidFill>
                <a:schemeClr val="accent2">
                  <a:lumMod val="50000"/>
                </a:schemeClr>
              </a:solidFill>
            </a:ln>
          </c:spPr>
          <c:cat>
            <c:strRef>
              <c:f>List7!$A$3:$A$22</c:f>
              <c:strCache>
                <c:ptCount val="20"/>
                <c:pt idx="0">
                  <c:v>Celkem</c:v>
                </c:pt>
                <c:pt idx="1">
                  <c:v>A - Zeměd., les., rybář.</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List7!$D$3:$D$22</c:f>
              <c:numCache>
                <c:formatCode>0.0</c:formatCode>
                <c:ptCount val="20"/>
                <c:pt idx="0">
                  <c:v>0.15391929920000044</c:v>
                </c:pt>
                <c:pt idx="1">
                  <c:v>0.38993469190000102</c:v>
                </c:pt>
                <c:pt idx="2">
                  <c:v>0.50661182640000102</c:v>
                </c:pt>
                <c:pt idx="3">
                  <c:v>0.2316548319</c:v>
                </c:pt>
                <c:pt idx="4">
                  <c:v>7.8847898400000005E-2</c:v>
                </c:pt>
                <c:pt idx="5">
                  <c:v>0.25416596230000038</c:v>
                </c:pt>
                <c:pt idx="6">
                  <c:v>0.23566239640000025</c:v>
                </c:pt>
                <c:pt idx="7">
                  <c:v>0.120237599</c:v>
                </c:pt>
                <c:pt idx="8">
                  <c:v>0.25632938800000032</c:v>
                </c:pt>
                <c:pt idx="9">
                  <c:v>8.5790126700000066E-2</c:v>
                </c:pt>
                <c:pt idx="10">
                  <c:v>2.0323323500000001E-2</c:v>
                </c:pt>
                <c:pt idx="11">
                  <c:v>1.39246678E-2</c:v>
                </c:pt>
                <c:pt idx="12">
                  <c:v>5.2448926100000022E-2</c:v>
                </c:pt>
                <c:pt idx="13">
                  <c:v>3.3616729999999997E-2</c:v>
                </c:pt>
                <c:pt idx="14">
                  <c:v>0.14094315030000029</c:v>
                </c:pt>
                <c:pt idx="15">
                  <c:v>6.6769709199999999E-2</c:v>
                </c:pt>
                <c:pt idx="16">
                  <c:v>5.7282247400000014E-2</c:v>
                </c:pt>
                <c:pt idx="17">
                  <c:v>0.10048070639999998</c:v>
                </c:pt>
                <c:pt idx="18">
                  <c:v>8.2904891600000002E-2</c:v>
                </c:pt>
                <c:pt idx="19">
                  <c:v>5.3769837500000014E-2</c:v>
                </c:pt>
              </c:numCache>
            </c:numRef>
          </c:val>
          <c:extLst xmlns:c16r2="http://schemas.microsoft.com/office/drawing/2015/06/chart">
            <c:ext xmlns:c16="http://schemas.microsoft.com/office/drawing/2014/chart" uri="{C3380CC4-5D6E-409C-BE32-E72D297353CC}">
              <c16:uniqueId val="{00000001-F47C-45A5-B949-F934707ABBB8}"/>
            </c:ext>
          </c:extLst>
        </c:ser>
        <c:ser>
          <c:idx val="3"/>
          <c:order val="3"/>
          <c:tx>
            <c:strRef>
              <c:f>List7!$E$2</c:f>
              <c:strCache>
                <c:ptCount val="1"/>
                <c:pt idx="0">
                  <c:v> ostatní úraz</c:v>
                </c:pt>
              </c:strCache>
            </c:strRef>
          </c:tx>
          <c:spPr>
            <a:solidFill>
              <a:schemeClr val="accent2">
                <a:lumMod val="60000"/>
                <a:lumOff val="40000"/>
              </a:schemeClr>
            </a:solidFill>
            <a:ln>
              <a:solidFill>
                <a:schemeClr val="accent2">
                  <a:lumMod val="50000"/>
                </a:schemeClr>
              </a:solidFill>
            </a:ln>
          </c:spPr>
          <c:cat>
            <c:strRef>
              <c:f>List7!$A$3:$A$22</c:f>
              <c:strCache>
                <c:ptCount val="20"/>
                <c:pt idx="0">
                  <c:v>Celkem</c:v>
                </c:pt>
                <c:pt idx="1">
                  <c:v>A - Zeměd., les., rybář.</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List7!$E$3:$E$22</c:f>
              <c:numCache>
                <c:formatCode>0.0</c:formatCode>
                <c:ptCount val="20"/>
                <c:pt idx="0">
                  <c:v>0.45324351059999979</c:v>
                </c:pt>
                <c:pt idx="1">
                  <c:v>0.54678526199999999</c:v>
                </c:pt>
                <c:pt idx="2">
                  <c:v>0.69761354260000064</c:v>
                </c:pt>
                <c:pt idx="3">
                  <c:v>0.63559198179999998</c:v>
                </c:pt>
                <c:pt idx="4">
                  <c:v>0.36713997040000002</c:v>
                </c:pt>
                <c:pt idx="5">
                  <c:v>0.553754651200001</c:v>
                </c:pt>
                <c:pt idx="6">
                  <c:v>0.67377592090000116</c:v>
                </c:pt>
                <c:pt idx="7">
                  <c:v>0.42714891260000032</c:v>
                </c:pt>
                <c:pt idx="8">
                  <c:v>0.49284013659999998</c:v>
                </c:pt>
                <c:pt idx="9">
                  <c:v>0.47496337830000057</c:v>
                </c:pt>
                <c:pt idx="10">
                  <c:v>0.14829073090000025</c:v>
                </c:pt>
                <c:pt idx="11">
                  <c:v>0.18095949380000051</c:v>
                </c:pt>
                <c:pt idx="12">
                  <c:v>0.26911026220000051</c:v>
                </c:pt>
                <c:pt idx="13">
                  <c:v>0.2393805578</c:v>
                </c:pt>
                <c:pt idx="14">
                  <c:v>0.49229059980000051</c:v>
                </c:pt>
                <c:pt idx="15">
                  <c:v>0.27983209170000051</c:v>
                </c:pt>
                <c:pt idx="16">
                  <c:v>0.22309164840000001</c:v>
                </c:pt>
                <c:pt idx="17">
                  <c:v>0.35120683600000002</c:v>
                </c:pt>
                <c:pt idx="18">
                  <c:v>0.30523618600000002</c:v>
                </c:pt>
                <c:pt idx="19">
                  <c:v>0.30219869430000057</c:v>
                </c:pt>
              </c:numCache>
            </c:numRef>
          </c:val>
          <c:extLst xmlns:c16r2="http://schemas.microsoft.com/office/drawing/2015/06/chart">
            <c:ext xmlns:c16="http://schemas.microsoft.com/office/drawing/2014/chart" uri="{C3380CC4-5D6E-409C-BE32-E72D297353CC}">
              <c16:uniqueId val="{00000002-F47C-45A5-B949-F934707ABBB8}"/>
            </c:ext>
          </c:extLst>
        </c:ser>
        <c:gapWidth val="51"/>
        <c:overlap val="100"/>
        <c:axId val="141365248"/>
        <c:axId val="141366784"/>
      </c:barChart>
      <c:barChart>
        <c:barDir val="col"/>
        <c:grouping val="stacked"/>
        <c:ser>
          <c:idx val="4"/>
          <c:order val="4"/>
          <c:tx>
            <c:strRef>
              <c:f>List7!$F$2</c:f>
              <c:strCache>
                <c:ptCount val="1"/>
                <c:pt idx="0">
                  <c:v>  celkem</c:v>
                </c:pt>
              </c:strCache>
            </c:strRef>
          </c:tx>
          <c:spPr>
            <a:noFill/>
          </c:spPr>
          <c:dLbls>
            <c:dLbl>
              <c:idx val="0"/>
              <c:layout>
                <c:manualLayout>
                  <c:x val="0"/>
                  <c:y val="-0.1984047705333908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47C-45A5-B949-F934707ABBB8}"/>
                </c:ext>
              </c:extLst>
            </c:dLbl>
            <c:dLbl>
              <c:idx val="1"/>
              <c:layout>
                <c:manualLayout>
                  <c:x val="0"/>
                  <c:y val="-0.2407964067253105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47C-45A5-B949-F934707ABBB8}"/>
                </c:ext>
              </c:extLst>
            </c:dLbl>
            <c:dLbl>
              <c:idx val="2"/>
              <c:layout>
                <c:manualLayout>
                  <c:x val="0"/>
                  <c:y val="-0.26909695911442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47C-45A5-B949-F934707ABBB8}"/>
                </c:ext>
              </c:extLst>
            </c:dLbl>
            <c:dLbl>
              <c:idx val="3"/>
              <c:layout>
                <c:manualLayout>
                  <c:x val="0"/>
                  <c:y val="-0.253026938578284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47C-45A5-B949-F934707ABBB8}"/>
                </c:ext>
              </c:extLst>
            </c:dLbl>
            <c:dLbl>
              <c:idx val="4"/>
              <c:layout>
                <c:manualLayout>
                  <c:x val="0"/>
                  <c:y val="-0.1374710901723064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47C-45A5-B949-F934707ABBB8}"/>
                </c:ext>
              </c:extLst>
            </c:dLbl>
            <c:dLbl>
              <c:idx val="5"/>
              <c:layout>
                <c:manualLayout>
                  <c:x val="0"/>
                  <c:y val="-0.2138319111784670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47C-45A5-B949-F934707ABBB8}"/>
                </c:ext>
              </c:extLst>
            </c:dLbl>
            <c:dLbl>
              <c:idx val="6"/>
              <c:layout>
                <c:manualLayout>
                  <c:x val="0"/>
                  <c:y val="-0.2206918591243040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47C-45A5-B949-F934707ABBB8}"/>
                </c:ext>
              </c:extLst>
            </c:dLbl>
            <c:dLbl>
              <c:idx val="7"/>
              <c:layout>
                <c:manualLayout>
                  <c:x val="0"/>
                  <c:y val="-0.2041878342613032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47C-45A5-B949-F934707ABBB8}"/>
                </c:ext>
              </c:extLst>
            </c:dLbl>
            <c:dLbl>
              <c:idx val="8"/>
              <c:layout>
                <c:manualLayout>
                  <c:x val="0"/>
                  <c:y val="-0.2044632600841218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47C-45A5-B949-F934707ABBB8}"/>
                </c:ext>
              </c:extLst>
            </c:dLbl>
            <c:dLbl>
              <c:idx val="9"/>
              <c:layout>
                <c:manualLayout>
                  <c:x val="0"/>
                  <c:y val="-0.2081773355736392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47C-45A5-B949-F934707ABBB8}"/>
                </c:ext>
              </c:extLst>
            </c:dLbl>
            <c:dLbl>
              <c:idx val="10"/>
              <c:layout>
                <c:manualLayout>
                  <c:x val="0"/>
                  <c:y val="-9.552905259227580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47C-45A5-B949-F934707ABBB8}"/>
                </c:ext>
              </c:extLst>
            </c:dLbl>
            <c:dLbl>
              <c:idx val="11"/>
              <c:layout>
                <c:manualLayout>
                  <c:x val="7.0852643662025061E-17"/>
                  <c:y val="-0.1313963474230994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47C-45A5-B949-F934707ABBB8}"/>
                </c:ext>
              </c:extLst>
            </c:dLbl>
            <c:dLbl>
              <c:idx val="12"/>
              <c:layout>
                <c:manualLayout>
                  <c:x val="7.0852643662025061E-17"/>
                  <c:y val="-0.1250040083901647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47C-45A5-B949-F934707ABBB8}"/>
                </c:ext>
              </c:extLst>
            </c:dLbl>
            <c:dLbl>
              <c:idx val="13"/>
              <c:layout>
                <c:manualLayout>
                  <c:x val="0"/>
                  <c:y val="-0.1223171789718755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47C-45A5-B949-F934707ABBB8}"/>
                </c:ext>
              </c:extLst>
            </c:dLbl>
            <c:dLbl>
              <c:idx val="14"/>
              <c:layout>
                <c:manualLayout>
                  <c:x val="0"/>
                  <c:y val="-0.2488028640771371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47C-45A5-B949-F934707ABBB8}"/>
                </c:ext>
              </c:extLst>
            </c:dLbl>
            <c:dLbl>
              <c:idx val="15"/>
              <c:layout>
                <c:manualLayout>
                  <c:x val="0"/>
                  <c:y val="-0.1604950636400575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47C-45A5-B949-F934707ABBB8}"/>
                </c:ext>
              </c:extLst>
            </c:dLbl>
            <c:dLbl>
              <c:idx val="16"/>
              <c:layout>
                <c:manualLayout>
                  <c:x val="0"/>
                  <c:y val="-0.1446299651874063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47C-45A5-B949-F934707ABBB8}"/>
                </c:ext>
              </c:extLst>
            </c:dLbl>
            <c:dLbl>
              <c:idx val="17"/>
              <c:layout>
                <c:manualLayout>
                  <c:x val="0"/>
                  <c:y val="-0.2006428798910596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47C-45A5-B949-F934707ABBB8}"/>
                </c:ext>
              </c:extLst>
            </c:dLbl>
            <c:dLbl>
              <c:idx val="18"/>
              <c:layout>
                <c:manualLayout>
                  <c:x val="0"/>
                  <c:y val="-0.1470101802128296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47C-45A5-B949-F934707ABBB8}"/>
                </c:ext>
              </c:extLst>
            </c:dLbl>
            <c:dLbl>
              <c:idx val="19"/>
              <c:layout>
                <c:manualLayout>
                  <c:x val="0"/>
                  <c:y val="-0.1849093444909352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47C-45A5-B949-F934707ABBB8}"/>
                </c:ext>
              </c:extLst>
            </c:dLbl>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List7!$A$3:$A$22</c:f>
              <c:strCache>
                <c:ptCount val="20"/>
                <c:pt idx="0">
                  <c:v>Celkem</c:v>
                </c:pt>
                <c:pt idx="1">
                  <c:v>A - Zeměd., les., rybář.</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List7!$F$3:$F$22</c:f>
              <c:numCache>
                <c:formatCode>#,##0.0</c:formatCode>
                <c:ptCount val="20"/>
                <c:pt idx="0">
                  <c:v>4.2</c:v>
                </c:pt>
                <c:pt idx="1">
                  <c:v>4.9854153538999926</c:v>
                </c:pt>
                <c:pt idx="2">
                  <c:v>5.8318936633000034</c:v>
                </c:pt>
                <c:pt idx="3">
                  <c:v>5.4609265505999902</c:v>
                </c:pt>
                <c:pt idx="4">
                  <c:v>2.6645939253000002</c:v>
                </c:pt>
                <c:pt idx="5">
                  <c:v>4.4273419940999998</c:v>
                </c:pt>
                <c:pt idx="6">
                  <c:v>4.6500944752999933</c:v>
                </c:pt>
                <c:pt idx="7">
                  <c:v>4.1403217986000014</c:v>
                </c:pt>
                <c:pt idx="8">
                  <c:v>4.2110719175</c:v>
                </c:pt>
                <c:pt idx="9">
                  <c:v>4.1680265428999865</c:v>
                </c:pt>
                <c:pt idx="10">
                  <c:v>1.6963841369000026</c:v>
                </c:pt>
                <c:pt idx="11">
                  <c:v>2.4599692913999998</c:v>
                </c:pt>
                <c:pt idx="12">
                  <c:v>2.3767971739999987</c:v>
                </c:pt>
                <c:pt idx="13">
                  <c:v>2.2503831174000002</c:v>
                </c:pt>
                <c:pt idx="14">
                  <c:v>5.1702394424999998</c:v>
                </c:pt>
                <c:pt idx="15">
                  <c:v>3.1316981132999961</c:v>
                </c:pt>
                <c:pt idx="16">
                  <c:v>2.7654634805999998</c:v>
                </c:pt>
                <c:pt idx="17">
                  <c:v>4.0584882275999865</c:v>
                </c:pt>
                <c:pt idx="18">
                  <c:v>2.8204100605000004</c:v>
                </c:pt>
                <c:pt idx="19">
                  <c:v>3.7596841848999998</c:v>
                </c:pt>
              </c:numCache>
            </c:numRef>
          </c:val>
          <c:extLst xmlns:c16r2="http://schemas.microsoft.com/office/drawing/2015/06/chart">
            <c:ext xmlns:c16="http://schemas.microsoft.com/office/drawing/2014/chart" uri="{C3380CC4-5D6E-409C-BE32-E72D297353CC}">
              <c16:uniqueId val="{00000017-F47C-45A5-B949-F934707ABBB8}"/>
            </c:ext>
          </c:extLst>
        </c:ser>
        <c:gapWidth val="64"/>
        <c:overlap val="100"/>
        <c:axId val="141374208"/>
        <c:axId val="141368320"/>
      </c:barChart>
      <c:lineChart>
        <c:grouping val="standard"/>
        <c:ser>
          <c:idx val="0"/>
          <c:order val="0"/>
          <c:tx>
            <c:strRef>
              <c:f>List7!$B$2</c:f>
              <c:strCache>
                <c:ptCount val="1"/>
                <c:pt idx="0">
                  <c:v> celkem</c:v>
                </c:pt>
              </c:strCache>
            </c:strRef>
          </c:tx>
          <c:spPr>
            <a:ln>
              <a:solidFill>
                <a:schemeClr val="accent5">
                  <a:lumMod val="60000"/>
                  <a:lumOff val="40000"/>
                </a:schemeClr>
              </a:solidFill>
            </a:ln>
          </c:spPr>
          <c:marker>
            <c:symbol val="none"/>
          </c:marker>
          <c:cat>
            <c:strRef>
              <c:f>List7!$A$3:$A$22</c:f>
              <c:strCache>
                <c:ptCount val="20"/>
                <c:pt idx="0">
                  <c:v>Celkem</c:v>
                </c:pt>
                <c:pt idx="1">
                  <c:v>A - Zeměd., les., rybář.</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List7!$B$3:$B$22</c:f>
              <c:numCache>
                <c:formatCode>#,##0.0</c:formatCode>
                <c:ptCount val="20"/>
                <c:pt idx="0">
                  <c:v>4.1989157571999822</c:v>
                </c:pt>
                <c:pt idx="1">
                  <c:v>4.2</c:v>
                </c:pt>
                <c:pt idx="2">
                  <c:v>4.2</c:v>
                </c:pt>
                <c:pt idx="3">
                  <c:v>4.2</c:v>
                </c:pt>
                <c:pt idx="4">
                  <c:v>4.2</c:v>
                </c:pt>
                <c:pt idx="5">
                  <c:v>4.2</c:v>
                </c:pt>
                <c:pt idx="6">
                  <c:v>4.2</c:v>
                </c:pt>
                <c:pt idx="7">
                  <c:v>4.2</c:v>
                </c:pt>
                <c:pt idx="8">
                  <c:v>4.2</c:v>
                </c:pt>
                <c:pt idx="9">
                  <c:v>4.2</c:v>
                </c:pt>
                <c:pt idx="10">
                  <c:v>4.2</c:v>
                </c:pt>
                <c:pt idx="11">
                  <c:v>4.2</c:v>
                </c:pt>
                <c:pt idx="12">
                  <c:v>4.2</c:v>
                </c:pt>
                <c:pt idx="13">
                  <c:v>4.2</c:v>
                </c:pt>
                <c:pt idx="14">
                  <c:v>4.2</c:v>
                </c:pt>
                <c:pt idx="15">
                  <c:v>4.2</c:v>
                </c:pt>
                <c:pt idx="16">
                  <c:v>4.2</c:v>
                </c:pt>
                <c:pt idx="17">
                  <c:v>4.2</c:v>
                </c:pt>
                <c:pt idx="18">
                  <c:v>4.2</c:v>
                </c:pt>
                <c:pt idx="19">
                  <c:v>4.2</c:v>
                </c:pt>
              </c:numCache>
            </c:numRef>
          </c:val>
          <c:extLst xmlns:c16r2="http://schemas.microsoft.com/office/drawing/2015/06/chart">
            <c:ext xmlns:c16="http://schemas.microsoft.com/office/drawing/2014/chart" uri="{C3380CC4-5D6E-409C-BE32-E72D297353CC}">
              <c16:uniqueId val="{00000018-F47C-45A5-B949-F934707ABBB8}"/>
            </c:ext>
          </c:extLst>
        </c:ser>
        <c:marker val="1"/>
        <c:axId val="141365248"/>
        <c:axId val="141366784"/>
      </c:lineChart>
      <c:catAx>
        <c:axId val="141365248"/>
        <c:scaling>
          <c:orientation val="minMax"/>
        </c:scaling>
        <c:axPos val="b"/>
        <c:numFmt formatCode="General" sourceLinked="0"/>
        <c:tickLblPos val="nextTo"/>
        <c:crossAx val="141366784"/>
        <c:crosses val="autoZero"/>
        <c:auto val="1"/>
        <c:lblAlgn val="ctr"/>
        <c:lblOffset val="100"/>
      </c:catAx>
      <c:valAx>
        <c:axId val="141366784"/>
        <c:scaling>
          <c:orientation val="minMax"/>
          <c:max val="6"/>
          <c:min val="0"/>
        </c:scaling>
        <c:axPos val="l"/>
        <c:majorGridlines>
          <c:spPr>
            <a:ln>
              <a:solidFill>
                <a:schemeClr val="bg1">
                  <a:lumMod val="75000"/>
                </a:schemeClr>
              </a:solidFill>
              <a:prstDash val="sysDot"/>
            </a:ln>
          </c:spPr>
        </c:majorGridlines>
        <c:numFmt formatCode="0.0" sourceLinked="1"/>
        <c:tickLblPos val="nextTo"/>
        <c:spPr>
          <a:ln>
            <a:noFill/>
          </a:ln>
        </c:spPr>
        <c:crossAx val="141365248"/>
        <c:crosses val="autoZero"/>
        <c:crossBetween val="between"/>
      </c:valAx>
      <c:valAx>
        <c:axId val="141368320"/>
        <c:scaling>
          <c:orientation val="minMax"/>
          <c:max val="6"/>
          <c:min val="0"/>
        </c:scaling>
        <c:axPos val="r"/>
        <c:numFmt formatCode="#,##0.0" sourceLinked="1"/>
        <c:tickLblPos val="nextTo"/>
        <c:spPr>
          <a:ln>
            <a:noFill/>
          </a:ln>
        </c:spPr>
        <c:txPr>
          <a:bodyPr/>
          <a:lstStyle/>
          <a:p>
            <a:pPr>
              <a:defRPr sz="100">
                <a:solidFill>
                  <a:schemeClr val="bg1"/>
                </a:solidFill>
              </a:defRPr>
            </a:pPr>
            <a:endParaRPr lang="cs-CZ"/>
          </a:p>
        </c:txPr>
        <c:crossAx val="141374208"/>
        <c:crosses val="max"/>
        <c:crossBetween val="between"/>
      </c:valAx>
      <c:catAx>
        <c:axId val="141374208"/>
        <c:scaling>
          <c:orientation val="minMax"/>
        </c:scaling>
        <c:delete val="1"/>
        <c:axPos val="b"/>
        <c:numFmt formatCode="General" sourceLinked="1"/>
        <c:tickLblPos val="none"/>
        <c:crossAx val="141368320"/>
        <c:crosses val="autoZero"/>
        <c:auto val="1"/>
        <c:lblAlgn val="ctr"/>
        <c:lblOffset val="100"/>
      </c:catAx>
    </c:plotArea>
    <c:legend>
      <c:legendPos val="b"/>
      <c:legendEntry>
        <c:idx val="3"/>
        <c:delete val="1"/>
      </c:legendEntry>
      <c:layout>
        <c:manualLayout>
          <c:xMode val="edge"/>
          <c:yMode val="edge"/>
          <c:x val="0.21646361596104841"/>
          <c:y val="0.95858970557550605"/>
          <c:w val="0.56707261592300962"/>
          <c:h val="4.1410294424494024E-2"/>
        </c:manualLayout>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plotArea>
      <c:layout/>
      <c:barChart>
        <c:barDir val="col"/>
        <c:grouping val="stacked"/>
        <c:ser>
          <c:idx val="0"/>
          <c:order val="0"/>
          <c:tx>
            <c:strRef>
              <c:f>List2!$B$20</c:f>
              <c:strCache>
                <c:ptCount val="1"/>
                <c:pt idx="0">
                  <c:v>  nemoc</c:v>
                </c:pt>
              </c:strCache>
            </c:strRef>
          </c:tx>
          <c:spPr>
            <a:solidFill>
              <a:schemeClr val="accent6">
                <a:lumMod val="60000"/>
                <a:lumOff val="40000"/>
              </a:schemeClr>
            </a:solidFill>
            <a:ln>
              <a:solidFill>
                <a:schemeClr val="accent6">
                  <a:lumMod val="50000"/>
                </a:schemeClr>
              </a:solidFill>
            </a:ln>
          </c:spPr>
          <c:dLbls>
            <c:numFmt formatCode="#,##0" sourceLinked="0"/>
            <c:txPr>
              <a:bodyPr/>
              <a:lstStyle/>
              <a:p>
                <a:pPr>
                  <a:defRPr sz="780"/>
                </a:pPr>
                <a:endParaRPr lang="cs-CZ"/>
              </a:p>
            </c:txPr>
            <c:showVal val="1"/>
          </c:dLbls>
          <c:cat>
            <c:numRef>
              <c:f>List2!$A$21:$A$31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List2!$B$21:$B$31</c:f>
              <c:numCache>
                <c:formatCode>0.0</c:formatCode>
                <c:ptCount val="11"/>
                <c:pt idx="0">
                  <c:v>2482.3000000000002</c:v>
                </c:pt>
                <c:pt idx="1">
                  <c:v>2518.9</c:v>
                </c:pt>
                <c:pt idx="2">
                  <c:v>2037.8</c:v>
                </c:pt>
                <c:pt idx="3">
                  <c:v>1305.5</c:v>
                </c:pt>
                <c:pt idx="4">
                  <c:v>1188</c:v>
                </c:pt>
                <c:pt idx="5">
                  <c:v>1144.5</c:v>
                </c:pt>
                <c:pt idx="6">
                  <c:v>1067.3</c:v>
                </c:pt>
                <c:pt idx="7">
                  <c:v>1168.0999999999999</c:v>
                </c:pt>
                <c:pt idx="8">
                  <c:v>1146.3</c:v>
                </c:pt>
                <c:pt idx="9">
                  <c:v>1383.9</c:v>
                </c:pt>
                <c:pt idx="10">
                  <c:v>1440.9</c:v>
                </c:pt>
              </c:numCache>
            </c:numRef>
          </c:val>
          <c:extLst xmlns:c16r2="http://schemas.microsoft.com/office/drawing/2015/06/chart">
            <c:ext xmlns:c16="http://schemas.microsoft.com/office/drawing/2014/chart" uri="{C3380CC4-5D6E-409C-BE32-E72D297353CC}">
              <c16:uniqueId val="{00000000-67E3-4B7E-8E20-77057148E30A}"/>
            </c:ext>
          </c:extLst>
        </c:ser>
        <c:ser>
          <c:idx val="1"/>
          <c:order val="1"/>
          <c:tx>
            <c:strRef>
              <c:f>List2!$C$20</c:f>
              <c:strCache>
                <c:ptCount val="1"/>
                <c:pt idx="0">
                  <c:v> pracovní úrazy</c:v>
                </c:pt>
              </c:strCache>
            </c:strRef>
          </c:tx>
          <c:spPr>
            <a:solidFill>
              <a:srgbClr val="FF0000"/>
            </a:solidFill>
            <a:ln>
              <a:solidFill>
                <a:schemeClr val="accent2">
                  <a:lumMod val="50000"/>
                </a:schemeClr>
              </a:solidFill>
            </a:ln>
          </c:spPr>
          <c:cat>
            <c:numRef>
              <c:f>List2!$A$21:$A$31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List2!$C$21:$C$31</c:f>
              <c:numCache>
                <c:formatCode>0.0</c:formatCode>
                <c:ptCount val="11"/>
                <c:pt idx="0">
                  <c:v>82.3</c:v>
                </c:pt>
                <c:pt idx="1">
                  <c:v>77.2</c:v>
                </c:pt>
                <c:pt idx="2">
                  <c:v>71.3</c:v>
                </c:pt>
                <c:pt idx="3">
                  <c:v>50.2</c:v>
                </c:pt>
                <c:pt idx="4">
                  <c:v>51.7</c:v>
                </c:pt>
                <c:pt idx="5">
                  <c:v>47.1</c:v>
                </c:pt>
                <c:pt idx="6">
                  <c:v>44.1</c:v>
                </c:pt>
                <c:pt idx="7">
                  <c:v>42.9</c:v>
                </c:pt>
                <c:pt idx="8">
                  <c:v>45.1</c:v>
                </c:pt>
                <c:pt idx="9">
                  <c:v>46.3</c:v>
                </c:pt>
                <c:pt idx="10">
                  <c:v>47.4</c:v>
                </c:pt>
              </c:numCache>
            </c:numRef>
          </c:val>
          <c:extLst xmlns:c16r2="http://schemas.microsoft.com/office/drawing/2015/06/chart">
            <c:ext xmlns:c16="http://schemas.microsoft.com/office/drawing/2014/chart" uri="{C3380CC4-5D6E-409C-BE32-E72D297353CC}">
              <c16:uniqueId val="{00000001-67E3-4B7E-8E20-77057148E30A}"/>
            </c:ext>
          </c:extLst>
        </c:ser>
        <c:ser>
          <c:idx val="2"/>
          <c:order val="2"/>
          <c:tx>
            <c:strRef>
              <c:f>List2!$D$20</c:f>
              <c:strCache>
                <c:ptCount val="1"/>
                <c:pt idx="0">
                  <c:v> ostatní úrazy</c:v>
                </c:pt>
              </c:strCache>
            </c:strRef>
          </c:tx>
          <c:spPr>
            <a:solidFill>
              <a:schemeClr val="accent2"/>
            </a:solidFill>
            <a:ln>
              <a:solidFill>
                <a:schemeClr val="accent2">
                  <a:lumMod val="50000"/>
                </a:schemeClr>
              </a:solidFill>
            </a:ln>
          </c:spPr>
          <c:cat>
            <c:numRef>
              <c:f>List2!$A$21:$A$31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List2!$D$21:$D$31</c:f>
              <c:numCache>
                <c:formatCode>0.0</c:formatCode>
                <c:ptCount val="11"/>
                <c:pt idx="0">
                  <c:v>142.1</c:v>
                </c:pt>
                <c:pt idx="1">
                  <c:v>130.5</c:v>
                </c:pt>
                <c:pt idx="2">
                  <c:v>112.6</c:v>
                </c:pt>
                <c:pt idx="3">
                  <c:v>85.8</c:v>
                </c:pt>
                <c:pt idx="4">
                  <c:v>85.3</c:v>
                </c:pt>
                <c:pt idx="5">
                  <c:v>77.099999999999994</c:v>
                </c:pt>
                <c:pt idx="6">
                  <c:v>115.4</c:v>
                </c:pt>
                <c:pt idx="7">
                  <c:v>120.5</c:v>
                </c:pt>
                <c:pt idx="8">
                  <c:v>123.4</c:v>
                </c:pt>
                <c:pt idx="9">
                  <c:v>133.30000000000001</c:v>
                </c:pt>
                <c:pt idx="10">
                  <c:v>145</c:v>
                </c:pt>
              </c:numCache>
            </c:numRef>
          </c:val>
          <c:extLst xmlns:c16r2="http://schemas.microsoft.com/office/drawing/2015/06/chart">
            <c:ext xmlns:c16="http://schemas.microsoft.com/office/drawing/2014/chart" uri="{C3380CC4-5D6E-409C-BE32-E72D297353CC}">
              <c16:uniqueId val="{00000002-67E3-4B7E-8E20-77057148E30A}"/>
            </c:ext>
          </c:extLst>
        </c:ser>
        <c:gapWidth val="78"/>
        <c:overlap val="100"/>
        <c:axId val="116808704"/>
        <c:axId val="116822784"/>
      </c:barChart>
      <c:barChart>
        <c:barDir val="col"/>
        <c:grouping val="stacked"/>
        <c:ser>
          <c:idx val="3"/>
          <c:order val="3"/>
          <c:tx>
            <c:strRef>
              <c:f>List2!$E$20</c:f>
              <c:strCache>
                <c:ptCount val="1"/>
                <c:pt idx="0">
                  <c:v>celkem</c:v>
                </c:pt>
              </c:strCache>
            </c:strRef>
          </c:tx>
          <c:spPr>
            <a:noFill/>
          </c:spPr>
          <c:dLbls>
            <c:dLbl>
              <c:idx val="0"/>
              <c:layout>
                <c:manualLayout>
                  <c:x val="0"/>
                  <c:y val="-0.2633980883721627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E3-4B7E-8E20-77057148E30A}"/>
                </c:ext>
              </c:extLst>
            </c:dLbl>
            <c:dLbl>
              <c:idx val="1"/>
              <c:layout>
                <c:manualLayout>
                  <c:x val="0"/>
                  <c:y val="-0.2600851910396769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7E3-4B7E-8E20-77057148E30A}"/>
                </c:ext>
              </c:extLst>
            </c:dLbl>
            <c:dLbl>
              <c:idx val="2"/>
              <c:layout>
                <c:manualLayout>
                  <c:x val="-3.2855056536826444E-17"/>
                  <c:y val="-0.2222063986842170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7E3-4B7E-8E20-77057148E30A}"/>
                </c:ext>
              </c:extLst>
            </c:dLbl>
            <c:dLbl>
              <c:idx val="3"/>
              <c:layout>
                <c:manualLayout>
                  <c:x val="0"/>
                  <c:y val="-0.1534415702727590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7E3-4B7E-8E20-77057148E30A}"/>
                </c:ext>
              </c:extLst>
            </c:dLbl>
            <c:dLbl>
              <c:idx val="4"/>
              <c:layout>
                <c:manualLayout>
                  <c:x val="0"/>
                  <c:y val="-0.1410369670020140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7E3-4B7E-8E20-77057148E30A}"/>
                </c:ext>
              </c:extLst>
            </c:dLbl>
            <c:dLbl>
              <c:idx val="5"/>
              <c:layout>
                <c:manualLayout>
                  <c:x val="-6.571011307365269E-17"/>
                  <c:y val="-0.1412755019131051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7E3-4B7E-8E20-77057148E30A}"/>
                </c:ext>
              </c:extLst>
            </c:dLbl>
            <c:dLbl>
              <c:idx val="6"/>
              <c:layout>
                <c:manualLayout>
                  <c:x val="6.571011307365269E-17"/>
                  <c:y val="-0.1352152181727760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7E3-4B7E-8E20-77057148E30A}"/>
                </c:ext>
              </c:extLst>
            </c:dLbl>
            <c:dLbl>
              <c:idx val="7"/>
              <c:layout>
                <c:manualLayout>
                  <c:x val="5.3763440860215336E-3"/>
                  <c:y val="-0.1415975535891038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7E3-4B7E-8E20-77057148E30A}"/>
                </c:ext>
              </c:extLst>
            </c:dLbl>
            <c:dLbl>
              <c:idx val="8"/>
              <c:layout>
                <c:manualLayout>
                  <c:x val="-1.7921146953405061E-3"/>
                  <c:y val="-0.15268696478606275"/>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7E3-4B7E-8E20-77057148E30A}"/>
                </c:ext>
              </c:extLst>
            </c:dLbl>
            <c:dLbl>
              <c:idx val="9"/>
              <c:layout>
                <c:manualLayout>
                  <c:x val="3.9430668714929744E-3"/>
                  <c:y val="-0.1663142389687164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7E3-4B7E-8E20-77057148E30A}"/>
                </c:ext>
              </c:extLst>
            </c:dLbl>
            <c:dLbl>
              <c:idx val="10"/>
              <c:layout>
                <c:manualLayout>
                  <c:x val="1.3619339462036101E-3"/>
                  <c:y val="-0.1622350583287783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7E3-4B7E-8E20-77057148E30A}"/>
                </c:ext>
              </c:extLst>
            </c:dLbl>
            <c:numFmt formatCode="#,##0" sourceLinked="0"/>
            <c:spPr>
              <a:noFill/>
              <a:ln>
                <a:noFill/>
              </a:ln>
              <a:effectLst/>
            </c:spPr>
            <c:txPr>
              <a:bodyPr/>
              <a:lstStyle/>
              <a:p>
                <a:pPr>
                  <a:defRPr sz="800" b="1"/>
                </a:pPr>
                <a:endParaRPr lang="cs-CZ"/>
              </a:p>
            </c:txPr>
            <c:dLblPos val="inEnd"/>
            <c:showVal val="1"/>
            <c:extLst xmlns:c16r2="http://schemas.microsoft.com/office/drawing/2015/06/chart">
              <c:ext xmlns:c15="http://schemas.microsoft.com/office/drawing/2012/chart" uri="{CE6537A1-D6FC-4f65-9D91-7224C49458BB}">
                <c15:showLeaderLines val="0"/>
              </c:ext>
            </c:extLst>
          </c:dLbls>
          <c:cat>
            <c:numRef>
              <c:f>List2!$A$21:$A$31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List2!$E$21:$E$31</c:f>
              <c:numCache>
                <c:formatCode>0.0</c:formatCode>
                <c:ptCount val="11"/>
                <c:pt idx="0">
                  <c:v>2706.7</c:v>
                </c:pt>
                <c:pt idx="1">
                  <c:v>2726.6</c:v>
                </c:pt>
                <c:pt idx="2">
                  <c:v>2221.6999999999998</c:v>
                </c:pt>
                <c:pt idx="3">
                  <c:v>1441.5</c:v>
                </c:pt>
                <c:pt idx="4">
                  <c:v>1324.9</c:v>
                </c:pt>
                <c:pt idx="5">
                  <c:v>1268.8</c:v>
                </c:pt>
                <c:pt idx="6">
                  <c:v>1226.9000000000001</c:v>
                </c:pt>
                <c:pt idx="7">
                  <c:v>1331.5</c:v>
                </c:pt>
                <c:pt idx="8">
                  <c:v>1314.8</c:v>
                </c:pt>
                <c:pt idx="9">
                  <c:v>1563.5</c:v>
                </c:pt>
                <c:pt idx="10">
                  <c:v>1633.4</c:v>
                </c:pt>
              </c:numCache>
            </c:numRef>
          </c:val>
          <c:extLst xmlns:c16r2="http://schemas.microsoft.com/office/drawing/2015/06/chart">
            <c:ext xmlns:c16="http://schemas.microsoft.com/office/drawing/2014/chart" uri="{C3380CC4-5D6E-409C-BE32-E72D297353CC}">
              <c16:uniqueId val="{0000000E-67E3-4B7E-8E20-77057148E30A}"/>
            </c:ext>
          </c:extLst>
        </c:ser>
        <c:gapWidth val="500"/>
        <c:overlap val="100"/>
        <c:axId val="116871168"/>
        <c:axId val="116824320"/>
      </c:barChart>
      <c:lineChart>
        <c:grouping val="standard"/>
        <c:ser>
          <c:idx val="4"/>
          <c:order val="4"/>
          <c:tx>
            <c:strRef>
              <c:f>List2!$F$20</c:f>
              <c:strCache>
                <c:ptCount val="1"/>
                <c:pt idx="0">
                  <c:v> počet pojištěnců</c:v>
                </c:pt>
              </c:strCache>
            </c:strRef>
          </c:tx>
          <c:dLbls>
            <c:numFmt formatCode="#,##0" sourceLinked="0"/>
            <c:dLblPos val="t"/>
            <c:showVal val="1"/>
          </c:dLbls>
          <c:cat>
            <c:numRef>
              <c:f>List2!$A$21:$A$31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List2!$F$21:$F$31</c:f>
              <c:numCache>
                <c:formatCode>0.0</c:formatCode>
                <c:ptCount val="11"/>
                <c:pt idx="0">
                  <c:v>4497</c:v>
                </c:pt>
                <c:pt idx="1">
                  <c:v>4597</c:v>
                </c:pt>
                <c:pt idx="2">
                  <c:v>4572.4000000000005</c:v>
                </c:pt>
                <c:pt idx="3">
                  <c:v>4253.1000000000004</c:v>
                </c:pt>
                <c:pt idx="4">
                  <c:v>4311</c:v>
                </c:pt>
                <c:pt idx="5">
                  <c:v>4211.5</c:v>
                </c:pt>
                <c:pt idx="6">
                  <c:v>4471.9000000000005</c:v>
                </c:pt>
                <c:pt idx="7">
                  <c:v>4440.3</c:v>
                </c:pt>
                <c:pt idx="8">
                  <c:v>4464.1000000000004</c:v>
                </c:pt>
                <c:pt idx="9">
                  <c:v>4507</c:v>
                </c:pt>
                <c:pt idx="10">
                  <c:v>4571.3</c:v>
                </c:pt>
              </c:numCache>
            </c:numRef>
          </c:val>
          <c:extLst xmlns:c16r2="http://schemas.microsoft.com/office/drawing/2015/06/chart">
            <c:ext xmlns:c16="http://schemas.microsoft.com/office/drawing/2014/chart" uri="{C3380CC4-5D6E-409C-BE32-E72D297353CC}">
              <c16:uniqueId val="{0000000F-67E3-4B7E-8E20-77057148E30A}"/>
            </c:ext>
          </c:extLst>
        </c:ser>
        <c:marker val="1"/>
        <c:axId val="116871168"/>
        <c:axId val="116824320"/>
      </c:lineChart>
      <c:catAx>
        <c:axId val="116808704"/>
        <c:scaling>
          <c:orientation val="minMax"/>
        </c:scaling>
        <c:axPos val="b"/>
        <c:numFmt formatCode="General" sourceLinked="1"/>
        <c:tickLblPos val="nextTo"/>
        <c:crossAx val="116822784"/>
        <c:crosses val="autoZero"/>
        <c:auto val="1"/>
        <c:lblAlgn val="ctr"/>
        <c:lblOffset val="100"/>
      </c:catAx>
      <c:valAx>
        <c:axId val="116822784"/>
        <c:scaling>
          <c:orientation val="minMax"/>
          <c:max val="5000"/>
        </c:scaling>
        <c:axPos val="l"/>
        <c:majorGridlines>
          <c:spPr>
            <a:ln>
              <a:solidFill>
                <a:schemeClr val="bg1">
                  <a:lumMod val="85000"/>
                </a:schemeClr>
              </a:solidFill>
              <a:prstDash val="sysDot"/>
            </a:ln>
          </c:spPr>
        </c:majorGridlines>
        <c:numFmt formatCode="#,##0" sourceLinked="0"/>
        <c:tickLblPos val="nextTo"/>
        <c:spPr>
          <a:ln>
            <a:noFill/>
          </a:ln>
        </c:spPr>
        <c:crossAx val="116808704"/>
        <c:crosses val="autoZero"/>
        <c:crossBetween val="between"/>
      </c:valAx>
      <c:valAx>
        <c:axId val="116824320"/>
        <c:scaling>
          <c:orientation val="minMax"/>
          <c:max val="5000"/>
          <c:min val="0"/>
        </c:scaling>
        <c:axPos val="r"/>
        <c:numFmt formatCode="0.0" sourceLinked="1"/>
        <c:tickLblPos val="nextTo"/>
        <c:spPr>
          <a:ln>
            <a:noFill/>
          </a:ln>
        </c:spPr>
        <c:txPr>
          <a:bodyPr/>
          <a:lstStyle/>
          <a:p>
            <a:pPr>
              <a:defRPr sz="100">
                <a:solidFill>
                  <a:schemeClr val="bg1"/>
                </a:solidFill>
              </a:defRPr>
            </a:pPr>
            <a:endParaRPr lang="cs-CZ"/>
          </a:p>
        </c:txPr>
        <c:crossAx val="116871168"/>
        <c:crosses val="max"/>
        <c:crossBetween val="between"/>
      </c:valAx>
      <c:catAx>
        <c:axId val="116871168"/>
        <c:scaling>
          <c:orientation val="minMax"/>
        </c:scaling>
        <c:delete val="1"/>
        <c:axPos val="b"/>
        <c:numFmt formatCode="General" sourceLinked="1"/>
        <c:tickLblPos val="none"/>
        <c:crossAx val="116824320"/>
        <c:crosses val="autoZero"/>
        <c:auto val="1"/>
        <c:lblAlgn val="ctr"/>
        <c:lblOffset val="100"/>
      </c:catAx>
    </c:plotArea>
    <c:legend>
      <c:legendPos val="b"/>
      <c:legendEntry>
        <c:idx val="3"/>
        <c:delete val="1"/>
      </c:legendEntry>
      <c:layout/>
      <c:txPr>
        <a:bodyPr/>
        <a:lstStyle/>
        <a:p>
          <a:pPr>
            <a:defRPr sz="900"/>
          </a:pPr>
          <a:endParaRPr lang="cs-CZ"/>
        </a:p>
      </c:txPr>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5694895184094285"/>
          <c:y val="7.0372689289212434E-2"/>
          <c:w val="0.46443383687878775"/>
          <c:h val="0.8789367320877296"/>
        </c:manualLayout>
      </c:layout>
      <c:doughnutChart>
        <c:varyColors val="1"/>
        <c:ser>
          <c:idx val="0"/>
          <c:order val="0"/>
          <c:tx>
            <c:strRef>
              <c:f>List2!$A$103</c:f>
              <c:strCache>
                <c:ptCount val="1"/>
                <c:pt idx="0">
                  <c:v>2016</c:v>
                </c:pt>
              </c:strCache>
            </c:strRef>
          </c:tx>
          <c:dPt>
            <c:idx val="0"/>
            <c:spPr>
              <a:solidFill>
                <a:schemeClr val="accent6">
                  <a:lumMod val="75000"/>
                </a:schemeClr>
              </a:solidFill>
              <a:ln>
                <a:solidFill>
                  <a:schemeClr val="accent6">
                    <a:lumMod val="50000"/>
                  </a:schemeClr>
                </a:solidFill>
              </a:ln>
            </c:spPr>
            <c:extLst xmlns:c16r2="http://schemas.microsoft.com/office/drawing/2015/06/chart">
              <c:ext xmlns:c16="http://schemas.microsoft.com/office/drawing/2014/chart" uri="{C3380CC4-5D6E-409C-BE32-E72D297353CC}">
                <c16:uniqueId val="{00000000-3DAA-4C1C-9196-62E916EF484B}"/>
              </c:ext>
            </c:extLst>
          </c:dPt>
          <c:dPt>
            <c:idx val="1"/>
            <c:spPr>
              <a:solidFill>
                <a:schemeClr val="accent6">
                  <a:lumMod val="40000"/>
                  <a:lumOff val="60000"/>
                </a:schemeClr>
              </a:solidFill>
              <a:ln>
                <a:solidFill>
                  <a:schemeClr val="accent6">
                    <a:lumMod val="75000"/>
                  </a:schemeClr>
                </a:solidFill>
              </a:ln>
            </c:spPr>
            <c:extLst xmlns:c16r2="http://schemas.microsoft.com/office/drawing/2015/06/chart">
              <c:ext xmlns:c16="http://schemas.microsoft.com/office/drawing/2014/chart" uri="{C3380CC4-5D6E-409C-BE32-E72D297353CC}">
                <c16:uniqueId val="{00000001-3DAA-4C1C-9196-62E916EF484B}"/>
              </c:ext>
            </c:extLst>
          </c:dPt>
          <c:dPt>
            <c:idx val="2"/>
            <c:spPr>
              <a:solidFill>
                <a:schemeClr val="accent2">
                  <a:lumMod val="75000"/>
                </a:schemeClr>
              </a:solidFill>
              <a:ln>
                <a:solidFill>
                  <a:schemeClr val="accent2">
                    <a:lumMod val="50000"/>
                  </a:schemeClr>
                </a:solidFill>
              </a:ln>
            </c:spPr>
            <c:extLst xmlns:c16r2="http://schemas.microsoft.com/office/drawing/2015/06/chart">
              <c:ext xmlns:c16="http://schemas.microsoft.com/office/drawing/2014/chart" uri="{C3380CC4-5D6E-409C-BE32-E72D297353CC}">
                <c16:uniqueId val="{00000002-3DAA-4C1C-9196-62E916EF484B}"/>
              </c:ext>
            </c:extLst>
          </c:dPt>
          <c:dPt>
            <c:idx val="3"/>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3-3DAA-4C1C-9196-62E916EF484B}"/>
              </c:ext>
            </c:extLst>
          </c:dPt>
          <c:dPt>
            <c:idx val="4"/>
            <c:spPr>
              <a:solidFill>
                <a:schemeClr val="accent3">
                  <a:lumMod val="75000"/>
                </a:schemeClr>
              </a:solidFill>
              <a:ln>
                <a:solidFill>
                  <a:schemeClr val="accent3">
                    <a:lumMod val="50000"/>
                  </a:schemeClr>
                </a:solidFill>
              </a:ln>
            </c:spPr>
            <c:extLst xmlns:c16r2="http://schemas.microsoft.com/office/drawing/2015/06/chart">
              <c:ext xmlns:c16="http://schemas.microsoft.com/office/drawing/2014/chart" uri="{C3380CC4-5D6E-409C-BE32-E72D297353CC}">
                <c16:uniqueId val="{00000004-3DAA-4C1C-9196-62E916EF484B}"/>
              </c:ext>
            </c:extLst>
          </c:dPt>
          <c:dPt>
            <c:idx val="5"/>
            <c:spPr>
              <a:solidFill>
                <a:schemeClr val="accent3">
                  <a:lumMod val="60000"/>
                  <a:lumOff val="40000"/>
                </a:schemeClr>
              </a:solidFill>
              <a:ln>
                <a:solidFill>
                  <a:schemeClr val="accent3">
                    <a:lumMod val="50000"/>
                  </a:schemeClr>
                </a:solidFill>
              </a:ln>
            </c:spPr>
            <c:extLst xmlns:c16r2="http://schemas.microsoft.com/office/drawing/2015/06/chart">
              <c:ext xmlns:c16="http://schemas.microsoft.com/office/drawing/2014/chart" uri="{C3380CC4-5D6E-409C-BE32-E72D297353CC}">
                <c16:uniqueId val="{00000005-3DAA-4C1C-9196-62E916EF484B}"/>
              </c:ext>
            </c:extLst>
          </c:dPt>
          <c:dLbls>
            <c:dLbl>
              <c:idx val="2"/>
              <c:spPr/>
              <c:txPr>
                <a:bodyPr/>
                <a:lstStyle/>
                <a:p>
                  <a:pPr>
                    <a:defRPr>
                      <a:solidFill>
                        <a:schemeClr val="bg1"/>
                      </a:solidFill>
                    </a:defRPr>
                  </a:pPr>
                  <a:endParaRPr lang="cs-CZ"/>
                </a:p>
              </c:txPr>
            </c:dLbl>
            <c:dLbl>
              <c:idx val="3"/>
              <c:layout>
                <c:manualLayout>
                  <c:x val="-8.3200875247003078E-3"/>
                  <c:y val="-3.9364221332308304E-2"/>
                </c:manualLayout>
              </c:layout>
              <c:spPr/>
              <c:txPr>
                <a:bodyPr/>
                <a:lstStyle/>
                <a:p>
                  <a:pPr>
                    <a:defRPr>
                      <a:solidFill>
                        <a:schemeClr val="bg1"/>
                      </a:solidFill>
                    </a:defRPr>
                  </a:pPr>
                  <a:endParaRPr lang="cs-CZ"/>
                </a:p>
              </c:tx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AA-4C1C-9196-62E916EF484B}"/>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List2!$B$90:$G$90</c:f>
              <c:strCache>
                <c:ptCount val="6"/>
                <c:pt idx="0">
                  <c:v> nemoc - muži</c:v>
                </c:pt>
                <c:pt idx="1">
                  <c:v> nemoc - ženy</c:v>
                </c:pt>
                <c:pt idx="2">
                  <c:v> pracovní úrazy - muži</c:v>
                </c:pt>
                <c:pt idx="3">
                  <c:v> pracovní úrazy - ženy</c:v>
                </c:pt>
                <c:pt idx="4">
                  <c:v> ostatní úrazy - muži</c:v>
                </c:pt>
                <c:pt idx="5">
                  <c:v> ostatní úrazy - ženy</c:v>
                </c:pt>
              </c:strCache>
            </c:strRef>
          </c:cat>
          <c:val>
            <c:numRef>
              <c:f>List2!$B$103:$G$103</c:f>
              <c:numCache>
                <c:formatCode>0.0%</c:formatCode>
                <c:ptCount val="6"/>
                <c:pt idx="0">
                  <c:v>0.40296314436145481</c:v>
                </c:pt>
                <c:pt idx="1">
                  <c:v>0.47918452308069215</c:v>
                </c:pt>
                <c:pt idx="2">
                  <c:v>2.0203257009918062E-2</c:v>
                </c:pt>
                <c:pt idx="3">
                  <c:v>9.0608546589935248E-3</c:v>
                </c:pt>
                <c:pt idx="4">
                  <c:v>5.7058895555283463E-2</c:v>
                </c:pt>
                <c:pt idx="5">
                  <c:v>3.1712991306477284E-2</c:v>
                </c:pt>
              </c:numCache>
            </c:numRef>
          </c:val>
          <c:extLst xmlns:c16r2="http://schemas.microsoft.com/office/drawing/2015/06/chart">
            <c:ext xmlns:c16="http://schemas.microsoft.com/office/drawing/2014/chart" uri="{C3380CC4-5D6E-409C-BE32-E72D297353CC}">
              <c16:uniqueId val="{00000006-3DAA-4C1C-9196-62E916EF484B}"/>
            </c:ext>
          </c:extLst>
        </c:ser>
        <c:firstSliceAng val="0"/>
        <c:holeSize val="44"/>
      </c:doughnutChart>
    </c:plotArea>
    <c:legend>
      <c:legendPos val="r"/>
      <c:layout>
        <c:manualLayout>
          <c:xMode val="edge"/>
          <c:yMode val="edge"/>
          <c:x val="0.69644586497382543"/>
          <c:y val="0.25276107467423775"/>
          <c:w val="0.21619321601682417"/>
          <c:h val="0.41574940798690752"/>
        </c:manualLayout>
      </c:layout>
    </c:legend>
    <c:plotVisOnly val="1"/>
    <c:dispBlanksAs val="zero"/>
  </c:chart>
  <c:spPr>
    <a:ln>
      <a:noFill/>
    </a:ln>
  </c:spPr>
  <c:txPr>
    <a:bodyPr/>
    <a:lstStyle/>
    <a:p>
      <a:pPr>
        <a:defRPr sz="900">
          <a:latin typeface="Arial" pitchFamily="34" charset="0"/>
          <a:cs typeface="Arial" pitchFamily="34" charset="0"/>
        </a:defRPr>
      </a:pPr>
      <a:endParaRPr lang="cs-CZ"/>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6528851803972262E-2"/>
          <c:y val="1.8243969503812057E-2"/>
          <c:w val="0.93269667410976664"/>
          <c:h val="0.77550587426571815"/>
        </c:manualLayout>
      </c:layout>
      <c:barChart>
        <c:barDir val="col"/>
        <c:grouping val="stacked"/>
        <c:ser>
          <c:idx val="1"/>
          <c:order val="1"/>
          <c:tx>
            <c:strRef>
              <c:f>List8!$D$62</c:f>
              <c:strCache>
                <c:ptCount val="1"/>
                <c:pt idx="0">
                  <c:v> nemoc</c:v>
                </c:pt>
              </c:strCache>
            </c:strRef>
          </c:tx>
          <c:spPr>
            <a:solidFill>
              <a:schemeClr val="accent6">
                <a:lumMod val="60000"/>
                <a:lumOff val="40000"/>
              </a:schemeClr>
            </a:solidFill>
            <a:ln>
              <a:solidFill>
                <a:schemeClr val="accent6">
                  <a:lumMod val="50000"/>
                </a:schemeClr>
              </a:solidFill>
            </a:ln>
          </c:spPr>
          <c:dLbls>
            <c:numFmt formatCode="#,##0" sourceLinked="0"/>
            <c:txPr>
              <a:bodyPr rot="-5400000" vert="horz"/>
              <a:lstStyle/>
              <a:p>
                <a:pPr>
                  <a:defRPr/>
                </a:pPr>
                <a:endParaRPr lang="cs-CZ"/>
              </a:p>
            </c:txPr>
            <c:showVal val="1"/>
          </c:dLbls>
          <c:cat>
            <c:multiLvlStrRef>
              <c:f>List8!$A$63:$B$85</c:f>
              <c:multiLvlStrCache>
                <c:ptCount val="23"/>
                <c:lvl>
                  <c:pt idx="0">
                    <c:v>2006</c:v>
                  </c:pt>
                  <c:pt idx="1">
                    <c:v>2007</c:v>
                  </c:pt>
                  <c:pt idx="2">
                    <c:v>2008</c:v>
                  </c:pt>
                  <c:pt idx="3">
                    <c:v>2009</c:v>
                  </c:pt>
                  <c:pt idx="4">
                    <c:v>2010</c:v>
                  </c:pt>
                  <c:pt idx="5">
                    <c:v>2011</c:v>
                  </c:pt>
                  <c:pt idx="6">
                    <c:v>2012</c:v>
                  </c:pt>
                  <c:pt idx="7">
                    <c:v>2013</c:v>
                  </c:pt>
                  <c:pt idx="8">
                    <c:v>2014</c:v>
                  </c:pt>
                  <c:pt idx="9">
                    <c:v>2015</c:v>
                  </c:pt>
                  <c:pt idx="10">
                    <c:v>2016</c:v>
                  </c:pt>
                  <c:pt idx="12">
                    <c:v>2006</c:v>
                  </c:pt>
                  <c:pt idx="13">
                    <c:v>2007</c:v>
                  </c:pt>
                  <c:pt idx="14">
                    <c:v>2008</c:v>
                  </c:pt>
                  <c:pt idx="15">
                    <c:v>2009</c:v>
                  </c:pt>
                  <c:pt idx="16">
                    <c:v>2010</c:v>
                  </c:pt>
                  <c:pt idx="17">
                    <c:v>2011</c:v>
                  </c:pt>
                  <c:pt idx="18">
                    <c:v>2012</c:v>
                  </c:pt>
                  <c:pt idx="19">
                    <c:v>2013</c:v>
                  </c:pt>
                  <c:pt idx="20">
                    <c:v>2014</c:v>
                  </c:pt>
                  <c:pt idx="21">
                    <c:v>2015</c:v>
                  </c:pt>
                  <c:pt idx="22">
                    <c:v>2016</c:v>
                  </c:pt>
                </c:lvl>
                <c:lvl>
                  <c:pt idx="0">
                    <c:v>muži</c:v>
                  </c:pt>
                  <c:pt idx="12">
                    <c:v>ženy</c:v>
                  </c:pt>
                </c:lvl>
              </c:multiLvlStrCache>
            </c:multiLvlStrRef>
          </c:cat>
          <c:val>
            <c:numRef>
              <c:f>List8!$D$63:$D$85</c:f>
              <c:numCache>
                <c:formatCode>0.0</c:formatCode>
                <c:ptCount val="23"/>
                <c:pt idx="0">
                  <c:v>1209.3</c:v>
                </c:pt>
                <c:pt idx="1">
                  <c:v>1215.5</c:v>
                </c:pt>
                <c:pt idx="2">
                  <c:v>961</c:v>
                </c:pt>
                <c:pt idx="3">
                  <c:v>599.4</c:v>
                </c:pt>
                <c:pt idx="4">
                  <c:v>548.6</c:v>
                </c:pt>
                <c:pt idx="5">
                  <c:v>519.20000000000005</c:v>
                </c:pt>
                <c:pt idx="6">
                  <c:v>485.9</c:v>
                </c:pt>
                <c:pt idx="7">
                  <c:v>528.70000000000005</c:v>
                </c:pt>
                <c:pt idx="8">
                  <c:v>518.5</c:v>
                </c:pt>
                <c:pt idx="9">
                  <c:v>632.6</c:v>
                </c:pt>
                <c:pt idx="10">
                  <c:v>658.2</c:v>
                </c:pt>
                <c:pt idx="12">
                  <c:v>1273</c:v>
                </c:pt>
                <c:pt idx="13">
                  <c:v>1303.4000000000001</c:v>
                </c:pt>
                <c:pt idx="14">
                  <c:v>1076.8</c:v>
                </c:pt>
                <c:pt idx="15">
                  <c:v>706.2</c:v>
                </c:pt>
                <c:pt idx="16">
                  <c:v>639.4</c:v>
                </c:pt>
                <c:pt idx="17">
                  <c:v>625.29999999999995</c:v>
                </c:pt>
                <c:pt idx="18">
                  <c:v>581.4</c:v>
                </c:pt>
                <c:pt idx="19">
                  <c:v>639.4</c:v>
                </c:pt>
                <c:pt idx="20">
                  <c:v>627.79999999999995</c:v>
                </c:pt>
                <c:pt idx="21">
                  <c:v>751.3</c:v>
                </c:pt>
                <c:pt idx="22">
                  <c:v>782.7</c:v>
                </c:pt>
              </c:numCache>
            </c:numRef>
          </c:val>
          <c:extLst xmlns:c16r2="http://schemas.microsoft.com/office/drawing/2015/06/chart">
            <c:ext xmlns:c16="http://schemas.microsoft.com/office/drawing/2014/chart" uri="{C3380CC4-5D6E-409C-BE32-E72D297353CC}">
              <c16:uniqueId val="{00000000-1837-4E29-8D4D-C56674AB87E6}"/>
            </c:ext>
          </c:extLst>
        </c:ser>
        <c:ser>
          <c:idx val="2"/>
          <c:order val="2"/>
          <c:tx>
            <c:strRef>
              <c:f>List8!$E$62</c:f>
              <c:strCache>
                <c:ptCount val="1"/>
                <c:pt idx="0">
                  <c:v> pracovní úraz</c:v>
                </c:pt>
              </c:strCache>
            </c:strRef>
          </c:tx>
          <c:spPr>
            <a:solidFill>
              <a:srgbClr val="FF0000"/>
            </a:solidFill>
            <a:ln>
              <a:solidFill>
                <a:schemeClr val="accent2">
                  <a:lumMod val="50000"/>
                </a:schemeClr>
              </a:solidFill>
            </a:ln>
          </c:spPr>
          <c:cat>
            <c:multiLvlStrRef>
              <c:f>List8!$A$63:$B$85</c:f>
              <c:multiLvlStrCache>
                <c:ptCount val="23"/>
                <c:lvl>
                  <c:pt idx="0">
                    <c:v>2006</c:v>
                  </c:pt>
                  <c:pt idx="1">
                    <c:v>2007</c:v>
                  </c:pt>
                  <c:pt idx="2">
                    <c:v>2008</c:v>
                  </c:pt>
                  <c:pt idx="3">
                    <c:v>2009</c:v>
                  </c:pt>
                  <c:pt idx="4">
                    <c:v>2010</c:v>
                  </c:pt>
                  <c:pt idx="5">
                    <c:v>2011</c:v>
                  </c:pt>
                  <c:pt idx="6">
                    <c:v>2012</c:v>
                  </c:pt>
                  <c:pt idx="7">
                    <c:v>2013</c:v>
                  </c:pt>
                  <c:pt idx="8">
                    <c:v>2014</c:v>
                  </c:pt>
                  <c:pt idx="9">
                    <c:v>2015</c:v>
                  </c:pt>
                  <c:pt idx="10">
                    <c:v>2016</c:v>
                  </c:pt>
                  <c:pt idx="12">
                    <c:v>2006</c:v>
                  </c:pt>
                  <c:pt idx="13">
                    <c:v>2007</c:v>
                  </c:pt>
                  <c:pt idx="14">
                    <c:v>2008</c:v>
                  </c:pt>
                  <c:pt idx="15">
                    <c:v>2009</c:v>
                  </c:pt>
                  <c:pt idx="16">
                    <c:v>2010</c:v>
                  </c:pt>
                  <c:pt idx="17">
                    <c:v>2011</c:v>
                  </c:pt>
                  <c:pt idx="18">
                    <c:v>2012</c:v>
                  </c:pt>
                  <c:pt idx="19">
                    <c:v>2013</c:v>
                  </c:pt>
                  <c:pt idx="20">
                    <c:v>2014</c:v>
                  </c:pt>
                  <c:pt idx="21">
                    <c:v>2015</c:v>
                  </c:pt>
                  <c:pt idx="22">
                    <c:v>2016</c:v>
                  </c:pt>
                </c:lvl>
                <c:lvl>
                  <c:pt idx="0">
                    <c:v>muži</c:v>
                  </c:pt>
                  <c:pt idx="12">
                    <c:v>ženy</c:v>
                  </c:pt>
                </c:lvl>
              </c:multiLvlStrCache>
            </c:multiLvlStrRef>
          </c:cat>
          <c:val>
            <c:numRef>
              <c:f>List8!$E$63:$E$85</c:f>
              <c:numCache>
                <c:formatCode>0.0</c:formatCode>
                <c:ptCount val="23"/>
                <c:pt idx="0">
                  <c:v>61</c:v>
                </c:pt>
                <c:pt idx="1">
                  <c:v>57.3</c:v>
                </c:pt>
                <c:pt idx="2">
                  <c:v>52.3</c:v>
                </c:pt>
                <c:pt idx="3">
                  <c:v>36</c:v>
                </c:pt>
                <c:pt idx="4">
                  <c:v>36.700000000000003</c:v>
                </c:pt>
                <c:pt idx="5">
                  <c:v>33.6</c:v>
                </c:pt>
                <c:pt idx="6">
                  <c:v>31.5</c:v>
                </c:pt>
                <c:pt idx="7">
                  <c:v>30.4</c:v>
                </c:pt>
                <c:pt idx="8">
                  <c:v>31.7</c:v>
                </c:pt>
                <c:pt idx="9">
                  <c:v>31.8</c:v>
                </c:pt>
                <c:pt idx="10">
                  <c:v>33</c:v>
                </c:pt>
                <c:pt idx="12">
                  <c:v>21.3</c:v>
                </c:pt>
                <c:pt idx="13">
                  <c:v>19.899999999999999</c:v>
                </c:pt>
                <c:pt idx="14">
                  <c:v>19</c:v>
                </c:pt>
                <c:pt idx="15">
                  <c:v>14.2</c:v>
                </c:pt>
                <c:pt idx="16">
                  <c:v>15</c:v>
                </c:pt>
                <c:pt idx="17">
                  <c:v>13.5</c:v>
                </c:pt>
                <c:pt idx="18">
                  <c:v>12.7</c:v>
                </c:pt>
                <c:pt idx="19">
                  <c:v>12.5</c:v>
                </c:pt>
                <c:pt idx="20">
                  <c:v>13.3</c:v>
                </c:pt>
                <c:pt idx="21">
                  <c:v>14.5</c:v>
                </c:pt>
                <c:pt idx="22">
                  <c:v>14.8</c:v>
                </c:pt>
              </c:numCache>
            </c:numRef>
          </c:val>
          <c:extLst xmlns:c16r2="http://schemas.microsoft.com/office/drawing/2015/06/chart">
            <c:ext xmlns:c16="http://schemas.microsoft.com/office/drawing/2014/chart" uri="{C3380CC4-5D6E-409C-BE32-E72D297353CC}">
              <c16:uniqueId val="{00000001-1837-4E29-8D4D-C56674AB87E6}"/>
            </c:ext>
          </c:extLst>
        </c:ser>
        <c:ser>
          <c:idx val="3"/>
          <c:order val="3"/>
          <c:tx>
            <c:strRef>
              <c:f>List8!$F$62</c:f>
              <c:strCache>
                <c:ptCount val="1"/>
                <c:pt idx="0">
                  <c:v> ostatní úraz</c:v>
                </c:pt>
              </c:strCache>
            </c:strRef>
          </c:tx>
          <c:spPr>
            <a:solidFill>
              <a:schemeClr val="accent2"/>
            </a:solidFill>
            <a:ln>
              <a:solidFill>
                <a:schemeClr val="accent2">
                  <a:lumMod val="50000"/>
                </a:schemeClr>
              </a:solidFill>
            </a:ln>
          </c:spPr>
          <c:cat>
            <c:multiLvlStrRef>
              <c:f>List8!$A$63:$B$85</c:f>
              <c:multiLvlStrCache>
                <c:ptCount val="23"/>
                <c:lvl>
                  <c:pt idx="0">
                    <c:v>2006</c:v>
                  </c:pt>
                  <c:pt idx="1">
                    <c:v>2007</c:v>
                  </c:pt>
                  <c:pt idx="2">
                    <c:v>2008</c:v>
                  </c:pt>
                  <c:pt idx="3">
                    <c:v>2009</c:v>
                  </c:pt>
                  <c:pt idx="4">
                    <c:v>2010</c:v>
                  </c:pt>
                  <c:pt idx="5">
                    <c:v>2011</c:v>
                  </c:pt>
                  <c:pt idx="6">
                    <c:v>2012</c:v>
                  </c:pt>
                  <c:pt idx="7">
                    <c:v>2013</c:v>
                  </c:pt>
                  <c:pt idx="8">
                    <c:v>2014</c:v>
                  </c:pt>
                  <c:pt idx="9">
                    <c:v>2015</c:v>
                  </c:pt>
                  <c:pt idx="10">
                    <c:v>2016</c:v>
                  </c:pt>
                  <c:pt idx="12">
                    <c:v>2006</c:v>
                  </c:pt>
                  <c:pt idx="13">
                    <c:v>2007</c:v>
                  </c:pt>
                  <c:pt idx="14">
                    <c:v>2008</c:v>
                  </c:pt>
                  <c:pt idx="15">
                    <c:v>2009</c:v>
                  </c:pt>
                  <c:pt idx="16">
                    <c:v>2010</c:v>
                  </c:pt>
                  <c:pt idx="17">
                    <c:v>2011</c:v>
                  </c:pt>
                  <c:pt idx="18">
                    <c:v>2012</c:v>
                  </c:pt>
                  <c:pt idx="19">
                    <c:v>2013</c:v>
                  </c:pt>
                  <c:pt idx="20">
                    <c:v>2014</c:v>
                  </c:pt>
                  <c:pt idx="21">
                    <c:v>2015</c:v>
                  </c:pt>
                  <c:pt idx="22">
                    <c:v>2016</c:v>
                  </c:pt>
                </c:lvl>
                <c:lvl>
                  <c:pt idx="0">
                    <c:v>muži</c:v>
                  </c:pt>
                  <c:pt idx="12">
                    <c:v>ženy</c:v>
                  </c:pt>
                </c:lvl>
              </c:multiLvlStrCache>
            </c:multiLvlStrRef>
          </c:cat>
          <c:val>
            <c:numRef>
              <c:f>List8!$F$63:$F$85</c:f>
              <c:numCache>
                <c:formatCode>0.0</c:formatCode>
                <c:ptCount val="23"/>
                <c:pt idx="0">
                  <c:v>99.6</c:v>
                </c:pt>
                <c:pt idx="1">
                  <c:v>93.4</c:v>
                </c:pt>
                <c:pt idx="2">
                  <c:v>79.3</c:v>
                </c:pt>
                <c:pt idx="3">
                  <c:v>58.9</c:v>
                </c:pt>
                <c:pt idx="4">
                  <c:v>57.4</c:v>
                </c:pt>
                <c:pt idx="5">
                  <c:v>52.3</c:v>
                </c:pt>
                <c:pt idx="6">
                  <c:v>76.400000000000006</c:v>
                </c:pt>
                <c:pt idx="7">
                  <c:v>79.099999999999994</c:v>
                </c:pt>
                <c:pt idx="8">
                  <c:v>81.5</c:v>
                </c:pt>
                <c:pt idx="9">
                  <c:v>87</c:v>
                </c:pt>
                <c:pt idx="10">
                  <c:v>93.2</c:v>
                </c:pt>
                <c:pt idx="12">
                  <c:v>42.6</c:v>
                </c:pt>
                <c:pt idx="13">
                  <c:v>37.1</c:v>
                </c:pt>
                <c:pt idx="14">
                  <c:v>33.300000000000004</c:v>
                </c:pt>
                <c:pt idx="15">
                  <c:v>26.9</c:v>
                </c:pt>
                <c:pt idx="16">
                  <c:v>27.9</c:v>
                </c:pt>
                <c:pt idx="17">
                  <c:v>24.8</c:v>
                </c:pt>
                <c:pt idx="18">
                  <c:v>39.1</c:v>
                </c:pt>
                <c:pt idx="19">
                  <c:v>41.4</c:v>
                </c:pt>
                <c:pt idx="20">
                  <c:v>42</c:v>
                </c:pt>
                <c:pt idx="21">
                  <c:v>46.2</c:v>
                </c:pt>
                <c:pt idx="22">
                  <c:v>51.8</c:v>
                </c:pt>
              </c:numCache>
            </c:numRef>
          </c:val>
          <c:extLst xmlns:c16r2="http://schemas.microsoft.com/office/drawing/2015/06/chart">
            <c:ext xmlns:c16="http://schemas.microsoft.com/office/drawing/2014/chart" uri="{C3380CC4-5D6E-409C-BE32-E72D297353CC}">
              <c16:uniqueId val="{00000002-1837-4E29-8D4D-C56674AB87E6}"/>
            </c:ext>
          </c:extLst>
        </c:ser>
        <c:gapWidth val="26"/>
        <c:overlap val="100"/>
        <c:axId val="134451584"/>
        <c:axId val="134453120"/>
      </c:barChart>
      <c:barChart>
        <c:barDir val="col"/>
        <c:grouping val="stacked"/>
        <c:ser>
          <c:idx val="0"/>
          <c:order val="0"/>
          <c:tx>
            <c:strRef>
              <c:f>List8!$C$62</c:f>
              <c:strCache>
                <c:ptCount val="1"/>
                <c:pt idx="0">
                  <c:v>celkem</c:v>
                </c:pt>
              </c:strCache>
            </c:strRef>
          </c:tx>
          <c:spPr>
            <a:noFill/>
          </c:spPr>
          <c:dLbls>
            <c:dLbl>
              <c:idx val="0"/>
              <c:layout>
                <c:manualLayout>
                  <c:x val="-6.0024009603841539E-3"/>
                  <c:y val="-0.3775183174165313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837-4E29-8D4D-C56674AB87E6}"/>
                </c:ext>
              </c:extLst>
            </c:dLbl>
            <c:dLbl>
              <c:idx val="1"/>
              <c:layout>
                <c:manualLayout>
                  <c:x val="4.0016006402561069E-3"/>
                  <c:y val="-0.3734378546362414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837-4E29-8D4D-C56674AB87E6}"/>
                </c:ext>
              </c:extLst>
            </c:dLbl>
            <c:dLbl>
              <c:idx val="2"/>
              <c:layout>
                <c:manualLayout>
                  <c:x val="1.9900497512438044E-3"/>
                  <c:y val="-0.3098300212473450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837-4E29-8D4D-C56674AB87E6}"/>
                </c:ext>
              </c:extLst>
            </c:dLbl>
            <c:dLbl>
              <c:idx val="3"/>
              <c:layout>
                <c:manualLayout>
                  <c:x val="0"/>
                  <c:y val="-0.202900262467192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837-4E29-8D4D-C56674AB87E6}"/>
                </c:ext>
              </c:extLst>
            </c:dLbl>
            <c:dLbl>
              <c:idx val="4"/>
              <c:layout>
                <c:manualLayout>
                  <c:x val="0"/>
                  <c:y val="-0.19352987126609175"/>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837-4E29-8D4D-C56674AB87E6}"/>
                </c:ext>
              </c:extLst>
            </c:dLbl>
            <c:dLbl>
              <c:idx val="5"/>
              <c:layout>
                <c:manualLayout>
                  <c:x val="0"/>
                  <c:y val="-0.1877784026996628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837-4E29-8D4D-C56674AB87E6}"/>
                </c:ext>
              </c:extLst>
            </c:dLbl>
            <c:dLbl>
              <c:idx val="6"/>
              <c:layout>
                <c:manualLayout>
                  <c:x val="0"/>
                  <c:y val="-0.1848315835520563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837-4E29-8D4D-C56674AB87E6}"/>
                </c:ext>
              </c:extLst>
            </c:dLbl>
            <c:dLbl>
              <c:idx val="7"/>
              <c:layout>
                <c:manualLayout>
                  <c:x val="0"/>
                  <c:y val="-0.188398325209348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837-4E29-8D4D-C56674AB87E6}"/>
                </c:ext>
              </c:extLst>
            </c:dLbl>
            <c:dLbl>
              <c:idx val="8"/>
              <c:layout>
                <c:manualLayout>
                  <c:x val="0"/>
                  <c:y val="-0.1986229846269217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837-4E29-8D4D-C56674AB87E6}"/>
                </c:ext>
              </c:extLst>
            </c:dLbl>
            <c:dLbl>
              <c:idx val="9"/>
              <c:layout>
                <c:manualLayout>
                  <c:x val="-1.9900497512437866E-3"/>
                  <c:y val="-0.2177643419572558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837-4E29-8D4D-C56674AB87E6}"/>
                </c:ext>
              </c:extLst>
            </c:dLbl>
            <c:dLbl>
              <c:idx val="10"/>
              <c:layout>
                <c:manualLayout>
                  <c:x val="0"/>
                  <c:y val="-0.2340504311961010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837-4E29-8D4D-C56674AB87E6}"/>
                </c:ext>
              </c:extLst>
            </c:dLbl>
            <c:dLbl>
              <c:idx val="12"/>
              <c:layout>
                <c:manualLayout>
                  <c:x val="-4.0016006402561069E-3"/>
                  <c:y val="-0.37298217434572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837-4E29-8D4D-C56674AB87E6}"/>
                </c:ext>
              </c:extLst>
            </c:dLbl>
            <c:dLbl>
              <c:idx val="13"/>
              <c:layout>
                <c:manualLayout>
                  <c:x val="0"/>
                  <c:y val="-0.3719384162345564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837-4E29-8D4D-C56674AB87E6}"/>
                </c:ext>
              </c:extLst>
            </c:dLbl>
            <c:dLbl>
              <c:idx val="14"/>
              <c:layout>
                <c:manualLayout>
                  <c:x val="1.9899298301997983E-3"/>
                  <c:y val="-0.3161411503162991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837-4E29-8D4D-C56674AB87E6}"/>
                </c:ext>
              </c:extLst>
            </c:dLbl>
            <c:dLbl>
              <c:idx val="15"/>
              <c:layout>
                <c:manualLayout>
                  <c:x val="0"/>
                  <c:y val="-0.2324481314835650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837-4E29-8D4D-C56674AB87E6}"/>
                </c:ext>
              </c:extLst>
            </c:dLbl>
            <c:dLbl>
              <c:idx val="16"/>
              <c:layout>
                <c:manualLayout>
                  <c:x val="0"/>
                  <c:y val="-0.1997725284339454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837-4E29-8D4D-C56674AB87E6}"/>
                </c:ext>
              </c:extLst>
            </c:dLbl>
            <c:dLbl>
              <c:idx val="17"/>
              <c:layout>
                <c:manualLayout>
                  <c:x val="0"/>
                  <c:y val="-0.1989585676790401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837-4E29-8D4D-C56674AB87E6}"/>
                </c:ext>
              </c:extLst>
            </c:dLbl>
            <c:dLbl>
              <c:idx val="18"/>
              <c:layout>
                <c:manualLayout>
                  <c:x val="0"/>
                  <c:y val="-0.1831377327834024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837-4E29-8D4D-C56674AB87E6}"/>
                </c:ext>
              </c:extLst>
            </c:dLbl>
            <c:dLbl>
              <c:idx val="19"/>
              <c:layout>
                <c:manualLayout>
                  <c:x val="0"/>
                  <c:y val="-0.2026418572678415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837-4E29-8D4D-C56674AB87E6}"/>
                </c:ext>
              </c:extLst>
            </c:dLbl>
            <c:dLbl>
              <c:idx val="20"/>
              <c:layout>
                <c:manualLayout>
                  <c:x val="0"/>
                  <c:y val="-0.2079415073115860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837-4E29-8D4D-C56674AB87E6}"/>
                </c:ext>
              </c:extLst>
            </c:dLbl>
            <c:dLbl>
              <c:idx val="21"/>
              <c:layout>
                <c:manualLayout>
                  <c:x val="0"/>
                  <c:y val="-0.2411851643544556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1837-4E29-8D4D-C56674AB87E6}"/>
                </c:ext>
              </c:extLst>
            </c:dLbl>
            <c:dLbl>
              <c:idx val="22"/>
              <c:layout>
                <c:manualLayout>
                  <c:x val="3.2296383120177243E-5"/>
                  <c:y val="-0.2469362338576860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1837-4E29-8D4D-C56674AB87E6}"/>
                </c:ext>
              </c:extLst>
            </c:dLbl>
            <c:numFmt formatCode="#,##0" sourceLinked="0"/>
            <c:spPr>
              <a:noFill/>
              <a:ln>
                <a:noFill/>
              </a:ln>
              <a:effectLst/>
            </c:spPr>
            <c:txPr>
              <a:bodyPr/>
              <a:lstStyle/>
              <a:p>
                <a:pPr>
                  <a:defRPr b="1"/>
                </a:pPr>
                <a:endParaRPr lang="cs-CZ"/>
              </a:p>
            </c:txPr>
            <c:dLblPos val="inEnd"/>
            <c:showVal val="1"/>
            <c:extLst xmlns:c16r2="http://schemas.microsoft.com/office/drawing/2015/06/chart">
              <c:ext xmlns:c15="http://schemas.microsoft.com/office/drawing/2012/chart" uri="{CE6537A1-D6FC-4f65-9D91-7224C49458BB}">
                <c15:showLeaderLines val="0"/>
              </c:ext>
            </c:extLst>
          </c:dLbls>
          <c:cat>
            <c:multiLvlStrRef>
              <c:f>List8!$A$63:$B$85</c:f>
              <c:multiLvlStrCache>
                <c:ptCount val="23"/>
                <c:lvl>
                  <c:pt idx="0">
                    <c:v>2006</c:v>
                  </c:pt>
                  <c:pt idx="1">
                    <c:v>2007</c:v>
                  </c:pt>
                  <c:pt idx="2">
                    <c:v>2008</c:v>
                  </c:pt>
                  <c:pt idx="3">
                    <c:v>2009</c:v>
                  </c:pt>
                  <c:pt idx="4">
                    <c:v>2010</c:v>
                  </c:pt>
                  <c:pt idx="5">
                    <c:v>2011</c:v>
                  </c:pt>
                  <c:pt idx="6">
                    <c:v>2012</c:v>
                  </c:pt>
                  <c:pt idx="7">
                    <c:v>2013</c:v>
                  </c:pt>
                  <c:pt idx="8">
                    <c:v>2014</c:v>
                  </c:pt>
                  <c:pt idx="9">
                    <c:v>2015</c:v>
                  </c:pt>
                  <c:pt idx="10">
                    <c:v>2016</c:v>
                  </c:pt>
                  <c:pt idx="12">
                    <c:v>2006</c:v>
                  </c:pt>
                  <c:pt idx="13">
                    <c:v>2007</c:v>
                  </c:pt>
                  <c:pt idx="14">
                    <c:v>2008</c:v>
                  </c:pt>
                  <c:pt idx="15">
                    <c:v>2009</c:v>
                  </c:pt>
                  <c:pt idx="16">
                    <c:v>2010</c:v>
                  </c:pt>
                  <c:pt idx="17">
                    <c:v>2011</c:v>
                  </c:pt>
                  <c:pt idx="18">
                    <c:v>2012</c:v>
                  </c:pt>
                  <c:pt idx="19">
                    <c:v>2013</c:v>
                  </c:pt>
                  <c:pt idx="20">
                    <c:v>2014</c:v>
                  </c:pt>
                  <c:pt idx="21">
                    <c:v>2015</c:v>
                  </c:pt>
                  <c:pt idx="22">
                    <c:v>2016</c:v>
                  </c:pt>
                </c:lvl>
                <c:lvl>
                  <c:pt idx="0">
                    <c:v>muži</c:v>
                  </c:pt>
                  <c:pt idx="12">
                    <c:v>ženy</c:v>
                  </c:pt>
                </c:lvl>
              </c:multiLvlStrCache>
            </c:multiLvlStrRef>
          </c:cat>
          <c:val>
            <c:numRef>
              <c:f>List8!$C$63:$C$85</c:f>
              <c:numCache>
                <c:formatCode>0</c:formatCode>
                <c:ptCount val="23"/>
                <c:pt idx="0">
                  <c:v>1369.8</c:v>
                </c:pt>
                <c:pt idx="1">
                  <c:v>1366.2</c:v>
                </c:pt>
                <c:pt idx="2">
                  <c:v>1092.5999999999999</c:v>
                </c:pt>
                <c:pt idx="3">
                  <c:v>694.3</c:v>
                </c:pt>
                <c:pt idx="4">
                  <c:v>642.70000000000005</c:v>
                </c:pt>
                <c:pt idx="5">
                  <c:v>605.1</c:v>
                </c:pt>
                <c:pt idx="6">
                  <c:v>593.70000000000005</c:v>
                </c:pt>
                <c:pt idx="7">
                  <c:v>638.20000000000005</c:v>
                </c:pt>
                <c:pt idx="8">
                  <c:v>631.70000000000005</c:v>
                </c:pt>
                <c:pt idx="9">
                  <c:v>751.8</c:v>
                </c:pt>
                <c:pt idx="10">
                  <c:v>784.1</c:v>
                </c:pt>
                <c:pt idx="12">
                  <c:v>1336.9</c:v>
                </c:pt>
                <c:pt idx="13">
                  <c:v>1360.4</c:v>
                </c:pt>
                <c:pt idx="14">
                  <c:v>1129.2</c:v>
                </c:pt>
                <c:pt idx="15">
                  <c:v>747.2</c:v>
                </c:pt>
                <c:pt idx="16">
                  <c:v>682.2</c:v>
                </c:pt>
                <c:pt idx="17">
                  <c:v>663.7</c:v>
                </c:pt>
                <c:pt idx="18">
                  <c:v>633.20000000000005</c:v>
                </c:pt>
                <c:pt idx="19">
                  <c:v>693.3</c:v>
                </c:pt>
                <c:pt idx="20">
                  <c:v>683.1</c:v>
                </c:pt>
                <c:pt idx="21">
                  <c:v>811.7</c:v>
                </c:pt>
                <c:pt idx="22">
                  <c:v>849.3</c:v>
                </c:pt>
              </c:numCache>
            </c:numRef>
          </c:val>
          <c:extLst xmlns:c16r2="http://schemas.microsoft.com/office/drawing/2015/06/chart">
            <c:ext xmlns:c16="http://schemas.microsoft.com/office/drawing/2014/chart" uri="{C3380CC4-5D6E-409C-BE32-E72D297353CC}">
              <c16:uniqueId val="{00000019-1837-4E29-8D4D-C56674AB87E6}"/>
            </c:ext>
          </c:extLst>
        </c:ser>
        <c:overlap val="100"/>
        <c:axId val="134476928"/>
        <c:axId val="134454656"/>
      </c:barChart>
      <c:catAx>
        <c:axId val="134451584"/>
        <c:scaling>
          <c:orientation val="minMax"/>
        </c:scaling>
        <c:axPos val="b"/>
        <c:numFmt formatCode="General" sourceLinked="0"/>
        <c:majorTickMark val="none"/>
        <c:tickLblPos val="nextTo"/>
        <c:txPr>
          <a:bodyPr/>
          <a:lstStyle/>
          <a:p>
            <a:pPr>
              <a:defRPr sz="800"/>
            </a:pPr>
            <a:endParaRPr lang="cs-CZ"/>
          </a:p>
        </c:txPr>
        <c:crossAx val="134453120"/>
        <c:crosses val="autoZero"/>
        <c:auto val="1"/>
        <c:lblAlgn val="ctr"/>
        <c:lblOffset val="100"/>
      </c:catAx>
      <c:valAx>
        <c:axId val="134453120"/>
        <c:scaling>
          <c:orientation val="minMax"/>
          <c:max val="1500"/>
          <c:min val="0"/>
        </c:scaling>
        <c:axPos val="l"/>
        <c:majorGridlines>
          <c:spPr>
            <a:ln>
              <a:prstDash val="sysDot"/>
            </a:ln>
          </c:spPr>
        </c:majorGridlines>
        <c:numFmt formatCode="#,##0" sourceLinked="0"/>
        <c:tickLblPos val="nextTo"/>
        <c:spPr>
          <a:ln>
            <a:noFill/>
          </a:ln>
        </c:spPr>
        <c:crossAx val="134451584"/>
        <c:crosses val="autoZero"/>
        <c:crossBetween val="between"/>
      </c:valAx>
      <c:valAx>
        <c:axId val="134454656"/>
        <c:scaling>
          <c:orientation val="minMax"/>
          <c:max val="1500"/>
          <c:min val="0"/>
        </c:scaling>
        <c:axPos val="r"/>
        <c:numFmt formatCode="0" sourceLinked="1"/>
        <c:tickLblPos val="nextTo"/>
        <c:spPr>
          <a:ln>
            <a:noFill/>
          </a:ln>
        </c:spPr>
        <c:txPr>
          <a:bodyPr/>
          <a:lstStyle/>
          <a:p>
            <a:pPr>
              <a:defRPr sz="100">
                <a:solidFill>
                  <a:schemeClr val="bg1"/>
                </a:solidFill>
              </a:defRPr>
            </a:pPr>
            <a:endParaRPr lang="cs-CZ"/>
          </a:p>
        </c:txPr>
        <c:crossAx val="134476928"/>
        <c:crosses val="max"/>
        <c:crossBetween val="between"/>
      </c:valAx>
      <c:catAx>
        <c:axId val="134476928"/>
        <c:scaling>
          <c:orientation val="minMax"/>
        </c:scaling>
        <c:delete val="1"/>
        <c:axPos val="b"/>
        <c:numFmt formatCode="General" sourceLinked="1"/>
        <c:tickLblPos val="none"/>
        <c:crossAx val="134454656"/>
        <c:crosses val="autoZero"/>
        <c:auto val="1"/>
        <c:lblAlgn val="ctr"/>
        <c:lblOffset val="100"/>
      </c:catAx>
    </c:plotArea>
    <c:legend>
      <c:legendPos val="b"/>
      <c:legendEntry>
        <c:idx val="3"/>
        <c:delete val="1"/>
      </c:legendEntry>
      <c:layout>
        <c:manualLayout>
          <c:xMode val="edge"/>
          <c:yMode val="edge"/>
          <c:x val="0.3031619853488477"/>
          <c:y val="0.9367082239720036"/>
          <c:w val="0.38969577310298986"/>
          <c:h val="6.3291776027996502E-2"/>
        </c:manualLayout>
      </c:layout>
      <c:txPr>
        <a:bodyPr/>
        <a:lstStyle/>
        <a:p>
          <a:pPr>
            <a:defRPr sz="900"/>
          </a:pPr>
          <a:endParaRPr lang="cs-CZ"/>
        </a:p>
      </c:txPr>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List10!$A$52</c:f>
              <c:strCache>
                <c:ptCount val="1"/>
                <c:pt idx="0">
                  <c:v> nemoc</c:v>
                </c:pt>
              </c:strCache>
            </c:strRef>
          </c:tx>
          <c:spPr>
            <a:solidFill>
              <a:schemeClr val="accent6">
                <a:lumMod val="60000"/>
                <a:lumOff val="40000"/>
              </a:schemeClr>
            </a:solidFill>
            <a:ln>
              <a:solidFill>
                <a:schemeClr val="accent6">
                  <a:lumMod val="50000"/>
                </a:schemeClr>
              </a:solidFill>
            </a:ln>
          </c:spPr>
          <c:cat>
            <c:numRef>
              <c:f>List10!$B$51:$Y$51</c:f>
              <c:numCache>
                <c:formatCode>General</c:formatCode>
                <c:ptCount val="24"/>
                <c:pt idx="0">
                  <c:v>1970</c:v>
                </c:pt>
                <c:pt idx="1">
                  <c:v>1972</c:v>
                </c:pt>
                <c:pt idx="2">
                  <c:v>1974</c:v>
                </c:pt>
                <c:pt idx="3">
                  <c:v>1976</c:v>
                </c:pt>
                <c:pt idx="4">
                  <c:v>1978</c:v>
                </c:pt>
                <c:pt idx="5">
                  <c:v>1980</c:v>
                </c:pt>
                <c:pt idx="6">
                  <c:v>1982</c:v>
                </c:pt>
                <c:pt idx="7">
                  <c:v>1984</c:v>
                </c:pt>
                <c:pt idx="8">
                  <c:v>1986</c:v>
                </c:pt>
                <c:pt idx="9">
                  <c:v>1988</c:v>
                </c:pt>
                <c:pt idx="10">
                  <c:v>1990</c:v>
                </c:pt>
                <c:pt idx="11">
                  <c:v>1992</c:v>
                </c:pt>
                <c:pt idx="12">
                  <c:v>1994</c:v>
                </c:pt>
                <c:pt idx="13">
                  <c:v>1996</c:v>
                </c:pt>
                <c:pt idx="14">
                  <c:v>1998</c:v>
                </c:pt>
                <c:pt idx="15">
                  <c:v>2000</c:v>
                </c:pt>
                <c:pt idx="16">
                  <c:v>2002</c:v>
                </c:pt>
                <c:pt idx="17">
                  <c:v>2004</c:v>
                </c:pt>
                <c:pt idx="18">
                  <c:v>2006</c:v>
                </c:pt>
                <c:pt idx="19">
                  <c:v>2008</c:v>
                </c:pt>
                <c:pt idx="20">
                  <c:v>2010</c:v>
                </c:pt>
                <c:pt idx="21">
                  <c:v>2012</c:v>
                </c:pt>
                <c:pt idx="22">
                  <c:v>2014</c:v>
                </c:pt>
                <c:pt idx="23">
                  <c:v>2016</c:v>
                </c:pt>
              </c:numCache>
            </c:numRef>
          </c:cat>
          <c:val>
            <c:numRef>
              <c:f>List10!$B$52:$Y$52</c:f>
              <c:numCache>
                <c:formatCode>0.00</c:formatCode>
                <c:ptCount val="24"/>
                <c:pt idx="0">
                  <c:v>101.6</c:v>
                </c:pt>
                <c:pt idx="1">
                  <c:v>76.5</c:v>
                </c:pt>
                <c:pt idx="2">
                  <c:v>84.85</c:v>
                </c:pt>
                <c:pt idx="3">
                  <c:v>81.349999999999994</c:v>
                </c:pt>
                <c:pt idx="4">
                  <c:v>79.52</c:v>
                </c:pt>
                <c:pt idx="5">
                  <c:v>88.990000000000023</c:v>
                </c:pt>
                <c:pt idx="6">
                  <c:v>81.319999999999993</c:v>
                </c:pt>
                <c:pt idx="7">
                  <c:v>86.31</c:v>
                </c:pt>
                <c:pt idx="8">
                  <c:v>95.86999999999999</c:v>
                </c:pt>
                <c:pt idx="9">
                  <c:v>83.26</c:v>
                </c:pt>
                <c:pt idx="10">
                  <c:v>83.710000000000022</c:v>
                </c:pt>
                <c:pt idx="11">
                  <c:v>77.290000000000006</c:v>
                </c:pt>
                <c:pt idx="12">
                  <c:v>79.23</c:v>
                </c:pt>
                <c:pt idx="13">
                  <c:v>79.940000000000026</c:v>
                </c:pt>
                <c:pt idx="14">
                  <c:v>73.64</c:v>
                </c:pt>
                <c:pt idx="15">
                  <c:v>78.64</c:v>
                </c:pt>
                <c:pt idx="16">
                  <c:v>74.63</c:v>
                </c:pt>
                <c:pt idx="17">
                  <c:v>56.67</c:v>
                </c:pt>
                <c:pt idx="18">
                  <c:v>55.2</c:v>
                </c:pt>
                <c:pt idx="19" formatCode="General">
                  <c:v>44.57</c:v>
                </c:pt>
                <c:pt idx="20">
                  <c:v>27.6</c:v>
                </c:pt>
                <c:pt idx="21">
                  <c:v>23.87</c:v>
                </c:pt>
                <c:pt idx="22">
                  <c:v>25.68</c:v>
                </c:pt>
                <c:pt idx="23">
                  <c:v>31.52</c:v>
                </c:pt>
              </c:numCache>
            </c:numRef>
          </c:val>
        </c:ser>
        <c:gapWidth val="26"/>
        <c:overlap val="86"/>
        <c:axId val="134519040"/>
        <c:axId val="134529024"/>
      </c:barChart>
      <c:barChart>
        <c:barDir val="col"/>
        <c:grouping val="clustered"/>
        <c:ser>
          <c:idx val="1"/>
          <c:order val="1"/>
          <c:tx>
            <c:strRef>
              <c:f>List10!$A$53</c:f>
              <c:strCache>
                <c:ptCount val="1"/>
                <c:pt idx="0">
                  <c:v> pracovní úrazy</c:v>
                </c:pt>
              </c:strCache>
            </c:strRef>
          </c:tx>
          <c:spPr>
            <a:solidFill>
              <a:srgbClr val="FF0000"/>
            </a:solidFill>
            <a:ln>
              <a:solidFill>
                <a:srgbClr val="C00000"/>
              </a:solidFill>
            </a:ln>
          </c:spPr>
          <c:cat>
            <c:numRef>
              <c:f>List10!$B$51:$Y$51</c:f>
              <c:numCache>
                <c:formatCode>General</c:formatCode>
                <c:ptCount val="24"/>
                <c:pt idx="0">
                  <c:v>1970</c:v>
                </c:pt>
                <c:pt idx="1">
                  <c:v>1972</c:v>
                </c:pt>
                <c:pt idx="2">
                  <c:v>1974</c:v>
                </c:pt>
                <c:pt idx="3">
                  <c:v>1976</c:v>
                </c:pt>
                <c:pt idx="4">
                  <c:v>1978</c:v>
                </c:pt>
                <c:pt idx="5">
                  <c:v>1980</c:v>
                </c:pt>
                <c:pt idx="6">
                  <c:v>1982</c:v>
                </c:pt>
                <c:pt idx="7">
                  <c:v>1984</c:v>
                </c:pt>
                <c:pt idx="8">
                  <c:v>1986</c:v>
                </c:pt>
                <c:pt idx="9">
                  <c:v>1988</c:v>
                </c:pt>
                <c:pt idx="10">
                  <c:v>1990</c:v>
                </c:pt>
                <c:pt idx="11">
                  <c:v>1992</c:v>
                </c:pt>
                <c:pt idx="12">
                  <c:v>1994</c:v>
                </c:pt>
                <c:pt idx="13">
                  <c:v>1996</c:v>
                </c:pt>
                <c:pt idx="14">
                  <c:v>1998</c:v>
                </c:pt>
                <c:pt idx="15">
                  <c:v>2000</c:v>
                </c:pt>
                <c:pt idx="16">
                  <c:v>2002</c:v>
                </c:pt>
                <c:pt idx="17">
                  <c:v>2004</c:v>
                </c:pt>
                <c:pt idx="18">
                  <c:v>2006</c:v>
                </c:pt>
                <c:pt idx="19">
                  <c:v>2008</c:v>
                </c:pt>
                <c:pt idx="20">
                  <c:v>2010</c:v>
                </c:pt>
                <c:pt idx="21">
                  <c:v>2012</c:v>
                </c:pt>
                <c:pt idx="22">
                  <c:v>2014</c:v>
                </c:pt>
                <c:pt idx="23">
                  <c:v>2016</c:v>
                </c:pt>
              </c:numCache>
            </c:numRef>
          </c:cat>
          <c:val>
            <c:numRef>
              <c:f>List10!$B$53:$Y$53</c:f>
              <c:numCache>
                <c:formatCode>0.00</c:formatCode>
                <c:ptCount val="24"/>
                <c:pt idx="0">
                  <c:v>5.13</c:v>
                </c:pt>
                <c:pt idx="1">
                  <c:v>4.41</c:v>
                </c:pt>
                <c:pt idx="2">
                  <c:v>3.88</c:v>
                </c:pt>
                <c:pt idx="3">
                  <c:v>3.56</c:v>
                </c:pt>
                <c:pt idx="4">
                  <c:v>3.18</c:v>
                </c:pt>
                <c:pt idx="5">
                  <c:v>2.88</c:v>
                </c:pt>
                <c:pt idx="6">
                  <c:v>2.7600000000000002</c:v>
                </c:pt>
                <c:pt idx="7">
                  <c:v>2.59</c:v>
                </c:pt>
                <c:pt idx="8">
                  <c:v>2.63</c:v>
                </c:pt>
                <c:pt idx="9">
                  <c:v>2.5499999999999998</c:v>
                </c:pt>
                <c:pt idx="10">
                  <c:v>2.79</c:v>
                </c:pt>
                <c:pt idx="11">
                  <c:v>2.59</c:v>
                </c:pt>
                <c:pt idx="12">
                  <c:v>2.19</c:v>
                </c:pt>
                <c:pt idx="13">
                  <c:v>2.27</c:v>
                </c:pt>
                <c:pt idx="14">
                  <c:v>2.2400000000000002</c:v>
                </c:pt>
                <c:pt idx="15">
                  <c:v>2.06</c:v>
                </c:pt>
                <c:pt idx="16">
                  <c:v>2.0299999999999998</c:v>
                </c:pt>
                <c:pt idx="17">
                  <c:v>1.86</c:v>
                </c:pt>
                <c:pt idx="18">
                  <c:v>1.83</c:v>
                </c:pt>
                <c:pt idx="19" formatCode="General">
                  <c:v>1.56</c:v>
                </c:pt>
                <c:pt idx="20">
                  <c:v>1.2</c:v>
                </c:pt>
                <c:pt idx="21">
                  <c:v>0.99</c:v>
                </c:pt>
                <c:pt idx="22">
                  <c:v>1.01</c:v>
                </c:pt>
                <c:pt idx="23">
                  <c:v>1.04</c:v>
                </c:pt>
              </c:numCache>
            </c:numRef>
          </c:val>
        </c:ser>
        <c:ser>
          <c:idx val="2"/>
          <c:order val="2"/>
          <c:tx>
            <c:strRef>
              <c:f>List10!$A$54</c:f>
              <c:strCache>
                <c:ptCount val="1"/>
                <c:pt idx="0">
                  <c:v> ostatní úrazy</c:v>
                </c:pt>
              </c:strCache>
            </c:strRef>
          </c:tx>
          <c:spPr>
            <a:solidFill>
              <a:schemeClr val="accent2"/>
            </a:solidFill>
            <a:ln>
              <a:solidFill>
                <a:schemeClr val="accent2">
                  <a:lumMod val="50000"/>
                </a:schemeClr>
              </a:solidFill>
            </a:ln>
          </c:spPr>
          <c:cat>
            <c:numRef>
              <c:f>List10!$B$51:$Y$51</c:f>
              <c:numCache>
                <c:formatCode>General</c:formatCode>
                <c:ptCount val="24"/>
                <c:pt idx="0">
                  <c:v>1970</c:v>
                </c:pt>
                <c:pt idx="1">
                  <c:v>1972</c:v>
                </c:pt>
                <c:pt idx="2">
                  <c:v>1974</c:v>
                </c:pt>
                <c:pt idx="3">
                  <c:v>1976</c:v>
                </c:pt>
                <c:pt idx="4">
                  <c:v>1978</c:v>
                </c:pt>
                <c:pt idx="5">
                  <c:v>1980</c:v>
                </c:pt>
                <c:pt idx="6">
                  <c:v>1982</c:v>
                </c:pt>
                <c:pt idx="7">
                  <c:v>1984</c:v>
                </c:pt>
                <c:pt idx="8">
                  <c:v>1986</c:v>
                </c:pt>
                <c:pt idx="9">
                  <c:v>1988</c:v>
                </c:pt>
                <c:pt idx="10">
                  <c:v>1990</c:v>
                </c:pt>
                <c:pt idx="11">
                  <c:v>1992</c:v>
                </c:pt>
                <c:pt idx="12">
                  <c:v>1994</c:v>
                </c:pt>
                <c:pt idx="13">
                  <c:v>1996</c:v>
                </c:pt>
                <c:pt idx="14">
                  <c:v>1998</c:v>
                </c:pt>
                <c:pt idx="15">
                  <c:v>2000</c:v>
                </c:pt>
                <c:pt idx="16">
                  <c:v>2002</c:v>
                </c:pt>
                <c:pt idx="17">
                  <c:v>2004</c:v>
                </c:pt>
                <c:pt idx="18">
                  <c:v>2006</c:v>
                </c:pt>
                <c:pt idx="19">
                  <c:v>2008</c:v>
                </c:pt>
                <c:pt idx="20">
                  <c:v>2010</c:v>
                </c:pt>
                <c:pt idx="21">
                  <c:v>2012</c:v>
                </c:pt>
                <c:pt idx="22">
                  <c:v>2014</c:v>
                </c:pt>
                <c:pt idx="23">
                  <c:v>2016</c:v>
                </c:pt>
              </c:numCache>
            </c:numRef>
          </c:cat>
          <c:val>
            <c:numRef>
              <c:f>List10!$B$54:$Y$54</c:f>
              <c:numCache>
                <c:formatCode>0.00</c:formatCode>
                <c:ptCount val="24"/>
                <c:pt idx="0">
                  <c:v>7.21</c:v>
                </c:pt>
                <c:pt idx="1">
                  <c:v>7.49</c:v>
                </c:pt>
                <c:pt idx="2">
                  <c:v>7.6599999999999975</c:v>
                </c:pt>
                <c:pt idx="3">
                  <c:v>7.6899999999999995</c:v>
                </c:pt>
                <c:pt idx="4">
                  <c:v>7.6</c:v>
                </c:pt>
                <c:pt idx="5">
                  <c:v>7.53</c:v>
                </c:pt>
                <c:pt idx="6">
                  <c:v>7.98</c:v>
                </c:pt>
                <c:pt idx="7">
                  <c:v>8.17</c:v>
                </c:pt>
                <c:pt idx="8">
                  <c:v>8.5300000000000011</c:v>
                </c:pt>
                <c:pt idx="9">
                  <c:v>8.7100000000000009</c:v>
                </c:pt>
                <c:pt idx="10">
                  <c:v>8.7900000000000009</c:v>
                </c:pt>
                <c:pt idx="11">
                  <c:v>7.5</c:v>
                </c:pt>
                <c:pt idx="12">
                  <c:v>3.71</c:v>
                </c:pt>
                <c:pt idx="13">
                  <c:v>3.63</c:v>
                </c:pt>
                <c:pt idx="14">
                  <c:v>3.3499999999999988</c:v>
                </c:pt>
                <c:pt idx="15">
                  <c:v>3.69</c:v>
                </c:pt>
                <c:pt idx="16">
                  <c:v>3.7</c:v>
                </c:pt>
                <c:pt idx="17">
                  <c:v>3.11</c:v>
                </c:pt>
                <c:pt idx="18">
                  <c:v>3.16</c:v>
                </c:pt>
                <c:pt idx="19" formatCode="General">
                  <c:v>2.46</c:v>
                </c:pt>
                <c:pt idx="20">
                  <c:v>1.8999999999999972</c:v>
                </c:pt>
                <c:pt idx="21">
                  <c:v>2.5399999999999987</c:v>
                </c:pt>
                <c:pt idx="22">
                  <c:v>2.8099999999999987</c:v>
                </c:pt>
                <c:pt idx="23">
                  <c:v>3.1400000000000006</c:v>
                </c:pt>
              </c:numCache>
            </c:numRef>
          </c:val>
        </c:ser>
        <c:gapWidth val="0"/>
        <c:axId val="134532096"/>
        <c:axId val="134530560"/>
      </c:barChart>
      <c:lineChart>
        <c:grouping val="standard"/>
        <c:ser>
          <c:idx val="3"/>
          <c:order val="3"/>
          <c:tx>
            <c:strRef>
              <c:f>List10!$A$55</c:f>
              <c:strCache>
                <c:ptCount val="1"/>
                <c:pt idx="0">
                  <c:v> celkem</c:v>
                </c:pt>
              </c:strCache>
            </c:strRef>
          </c:tx>
          <c:spPr>
            <a:ln w="38100">
              <a:solidFill>
                <a:schemeClr val="accent5"/>
              </a:solidFill>
            </a:ln>
          </c:spPr>
          <c:marker>
            <c:symbol val="none"/>
          </c:marker>
          <c:cat>
            <c:numRef>
              <c:f>List10!$B$51:$Y$51</c:f>
              <c:numCache>
                <c:formatCode>General</c:formatCode>
                <c:ptCount val="24"/>
                <c:pt idx="0">
                  <c:v>1970</c:v>
                </c:pt>
                <c:pt idx="1">
                  <c:v>1972</c:v>
                </c:pt>
                <c:pt idx="2">
                  <c:v>1974</c:v>
                </c:pt>
                <c:pt idx="3">
                  <c:v>1976</c:v>
                </c:pt>
                <c:pt idx="4">
                  <c:v>1978</c:v>
                </c:pt>
                <c:pt idx="5">
                  <c:v>1980</c:v>
                </c:pt>
                <c:pt idx="6">
                  <c:v>1982</c:v>
                </c:pt>
                <c:pt idx="7">
                  <c:v>1984</c:v>
                </c:pt>
                <c:pt idx="8">
                  <c:v>1986</c:v>
                </c:pt>
                <c:pt idx="9">
                  <c:v>1988</c:v>
                </c:pt>
                <c:pt idx="10">
                  <c:v>1990</c:v>
                </c:pt>
                <c:pt idx="11">
                  <c:v>1992</c:v>
                </c:pt>
                <c:pt idx="12">
                  <c:v>1994</c:v>
                </c:pt>
                <c:pt idx="13">
                  <c:v>1996</c:v>
                </c:pt>
                <c:pt idx="14">
                  <c:v>1998</c:v>
                </c:pt>
                <c:pt idx="15">
                  <c:v>2000</c:v>
                </c:pt>
                <c:pt idx="16">
                  <c:v>2002</c:v>
                </c:pt>
                <c:pt idx="17">
                  <c:v>2004</c:v>
                </c:pt>
                <c:pt idx="18">
                  <c:v>2006</c:v>
                </c:pt>
                <c:pt idx="19">
                  <c:v>2008</c:v>
                </c:pt>
                <c:pt idx="20">
                  <c:v>2010</c:v>
                </c:pt>
                <c:pt idx="21">
                  <c:v>2012</c:v>
                </c:pt>
                <c:pt idx="22">
                  <c:v>2014</c:v>
                </c:pt>
                <c:pt idx="23">
                  <c:v>2016</c:v>
                </c:pt>
              </c:numCache>
            </c:numRef>
          </c:cat>
          <c:val>
            <c:numRef>
              <c:f>List10!$B$55:$Y$55</c:f>
              <c:numCache>
                <c:formatCode>0.00</c:formatCode>
                <c:ptCount val="24"/>
                <c:pt idx="0">
                  <c:v>113.94000000000007</c:v>
                </c:pt>
                <c:pt idx="1">
                  <c:v>88.4</c:v>
                </c:pt>
                <c:pt idx="2">
                  <c:v>96.39</c:v>
                </c:pt>
                <c:pt idx="3">
                  <c:v>92.6</c:v>
                </c:pt>
                <c:pt idx="4">
                  <c:v>90.3</c:v>
                </c:pt>
                <c:pt idx="5">
                  <c:v>99.4</c:v>
                </c:pt>
                <c:pt idx="6">
                  <c:v>92.06</c:v>
                </c:pt>
                <c:pt idx="7">
                  <c:v>97.07</c:v>
                </c:pt>
                <c:pt idx="8">
                  <c:v>107.03</c:v>
                </c:pt>
                <c:pt idx="9">
                  <c:v>94.52</c:v>
                </c:pt>
                <c:pt idx="10">
                  <c:v>95.3</c:v>
                </c:pt>
                <c:pt idx="11">
                  <c:v>87.36999999999999</c:v>
                </c:pt>
                <c:pt idx="12">
                  <c:v>85.13</c:v>
                </c:pt>
                <c:pt idx="13">
                  <c:v>85.83</c:v>
                </c:pt>
                <c:pt idx="14">
                  <c:v>79.23</c:v>
                </c:pt>
                <c:pt idx="15">
                  <c:v>84.39</c:v>
                </c:pt>
                <c:pt idx="16">
                  <c:v>80.36999999999999</c:v>
                </c:pt>
                <c:pt idx="17">
                  <c:v>61.64</c:v>
                </c:pt>
                <c:pt idx="18">
                  <c:v>60.190000000000012</c:v>
                </c:pt>
                <c:pt idx="19" formatCode="General">
                  <c:v>48.59</c:v>
                </c:pt>
                <c:pt idx="20">
                  <c:v>30.7</c:v>
                </c:pt>
                <c:pt idx="21">
                  <c:v>27.4</c:v>
                </c:pt>
                <c:pt idx="22">
                  <c:v>29.5</c:v>
                </c:pt>
                <c:pt idx="23">
                  <c:v>35.700000000000003</c:v>
                </c:pt>
              </c:numCache>
            </c:numRef>
          </c:val>
        </c:ser>
        <c:marker val="1"/>
        <c:axId val="134519040"/>
        <c:axId val="134529024"/>
      </c:lineChart>
      <c:catAx>
        <c:axId val="134519040"/>
        <c:scaling>
          <c:orientation val="minMax"/>
        </c:scaling>
        <c:axPos val="b"/>
        <c:numFmt formatCode="General" sourceLinked="1"/>
        <c:tickLblPos val="nextTo"/>
        <c:txPr>
          <a:bodyPr/>
          <a:lstStyle/>
          <a:p>
            <a:pPr>
              <a:defRPr sz="730"/>
            </a:pPr>
            <a:endParaRPr lang="cs-CZ"/>
          </a:p>
        </c:txPr>
        <c:crossAx val="134529024"/>
        <c:crosses val="autoZero"/>
        <c:auto val="1"/>
        <c:lblAlgn val="ctr"/>
        <c:lblOffset val="100"/>
      </c:catAx>
      <c:valAx>
        <c:axId val="134529024"/>
        <c:scaling>
          <c:orientation val="minMax"/>
        </c:scaling>
        <c:axPos val="l"/>
        <c:majorGridlines>
          <c:spPr>
            <a:ln>
              <a:prstDash val="sysDot"/>
            </a:ln>
          </c:spPr>
        </c:majorGridlines>
        <c:numFmt formatCode="0" sourceLinked="0"/>
        <c:tickLblPos val="nextTo"/>
        <c:spPr>
          <a:ln>
            <a:noFill/>
          </a:ln>
        </c:spPr>
        <c:crossAx val="134519040"/>
        <c:crosses val="autoZero"/>
        <c:crossBetween val="between"/>
      </c:valAx>
      <c:valAx>
        <c:axId val="134530560"/>
        <c:scaling>
          <c:orientation val="minMax"/>
          <c:max val="120"/>
          <c:min val="0"/>
        </c:scaling>
        <c:axPos val="r"/>
        <c:numFmt formatCode="0.00" sourceLinked="1"/>
        <c:tickLblPos val="nextTo"/>
        <c:spPr>
          <a:ln>
            <a:noFill/>
          </a:ln>
        </c:spPr>
        <c:txPr>
          <a:bodyPr/>
          <a:lstStyle/>
          <a:p>
            <a:pPr>
              <a:defRPr sz="100">
                <a:solidFill>
                  <a:schemeClr val="bg1"/>
                </a:solidFill>
              </a:defRPr>
            </a:pPr>
            <a:endParaRPr lang="cs-CZ"/>
          </a:p>
        </c:txPr>
        <c:crossAx val="134532096"/>
        <c:crosses val="max"/>
        <c:crossBetween val="between"/>
      </c:valAx>
      <c:catAx>
        <c:axId val="134532096"/>
        <c:scaling>
          <c:orientation val="minMax"/>
        </c:scaling>
        <c:delete val="1"/>
        <c:axPos val="b"/>
        <c:numFmt formatCode="General" sourceLinked="1"/>
        <c:tickLblPos val="none"/>
        <c:crossAx val="134530560"/>
        <c:crosses val="autoZero"/>
        <c:auto val="1"/>
        <c:lblAlgn val="ctr"/>
        <c:lblOffset val="100"/>
      </c:catAx>
    </c:plotArea>
    <c:legend>
      <c:legendPos val="b"/>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8614202554289653E-2"/>
          <c:y val="1.2691457046130143E-2"/>
          <c:w val="0.8726226190999895"/>
          <c:h val="0.5351248485243697"/>
        </c:manualLayout>
      </c:layout>
      <c:barChart>
        <c:barDir val="col"/>
        <c:grouping val="stacked"/>
        <c:ser>
          <c:idx val="0"/>
          <c:order val="0"/>
          <c:tx>
            <c:strRef>
              <c:f>List4!$B$28</c:f>
              <c:strCache>
                <c:ptCount val="1"/>
                <c:pt idx="0">
                  <c:v> případy DPN na 100 poj. - nemoc</c:v>
                </c:pt>
              </c:strCache>
            </c:strRef>
          </c:tx>
          <c:spPr>
            <a:solidFill>
              <a:schemeClr val="accent6">
                <a:lumMod val="60000"/>
                <a:lumOff val="40000"/>
              </a:schemeClr>
            </a:solidFill>
            <a:ln>
              <a:solidFill>
                <a:schemeClr val="accent6">
                  <a:lumMod val="50000"/>
                </a:schemeClr>
              </a:solidFill>
            </a:ln>
          </c:spPr>
          <c:cat>
            <c:strRef>
              <c:f>List4!$A$29:$A$48</c:f>
              <c:strCache>
                <c:ptCount val="20"/>
                <c:pt idx="0">
                  <c:v>Celkem</c:v>
                </c:pt>
                <c:pt idx="1">
                  <c:v>A - Zeměd., les., rybářství</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List4!$B$29:$B$48</c:f>
              <c:numCache>
                <c:formatCode>0.0</c:formatCode>
                <c:ptCount val="20"/>
                <c:pt idx="0">
                  <c:v>31.521328864000001</c:v>
                </c:pt>
                <c:pt idx="1">
                  <c:v>25.2484837656</c:v>
                </c:pt>
                <c:pt idx="2">
                  <c:v>33.69450839990013</c:v>
                </c:pt>
                <c:pt idx="3">
                  <c:v>40.785111886500189</c:v>
                </c:pt>
                <c:pt idx="4">
                  <c:v>20.822569877999886</c:v>
                </c:pt>
                <c:pt idx="5">
                  <c:v>30.560708087099989</c:v>
                </c:pt>
                <c:pt idx="6">
                  <c:v>25.874358319400091</c:v>
                </c:pt>
                <c:pt idx="7">
                  <c:v>29.983059229399924</c:v>
                </c:pt>
                <c:pt idx="8">
                  <c:v>28.813488732700005</c:v>
                </c:pt>
                <c:pt idx="9">
                  <c:v>24.3014595458</c:v>
                </c:pt>
                <c:pt idx="10">
                  <c:v>22.4381980414</c:v>
                </c:pt>
                <c:pt idx="11">
                  <c:v>26.265961966700001</c:v>
                </c:pt>
                <c:pt idx="12">
                  <c:v>14.616693678700004</c:v>
                </c:pt>
                <c:pt idx="13">
                  <c:v>19.485525932499897</c:v>
                </c:pt>
                <c:pt idx="14">
                  <c:v>44.615256849600001</c:v>
                </c:pt>
                <c:pt idx="15">
                  <c:v>28.327015875899999</c:v>
                </c:pt>
                <c:pt idx="16">
                  <c:v>28.373857794400099</c:v>
                </c:pt>
                <c:pt idx="17">
                  <c:v>27.439131378599942</c:v>
                </c:pt>
                <c:pt idx="18">
                  <c:v>22.079434987799942</c:v>
                </c:pt>
                <c:pt idx="19">
                  <c:v>25.900670751100002</c:v>
                </c:pt>
              </c:numCache>
            </c:numRef>
          </c:val>
          <c:extLst xmlns:c16r2="http://schemas.microsoft.com/office/drawing/2015/06/chart">
            <c:ext xmlns:c16="http://schemas.microsoft.com/office/drawing/2014/chart" uri="{C3380CC4-5D6E-409C-BE32-E72D297353CC}">
              <c16:uniqueId val="{00000000-F2B2-4A14-A2DD-929949BF78D9}"/>
            </c:ext>
          </c:extLst>
        </c:ser>
        <c:ser>
          <c:idx val="1"/>
          <c:order val="1"/>
          <c:tx>
            <c:strRef>
              <c:f>List4!$C$28</c:f>
              <c:strCache>
                <c:ptCount val="1"/>
                <c:pt idx="0">
                  <c:v> případy DPN na 100 poj. - pracovní úraz</c:v>
                </c:pt>
              </c:strCache>
            </c:strRef>
          </c:tx>
          <c:spPr>
            <a:solidFill>
              <a:srgbClr val="FF0000"/>
            </a:solidFill>
            <a:ln>
              <a:solidFill>
                <a:schemeClr val="accent2">
                  <a:lumMod val="50000"/>
                </a:schemeClr>
              </a:solidFill>
            </a:ln>
          </c:spPr>
          <c:cat>
            <c:strRef>
              <c:f>List4!$A$29:$A$48</c:f>
              <c:strCache>
                <c:ptCount val="20"/>
                <c:pt idx="0">
                  <c:v>Celkem</c:v>
                </c:pt>
                <c:pt idx="1">
                  <c:v>A - Zeměd., les., rybářství</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List4!$C$29:$C$48</c:f>
              <c:numCache>
                <c:formatCode>0.0</c:formatCode>
                <c:ptCount val="20"/>
                <c:pt idx="0">
                  <c:v>1.0364437007</c:v>
                </c:pt>
                <c:pt idx="1">
                  <c:v>2.3574103929999999</c:v>
                </c:pt>
                <c:pt idx="2">
                  <c:v>1.5913878410000035</c:v>
                </c:pt>
                <c:pt idx="3">
                  <c:v>1.7174506550999928</c:v>
                </c:pt>
                <c:pt idx="4">
                  <c:v>0.41632894790000202</c:v>
                </c:pt>
                <c:pt idx="5">
                  <c:v>1.6900574399000099</c:v>
                </c:pt>
                <c:pt idx="6">
                  <c:v>1.2719889976999956</c:v>
                </c:pt>
                <c:pt idx="7">
                  <c:v>0.85173826480000003</c:v>
                </c:pt>
                <c:pt idx="8">
                  <c:v>1.4986736608</c:v>
                </c:pt>
                <c:pt idx="9">
                  <c:v>0.69837658049999951</c:v>
                </c:pt>
                <c:pt idx="10">
                  <c:v>0.1175156655</c:v>
                </c:pt>
                <c:pt idx="11">
                  <c:v>0.10557573020000033</c:v>
                </c:pt>
                <c:pt idx="12">
                  <c:v>0.34233461390000136</c:v>
                </c:pt>
                <c:pt idx="13">
                  <c:v>0.21427673770000041</c:v>
                </c:pt>
                <c:pt idx="14">
                  <c:v>1.0355586446</c:v>
                </c:pt>
                <c:pt idx="15">
                  <c:v>0.41750639070000101</c:v>
                </c:pt>
                <c:pt idx="16">
                  <c:v>0.39109666460000136</c:v>
                </c:pt>
                <c:pt idx="17">
                  <c:v>0.62348626210000002</c:v>
                </c:pt>
                <c:pt idx="18">
                  <c:v>0.54816854499999956</c:v>
                </c:pt>
                <c:pt idx="19">
                  <c:v>0.3358854099000026</c:v>
                </c:pt>
              </c:numCache>
            </c:numRef>
          </c:val>
          <c:extLst xmlns:c16r2="http://schemas.microsoft.com/office/drawing/2015/06/chart">
            <c:ext xmlns:c16="http://schemas.microsoft.com/office/drawing/2014/chart" uri="{C3380CC4-5D6E-409C-BE32-E72D297353CC}">
              <c16:uniqueId val="{00000001-F2B2-4A14-A2DD-929949BF78D9}"/>
            </c:ext>
          </c:extLst>
        </c:ser>
        <c:ser>
          <c:idx val="2"/>
          <c:order val="2"/>
          <c:tx>
            <c:strRef>
              <c:f>List4!$D$28</c:f>
              <c:strCache>
                <c:ptCount val="1"/>
                <c:pt idx="0">
                  <c:v> případy DPN na 100 poj. - ostatní úraz</c:v>
                </c:pt>
              </c:strCache>
            </c:strRef>
          </c:tx>
          <c:spPr>
            <a:solidFill>
              <a:schemeClr val="accent2"/>
            </a:solidFill>
            <a:ln>
              <a:solidFill>
                <a:schemeClr val="accent2">
                  <a:lumMod val="50000"/>
                </a:schemeClr>
              </a:solidFill>
            </a:ln>
          </c:spPr>
          <c:cat>
            <c:strRef>
              <c:f>List4!$A$29:$A$48</c:f>
              <c:strCache>
                <c:ptCount val="20"/>
                <c:pt idx="0">
                  <c:v>Celkem</c:v>
                </c:pt>
                <c:pt idx="1">
                  <c:v>A - Zeměd., les., rybářství</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cat>
          <c:val>
            <c:numRef>
              <c:f>List4!$D$29:$D$48</c:f>
              <c:numCache>
                <c:formatCode>0.0</c:formatCode>
                <c:ptCount val="20"/>
                <c:pt idx="0">
                  <c:v>3.1726609424999999</c:v>
                </c:pt>
                <c:pt idx="1">
                  <c:v>3.3196558388999926</c:v>
                </c:pt>
                <c:pt idx="2">
                  <c:v>4.4201244302999845</c:v>
                </c:pt>
                <c:pt idx="3">
                  <c:v>4.6802804299999945</c:v>
                </c:pt>
                <c:pt idx="4">
                  <c:v>2.2928704554999997</c:v>
                </c:pt>
                <c:pt idx="5">
                  <c:v>3.7572351349999997</c:v>
                </c:pt>
                <c:pt idx="6">
                  <c:v>4.0236036455999997</c:v>
                </c:pt>
                <c:pt idx="7">
                  <c:v>2.9044968876000001</c:v>
                </c:pt>
                <c:pt idx="8">
                  <c:v>3.2848352746000002</c:v>
                </c:pt>
                <c:pt idx="9">
                  <c:v>2.9827108557000002</c:v>
                </c:pt>
                <c:pt idx="10">
                  <c:v>1.2959141323999956</c:v>
                </c:pt>
                <c:pt idx="11">
                  <c:v>1.3959457659000001</c:v>
                </c:pt>
                <c:pt idx="12">
                  <c:v>1.6022964499000001</c:v>
                </c:pt>
                <c:pt idx="13">
                  <c:v>1.5898862999999956</c:v>
                </c:pt>
                <c:pt idx="14">
                  <c:v>3.8289873015000002</c:v>
                </c:pt>
                <c:pt idx="15">
                  <c:v>2.0361930122</c:v>
                </c:pt>
                <c:pt idx="16">
                  <c:v>1.6711026899000001</c:v>
                </c:pt>
                <c:pt idx="17">
                  <c:v>2.3614470481000001</c:v>
                </c:pt>
                <c:pt idx="18">
                  <c:v>2.0338732643999999</c:v>
                </c:pt>
                <c:pt idx="19">
                  <c:v>1.9200147386999999</c:v>
                </c:pt>
              </c:numCache>
            </c:numRef>
          </c:val>
          <c:extLst xmlns:c16r2="http://schemas.microsoft.com/office/drawing/2015/06/chart">
            <c:ext xmlns:c16="http://schemas.microsoft.com/office/drawing/2014/chart" uri="{C3380CC4-5D6E-409C-BE32-E72D297353CC}">
              <c16:uniqueId val="{00000002-F2B2-4A14-A2DD-929949BF78D9}"/>
            </c:ext>
          </c:extLst>
        </c:ser>
        <c:gapWidth val="38"/>
        <c:overlap val="100"/>
        <c:axId val="134564096"/>
        <c:axId val="134578560"/>
      </c:barChart>
      <c:scatterChart>
        <c:scatterStyle val="lineMarker"/>
        <c:ser>
          <c:idx val="3"/>
          <c:order val="3"/>
          <c:tx>
            <c:strRef>
              <c:f>List4!$E$28</c:f>
              <c:strCache>
                <c:ptCount val="1"/>
                <c:pt idx="0">
                  <c:v> průměrná délka DPN - nemoc</c:v>
                </c:pt>
              </c:strCache>
            </c:strRef>
          </c:tx>
          <c:spPr>
            <a:ln w="9525">
              <a:noFill/>
            </a:ln>
          </c:spPr>
          <c:marker>
            <c:symbol val="x"/>
            <c:size val="6"/>
            <c:spPr>
              <a:ln w="22225">
                <a:solidFill>
                  <a:schemeClr val="tx2">
                    <a:lumMod val="50000"/>
                  </a:schemeClr>
                </a:solidFill>
              </a:ln>
            </c:spPr>
          </c:marker>
          <c:xVal>
            <c:strRef>
              <c:f>List4!$A$29:$A$48</c:f>
              <c:strCache>
                <c:ptCount val="20"/>
                <c:pt idx="0">
                  <c:v>Celkem</c:v>
                </c:pt>
                <c:pt idx="1">
                  <c:v>A - Zeměd., les., rybářství</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xVal>
          <c:yVal>
            <c:numRef>
              <c:f>List4!$E$29:$E$48</c:f>
              <c:numCache>
                <c:formatCode>0.0</c:formatCode>
                <c:ptCount val="20"/>
                <c:pt idx="0">
                  <c:v>41.704510124000137</c:v>
                </c:pt>
                <c:pt idx="1">
                  <c:v>58.689564496999999</c:v>
                </c:pt>
                <c:pt idx="2">
                  <c:v>50.26714073450016</c:v>
                </c:pt>
                <c:pt idx="3">
                  <c:v>41.223051892100145</c:v>
                </c:pt>
                <c:pt idx="4">
                  <c:v>38.996618641600001</c:v>
                </c:pt>
                <c:pt idx="5">
                  <c:v>43.346777879299886</c:v>
                </c:pt>
                <c:pt idx="6">
                  <c:v>52.912622485999997</c:v>
                </c:pt>
                <c:pt idx="7">
                  <c:v>43.858577103999998</c:v>
                </c:pt>
                <c:pt idx="8">
                  <c:v>43.9744137741</c:v>
                </c:pt>
                <c:pt idx="9">
                  <c:v>54.328503577200003</c:v>
                </c:pt>
                <c:pt idx="10">
                  <c:v>24.920176262399924</c:v>
                </c:pt>
                <c:pt idx="11">
                  <c:v>31.562565976499986</c:v>
                </c:pt>
                <c:pt idx="12">
                  <c:v>51.462876579199992</c:v>
                </c:pt>
                <c:pt idx="13">
                  <c:v>37.141579659699886</c:v>
                </c:pt>
                <c:pt idx="14">
                  <c:v>37.219198110100145</c:v>
                </c:pt>
                <c:pt idx="15">
                  <c:v>35.984914712200002</c:v>
                </c:pt>
                <c:pt idx="16">
                  <c:v>32.055661751799803</c:v>
                </c:pt>
                <c:pt idx="17">
                  <c:v>48.109724486799998</c:v>
                </c:pt>
                <c:pt idx="18">
                  <c:v>40.318533886600001</c:v>
                </c:pt>
                <c:pt idx="19">
                  <c:v>48.097593341000113</c:v>
                </c:pt>
              </c:numCache>
            </c:numRef>
          </c:yVal>
          <c:extLst xmlns:c16r2="http://schemas.microsoft.com/office/drawing/2015/06/chart">
            <c:ext xmlns:c16="http://schemas.microsoft.com/office/drawing/2014/chart" uri="{C3380CC4-5D6E-409C-BE32-E72D297353CC}">
              <c16:uniqueId val="{00000003-F2B2-4A14-A2DD-929949BF78D9}"/>
            </c:ext>
          </c:extLst>
        </c:ser>
        <c:ser>
          <c:idx val="4"/>
          <c:order val="4"/>
          <c:tx>
            <c:strRef>
              <c:f>List4!$F$28</c:f>
              <c:strCache>
                <c:ptCount val="1"/>
                <c:pt idx="0">
                  <c:v> průměrná délka DPN - pracovní úraz</c:v>
                </c:pt>
              </c:strCache>
            </c:strRef>
          </c:tx>
          <c:spPr>
            <a:ln w="28575">
              <a:noFill/>
            </a:ln>
          </c:spPr>
          <c:marker>
            <c:symbol val="star"/>
            <c:size val="7"/>
            <c:spPr>
              <a:ln w="15875">
                <a:solidFill>
                  <a:srgbClr val="00B050"/>
                </a:solidFill>
              </a:ln>
            </c:spPr>
          </c:marker>
          <c:xVal>
            <c:strRef>
              <c:f>List4!$A$29:$A$48</c:f>
              <c:strCache>
                <c:ptCount val="20"/>
                <c:pt idx="0">
                  <c:v>Celkem</c:v>
                </c:pt>
                <c:pt idx="1">
                  <c:v>A - Zeměd., les., rybářství</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xVal>
          <c:yVal>
            <c:numRef>
              <c:f>List4!$F$29:$F$48</c:f>
              <c:numCache>
                <c:formatCode>0.0</c:formatCode>
                <c:ptCount val="20"/>
                <c:pt idx="0">
                  <c:v>54.353616581199944</c:v>
                </c:pt>
                <c:pt idx="1">
                  <c:v>60.539351851900001</c:v>
                </c:pt>
                <c:pt idx="2">
                  <c:v>116.51460674160033</c:v>
                </c:pt>
                <c:pt idx="3">
                  <c:v>49.367164179099994</c:v>
                </c:pt>
                <c:pt idx="4">
                  <c:v>69.316176470599757</c:v>
                </c:pt>
                <c:pt idx="5">
                  <c:v>55.042355371900129</c:v>
                </c:pt>
                <c:pt idx="6">
                  <c:v>67.809106239499698</c:v>
                </c:pt>
                <c:pt idx="7">
                  <c:v>51.667235171500003</c:v>
                </c:pt>
                <c:pt idx="8">
                  <c:v>62.599722991700013</c:v>
                </c:pt>
                <c:pt idx="9">
                  <c:v>44.960251046000003</c:v>
                </c:pt>
                <c:pt idx="10">
                  <c:v>63.29655172410019</c:v>
                </c:pt>
                <c:pt idx="11">
                  <c:v>48.272727272700003</c:v>
                </c:pt>
                <c:pt idx="12">
                  <c:v>56.074688796699995</c:v>
                </c:pt>
                <c:pt idx="13">
                  <c:v>57.419780219799996</c:v>
                </c:pt>
                <c:pt idx="14">
                  <c:v>49.813879003599894</c:v>
                </c:pt>
                <c:pt idx="15">
                  <c:v>58.532549728800063</c:v>
                </c:pt>
                <c:pt idx="16">
                  <c:v>53.606446776600002</c:v>
                </c:pt>
                <c:pt idx="17">
                  <c:v>58.984360625599997</c:v>
                </c:pt>
                <c:pt idx="18">
                  <c:v>55.353760445699848</c:v>
                </c:pt>
                <c:pt idx="19">
                  <c:v>58.590697674399998</c:v>
                </c:pt>
              </c:numCache>
            </c:numRef>
          </c:yVal>
          <c:extLst xmlns:c16r2="http://schemas.microsoft.com/office/drawing/2015/06/chart">
            <c:ext xmlns:c16="http://schemas.microsoft.com/office/drawing/2014/chart" uri="{C3380CC4-5D6E-409C-BE32-E72D297353CC}">
              <c16:uniqueId val="{00000004-F2B2-4A14-A2DD-929949BF78D9}"/>
            </c:ext>
          </c:extLst>
        </c:ser>
        <c:ser>
          <c:idx val="5"/>
          <c:order val="5"/>
          <c:tx>
            <c:strRef>
              <c:f>List4!$G$28</c:f>
              <c:strCache>
                <c:ptCount val="1"/>
                <c:pt idx="0">
                  <c:v> průměrná délka DPN - ostatní úraz</c:v>
                </c:pt>
              </c:strCache>
            </c:strRef>
          </c:tx>
          <c:spPr>
            <a:ln w="28575">
              <a:noFill/>
            </a:ln>
          </c:spPr>
          <c:marker>
            <c:symbol val="circle"/>
            <c:size val="6"/>
            <c:spPr>
              <a:solidFill>
                <a:schemeClr val="accent5">
                  <a:lumMod val="60000"/>
                  <a:lumOff val="40000"/>
                </a:schemeClr>
              </a:solidFill>
              <a:ln>
                <a:solidFill>
                  <a:schemeClr val="accent5">
                    <a:lumMod val="50000"/>
                  </a:schemeClr>
                </a:solidFill>
              </a:ln>
            </c:spPr>
          </c:marker>
          <c:xVal>
            <c:strRef>
              <c:f>List4!$A$29:$A$48</c:f>
              <c:strCache>
                <c:ptCount val="20"/>
                <c:pt idx="0">
                  <c:v>Celkem</c:v>
                </c:pt>
                <c:pt idx="1">
                  <c:v>A - Zeměd., les., rybářství</c:v>
                </c:pt>
                <c:pt idx="2">
                  <c:v>B - Těžba a dobývání</c:v>
                </c:pt>
                <c:pt idx="3">
                  <c:v>C - Zpracovatelský průmysl</c:v>
                </c:pt>
                <c:pt idx="4">
                  <c:v>D - Výroba a rozvod elektřiny a energií</c:v>
                </c:pt>
                <c:pt idx="5">
                  <c:v>E - Zásobování vodou; odpady, sanace</c:v>
                </c:pt>
                <c:pt idx="6">
                  <c:v>F - Stavebnictví</c:v>
                </c:pt>
                <c:pt idx="7">
                  <c:v>G - Velkoobchod, maloobchod; opr. mot. vozidel</c:v>
                </c:pt>
                <c:pt idx="8">
                  <c:v>H - Doprava a skladování</c:v>
                </c:pt>
                <c:pt idx="9">
                  <c:v>I - Ubytování, stravování a pohostinství</c:v>
                </c:pt>
                <c:pt idx="10">
                  <c:v>J - Informační a komunikační činnosti</c:v>
                </c:pt>
                <c:pt idx="11">
                  <c:v>K - Peněžnictví a pojišťovnictví</c:v>
                </c:pt>
                <c:pt idx="12">
                  <c:v>L - Činnosti v oblasti nemovitostí</c:v>
                </c:pt>
                <c:pt idx="13">
                  <c:v>M - Profesní, vědecké a technické činnosti</c:v>
                </c:pt>
                <c:pt idx="14">
                  <c:v>N - Administrativní a podpůrné činnosti</c:v>
                </c:pt>
                <c:pt idx="15">
                  <c:v>O - Veř. správa, obr.; pov. soc. zabezp. </c:v>
                </c:pt>
                <c:pt idx="16">
                  <c:v>P - Vzdělávání</c:v>
                </c:pt>
                <c:pt idx="17">
                  <c:v>Q - Zdravotní a sociální péče</c:v>
                </c:pt>
                <c:pt idx="18">
                  <c:v>R - Kulturní, zábavní a rekreační činnosti</c:v>
                </c:pt>
                <c:pt idx="19">
                  <c:v>S - Ostatní činnosti</c:v>
                </c:pt>
              </c:strCache>
            </c:strRef>
          </c:xVal>
          <c:yVal>
            <c:numRef>
              <c:f>List4!$G$29:$G$48</c:f>
              <c:numCache>
                <c:formatCode>0.0</c:formatCode>
                <c:ptCount val="20"/>
                <c:pt idx="0">
                  <c:v>52.28643333880013</c:v>
                </c:pt>
                <c:pt idx="1">
                  <c:v>60.284383561599974</c:v>
                </c:pt>
                <c:pt idx="2">
                  <c:v>57.764563106800011</c:v>
                </c:pt>
                <c:pt idx="3">
                  <c:v>49.703574141800011</c:v>
                </c:pt>
                <c:pt idx="4">
                  <c:v>58.604806408499996</c:v>
                </c:pt>
                <c:pt idx="5">
                  <c:v>53.9423791822</c:v>
                </c:pt>
                <c:pt idx="6">
                  <c:v>61.288836763000006</c:v>
                </c:pt>
                <c:pt idx="7">
                  <c:v>53.825673798300002</c:v>
                </c:pt>
                <c:pt idx="8">
                  <c:v>54.912796208500012</c:v>
                </c:pt>
                <c:pt idx="9">
                  <c:v>58.281410727400001</c:v>
                </c:pt>
                <c:pt idx="10">
                  <c:v>41.881175734800003</c:v>
                </c:pt>
                <c:pt idx="11">
                  <c:v>47.445378151299998</c:v>
                </c:pt>
                <c:pt idx="12">
                  <c:v>61.470744680899998</c:v>
                </c:pt>
                <c:pt idx="13">
                  <c:v>55.106635071100001</c:v>
                </c:pt>
                <c:pt idx="14">
                  <c:v>47.056400385000003</c:v>
                </c:pt>
                <c:pt idx="15">
                  <c:v>50.29903596590016</c:v>
                </c:pt>
                <c:pt idx="16">
                  <c:v>48.860877192999993</c:v>
                </c:pt>
                <c:pt idx="17">
                  <c:v>54.433446684499998</c:v>
                </c:pt>
                <c:pt idx="18">
                  <c:v>54.927927927900001</c:v>
                </c:pt>
                <c:pt idx="19">
                  <c:v>57.606183889299999</c:v>
                </c:pt>
              </c:numCache>
            </c:numRef>
          </c:yVal>
          <c:extLst xmlns:c16r2="http://schemas.microsoft.com/office/drawing/2015/06/chart">
            <c:ext xmlns:c16="http://schemas.microsoft.com/office/drawing/2014/chart" uri="{C3380CC4-5D6E-409C-BE32-E72D297353CC}">
              <c16:uniqueId val="{00000005-F2B2-4A14-A2DD-929949BF78D9}"/>
            </c:ext>
          </c:extLst>
        </c:ser>
        <c:axId val="134582656"/>
        <c:axId val="134580480"/>
      </c:scatterChart>
      <c:catAx>
        <c:axId val="134564096"/>
        <c:scaling>
          <c:orientation val="minMax"/>
        </c:scaling>
        <c:axPos val="b"/>
        <c:numFmt formatCode="General" sourceLinked="0"/>
        <c:tickLblPos val="nextTo"/>
        <c:crossAx val="134578560"/>
        <c:crosses val="autoZero"/>
        <c:auto val="1"/>
        <c:lblAlgn val="ctr"/>
        <c:lblOffset val="100"/>
      </c:catAx>
      <c:valAx>
        <c:axId val="134578560"/>
        <c:scaling>
          <c:orientation val="minMax"/>
          <c:max val="50"/>
          <c:min val="0"/>
        </c:scaling>
        <c:axPos val="l"/>
        <c:majorGridlines>
          <c:spPr>
            <a:ln>
              <a:solidFill>
                <a:schemeClr val="bg1">
                  <a:lumMod val="75000"/>
                </a:schemeClr>
              </a:solidFill>
              <a:prstDash val="sysDot"/>
            </a:ln>
          </c:spPr>
        </c:majorGridlines>
        <c:title>
          <c:tx>
            <c:rich>
              <a:bodyPr rot="-5400000" vert="horz"/>
              <a:lstStyle/>
              <a:p>
                <a:pPr>
                  <a:defRPr b="0"/>
                </a:pPr>
                <a:r>
                  <a:rPr lang="en-US" b="0"/>
                  <a:t>případy DPN na 100 pojištěnců</a:t>
                </a:r>
              </a:p>
            </c:rich>
          </c:tx>
          <c:layout>
            <c:manualLayout>
              <c:xMode val="edge"/>
              <c:yMode val="edge"/>
              <c:x val="4.5411308970713719E-4"/>
              <c:y val="0.13543328816338318"/>
            </c:manualLayout>
          </c:layout>
        </c:title>
        <c:numFmt formatCode="0" sourceLinked="0"/>
        <c:tickLblPos val="nextTo"/>
        <c:spPr>
          <a:ln>
            <a:noFill/>
          </a:ln>
        </c:spPr>
        <c:crossAx val="134564096"/>
        <c:crosses val="autoZero"/>
        <c:crossBetween val="between"/>
      </c:valAx>
      <c:valAx>
        <c:axId val="134580480"/>
        <c:scaling>
          <c:orientation val="minMax"/>
          <c:max val="100"/>
        </c:scaling>
        <c:axPos val="r"/>
        <c:title>
          <c:tx>
            <c:rich>
              <a:bodyPr rot="-5400000" vert="horz"/>
              <a:lstStyle/>
              <a:p>
                <a:pPr>
                  <a:defRPr b="0"/>
                </a:pPr>
                <a:r>
                  <a:rPr lang="en-US" b="0"/>
                  <a:t>průměrný počet dní pracovní neschopnosti</a:t>
                </a:r>
              </a:p>
            </c:rich>
          </c:tx>
          <c:layout>
            <c:manualLayout>
              <c:xMode val="edge"/>
              <c:yMode val="edge"/>
              <c:x val="0.97170447153249306"/>
              <c:y val="5.1291992805224527E-2"/>
            </c:manualLayout>
          </c:layout>
        </c:title>
        <c:numFmt formatCode="0" sourceLinked="0"/>
        <c:tickLblPos val="nextTo"/>
        <c:spPr>
          <a:ln>
            <a:noFill/>
          </a:ln>
        </c:spPr>
        <c:crossAx val="134582656"/>
        <c:crosses val="max"/>
        <c:crossBetween val="midCat"/>
      </c:valAx>
      <c:valAx>
        <c:axId val="134582656"/>
        <c:scaling>
          <c:orientation val="minMax"/>
        </c:scaling>
        <c:delete val="1"/>
        <c:axPos val="b"/>
        <c:tickLblPos val="none"/>
        <c:crossAx val="134580480"/>
        <c:crosses val="autoZero"/>
        <c:crossBetween val="midCat"/>
      </c:valAx>
    </c:plotArea>
    <c:legend>
      <c:legendPos val="b"/>
      <c:layout>
        <c:manualLayout>
          <c:xMode val="edge"/>
          <c:yMode val="edge"/>
          <c:x val="3.4382051972187029E-2"/>
          <c:y val="0.9326609451396235"/>
          <c:w val="0.93635469547497785"/>
          <c:h val="6.6124600028597283E-2"/>
        </c:manualLayout>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cs-CZ"/>
  <c:chart>
    <c:plotArea>
      <c:layout/>
      <c:barChart>
        <c:barDir val="col"/>
        <c:grouping val="clustered"/>
        <c:ser>
          <c:idx val="0"/>
          <c:order val="0"/>
          <c:tx>
            <c:strRef>
              <c:f>List5!$A$15</c:f>
              <c:strCache>
                <c:ptCount val="1"/>
                <c:pt idx="0">
                  <c:v> nemoc</c:v>
                </c:pt>
              </c:strCache>
            </c:strRef>
          </c:tx>
          <c:spPr>
            <a:solidFill>
              <a:schemeClr val="accent6">
                <a:lumMod val="60000"/>
                <a:lumOff val="40000"/>
              </a:schemeClr>
            </a:solidFill>
            <a:ln>
              <a:solidFill>
                <a:schemeClr val="accent6">
                  <a:lumMod val="50000"/>
                </a:schemeClr>
              </a:solidFill>
            </a:ln>
          </c:spPr>
          <c:cat>
            <c:numRef>
              <c:f>List5!$B$14:$L$14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List5!$B$15:$L$15</c:f>
              <c:numCache>
                <c:formatCode>#,##0.00</c:formatCode>
                <c:ptCount val="11"/>
                <c:pt idx="0">
                  <c:v>34.31</c:v>
                </c:pt>
                <c:pt idx="1">
                  <c:v>33.64</c:v>
                </c:pt>
                <c:pt idx="2">
                  <c:v>38.1</c:v>
                </c:pt>
                <c:pt idx="3">
                  <c:v>43.84</c:v>
                </c:pt>
                <c:pt idx="4">
                  <c:v>43.49</c:v>
                </c:pt>
                <c:pt idx="5">
                  <c:v>42.61</c:v>
                </c:pt>
                <c:pt idx="6">
                  <c:v>44.68</c:v>
                </c:pt>
                <c:pt idx="7">
                  <c:v>42.45</c:v>
                </c:pt>
                <c:pt idx="8">
                  <c:v>44.57</c:v>
                </c:pt>
                <c:pt idx="9" formatCode="General">
                  <c:v>41.2</c:v>
                </c:pt>
                <c:pt idx="10" formatCode="General">
                  <c:v>41.7</c:v>
                </c:pt>
              </c:numCache>
            </c:numRef>
          </c:val>
          <c:extLst xmlns:c16r2="http://schemas.microsoft.com/office/drawing/2015/06/chart">
            <c:ext xmlns:c16="http://schemas.microsoft.com/office/drawing/2014/chart" uri="{C3380CC4-5D6E-409C-BE32-E72D297353CC}">
              <c16:uniqueId val="{00000000-096A-481A-A766-8B9FD4728D48}"/>
            </c:ext>
          </c:extLst>
        </c:ser>
        <c:ser>
          <c:idx val="1"/>
          <c:order val="1"/>
          <c:tx>
            <c:strRef>
              <c:f>List5!$A$16</c:f>
              <c:strCache>
                <c:ptCount val="1"/>
                <c:pt idx="0">
                  <c:v> pracovní úraz</c:v>
                </c:pt>
              </c:strCache>
            </c:strRef>
          </c:tx>
          <c:spPr>
            <a:solidFill>
              <a:srgbClr val="FF0000"/>
            </a:solidFill>
            <a:ln>
              <a:solidFill>
                <a:schemeClr val="accent2">
                  <a:lumMod val="50000"/>
                </a:schemeClr>
              </a:solidFill>
            </a:ln>
          </c:spPr>
          <c:cat>
            <c:numRef>
              <c:f>List5!$B$14:$L$14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List5!$B$16:$L$16</c:f>
              <c:numCache>
                <c:formatCode>#,##0.00</c:formatCode>
                <c:ptCount val="11"/>
                <c:pt idx="0">
                  <c:v>45.77</c:v>
                </c:pt>
                <c:pt idx="1">
                  <c:v>46.620000000000012</c:v>
                </c:pt>
                <c:pt idx="2">
                  <c:v>49.78</c:v>
                </c:pt>
                <c:pt idx="3">
                  <c:v>55.160000000000011</c:v>
                </c:pt>
                <c:pt idx="4">
                  <c:v>52.1</c:v>
                </c:pt>
                <c:pt idx="5">
                  <c:v>55.03</c:v>
                </c:pt>
                <c:pt idx="6">
                  <c:v>54.94</c:v>
                </c:pt>
                <c:pt idx="7">
                  <c:v>55.720000000000013</c:v>
                </c:pt>
                <c:pt idx="8">
                  <c:v>54.3</c:v>
                </c:pt>
                <c:pt idx="9" formatCode="General">
                  <c:v>55.4</c:v>
                </c:pt>
                <c:pt idx="10" formatCode="General">
                  <c:v>54.4</c:v>
                </c:pt>
              </c:numCache>
            </c:numRef>
          </c:val>
          <c:extLst xmlns:c16r2="http://schemas.microsoft.com/office/drawing/2015/06/chart">
            <c:ext xmlns:c16="http://schemas.microsoft.com/office/drawing/2014/chart" uri="{C3380CC4-5D6E-409C-BE32-E72D297353CC}">
              <c16:uniqueId val="{00000001-096A-481A-A766-8B9FD4728D48}"/>
            </c:ext>
          </c:extLst>
        </c:ser>
        <c:ser>
          <c:idx val="2"/>
          <c:order val="2"/>
          <c:tx>
            <c:strRef>
              <c:f>List5!$A$17</c:f>
              <c:strCache>
                <c:ptCount val="1"/>
                <c:pt idx="0">
                  <c:v> ostatní úraz</c:v>
                </c:pt>
              </c:strCache>
            </c:strRef>
          </c:tx>
          <c:spPr>
            <a:solidFill>
              <a:schemeClr val="accent2">
                <a:lumMod val="60000"/>
                <a:lumOff val="40000"/>
              </a:schemeClr>
            </a:solidFill>
            <a:ln>
              <a:solidFill>
                <a:schemeClr val="accent2">
                  <a:lumMod val="50000"/>
                </a:schemeClr>
              </a:solidFill>
            </a:ln>
          </c:spPr>
          <c:cat>
            <c:numRef>
              <c:f>List5!$B$14:$L$14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List5!$B$17:$L$17</c:f>
              <c:numCache>
                <c:formatCode>#,##0.00</c:formatCode>
                <c:ptCount val="11"/>
                <c:pt idx="0">
                  <c:v>45.7</c:v>
                </c:pt>
                <c:pt idx="1">
                  <c:v>45.45</c:v>
                </c:pt>
                <c:pt idx="2">
                  <c:v>49.37</c:v>
                </c:pt>
                <c:pt idx="3">
                  <c:v>57.7</c:v>
                </c:pt>
                <c:pt idx="4">
                  <c:v>56.86</c:v>
                </c:pt>
                <c:pt idx="5">
                  <c:v>59.1</c:v>
                </c:pt>
                <c:pt idx="6">
                  <c:v>55.32</c:v>
                </c:pt>
                <c:pt idx="7">
                  <c:v>54.89</c:v>
                </c:pt>
                <c:pt idx="8">
                  <c:v>54.25</c:v>
                </c:pt>
                <c:pt idx="9" formatCode="General">
                  <c:v>54.3</c:v>
                </c:pt>
                <c:pt idx="10" formatCode="General">
                  <c:v>52.3</c:v>
                </c:pt>
              </c:numCache>
            </c:numRef>
          </c:val>
          <c:extLst xmlns:c16r2="http://schemas.microsoft.com/office/drawing/2015/06/chart">
            <c:ext xmlns:c16="http://schemas.microsoft.com/office/drawing/2014/chart" uri="{C3380CC4-5D6E-409C-BE32-E72D297353CC}">
              <c16:uniqueId val="{00000002-096A-481A-A766-8B9FD4728D48}"/>
            </c:ext>
          </c:extLst>
        </c:ser>
        <c:gapWidth val="76"/>
        <c:axId val="134694016"/>
        <c:axId val="134695552"/>
      </c:barChart>
      <c:lineChart>
        <c:grouping val="standard"/>
        <c:ser>
          <c:idx val="3"/>
          <c:order val="3"/>
          <c:tx>
            <c:strRef>
              <c:f>List5!$A$18</c:f>
              <c:strCache>
                <c:ptCount val="1"/>
                <c:pt idx="0">
                  <c:v> celkem</c:v>
                </c:pt>
              </c:strCache>
            </c:strRef>
          </c:tx>
          <c:spPr>
            <a:ln>
              <a:solidFill>
                <a:schemeClr val="accent5">
                  <a:lumMod val="60000"/>
                  <a:lumOff val="40000"/>
                </a:schemeClr>
              </a:solidFill>
            </a:ln>
          </c:spPr>
          <c:marker>
            <c:symbol val="diamond"/>
            <c:size val="9"/>
            <c:spPr>
              <a:solidFill>
                <a:schemeClr val="accent5">
                  <a:lumMod val="60000"/>
                  <a:lumOff val="40000"/>
                </a:schemeClr>
              </a:solidFill>
              <a:ln>
                <a:solidFill>
                  <a:schemeClr val="accent5">
                    <a:lumMod val="50000"/>
                  </a:schemeClr>
                </a:solidFill>
              </a:ln>
            </c:spPr>
          </c:marker>
          <c:dLbls>
            <c:spPr>
              <a:solidFill>
                <a:sysClr val="window" lastClr="FFFFFF">
                  <a:alpha val="68000"/>
                </a:sysClr>
              </a:solidFill>
            </c:spPr>
            <c:txPr>
              <a:bodyPr/>
              <a:lstStyle/>
              <a:p>
                <a:pPr>
                  <a:defRPr b="1">
                    <a:solidFill>
                      <a:sysClr val="windowText" lastClr="000000"/>
                    </a:solidFill>
                  </a:defRPr>
                </a:pPr>
                <a:endParaRPr lang="cs-CZ"/>
              </a:p>
            </c:txPr>
            <c:dLblPos val="b"/>
            <c:showVal val="1"/>
            <c:extLst xmlns:c16r2="http://schemas.microsoft.com/office/drawing/2015/06/chart">
              <c:ext xmlns:c15="http://schemas.microsoft.com/office/drawing/2012/chart" uri="{CE6537A1-D6FC-4f65-9D91-7224C49458BB}">
                <c15:showLeaderLines val="0"/>
              </c:ext>
            </c:extLst>
          </c:dLbls>
          <c:cat>
            <c:numRef>
              <c:f>List5!$B$14:$L$14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List5!$B$18:$L$18</c:f>
              <c:numCache>
                <c:formatCode>#,##0.00</c:formatCode>
                <c:ptCount val="11"/>
                <c:pt idx="0">
                  <c:v>35.260000000000012</c:v>
                </c:pt>
                <c:pt idx="1">
                  <c:v>34.58</c:v>
                </c:pt>
                <c:pt idx="2">
                  <c:v>39.050000000000004</c:v>
                </c:pt>
                <c:pt idx="3">
                  <c:v>45.06</c:v>
                </c:pt>
                <c:pt idx="4">
                  <c:v>44.690000000000012</c:v>
                </c:pt>
                <c:pt idx="5">
                  <c:v>44.08</c:v>
                </c:pt>
                <c:pt idx="6">
                  <c:v>46.1</c:v>
                </c:pt>
                <c:pt idx="7">
                  <c:v>44</c:v>
                </c:pt>
                <c:pt idx="8">
                  <c:v>45.8</c:v>
                </c:pt>
                <c:pt idx="9" formatCode="General">
                  <c:v>42.7</c:v>
                </c:pt>
                <c:pt idx="10" formatCode="General">
                  <c:v>43</c:v>
                </c:pt>
              </c:numCache>
            </c:numRef>
          </c:val>
          <c:extLst xmlns:c16r2="http://schemas.microsoft.com/office/drawing/2015/06/chart">
            <c:ext xmlns:c16="http://schemas.microsoft.com/office/drawing/2014/chart" uri="{C3380CC4-5D6E-409C-BE32-E72D297353CC}">
              <c16:uniqueId val="{00000003-096A-481A-A766-8B9FD4728D48}"/>
            </c:ext>
          </c:extLst>
        </c:ser>
        <c:marker val="1"/>
        <c:axId val="134711168"/>
        <c:axId val="134709632"/>
      </c:lineChart>
      <c:catAx>
        <c:axId val="134694016"/>
        <c:scaling>
          <c:orientation val="minMax"/>
        </c:scaling>
        <c:axPos val="b"/>
        <c:numFmt formatCode="General" sourceLinked="1"/>
        <c:tickLblPos val="nextTo"/>
        <c:crossAx val="134695552"/>
        <c:crosses val="autoZero"/>
        <c:auto val="1"/>
        <c:lblAlgn val="ctr"/>
        <c:lblOffset val="100"/>
      </c:catAx>
      <c:valAx>
        <c:axId val="134695552"/>
        <c:scaling>
          <c:orientation val="minMax"/>
          <c:max val="60"/>
          <c:min val="0"/>
        </c:scaling>
        <c:axPos val="l"/>
        <c:majorGridlines>
          <c:spPr>
            <a:ln>
              <a:solidFill>
                <a:schemeClr val="bg1">
                  <a:lumMod val="75000"/>
                </a:schemeClr>
              </a:solidFill>
              <a:prstDash val="sysDot"/>
            </a:ln>
          </c:spPr>
        </c:majorGridlines>
        <c:numFmt formatCode="#,##0" sourceLinked="0"/>
        <c:tickLblPos val="nextTo"/>
        <c:spPr>
          <a:ln>
            <a:noFill/>
          </a:ln>
        </c:spPr>
        <c:crossAx val="134694016"/>
        <c:crosses val="autoZero"/>
        <c:crossBetween val="between"/>
      </c:valAx>
      <c:valAx>
        <c:axId val="134709632"/>
        <c:scaling>
          <c:orientation val="minMax"/>
          <c:max val="60"/>
          <c:min val="0"/>
        </c:scaling>
        <c:axPos val="r"/>
        <c:numFmt formatCode="#,##0" sourceLinked="0"/>
        <c:tickLblPos val="nextTo"/>
        <c:spPr>
          <a:ln>
            <a:noFill/>
          </a:ln>
        </c:spPr>
        <c:txPr>
          <a:bodyPr/>
          <a:lstStyle/>
          <a:p>
            <a:pPr>
              <a:defRPr sz="100">
                <a:solidFill>
                  <a:schemeClr val="bg1"/>
                </a:solidFill>
              </a:defRPr>
            </a:pPr>
            <a:endParaRPr lang="cs-CZ"/>
          </a:p>
        </c:txPr>
        <c:crossAx val="134711168"/>
        <c:crosses val="max"/>
        <c:crossBetween val="between"/>
      </c:valAx>
      <c:catAx>
        <c:axId val="134711168"/>
        <c:scaling>
          <c:orientation val="minMax"/>
        </c:scaling>
        <c:delete val="1"/>
        <c:axPos val="b"/>
        <c:numFmt formatCode="General" sourceLinked="1"/>
        <c:tickLblPos val="none"/>
        <c:crossAx val="134709632"/>
        <c:crosses val="autoZero"/>
        <c:auto val="1"/>
        <c:lblAlgn val="ctr"/>
        <c:lblOffset val="100"/>
      </c:catAx>
    </c:plotArea>
    <c:legend>
      <c:legendPos val="b"/>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7710869841710498E-2"/>
          <c:y val="3.8596491228070177E-2"/>
          <c:w val="0.88653616535818458"/>
          <c:h val="0.74606894723638961"/>
        </c:manualLayout>
      </c:layout>
      <c:barChart>
        <c:barDir val="col"/>
        <c:grouping val="clustered"/>
        <c:ser>
          <c:idx val="0"/>
          <c:order val="0"/>
          <c:tx>
            <c:strRef>
              <c:f>List9!$L$10</c:f>
              <c:strCache>
                <c:ptCount val="1"/>
                <c:pt idx="0">
                  <c:v>  případy DPN na 100 pojištěnců</c:v>
                </c:pt>
              </c:strCache>
            </c:strRef>
          </c:tx>
          <c:spPr>
            <a:ln>
              <a:solidFill>
                <a:schemeClr val="accent1">
                  <a:lumMod val="75000"/>
                </a:schemeClr>
              </a:solidFill>
            </a:ln>
          </c:spPr>
          <c:dPt>
            <c:idx val="12"/>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0-35CC-4404-8DB5-BA5A957FA156}"/>
              </c:ext>
            </c:extLst>
          </c:dPt>
          <c:dPt>
            <c:idx val="13"/>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1-35CC-4404-8DB5-BA5A957FA156}"/>
              </c:ext>
            </c:extLst>
          </c:dPt>
          <c:dPt>
            <c:idx val="14"/>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2-35CC-4404-8DB5-BA5A957FA156}"/>
              </c:ext>
            </c:extLst>
          </c:dPt>
          <c:dPt>
            <c:idx val="15"/>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3-35CC-4404-8DB5-BA5A957FA156}"/>
              </c:ext>
            </c:extLst>
          </c:dPt>
          <c:dPt>
            <c:idx val="16"/>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4-35CC-4404-8DB5-BA5A957FA156}"/>
              </c:ext>
            </c:extLst>
          </c:dPt>
          <c:dPt>
            <c:idx val="17"/>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5-35CC-4404-8DB5-BA5A957FA156}"/>
              </c:ext>
            </c:extLst>
          </c:dPt>
          <c:dPt>
            <c:idx val="18"/>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6-35CC-4404-8DB5-BA5A957FA156}"/>
              </c:ext>
            </c:extLst>
          </c:dPt>
          <c:dPt>
            <c:idx val="19"/>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7-35CC-4404-8DB5-BA5A957FA156}"/>
              </c:ext>
            </c:extLst>
          </c:dPt>
          <c:dPt>
            <c:idx val="20"/>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8-35CC-4404-8DB5-BA5A957FA156}"/>
              </c:ext>
            </c:extLst>
          </c:dPt>
          <c:dPt>
            <c:idx val="21"/>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9-35CC-4404-8DB5-BA5A957FA156}"/>
              </c:ext>
            </c:extLst>
          </c:dPt>
          <c:dPt>
            <c:idx val="22"/>
            <c:spPr>
              <a:solidFill>
                <a:schemeClr val="accent2">
                  <a:lumMod val="60000"/>
                  <a:lumOff val="40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A-35CC-4404-8DB5-BA5A957FA156}"/>
              </c:ext>
            </c:extLst>
          </c:dPt>
          <c:cat>
            <c:multiLvlStrRef>
              <c:f>List9!$J$11:$K$33</c:f>
              <c:multiLvlStrCache>
                <c:ptCount val="23"/>
                <c:lvl>
                  <c:pt idx="0">
                    <c:v>2006</c:v>
                  </c:pt>
                  <c:pt idx="1">
                    <c:v>2007</c:v>
                  </c:pt>
                  <c:pt idx="2">
                    <c:v>2008</c:v>
                  </c:pt>
                  <c:pt idx="3">
                    <c:v>2009</c:v>
                  </c:pt>
                  <c:pt idx="4">
                    <c:v>2010</c:v>
                  </c:pt>
                  <c:pt idx="5">
                    <c:v>2011</c:v>
                  </c:pt>
                  <c:pt idx="6">
                    <c:v>2012</c:v>
                  </c:pt>
                  <c:pt idx="7">
                    <c:v>2013</c:v>
                  </c:pt>
                  <c:pt idx="8">
                    <c:v>2014</c:v>
                  </c:pt>
                  <c:pt idx="9">
                    <c:v>2015</c:v>
                  </c:pt>
                  <c:pt idx="10">
                    <c:v>2016</c:v>
                  </c:pt>
                  <c:pt idx="12">
                    <c:v>2006</c:v>
                  </c:pt>
                  <c:pt idx="13">
                    <c:v>2007</c:v>
                  </c:pt>
                  <c:pt idx="14">
                    <c:v>2008</c:v>
                  </c:pt>
                  <c:pt idx="15">
                    <c:v>2009</c:v>
                  </c:pt>
                  <c:pt idx="16">
                    <c:v>2010</c:v>
                  </c:pt>
                  <c:pt idx="17">
                    <c:v>2011</c:v>
                  </c:pt>
                  <c:pt idx="18">
                    <c:v>2012</c:v>
                  </c:pt>
                  <c:pt idx="19">
                    <c:v>2013</c:v>
                  </c:pt>
                  <c:pt idx="20">
                    <c:v>2014</c:v>
                  </c:pt>
                  <c:pt idx="21">
                    <c:v>2015</c:v>
                  </c:pt>
                  <c:pt idx="22">
                    <c:v>2016</c:v>
                  </c:pt>
                </c:lvl>
                <c:lvl>
                  <c:pt idx="0">
                    <c:v>muži</c:v>
                  </c:pt>
                  <c:pt idx="12">
                    <c:v>ženy</c:v>
                  </c:pt>
                </c:lvl>
              </c:multiLvlStrCache>
            </c:multiLvlStrRef>
          </c:cat>
          <c:val>
            <c:numRef>
              <c:f>List9!$L$11:$L$33</c:f>
              <c:numCache>
                <c:formatCode>#,##0.0</c:formatCode>
                <c:ptCount val="23"/>
                <c:pt idx="0">
                  <c:v>63.4</c:v>
                </c:pt>
                <c:pt idx="1">
                  <c:v>56.1</c:v>
                </c:pt>
                <c:pt idx="2">
                  <c:v>45.1</c:v>
                </c:pt>
                <c:pt idx="3">
                  <c:v>31.1</c:v>
                </c:pt>
                <c:pt idx="4">
                  <c:v>28.8</c:v>
                </c:pt>
                <c:pt idx="5">
                  <c:v>28.2</c:v>
                </c:pt>
                <c:pt idx="6">
                  <c:v>26</c:v>
                </c:pt>
                <c:pt idx="7">
                  <c:v>28.2</c:v>
                </c:pt>
                <c:pt idx="8">
                  <c:v>27.8</c:v>
                </c:pt>
                <c:pt idx="9">
                  <c:v>32.700000000000003</c:v>
                </c:pt>
                <c:pt idx="10">
                  <c:v>33.700000000000003</c:v>
                </c:pt>
                <c:pt idx="12">
                  <c:v>63.4</c:v>
                </c:pt>
                <c:pt idx="13">
                  <c:v>62.9</c:v>
                </c:pt>
                <c:pt idx="14">
                  <c:v>52.6</c:v>
                </c:pt>
                <c:pt idx="15">
                  <c:v>37</c:v>
                </c:pt>
                <c:pt idx="16">
                  <c:v>32.800000000000004</c:v>
                </c:pt>
                <c:pt idx="17">
                  <c:v>32.200000000000003</c:v>
                </c:pt>
                <c:pt idx="18">
                  <c:v>28.9</c:v>
                </c:pt>
                <c:pt idx="19">
                  <c:v>31.8</c:v>
                </c:pt>
                <c:pt idx="20">
                  <c:v>31.2</c:v>
                </c:pt>
                <c:pt idx="21">
                  <c:v>36.800000000000004</c:v>
                </c:pt>
                <c:pt idx="22">
                  <c:v>37.9</c:v>
                </c:pt>
              </c:numCache>
            </c:numRef>
          </c:val>
          <c:extLst xmlns:c16r2="http://schemas.microsoft.com/office/drawing/2015/06/chart">
            <c:ext xmlns:c16="http://schemas.microsoft.com/office/drawing/2014/chart" uri="{C3380CC4-5D6E-409C-BE32-E72D297353CC}">
              <c16:uniqueId val="{0000000B-35CC-4404-8DB5-BA5A957FA156}"/>
            </c:ext>
          </c:extLst>
        </c:ser>
        <c:gapWidth val="30"/>
        <c:axId val="134623232"/>
        <c:axId val="134624768"/>
      </c:barChart>
      <c:lineChart>
        <c:grouping val="standard"/>
        <c:ser>
          <c:idx val="1"/>
          <c:order val="1"/>
          <c:tx>
            <c:strRef>
              <c:f>List9!$M$10</c:f>
              <c:strCache>
                <c:ptCount val="1"/>
                <c:pt idx="0">
                  <c:v> průměrná délka trvání 1 případu DPN</c:v>
                </c:pt>
              </c:strCache>
            </c:strRef>
          </c:tx>
          <c:dPt>
            <c:idx val="0"/>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0D-35CC-4404-8DB5-BA5A957FA156}"/>
              </c:ext>
            </c:extLst>
          </c:dPt>
          <c:dPt>
            <c:idx val="1"/>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0F-35CC-4404-8DB5-BA5A957FA156}"/>
              </c:ext>
            </c:extLst>
          </c:dPt>
          <c:dPt>
            <c:idx val="2"/>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1-35CC-4404-8DB5-BA5A957FA156}"/>
              </c:ext>
            </c:extLst>
          </c:dPt>
          <c:dPt>
            <c:idx val="3"/>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3-35CC-4404-8DB5-BA5A957FA156}"/>
              </c:ext>
            </c:extLst>
          </c:dPt>
          <c:dPt>
            <c:idx val="4"/>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5-35CC-4404-8DB5-BA5A957FA156}"/>
              </c:ext>
            </c:extLst>
          </c:dPt>
          <c:dPt>
            <c:idx val="5"/>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7-35CC-4404-8DB5-BA5A957FA156}"/>
              </c:ext>
            </c:extLst>
          </c:dPt>
          <c:dPt>
            <c:idx val="6"/>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9-35CC-4404-8DB5-BA5A957FA156}"/>
              </c:ext>
            </c:extLst>
          </c:dPt>
          <c:dPt>
            <c:idx val="7"/>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B-35CC-4404-8DB5-BA5A957FA156}"/>
              </c:ext>
            </c:extLst>
          </c:dPt>
          <c:dPt>
            <c:idx val="8"/>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D-35CC-4404-8DB5-BA5A957FA156}"/>
              </c:ext>
            </c:extLst>
          </c:dPt>
          <c:dPt>
            <c:idx val="9"/>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1F-35CC-4404-8DB5-BA5A957FA156}"/>
              </c:ext>
            </c:extLst>
          </c:dPt>
          <c:dPt>
            <c:idx val="10"/>
            <c:marker>
              <c:spPr>
                <a:solidFill>
                  <a:schemeClr val="accent1">
                    <a:lumMod val="60000"/>
                    <a:lumOff val="40000"/>
                  </a:schemeClr>
                </a:solidFill>
                <a:ln>
                  <a:solidFill>
                    <a:schemeClr val="accent1">
                      <a:lumMod val="50000"/>
                    </a:schemeClr>
                  </a:solidFill>
                </a:ln>
              </c:spPr>
            </c:marker>
            <c:spPr>
              <a:ln>
                <a:solidFill>
                  <a:schemeClr val="accent1">
                    <a:lumMod val="50000"/>
                  </a:schemeClr>
                </a:solidFill>
              </a:ln>
            </c:spPr>
            <c:extLst xmlns:c16r2="http://schemas.microsoft.com/office/drawing/2015/06/chart">
              <c:ext xmlns:c16="http://schemas.microsoft.com/office/drawing/2014/chart" uri="{C3380CC4-5D6E-409C-BE32-E72D297353CC}">
                <c16:uniqueId val="{00000021-35CC-4404-8DB5-BA5A957FA156}"/>
              </c:ext>
            </c:extLst>
          </c:dPt>
          <c:dPt>
            <c:idx val="12"/>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3-35CC-4404-8DB5-BA5A957FA156}"/>
              </c:ext>
            </c:extLst>
          </c:dPt>
          <c:dPt>
            <c:idx val="13"/>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5-35CC-4404-8DB5-BA5A957FA156}"/>
              </c:ext>
            </c:extLst>
          </c:dPt>
          <c:dPt>
            <c:idx val="14"/>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7-35CC-4404-8DB5-BA5A957FA156}"/>
              </c:ext>
            </c:extLst>
          </c:dPt>
          <c:dPt>
            <c:idx val="15"/>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9-35CC-4404-8DB5-BA5A957FA156}"/>
              </c:ext>
            </c:extLst>
          </c:dPt>
          <c:dPt>
            <c:idx val="16"/>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B-35CC-4404-8DB5-BA5A957FA156}"/>
              </c:ext>
            </c:extLst>
          </c:dPt>
          <c:dPt>
            <c:idx val="17"/>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D-35CC-4404-8DB5-BA5A957FA156}"/>
              </c:ext>
            </c:extLst>
          </c:dPt>
          <c:dPt>
            <c:idx val="18"/>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2F-35CC-4404-8DB5-BA5A957FA156}"/>
              </c:ext>
            </c:extLst>
          </c:dPt>
          <c:dPt>
            <c:idx val="19"/>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31-35CC-4404-8DB5-BA5A957FA156}"/>
              </c:ext>
            </c:extLst>
          </c:dPt>
          <c:dPt>
            <c:idx val="20"/>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33-35CC-4404-8DB5-BA5A957FA156}"/>
              </c:ext>
            </c:extLst>
          </c:dPt>
          <c:dPt>
            <c:idx val="21"/>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35-35CC-4404-8DB5-BA5A957FA156}"/>
              </c:ext>
            </c:extLst>
          </c:dPt>
          <c:dPt>
            <c:idx val="22"/>
            <c:marker>
              <c:spPr>
                <a:ln>
                  <a:solidFill>
                    <a:schemeClr val="accent2">
                      <a:lumMod val="50000"/>
                    </a:schemeClr>
                  </a:solidFill>
                </a:ln>
              </c:spPr>
            </c:marker>
            <c:spPr>
              <a:ln>
                <a:solidFill>
                  <a:schemeClr val="accent2">
                    <a:lumMod val="50000"/>
                  </a:schemeClr>
                </a:solidFill>
              </a:ln>
            </c:spPr>
            <c:extLst xmlns:c16r2="http://schemas.microsoft.com/office/drawing/2015/06/chart">
              <c:ext xmlns:c16="http://schemas.microsoft.com/office/drawing/2014/chart" uri="{C3380CC4-5D6E-409C-BE32-E72D297353CC}">
                <c16:uniqueId val="{00000037-35CC-4404-8DB5-BA5A957FA156}"/>
              </c:ext>
            </c:extLst>
          </c:dPt>
          <c:cat>
            <c:multiLvlStrRef>
              <c:f>List9!$J$11:$K$33</c:f>
              <c:multiLvlStrCache>
                <c:ptCount val="23"/>
                <c:lvl>
                  <c:pt idx="0">
                    <c:v>2006</c:v>
                  </c:pt>
                  <c:pt idx="1">
                    <c:v>2007</c:v>
                  </c:pt>
                  <c:pt idx="2">
                    <c:v>2008</c:v>
                  </c:pt>
                  <c:pt idx="3">
                    <c:v>2009</c:v>
                  </c:pt>
                  <c:pt idx="4">
                    <c:v>2010</c:v>
                  </c:pt>
                  <c:pt idx="5">
                    <c:v>2011</c:v>
                  </c:pt>
                  <c:pt idx="6">
                    <c:v>2012</c:v>
                  </c:pt>
                  <c:pt idx="7">
                    <c:v>2013</c:v>
                  </c:pt>
                  <c:pt idx="8">
                    <c:v>2014</c:v>
                  </c:pt>
                  <c:pt idx="9">
                    <c:v>2015</c:v>
                  </c:pt>
                  <c:pt idx="10">
                    <c:v>2016</c:v>
                  </c:pt>
                  <c:pt idx="12">
                    <c:v>2006</c:v>
                  </c:pt>
                  <c:pt idx="13">
                    <c:v>2007</c:v>
                  </c:pt>
                  <c:pt idx="14">
                    <c:v>2008</c:v>
                  </c:pt>
                  <c:pt idx="15">
                    <c:v>2009</c:v>
                  </c:pt>
                  <c:pt idx="16">
                    <c:v>2010</c:v>
                  </c:pt>
                  <c:pt idx="17">
                    <c:v>2011</c:v>
                  </c:pt>
                  <c:pt idx="18">
                    <c:v>2012</c:v>
                  </c:pt>
                  <c:pt idx="19">
                    <c:v>2013</c:v>
                  </c:pt>
                  <c:pt idx="20">
                    <c:v>2014</c:v>
                  </c:pt>
                  <c:pt idx="21">
                    <c:v>2015</c:v>
                  </c:pt>
                  <c:pt idx="22">
                    <c:v>2016</c:v>
                  </c:pt>
                </c:lvl>
                <c:lvl>
                  <c:pt idx="0">
                    <c:v>muži</c:v>
                  </c:pt>
                  <c:pt idx="12">
                    <c:v>ženy</c:v>
                  </c:pt>
                </c:lvl>
              </c:multiLvlStrCache>
            </c:multiLvlStrRef>
          </c:cat>
          <c:val>
            <c:numRef>
              <c:f>List9!$M$11:$M$33</c:f>
              <c:numCache>
                <c:formatCode>#,##0.0</c:formatCode>
                <c:ptCount val="23"/>
                <c:pt idx="0">
                  <c:v>35.300000000000004</c:v>
                </c:pt>
                <c:pt idx="1">
                  <c:v>33</c:v>
                </c:pt>
                <c:pt idx="2">
                  <c:v>37.1</c:v>
                </c:pt>
                <c:pt idx="3">
                  <c:v>43.6</c:v>
                </c:pt>
                <c:pt idx="4">
                  <c:v>43.6</c:v>
                </c:pt>
                <c:pt idx="5">
                  <c:v>43</c:v>
                </c:pt>
                <c:pt idx="6">
                  <c:v>44.1</c:v>
                </c:pt>
                <c:pt idx="7">
                  <c:v>42.3</c:v>
                </c:pt>
                <c:pt idx="8">
                  <c:v>43.4</c:v>
                </c:pt>
                <c:pt idx="9">
                  <c:v>40.5</c:v>
                </c:pt>
                <c:pt idx="10">
                  <c:v>40.700000000000003</c:v>
                </c:pt>
                <c:pt idx="12">
                  <c:v>36.700000000000003</c:v>
                </c:pt>
                <c:pt idx="13">
                  <c:v>36.200000000000003</c:v>
                </c:pt>
                <c:pt idx="14">
                  <c:v>40.9</c:v>
                </c:pt>
                <c:pt idx="15">
                  <c:v>46.4</c:v>
                </c:pt>
                <c:pt idx="16">
                  <c:v>45.7</c:v>
                </c:pt>
                <c:pt idx="17">
                  <c:v>45.1</c:v>
                </c:pt>
                <c:pt idx="18">
                  <c:v>47.9</c:v>
                </c:pt>
                <c:pt idx="19">
                  <c:v>45.5</c:v>
                </c:pt>
                <c:pt idx="20">
                  <c:v>48</c:v>
                </c:pt>
                <c:pt idx="21">
                  <c:v>44.8</c:v>
                </c:pt>
                <c:pt idx="22">
                  <c:v>45.2</c:v>
                </c:pt>
              </c:numCache>
            </c:numRef>
          </c:val>
          <c:extLst xmlns:c16r2="http://schemas.microsoft.com/office/drawing/2015/06/chart">
            <c:ext xmlns:c16="http://schemas.microsoft.com/office/drawing/2014/chart" uri="{C3380CC4-5D6E-409C-BE32-E72D297353CC}">
              <c16:uniqueId val="{00000038-35CC-4404-8DB5-BA5A957FA156}"/>
            </c:ext>
          </c:extLst>
        </c:ser>
        <c:marker val="1"/>
        <c:axId val="134637056"/>
        <c:axId val="134626688"/>
      </c:lineChart>
      <c:catAx>
        <c:axId val="134623232"/>
        <c:scaling>
          <c:orientation val="minMax"/>
        </c:scaling>
        <c:axPos val="b"/>
        <c:numFmt formatCode="General" sourceLinked="1"/>
        <c:majorTickMark val="none"/>
        <c:tickLblPos val="nextTo"/>
        <c:crossAx val="134624768"/>
        <c:crosses val="autoZero"/>
        <c:auto val="1"/>
        <c:lblAlgn val="ctr"/>
        <c:lblOffset val="100"/>
      </c:catAx>
      <c:valAx>
        <c:axId val="134624768"/>
        <c:scaling>
          <c:orientation val="minMax"/>
          <c:max val="65"/>
          <c:min val="0"/>
        </c:scaling>
        <c:axPos val="l"/>
        <c:majorGridlines>
          <c:spPr>
            <a:ln>
              <a:prstDash val="sysDot"/>
            </a:ln>
          </c:spPr>
        </c:majorGridlines>
        <c:title>
          <c:tx>
            <c:rich>
              <a:bodyPr rot="-5400000" vert="horz"/>
              <a:lstStyle/>
              <a:p>
                <a:pPr>
                  <a:defRPr b="0"/>
                </a:pPr>
                <a:r>
                  <a:rPr lang="en-US" b="0"/>
                  <a:t>případy</a:t>
                </a:r>
              </a:p>
            </c:rich>
          </c:tx>
          <c:layout>
            <c:manualLayout>
              <c:xMode val="edge"/>
              <c:yMode val="edge"/>
              <c:x val="0"/>
              <c:y val="0.35775631993369306"/>
            </c:manualLayout>
          </c:layout>
        </c:title>
        <c:numFmt formatCode="#,##0" sourceLinked="0"/>
        <c:tickLblPos val="nextTo"/>
        <c:spPr>
          <a:ln>
            <a:noFill/>
          </a:ln>
        </c:spPr>
        <c:crossAx val="134623232"/>
        <c:crosses val="autoZero"/>
        <c:crossBetween val="between"/>
      </c:valAx>
      <c:valAx>
        <c:axId val="134626688"/>
        <c:scaling>
          <c:orientation val="minMax"/>
          <c:max val="65"/>
          <c:min val="0"/>
        </c:scaling>
        <c:axPos val="r"/>
        <c:title>
          <c:tx>
            <c:rich>
              <a:bodyPr rot="-5400000" vert="horz"/>
              <a:lstStyle/>
              <a:p>
                <a:pPr>
                  <a:defRPr b="0"/>
                </a:pPr>
                <a:r>
                  <a:rPr lang="en-US" b="0"/>
                  <a:t>dny</a:t>
                </a:r>
              </a:p>
            </c:rich>
          </c:tx>
          <c:layout>
            <c:manualLayout>
              <c:xMode val="edge"/>
              <c:yMode val="edge"/>
              <c:x val="0.9761232709347456"/>
              <c:y val="0.3889667081088562"/>
            </c:manualLayout>
          </c:layout>
        </c:title>
        <c:numFmt formatCode="#,##0" sourceLinked="0"/>
        <c:tickLblPos val="nextTo"/>
        <c:spPr>
          <a:ln>
            <a:noFill/>
          </a:ln>
        </c:spPr>
        <c:crossAx val="134637056"/>
        <c:crosses val="max"/>
        <c:crossBetween val="between"/>
      </c:valAx>
      <c:catAx>
        <c:axId val="134637056"/>
        <c:scaling>
          <c:orientation val="minMax"/>
        </c:scaling>
        <c:delete val="1"/>
        <c:axPos val="b"/>
        <c:numFmt formatCode="General" sourceLinked="1"/>
        <c:tickLblPos val="none"/>
        <c:crossAx val="134626688"/>
        <c:crosses val="autoZero"/>
        <c:auto val="1"/>
        <c:lblAlgn val="ctr"/>
        <c:lblOffset val="100"/>
      </c:catAx>
    </c:plotArea>
    <c:legend>
      <c:legendPos val="b"/>
      <c:layout>
        <c:manualLayout>
          <c:xMode val="edge"/>
          <c:yMode val="edge"/>
          <c:x val="0.14944488767097994"/>
          <c:y val="0.94791020859234698"/>
          <c:w val="0.70111007049228979"/>
          <c:h val="5.2089791407652991E-2"/>
        </c:manualLayout>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chart>
    <c:plotArea>
      <c:layout/>
      <c:lineChart>
        <c:grouping val="standard"/>
        <c:ser>
          <c:idx val="0"/>
          <c:order val="0"/>
          <c:tx>
            <c:strRef>
              <c:f>List6!$A$4</c:f>
              <c:strCache>
                <c:ptCount val="1"/>
                <c:pt idx="0">
                  <c:v> celkem</c:v>
                </c:pt>
              </c:strCache>
            </c:strRef>
          </c:tx>
          <c:spPr>
            <a:ln>
              <a:solidFill>
                <a:schemeClr val="accent5">
                  <a:lumMod val="60000"/>
                  <a:lumOff val="40000"/>
                </a:schemeClr>
              </a:solidFill>
            </a:ln>
          </c:spPr>
          <c:marker>
            <c:spPr>
              <a:solidFill>
                <a:schemeClr val="accent5">
                  <a:lumMod val="60000"/>
                  <a:lumOff val="40000"/>
                </a:schemeClr>
              </a:solidFill>
              <a:ln>
                <a:solidFill>
                  <a:schemeClr val="accent5">
                    <a:lumMod val="50000"/>
                  </a:schemeClr>
                </a:solidFill>
              </a:ln>
            </c:spPr>
          </c:marker>
          <c:cat>
            <c:numRef>
              <c:f>List6!$B$3:$L$3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List6!$B$4:$L$4</c:f>
              <c:numCache>
                <c:formatCode>#,##0.000</c:formatCode>
                <c:ptCount val="11"/>
                <c:pt idx="0">
                  <c:v>5.8139999999999965</c:v>
                </c:pt>
                <c:pt idx="1">
                  <c:v>5.6189999999999873</c:v>
                </c:pt>
                <c:pt idx="2">
                  <c:v>5.1839999999999975</c:v>
                </c:pt>
                <c:pt idx="3">
                  <c:v>4.1839999999999975</c:v>
                </c:pt>
                <c:pt idx="4">
                  <c:v>3.7629999999999999</c:v>
                </c:pt>
                <c:pt idx="5">
                  <c:v>3.6379999999999999</c:v>
                </c:pt>
                <c:pt idx="6">
                  <c:v>3.4519999999999977</c:v>
                </c:pt>
                <c:pt idx="7">
                  <c:v>3.6149999999999998</c:v>
                </c:pt>
                <c:pt idx="8">
                  <c:v>3.6970000000000001</c:v>
                </c:pt>
                <c:pt idx="9" formatCode="General">
                  <c:v>4.0999999999999996</c:v>
                </c:pt>
                <c:pt idx="10" formatCode="General">
                  <c:v>4.2</c:v>
                </c:pt>
              </c:numCache>
            </c:numRef>
          </c:val>
          <c:extLst xmlns:c16r2="http://schemas.microsoft.com/office/drawing/2015/06/chart">
            <c:ext xmlns:c16="http://schemas.microsoft.com/office/drawing/2014/chart" uri="{C3380CC4-5D6E-409C-BE32-E72D297353CC}">
              <c16:uniqueId val="{00000000-F5E1-469D-A5D3-18864CF9C643}"/>
            </c:ext>
          </c:extLst>
        </c:ser>
        <c:ser>
          <c:idx val="1"/>
          <c:order val="1"/>
          <c:tx>
            <c:strRef>
              <c:f>List6!$A$5</c:f>
              <c:strCache>
                <c:ptCount val="1"/>
                <c:pt idx="0">
                  <c:v> nemoc</c:v>
                </c:pt>
              </c:strCache>
            </c:strRef>
          </c:tx>
          <c:spPr>
            <a:ln>
              <a:solidFill>
                <a:schemeClr val="accent6">
                  <a:lumMod val="60000"/>
                  <a:lumOff val="40000"/>
                </a:schemeClr>
              </a:solidFill>
            </a:ln>
          </c:spPr>
          <c:marker>
            <c:spPr>
              <a:solidFill>
                <a:schemeClr val="accent6">
                  <a:lumMod val="60000"/>
                  <a:lumOff val="40000"/>
                </a:schemeClr>
              </a:solidFill>
              <a:ln>
                <a:solidFill>
                  <a:schemeClr val="accent6">
                    <a:lumMod val="50000"/>
                  </a:schemeClr>
                </a:solidFill>
              </a:ln>
            </c:spPr>
          </c:marker>
          <c:cat>
            <c:numRef>
              <c:f>List6!$B$3:$L$3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List6!$B$5:$L$5</c:f>
              <c:numCache>
                <c:formatCode>#,##0.000</c:formatCode>
                <c:ptCount val="11"/>
                <c:pt idx="0">
                  <c:v>5.1890000000000001</c:v>
                </c:pt>
                <c:pt idx="1">
                  <c:v>5.05</c:v>
                </c:pt>
                <c:pt idx="2">
                  <c:v>4.6399999999999997</c:v>
                </c:pt>
                <c:pt idx="3">
                  <c:v>3.6869999999999998</c:v>
                </c:pt>
                <c:pt idx="4">
                  <c:v>3.2840000000000011</c:v>
                </c:pt>
                <c:pt idx="5">
                  <c:v>3.173</c:v>
                </c:pt>
                <c:pt idx="6">
                  <c:v>2.9129999999999967</c:v>
                </c:pt>
                <c:pt idx="7">
                  <c:v>3.0589999999999997</c:v>
                </c:pt>
                <c:pt idx="8">
                  <c:v>3.1359999999999997</c:v>
                </c:pt>
                <c:pt idx="9" formatCode="General">
                  <c:v>3.5</c:v>
                </c:pt>
                <c:pt idx="10" formatCode="General">
                  <c:v>3.6</c:v>
                </c:pt>
              </c:numCache>
            </c:numRef>
          </c:val>
          <c:extLst xmlns:c16r2="http://schemas.microsoft.com/office/drawing/2015/06/chart">
            <c:ext xmlns:c16="http://schemas.microsoft.com/office/drawing/2014/chart" uri="{C3380CC4-5D6E-409C-BE32-E72D297353CC}">
              <c16:uniqueId val="{00000001-F5E1-469D-A5D3-18864CF9C643}"/>
            </c:ext>
          </c:extLst>
        </c:ser>
        <c:ser>
          <c:idx val="2"/>
          <c:order val="2"/>
          <c:tx>
            <c:strRef>
              <c:f>List6!$A$6</c:f>
              <c:strCache>
                <c:ptCount val="1"/>
                <c:pt idx="0">
                  <c:v> pracovní úraz</c:v>
                </c:pt>
              </c:strCache>
            </c:strRef>
          </c:tx>
          <c:spPr>
            <a:ln>
              <a:solidFill>
                <a:srgbClr val="FF0000"/>
              </a:solidFill>
            </a:ln>
          </c:spPr>
          <c:marker>
            <c:spPr>
              <a:solidFill>
                <a:srgbClr val="FF0000"/>
              </a:solidFill>
              <a:ln>
                <a:solidFill>
                  <a:schemeClr val="accent2">
                    <a:lumMod val="50000"/>
                  </a:schemeClr>
                </a:solidFill>
              </a:ln>
            </c:spPr>
          </c:marker>
          <c:cat>
            <c:numRef>
              <c:f>List6!$B$3:$L$3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List6!$B$6:$L$6</c:f>
              <c:numCache>
                <c:formatCode>#,##0.000</c:formatCode>
                <c:ptCount val="11"/>
                <c:pt idx="0">
                  <c:v>0.22900000000000001</c:v>
                </c:pt>
                <c:pt idx="1">
                  <c:v>0.21500000000000039</c:v>
                </c:pt>
                <c:pt idx="2">
                  <c:v>0.21200000000000024</c:v>
                </c:pt>
                <c:pt idx="3">
                  <c:v>0.17800000000000021</c:v>
                </c:pt>
                <c:pt idx="4">
                  <c:v>0.17100000000000001</c:v>
                </c:pt>
                <c:pt idx="5">
                  <c:v>0.19600000000000001</c:v>
                </c:pt>
                <c:pt idx="6">
                  <c:v>0.14800000000000021</c:v>
                </c:pt>
                <c:pt idx="7">
                  <c:v>0.14800000000000021</c:v>
                </c:pt>
                <c:pt idx="8">
                  <c:v>0.15000000000000024</c:v>
                </c:pt>
                <c:pt idx="9" formatCode="General">
                  <c:v>0.2</c:v>
                </c:pt>
                <c:pt idx="10" formatCode="General">
                  <c:v>0.2</c:v>
                </c:pt>
              </c:numCache>
            </c:numRef>
          </c:val>
          <c:extLst xmlns:c16r2="http://schemas.microsoft.com/office/drawing/2015/06/chart">
            <c:ext xmlns:c16="http://schemas.microsoft.com/office/drawing/2014/chart" uri="{C3380CC4-5D6E-409C-BE32-E72D297353CC}">
              <c16:uniqueId val="{00000002-F5E1-469D-A5D3-18864CF9C643}"/>
            </c:ext>
          </c:extLst>
        </c:ser>
        <c:ser>
          <c:idx val="3"/>
          <c:order val="3"/>
          <c:tx>
            <c:strRef>
              <c:f>List6!$A$7</c:f>
              <c:strCache>
                <c:ptCount val="1"/>
                <c:pt idx="0">
                  <c:v> ostatní úraz</c:v>
                </c:pt>
              </c:strCache>
            </c:strRef>
          </c:tx>
          <c:spPr>
            <a:ln>
              <a:solidFill>
                <a:schemeClr val="accent2">
                  <a:lumMod val="60000"/>
                  <a:lumOff val="40000"/>
                </a:schemeClr>
              </a:solidFill>
            </a:ln>
          </c:spPr>
          <c:marker>
            <c:spPr>
              <a:solidFill>
                <a:schemeClr val="accent2">
                  <a:lumMod val="60000"/>
                  <a:lumOff val="40000"/>
                </a:schemeClr>
              </a:solidFill>
              <a:ln>
                <a:solidFill>
                  <a:schemeClr val="accent2">
                    <a:lumMod val="50000"/>
                  </a:schemeClr>
                </a:solidFill>
              </a:ln>
            </c:spPr>
          </c:marker>
          <c:cat>
            <c:numRef>
              <c:f>List6!$B$3:$L$3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List6!$B$7:$L$7</c:f>
              <c:numCache>
                <c:formatCode>#,##0.000</c:formatCode>
                <c:ptCount val="11"/>
                <c:pt idx="0">
                  <c:v>0.39600000000000102</c:v>
                </c:pt>
                <c:pt idx="1">
                  <c:v>0.35400000000000031</c:v>
                </c:pt>
                <c:pt idx="2">
                  <c:v>0.33200000000000102</c:v>
                </c:pt>
                <c:pt idx="3">
                  <c:v>0.31900000000000089</c:v>
                </c:pt>
                <c:pt idx="4">
                  <c:v>0.30800000000000038</c:v>
                </c:pt>
                <c:pt idx="5">
                  <c:v>0.29600000000000032</c:v>
                </c:pt>
                <c:pt idx="6">
                  <c:v>0.3900000000000009</c:v>
                </c:pt>
                <c:pt idx="7">
                  <c:v>0.40800000000000008</c:v>
                </c:pt>
                <c:pt idx="8">
                  <c:v>0.41100000000000031</c:v>
                </c:pt>
                <c:pt idx="9" formatCode="General">
                  <c:v>0.4</c:v>
                </c:pt>
                <c:pt idx="10" formatCode="General">
                  <c:v>0.5</c:v>
                </c:pt>
              </c:numCache>
            </c:numRef>
          </c:val>
          <c:extLst xmlns:c16r2="http://schemas.microsoft.com/office/drawing/2015/06/chart">
            <c:ext xmlns:c16="http://schemas.microsoft.com/office/drawing/2014/chart" uri="{C3380CC4-5D6E-409C-BE32-E72D297353CC}">
              <c16:uniqueId val="{00000003-F5E1-469D-A5D3-18864CF9C643}"/>
            </c:ext>
          </c:extLst>
        </c:ser>
        <c:marker val="1"/>
        <c:axId val="134663552"/>
        <c:axId val="134665728"/>
      </c:lineChart>
      <c:catAx>
        <c:axId val="134663552"/>
        <c:scaling>
          <c:orientation val="minMax"/>
        </c:scaling>
        <c:axPos val="b"/>
        <c:numFmt formatCode="General" sourceLinked="1"/>
        <c:tickLblPos val="nextTo"/>
        <c:crossAx val="134665728"/>
        <c:crosses val="autoZero"/>
        <c:auto val="1"/>
        <c:lblAlgn val="ctr"/>
        <c:lblOffset val="100"/>
      </c:catAx>
      <c:valAx>
        <c:axId val="134665728"/>
        <c:scaling>
          <c:orientation val="minMax"/>
          <c:max val="6"/>
          <c:min val="0"/>
        </c:scaling>
        <c:axPos val="l"/>
        <c:majorGridlines>
          <c:spPr>
            <a:ln>
              <a:solidFill>
                <a:schemeClr val="bg1">
                  <a:lumMod val="75000"/>
                </a:schemeClr>
              </a:solidFill>
              <a:prstDash val="sysDot"/>
            </a:ln>
          </c:spPr>
        </c:majorGridlines>
        <c:numFmt formatCode="#,##0.0" sourceLinked="0"/>
        <c:tickLblPos val="nextTo"/>
        <c:spPr>
          <a:ln>
            <a:noFill/>
          </a:ln>
        </c:spPr>
        <c:crossAx val="134663552"/>
        <c:crosses val="autoZero"/>
        <c:crossBetween val="between"/>
      </c:valAx>
    </c:plotArea>
    <c:legend>
      <c:legendPos val="b"/>
      <c:layout/>
    </c:legend>
    <c:plotVisOnly val="1"/>
    <c:dispBlanksAs val="gap"/>
  </c:chart>
  <c:spPr>
    <a:ln>
      <a:noFill/>
    </a:ln>
  </c:spPr>
  <c:txPr>
    <a:bodyPr/>
    <a:lstStyle/>
    <a:p>
      <a:pPr>
        <a:defRPr sz="800">
          <a:latin typeface="Arial" pitchFamily="34" charset="0"/>
          <a:cs typeface="Arial" pitchFamily="34" charset="0"/>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0.2947</cdr:x>
      <cdr:y>0.40374</cdr:y>
    </cdr:from>
    <cdr:to>
      <cdr:x>0.48119</cdr:x>
      <cdr:y>0.61497</cdr:y>
    </cdr:to>
    <cdr:sp macro="" textlink="">
      <cdr:nvSpPr>
        <cdr:cNvPr id="2" name="TextovéPole 1"/>
        <cdr:cNvSpPr txBox="1"/>
      </cdr:nvSpPr>
      <cdr:spPr>
        <a:xfrm xmlns:a="http://schemas.openxmlformats.org/drawingml/2006/main">
          <a:off x="1799351" y="1302578"/>
          <a:ext cx="1138653" cy="6814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1000" b="1">
              <a:latin typeface="Arial" pitchFamily="34" charset="0"/>
              <a:cs typeface="Arial" pitchFamily="34" charset="0"/>
            </a:rPr>
            <a:t>1 633,4 tis</a:t>
          </a:r>
          <a:r>
            <a:rPr lang="cs-CZ" sz="1000">
              <a:latin typeface="Arial" pitchFamily="34" charset="0"/>
              <a:cs typeface="Arial" pitchFamily="34" charset="0"/>
            </a:rPr>
            <a:t>. nově hlášených případů PN celkem</a:t>
          </a:r>
        </a:p>
      </cdr:txBody>
    </cdr:sp>
  </cdr:relSizeAnchor>
  <cdr:relSizeAnchor xmlns:cdr="http://schemas.openxmlformats.org/drawingml/2006/chartDrawing">
    <cdr:from>
      <cdr:x>0.21216</cdr:x>
      <cdr:y>0.07381</cdr:y>
    </cdr:from>
    <cdr:to>
      <cdr:x>0.28548</cdr:x>
      <cdr:y>0.15647</cdr:y>
    </cdr:to>
    <cdr:sp macro="" textlink="">
      <cdr:nvSpPr>
        <cdr:cNvPr id="4" name="TextovéPole 3"/>
        <cdr:cNvSpPr txBox="1"/>
      </cdr:nvSpPr>
      <cdr:spPr>
        <a:xfrm xmlns:a="http://schemas.openxmlformats.org/drawingml/2006/main">
          <a:off x="1295400" y="238125"/>
          <a:ext cx="4476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itchFamily="34" charset="0"/>
              <a:cs typeface="Arial" pitchFamily="34" charset="0"/>
            </a:rPr>
            <a:t>3 %</a:t>
          </a:r>
          <a:endParaRPr lang="cs-CZ" sz="1000" b="1">
            <a:latin typeface="Arial" pitchFamily="34" charset="0"/>
            <a:cs typeface="Arial" pitchFamily="34" charset="0"/>
          </a:endParaRPr>
        </a:p>
      </cdr:txBody>
    </cdr:sp>
  </cdr:relSizeAnchor>
  <cdr:relSizeAnchor xmlns:cdr="http://schemas.openxmlformats.org/drawingml/2006/chartDrawing">
    <cdr:from>
      <cdr:x>0.31824</cdr:x>
      <cdr:y>0</cdr:y>
    </cdr:from>
    <cdr:to>
      <cdr:x>0.39156</cdr:x>
      <cdr:y>0.08266</cdr:y>
    </cdr:to>
    <cdr:sp macro="" textlink="">
      <cdr:nvSpPr>
        <cdr:cNvPr id="5" name="TextovéPole 1"/>
        <cdr:cNvSpPr txBox="1"/>
      </cdr:nvSpPr>
      <cdr:spPr>
        <a:xfrm xmlns:a="http://schemas.openxmlformats.org/drawingml/2006/main">
          <a:off x="1943100" y="0"/>
          <a:ext cx="4476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000" b="1">
              <a:latin typeface="Arial" pitchFamily="34" charset="0"/>
              <a:cs typeface="Arial" pitchFamily="34" charset="0"/>
            </a:rPr>
            <a:t>9 %</a:t>
          </a:r>
          <a:endParaRPr lang="cs-CZ" sz="10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87ED-2EDD-46E3-BF57-D3BE65B8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140</TotalTime>
  <Pages>30</Pages>
  <Words>10646</Words>
  <Characters>62817</Characters>
  <Application>Microsoft Office Word</Application>
  <DocSecurity>0</DocSecurity>
  <Lines>523</Lines>
  <Paragraphs>146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pubalova6594</cp:lastModifiedBy>
  <cp:revision>15</cp:revision>
  <cp:lastPrinted>2014-07-17T14:07:00Z</cp:lastPrinted>
  <dcterms:created xsi:type="dcterms:W3CDTF">2017-05-29T11:09:00Z</dcterms:created>
  <dcterms:modified xsi:type="dcterms:W3CDTF">2017-05-30T08:02:00Z</dcterms:modified>
</cp:coreProperties>
</file>