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08" w:rsidRPr="009821FE" w:rsidRDefault="00F853A5" w:rsidP="00812984">
      <w:pPr>
        <w:pStyle w:val="Nadpis1"/>
        <w:numPr>
          <w:ilvl w:val="0"/>
          <w:numId w:val="25"/>
        </w:numPr>
        <w:jc w:val="both"/>
        <w:rPr>
          <w:lang w:val="en-GB"/>
        </w:rPr>
      </w:pPr>
      <w:bookmarkStart w:id="0" w:name="_Toc493683640"/>
      <w:r w:rsidRPr="009821FE">
        <w:rPr>
          <w:lang w:val="en-GB"/>
        </w:rPr>
        <w:t>St</w:t>
      </w:r>
      <w:r w:rsidR="008E5E90" w:rsidRPr="009821FE">
        <w:rPr>
          <w:lang w:val="en-GB"/>
        </w:rPr>
        <w:t>ate Budget</w:t>
      </w:r>
      <w:bookmarkEnd w:id="0"/>
    </w:p>
    <w:tbl>
      <w:tblPr>
        <w:tblW w:w="4995" w:type="pct"/>
        <w:tblInd w:w="108" w:type="dxa"/>
        <w:tblLayout w:type="fixed"/>
        <w:tblLook w:val="00A0"/>
      </w:tblPr>
      <w:tblGrid>
        <w:gridCol w:w="2000"/>
        <w:gridCol w:w="284"/>
        <w:gridCol w:w="7560"/>
      </w:tblGrid>
      <w:tr w:rsidR="005D7503" w:rsidRPr="009821FE" w:rsidTr="00CF0826">
        <w:trPr>
          <w:trHeight w:val="145"/>
        </w:trPr>
        <w:tc>
          <w:tcPr>
            <w:tcW w:w="1016" w:type="pct"/>
            <w:shd w:val="clear" w:color="auto" w:fill="auto"/>
          </w:tcPr>
          <w:p w:rsidR="005D7503" w:rsidRPr="009821FE" w:rsidRDefault="009821FE" w:rsidP="00CF0826">
            <w:pPr>
              <w:spacing w:line="240" w:lineRule="auto"/>
              <w:rPr>
                <w:rFonts w:cs="Arial"/>
                <w:color w:val="0D0D0D" w:themeColor="text1" w:themeTint="F2"/>
                <w:spacing w:val="-4"/>
                <w:sz w:val="16"/>
                <w:szCs w:val="16"/>
                <w:lang w:val="en-GB"/>
              </w:rPr>
            </w:pPr>
            <w:r>
              <w:rPr>
                <w:rFonts w:cs="Arial"/>
                <w:color w:val="0D0D0D" w:themeColor="text1" w:themeTint="F2"/>
                <w:spacing w:val="-4"/>
                <w:sz w:val="16"/>
                <w:szCs w:val="16"/>
                <w:lang w:val="en-GB"/>
              </w:rPr>
              <w:t>Expanding economic growth assisted the state budget to reach the second most favourable balance after year 1996.</w:t>
            </w:r>
            <w:r w:rsidR="005D7503" w:rsidRPr="009821FE">
              <w:rPr>
                <w:rFonts w:cs="Arial"/>
                <w:color w:val="0D0D0D" w:themeColor="text1" w:themeTint="F2"/>
                <w:spacing w:val="-4"/>
                <w:sz w:val="16"/>
                <w:szCs w:val="16"/>
                <w:lang w:val="en-GB"/>
              </w:rPr>
              <w:t xml:space="preserve"> </w:t>
            </w:r>
          </w:p>
        </w:tc>
        <w:tc>
          <w:tcPr>
            <w:tcW w:w="144" w:type="pct"/>
          </w:tcPr>
          <w:p w:rsidR="005D7503" w:rsidRPr="009821FE" w:rsidRDefault="005D7503" w:rsidP="00CF0826">
            <w:pPr>
              <w:pStyle w:val="Textpoznpodarou"/>
              <w:jc w:val="both"/>
              <w:rPr>
                <w:rFonts w:cs="Arial"/>
                <w:color w:val="0D0D0D" w:themeColor="text1" w:themeTint="F2"/>
                <w:lang w:val="en-GB"/>
              </w:rPr>
            </w:pPr>
          </w:p>
        </w:tc>
        <w:tc>
          <w:tcPr>
            <w:tcW w:w="3840" w:type="pct"/>
          </w:tcPr>
          <w:p w:rsidR="005D7503" w:rsidRDefault="007F2BF6" w:rsidP="007260C3">
            <w:pPr>
              <w:pStyle w:val="Textpoznpodarou"/>
              <w:jc w:val="both"/>
              <w:rPr>
                <w:rFonts w:cs="Arial"/>
                <w:color w:val="0D0D0D" w:themeColor="text1" w:themeTint="F2"/>
                <w:spacing w:val="-4"/>
                <w:lang w:val="en-GB"/>
              </w:rPr>
            </w:pPr>
            <w:r>
              <w:rPr>
                <w:rFonts w:cs="Arial"/>
                <w:color w:val="0D0D0D" w:themeColor="text1" w:themeTint="F2"/>
                <w:spacing w:val="-3"/>
                <w:lang w:val="en-GB"/>
              </w:rPr>
              <w:t>The state budget (SB)</w:t>
            </w:r>
            <w:r w:rsidRPr="009821FE">
              <w:rPr>
                <w:rStyle w:val="Znakapoznpodarou"/>
                <w:color w:val="0D0D0D" w:themeColor="text1" w:themeTint="F2"/>
                <w:spacing w:val="-4"/>
                <w:lang w:val="en-GB"/>
              </w:rPr>
              <w:footnoteReference w:id="1"/>
            </w:r>
            <w:r>
              <w:rPr>
                <w:rFonts w:cs="Arial"/>
                <w:color w:val="0D0D0D" w:themeColor="text1" w:themeTint="F2"/>
                <w:spacing w:val="-3"/>
                <w:lang w:val="en-GB"/>
              </w:rPr>
              <w:t xml:space="preserve"> ended in </w:t>
            </w:r>
            <w:r w:rsidR="005D7503" w:rsidRPr="009821FE">
              <w:rPr>
                <w:rFonts w:cs="Arial"/>
                <w:color w:val="0D0D0D" w:themeColor="text1" w:themeTint="F2"/>
                <w:spacing w:val="-3"/>
                <w:lang w:val="en-GB"/>
              </w:rPr>
              <w:t>2017</w:t>
            </w:r>
            <w:r>
              <w:rPr>
                <w:rFonts w:cs="Arial"/>
                <w:color w:val="0D0D0D" w:themeColor="text1" w:themeTint="F2"/>
                <w:spacing w:val="-3"/>
                <w:lang w:val="en-GB"/>
              </w:rPr>
              <w:t xml:space="preserve"> in mild deficit </w:t>
            </w:r>
            <w:r w:rsidR="005D7503" w:rsidRPr="009821FE">
              <w:rPr>
                <w:rFonts w:cs="Arial"/>
                <w:color w:val="0D0D0D" w:themeColor="text1" w:themeTint="F2"/>
                <w:spacing w:val="-4"/>
                <w:lang w:val="en-GB"/>
              </w:rPr>
              <w:t>(6</w:t>
            </w:r>
            <w:r>
              <w:rPr>
                <w:rFonts w:cs="Arial"/>
                <w:color w:val="0D0D0D" w:themeColor="text1" w:themeTint="F2"/>
                <w:spacing w:val="-4"/>
                <w:lang w:val="en-GB"/>
              </w:rPr>
              <w:t>.</w:t>
            </w:r>
            <w:r w:rsidR="005D7503" w:rsidRPr="009821FE">
              <w:rPr>
                <w:rFonts w:cs="Arial"/>
                <w:color w:val="0D0D0D" w:themeColor="text1" w:themeTint="F2"/>
                <w:spacing w:val="-4"/>
                <w:lang w:val="en-GB"/>
              </w:rPr>
              <w:t>2</w:t>
            </w:r>
            <w:r w:rsidR="000F7121" w:rsidRPr="009821FE">
              <w:rPr>
                <w:rFonts w:cs="Arial"/>
                <w:color w:val="0D0D0D" w:themeColor="text1" w:themeTint="F2"/>
                <w:spacing w:val="-4"/>
                <w:lang w:val="en-GB"/>
              </w:rPr>
              <w:t> </w:t>
            </w:r>
            <w:r>
              <w:rPr>
                <w:rFonts w:cs="Arial"/>
                <w:color w:val="0D0D0D" w:themeColor="text1" w:themeTint="F2"/>
                <w:spacing w:val="-4"/>
                <w:lang w:val="en-GB"/>
              </w:rPr>
              <w:t>CZK bn</w:t>
            </w:r>
            <w:r w:rsidR="005D7503" w:rsidRPr="009821FE">
              <w:rPr>
                <w:rFonts w:cs="Arial"/>
                <w:color w:val="0D0D0D" w:themeColor="text1" w:themeTint="F2"/>
                <w:spacing w:val="-4"/>
                <w:lang w:val="en-GB"/>
              </w:rPr>
              <w:t xml:space="preserve">). </w:t>
            </w:r>
            <w:r>
              <w:rPr>
                <w:rFonts w:cs="Arial"/>
                <w:color w:val="0D0D0D" w:themeColor="text1" w:themeTint="F2"/>
                <w:spacing w:val="-4"/>
                <w:lang w:val="en-GB"/>
              </w:rPr>
              <w:t xml:space="preserve">The favourable result from the preceding year </w:t>
            </w:r>
            <w:r w:rsidR="005D7503" w:rsidRPr="009821FE">
              <w:rPr>
                <w:rFonts w:cs="Arial"/>
                <w:color w:val="0D0D0D" w:themeColor="text1" w:themeTint="F2"/>
                <w:spacing w:val="-4"/>
                <w:lang w:val="en-GB"/>
              </w:rPr>
              <w:t>(+61</w:t>
            </w:r>
            <w:r>
              <w:rPr>
                <w:rFonts w:cs="Arial"/>
                <w:color w:val="0D0D0D" w:themeColor="text1" w:themeTint="F2"/>
                <w:spacing w:val="-4"/>
                <w:lang w:val="en-GB"/>
              </w:rPr>
              <w:t>.</w:t>
            </w:r>
            <w:r w:rsidR="005D7503" w:rsidRPr="009821FE">
              <w:rPr>
                <w:rFonts w:cs="Arial"/>
                <w:color w:val="0D0D0D" w:themeColor="text1" w:themeTint="F2"/>
                <w:spacing w:val="-4"/>
                <w:lang w:val="en-GB"/>
              </w:rPr>
              <w:t>8</w:t>
            </w:r>
            <w:r w:rsidR="006D07EC" w:rsidRPr="009821FE">
              <w:rPr>
                <w:rFonts w:cs="Arial"/>
                <w:color w:val="0D0D0D" w:themeColor="text1" w:themeTint="F2"/>
                <w:spacing w:val="-4"/>
                <w:lang w:val="en-GB"/>
              </w:rPr>
              <w:t> </w:t>
            </w:r>
            <w:r>
              <w:rPr>
                <w:rFonts w:cs="Arial"/>
                <w:color w:val="0D0D0D" w:themeColor="text1" w:themeTint="F2"/>
                <w:spacing w:val="-4"/>
                <w:lang w:val="en-GB"/>
              </w:rPr>
              <w:t>bn</w:t>
            </w:r>
            <w:r w:rsidR="005D7503" w:rsidRPr="009821FE">
              <w:rPr>
                <w:rFonts w:cs="Arial"/>
                <w:color w:val="0D0D0D" w:themeColor="text1" w:themeTint="F2"/>
                <w:spacing w:val="-4"/>
                <w:lang w:val="en-GB"/>
              </w:rPr>
              <w:t>)</w:t>
            </w:r>
            <w:r>
              <w:rPr>
                <w:rFonts w:cs="Arial"/>
                <w:color w:val="0D0D0D" w:themeColor="text1" w:themeTint="F2"/>
                <w:spacing w:val="-4"/>
                <w:lang w:val="en-GB"/>
              </w:rPr>
              <w:t xml:space="preserve"> was not repeated</w:t>
            </w:r>
            <w:r w:rsidR="005D7503" w:rsidRPr="009821FE">
              <w:rPr>
                <w:rFonts w:cs="Arial"/>
                <w:color w:val="0D0D0D" w:themeColor="text1" w:themeTint="F2"/>
                <w:spacing w:val="-4"/>
                <w:lang w:val="en-GB"/>
              </w:rPr>
              <w:t>,</w:t>
            </w:r>
            <w:r>
              <w:rPr>
                <w:rFonts w:cs="Arial"/>
                <w:color w:val="0D0D0D" w:themeColor="text1" w:themeTint="F2"/>
                <w:spacing w:val="-4"/>
                <w:lang w:val="en-GB"/>
              </w:rPr>
              <w:t xml:space="preserve"> it was markedly affected by the completion of incoming payments from the EU budget tied to the ended programme period. Still, the last year’s result was the second best after year 1996. </w:t>
            </w:r>
            <w:r w:rsidR="00D369AD">
              <w:rPr>
                <w:rFonts w:cs="Arial"/>
                <w:color w:val="0D0D0D" w:themeColor="text1" w:themeTint="F2"/>
                <w:spacing w:val="-4"/>
                <w:lang w:val="en-GB"/>
              </w:rPr>
              <w:t xml:space="preserve">Still the SB was achieving mild surpluses for the most of the </w:t>
            </w:r>
            <w:r w:rsidR="007260C3">
              <w:rPr>
                <w:rFonts w:cs="Arial"/>
                <w:color w:val="0D0D0D" w:themeColor="text1" w:themeTint="F2"/>
                <w:spacing w:val="-4"/>
                <w:lang w:val="en-GB"/>
              </w:rPr>
              <w:t>year</w:t>
            </w:r>
            <w:r w:rsidR="00D369AD">
              <w:rPr>
                <w:rFonts w:cs="Arial"/>
                <w:color w:val="0D0D0D" w:themeColor="text1" w:themeTint="F2"/>
                <w:spacing w:val="-4"/>
                <w:lang w:val="en-GB"/>
              </w:rPr>
              <w:t xml:space="preserve"> 2017, </w:t>
            </w:r>
            <w:r w:rsidR="002E4C1C">
              <w:rPr>
                <w:rFonts w:cs="Arial"/>
                <w:color w:val="0D0D0D" w:themeColor="text1" w:themeTint="F2"/>
                <w:spacing w:val="-4"/>
                <w:lang w:val="en-GB"/>
              </w:rPr>
              <w:t>only the accelerated drawing o investment as well as some current expenditure towards the end of the year</w:t>
            </w:r>
            <w:r w:rsidR="005D7503" w:rsidRPr="009821FE">
              <w:rPr>
                <w:rStyle w:val="Znakapoznpodarou"/>
                <w:color w:val="0D0D0D" w:themeColor="text1" w:themeTint="F2"/>
                <w:spacing w:val="-4"/>
                <w:lang w:val="en-GB"/>
              </w:rPr>
              <w:footnoteReference w:id="2"/>
            </w:r>
            <w:r w:rsidR="002E4C1C">
              <w:rPr>
                <w:rFonts w:cs="Arial"/>
                <w:color w:val="0D0D0D" w:themeColor="text1" w:themeTint="F2"/>
                <w:spacing w:val="-4"/>
                <w:lang w:val="en-GB"/>
              </w:rPr>
              <w:t xml:space="preserve"> drew it into deficit. The achieved deficit was by 53.8 CZK bn lower in contrast to the approved budget (even by 132 bn in year 2016)</w:t>
            </w:r>
            <w:r w:rsidR="005D7503" w:rsidRPr="009821FE">
              <w:rPr>
                <w:rFonts w:cs="Arial"/>
                <w:color w:val="0D0D0D" w:themeColor="text1" w:themeTint="F2"/>
                <w:spacing w:val="-4"/>
                <w:lang w:val="en-GB"/>
              </w:rPr>
              <w:t xml:space="preserve">. </w:t>
            </w:r>
            <w:r w:rsidR="007260C3">
              <w:rPr>
                <w:rFonts w:cs="Arial"/>
                <w:color w:val="0D0D0D" w:themeColor="text1" w:themeTint="F2"/>
                <w:spacing w:val="-4"/>
                <w:lang w:val="en-GB"/>
              </w:rPr>
              <w:t>SB was affected by both the expanding economic growth and the slower commencement of the drawing of the European funds</w:t>
            </w:r>
            <w:r w:rsidR="005D7503" w:rsidRPr="009821FE">
              <w:rPr>
                <w:rStyle w:val="Znakapoznpodarou"/>
                <w:color w:val="0D0D0D" w:themeColor="text1" w:themeTint="F2"/>
                <w:spacing w:val="-4"/>
                <w:lang w:val="en-GB"/>
              </w:rPr>
              <w:footnoteReference w:id="3"/>
            </w:r>
            <w:r w:rsidR="007260C3">
              <w:rPr>
                <w:rFonts w:cs="Arial"/>
                <w:color w:val="0D0D0D" w:themeColor="text1" w:themeTint="F2"/>
                <w:spacing w:val="-4"/>
                <w:lang w:val="en-GB"/>
              </w:rPr>
              <w:t xml:space="preserve"> throughout the whole last year. SB balance, comprising the key component of the deficit or surplus of the sector of the government institution budget, arrived at +0.1% in relation to the nominal GDP last year (+1.3% a year before). </w:t>
            </w:r>
          </w:p>
          <w:p w:rsidR="007260C3" w:rsidRPr="009821FE" w:rsidRDefault="007260C3" w:rsidP="007260C3">
            <w:pPr>
              <w:pStyle w:val="Textpoznpodarou"/>
              <w:jc w:val="both"/>
              <w:rPr>
                <w:rFonts w:cs="Arial"/>
                <w:color w:val="0D0D0D" w:themeColor="text1" w:themeTint="F2"/>
                <w:spacing w:val="-3"/>
                <w:sz w:val="14"/>
                <w:szCs w:val="14"/>
                <w:lang w:val="en-GB"/>
              </w:rPr>
            </w:pPr>
          </w:p>
        </w:tc>
      </w:tr>
      <w:tr w:rsidR="005D7503" w:rsidRPr="0094422D" w:rsidTr="00CF0826">
        <w:trPr>
          <w:trHeight w:val="145"/>
        </w:trPr>
        <w:tc>
          <w:tcPr>
            <w:tcW w:w="1016" w:type="pct"/>
            <w:shd w:val="clear" w:color="auto" w:fill="auto"/>
          </w:tcPr>
          <w:p w:rsidR="005D7503" w:rsidRPr="00BF2C67" w:rsidRDefault="00BF2C67" w:rsidP="00CF0826">
            <w:pPr>
              <w:spacing w:line="240" w:lineRule="auto"/>
              <w:rPr>
                <w:rFonts w:cs="Arial"/>
                <w:color w:val="0D0D0D" w:themeColor="text1" w:themeTint="F2"/>
                <w:spacing w:val="-2"/>
                <w:sz w:val="16"/>
                <w:szCs w:val="16"/>
                <w:lang w:val="en-GB"/>
              </w:rPr>
            </w:pPr>
            <w:r w:rsidRPr="00BF2C67">
              <w:rPr>
                <w:rFonts w:cs="Arial"/>
                <w:color w:val="0D0D0D" w:themeColor="text1" w:themeTint="F2"/>
                <w:spacing w:val="-2"/>
                <w:sz w:val="16"/>
                <w:szCs w:val="16"/>
                <w:lang w:val="en-GB"/>
              </w:rPr>
              <w:t xml:space="preserve">Total SB revenues lowered for the first time in four years. The swift growth of the tax income including insurance was not enough to offset the sharp fall of the resources from the EU budget. </w:t>
            </w:r>
          </w:p>
          <w:p w:rsidR="005D7503" w:rsidRPr="00BF2C67" w:rsidRDefault="005D7503" w:rsidP="00CF0826">
            <w:pPr>
              <w:spacing w:line="240" w:lineRule="auto"/>
              <w:rPr>
                <w:rFonts w:cs="Arial"/>
                <w:color w:val="0D0D0D" w:themeColor="text1" w:themeTint="F2"/>
                <w:spacing w:val="-2"/>
                <w:sz w:val="16"/>
                <w:szCs w:val="16"/>
                <w:lang w:val="en-GB"/>
              </w:rPr>
            </w:pPr>
          </w:p>
        </w:tc>
        <w:tc>
          <w:tcPr>
            <w:tcW w:w="144" w:type="pct"/>
          </w:tcPr>
          <w:p w:rsidR="005D7503" w:rsidRPr="00BF2C67" w:rsidRDefault="005D7503" w:rsidP="00CF0826">
            <w:pPr>
              <w:pStyle w:val="Textpoznpodarou"/>
              <w:jc w:val="both"/>
              <w:rPr>
                <w:rFonts w:cs="Arial"/>
                <w:color w:val="0D0D0D" w:themeColor="text1" w:themeTint="F2"/>
                <w:lang w:val="en-GB"/>
              </w:rPr>
            </w:pPr>
          </w:p>
        </w:tc>
        <w:tc>
          <w:tcPr>
            <w:tcW w:w="3840" w:type="pct"/>
          </w:tcPr>
          <w:p w:rsidR="005D7503" w:rsidRPr="00BF2C67" w:rsidRDefault="00FF4BD5" w:rsidP="00CF0826">
            <w:pPr>
              <w:pStyle w:val="Textpoznpodarou"/>
              <w:jc w:val="both"/>
              <w:rPr>
                <w:rFonts w:cs="Arial"/>
                <w:color w:val="000000" w:themeColor="text1"/>
                <w:spacing w:val="-4"/>
                <w:lang w:val="en-GB"/>
              </w:rPr>
            </w:pPr>
            <w:r>
              <w:rPr>
                <w:rFonts w:cs="Arial"/>
                <w:color w:val="000000" w:themeColor="text1"/>
                <w:spacing w:val="-4"/>
                <w:lang w:val="en-GB"/>
              </w:rPr>
              <w:t xml:space="preserve">Total SB revenues lowered by 0.6% last year. It occurred for the first time since 2012, when the domestic economy was gripped by recession. The sharp decline of the income from the EU budget stood exclusively behind the last year´s result </w:t>
            </w:r>
            <w:r w:rsidR="005D7503" w:rsidRPr="00BF2C67">
              <w:rPr>
                <w:rFonts w:cs="Arial"/>
                <w:color w:val="000000" w:themeColor="text1"/>
                <w:spacing w:val="-4"/>
                <w:lang w:val="en-GB"/>
              </w:rPr>
              <w:t>(</w:t>
            </w:r>
            <w:r>
              <w:rPr>
                <w:rFonts w:cs="Arial"/>
                <w:color w:val="000000" w:themeColor="text1"/>
                <w:spacing w:val="-4"/>
                <w:lang w:val="en-GB"/>
              </w:rPr>
              <w:t xml:space="preserve">by 82 CZK bn year-on-year, to 77 bn), which was simultaneously by 21 bn deeper than the budget anticipations. </w:t>
            </w:r>
            <w:r w:rsidR="005B6E77">
              <w:rPr>
                <w:rFonts w:cs="Arial"/>
                <w:color w:val="000000" w:themeColor="text1"/>
                <w:spacing w:val="-4"/>
                <w:lang w:val="en-GB"/>
              </w:rPr>
              <w:t xml:space="preserve">The anticipation was on the contrary exceeded for all more volume significant tax revenues. State-wide collection of all tax revenues (incl. insurance) grew by 6.9% last year and approached the value from year 2016 </w:t>
            </w:r>
            <w:r w:rsidR="005D7503" w:rsidRPr="00BF2C67">
              <w:rPr>
                <w:spacing w:val="-4"/>
                <w:lang w:val="en-GB"/>
              </w:rPr>
              <w:t>(+7</w:t>
            </w:r>
            <w:r w:rsidR="005B6E77">
              <w:rPr>
                <w:spacing w:val="-4"/>
                <w:lang w:val="en-GB"/>
              </w:rPr>
              <w:t>.</w:t>
            </w:r>
            <w:r w:rsidR="005D7503" w:rsidRPr="00BF2C67">
              <w:rPr>
                <w:spacing w:val="-4"/>
                <w:lang w:val="en-GB"/>
              </w:rPr>
              <w:t>2</w:t>
            </w:r>
            <w:r w:rsidR="00503955" w:rsidRPr="00BF2C67">
              <w:rPr>
                <w:spacing w:val="-4"/>
                <w:lang w:val="en-GB"/>
              </w:rPr>
              <w:t xml:space="preserve">%, </w:t>
            </w:r>
            <w:r w:rsidR="005B6E77">
              <w:rPr>
                <w:spacing w:val="-4"/>
                <w:lang w:val="en-GB"/>
              </w:rPr>
              <w:t xml:space="preserve">the highest after year </w:t>
            </w:r>
            <w:r w:rsidR="005D7503" w:rsidRPr="00BF2C67">
              <w:rPr>
                <w:spacing w:val="-4"/>
                <w:lang w:val="en-GB"/>
              </w:rPr>
              <w:t xml:space="preserve">2007). </w:t>
            </w:r>
            <w:r w:rsidR="002A04C7">
              <w:rPr>
                <w:spacing w:val="-4"/>
                <w:lang w:val="en-GB"/>
              </w:rPr>
              <w:t xml:space="preserve">Rate of growth of tax revenues weakened in the second half of the last year, especially due to the less favourable collection of the corporate taxes. </w:t>
            </w:r>
            <w:r w:rsidR="005D7503" w:rsidRPr="00BF2C67">
              <w:rPr>
                <w:spacing w:val="-4"/>
                <w:lang w:val="en-GB"/>
              </w:rPr>
              <w:t xml:space="preserve"> </w:t>
            </w:r>
          </w:p>
          <w:p w:rsidR="005D7503" w:rsidRPr="00BF2C67" w:rsidRDefault="005D7503" w:rsidP="00CF0826">
            <w:pPr>
              <w:pStyle w:val="Textpoznpodarou"/>
              <w:jc w:val="both"/>
              <w:rPr>
                <w:rFonts w:cs="Arial"/>
                <w:color w:val="000000" w:themeColor="text1"/>
                <w:spacing w:val="-4"/>
                <w:sz w:val="14"/>
                <w:szCs w:val="14"/>
                <w:lang w:val="en-GB"/>
              </w:rPr>
            </w:pPr>
          </w:p>
        </w:tc>
      </w:tr>
      <w:tr w:rsidR="005D7503" w:rsidRPr="00F06A1D" w:rsidTr="00CF0826">
        <w:trPr>
          <w:trHeight w:val="145"/>
        </w:trPr>
        <w:tc>
          <w:tcPr>
            <w:tcW w:w="1016" w:type="pct"/>
            <w:shd w:val="clear" w:color="auto" w:fill="auto"/>
          </w:tcPr>
          <w:p w:rsidR="005D7503" w:rsidRPr="001012BD" w:rsidRDefault="001012BD" w:rsidP="00CF0826">
            <w:pPr>
              <w:spacing w:line="240" w:lineRule="auto"/>
              <w:rPr>
                <w:rFonts w:cs="Arial"/>
                <w:color w:val="0D0D0D" w:themeColor="text1" w:themeTint="F2"/>
                <w:spacing w:val="-4"/>
                <w:sz w:val="16"/>
                <w:szCs w:val="16"/>
                <w:lang w:val="en-GB"/>
              </w:rPr>
            </w:pPr>
            <w:r w:rsidRPr="001012BD">
              <w:rPr>
                <w:rFonts w:cs="Arial"/>
                <w:color w:val="0D0D0D" w:themeColor="text1" w:themeTint="F2"/>
                <w:spacing w:val="-4"/>
                <w:sz w:val="16"/>
                <w:szCs w:val="16"/>
                <w:lang w:val="en-GB"/>
              </w:rPr>
              <w:t>VAT contributed to the growth of the tax revenues by nearly one half last year, driven mostly by the strengthening expenditures on final households as well as government institutions consumption</w:t>
            </w:r>
            <w:r>
              <w:rPr>
                <w:rFonts w:cs="Arial"/>
                <w:color w:val="0D0D0D" w:themeColor="text1" w:themeTint="F2"/>
                <w:spacing w:val="-4"/>
                <w:sz w:val="16"/>
                <w:szCs w:val="16"/>
                <w:lang w:val="en-GB"/>
              </w:rPr>
              <w:t>.</w:t>
            </w:r>
            <w:r w:rsidRPr="001012BD">
              <w:rPr>
                <w:rFonts w:cs="Arial"/>
                <w:color w:val="0D0D0D" w:themeColor="text1" w:themeTint="F2"/>
                <w:spacing w:val="-4"/>
                <w:sz w:val="16"/>
                <w:szCs w:val="16"/>
                <w:lang w:val="en-GB"/>
              </w:rPr>
              <w:t xml:space="preserve"> </w:t>
            </w:r>
          </w:p>
        </w:tc>
        <w:tc>
          <w:tcPr>
            <w:tcW w:w="144" w:type="pct"/>
          </w:tcPr>
          <w:p w:rsidR="005D7503" w:rsidRPr="001012BD" w:rsidRDefault="005D7503" w:rsidP="00CF0826">
            <w:pPr>
              <w:pStyle w:val="Textpoznpodarou"/>
              <w:jc w:val="both"/>
              <w:rPr>
                <w:rFonts w:cs="Arial"/>
                <w:color w:val="0D0D0D" w:themeColor="text1" w:themeTint="F2"/>
                <w:lang w:val="en-GB"/>
              </w:rPr>
            </w:pPr>
          </w:p>
        </w:tc>
        <w:tc>
          <w:tcPr>
            <w:tcW w:w="3840" w:type="pct"/>
          </w:tcPr>
          <w:p w:rsidR="005D7503" w:rsidRDefault="00D80A6A" w:rsidP="00D2689E">
            <w:pPr>
              <w:pStyle w:val="Textpoznpodarou"/>
              <w:jc w:val="both"/>
              <w:rPr>
                <w:rFonts w:cs="Arial"/>
                <w:color w:val="0D0D0D" w:themeColor="text1" w:themeTint="F2"/>
                <w:spacing w:val="-4"/>
                <w:lang w:val="en-GB"/>
              </w:rPr>
            </w:pPr>
            <w:r>
              <w:rPr>
                <w:rFonts w:cs="Arial"/>
                <w:color w:val="0D0D0D" w:themeColor="text1" w:themeTint="F2"/>
                <w:spacing w:val="-4"/>
                <w:lang w:val="en-GB"/>
              </w:rPr>
              <w:t xml:space="preserve">While the high collection of the corporate taxes drove the growth of the SB tax revenues (excluding insurance) in both years </w:t>
            </w:r>
            <w:r w:rsidR="005D7503" w:rsidRPr="001012BD">
              <w:rPr>
                <w:rFonts w:cs="Arial"/>
                <w:color w:val="0D0D0D" w:themeColor="text1" w:themeTint="F2"/>
                <w:spacing w:val="-4"/>
                <w:lang w:val="en-GB"/>
              </w:rPr>
              <w:t xml:space="preserve">2015 </w:t>
            </w:r>
            <w:r>
              <w:rPr>
                <w:rFonts w:cs="Arial"/>
                <w:color w:val="0D0D0D" w:themeColor="text1" w:themeTint="F2"/>
                <w:spacing w:val="-4"/>
                <w:lang w:val="en-GB"/>
              </w:rPr>
              <w:t>and 2</w:t>
            </w:r>
            <w:r w:rsidR="005D7503" w:rsidRPr="001012BD">
              <w:rPr>
                <w:rFonts w:cs="Arial"/>
                <w:color w:val="0D0D0D" w:themeColor="text1" w:themeTint="F2"/>
                <w:spacing w:val="-4"/>
                <w:lang w:val="en-GB"/>
              </w:rPr>
              <w:t xml:space="preserve">016, </w:t>
            </w:r>
            <w:r w:rsidR="00493F5F">
              <w:rPr>
                <w:rFonts w:cs="Arial"/>
                <w:color w:val="0D0D0D" w:themeColor="text1" w:themeTint="F2"/>
                <w:spacing w:val="-4"/>
                <w:lang w:val="en-GB"/>
              </w:rPr>
              <w:t xml:space="preserve">on the contrary it was VAT last year, which </w:t>
            </w:r>
            <w:r>
              <w:rPr>
                <w:rFonts w:cs="Arial"/>
                <w:color w:val="0D0D0D" w:themeColor="text1" w:themeTint="F2"/>
                <w:spacing w:val="-4"/>
                <w:lang w:val="en-GB"/>
              </w:rPr>
              <w:t>contributed</w:t>
            </w:r>
            <w:r w:rsidR="00493F5F">
              <w:rPr>
                <w:rFonts w:cs="Arial"/>
                <w:color w:val="0D0D0D" w:themeColor="text1" w:themeTint="F2"/>
                <w:spacing w:val="-4"/>
                <w:lang w:val="en-GB"/>
              </w:rPr>
              <w:t xml:space="preserve"> to the growth by nearly one half. VAT collection strengthened by 8.3</w:t>
            </w:r>
            <w:r w:rsidR="005D7503" w:rsidRPr="001012BD">
              <w:rPr>
                <w:rStyle w:val="Znakapoznpodarou"/>
                <w:color w:val="000000" w:themeColor="text1"/>
                <w:spacing w:val="-4"/>
                <w:lang w:val="en-GB"/>
              </w:rPr>
              <w:footnoteReference w:id="4"/>
            </w:r>
            <w:r w:rsidR="00493F5F">
              <w:rPr>
                <w:rFonts w:cs="Arial"/>
                <w:color w:val="0D0D0D" w:themeColor="text1" w:themeTint="F2"/>
                <w:spacing w:val="-4"/>
                <w:lang w:val="en-GB"/>
              </w:rPr>
              <w:t xml:space="preserve"> year-on-year</w:t>
            </w:r>
            <w:r w:rsidR="005D7503" w:rsidRPr="001012BD">
              <w:rPr>
                <w:rFonts w:cs="Arial"/>
                <w:color w:val="0D0D0D" w:themeColor="text1" w:themeTint="F2"/>
                <w:spacing w:val="-4"/>
                <w:lang w:val="en-GB"/>
              </w:rPr>
              <w:t xml:space="preserve">, </w:t>
            </w:r>
            <w:r w:rsidR="00493F5F">
              <w:rPr>
                <w:rFonts w:cs="Arial"/>
                <w:color w:val="0D0D0D" w:themeColor="text1" w:themeTint="F2"/>
                <w:spacing w:val="-4"/>
                <w:lang w:val="en-GB"/>
              </w:rPr>
              <w:t>at the level of all public budgets then by 9.</w:t>
            </w:r>
            <w:r w:rsidR="005D7503" w:rsidRPr="001012BD">
              <w:rPr>
                <w:rFonts w:cs="Arial"/>
                <w:color w:val="0D0D0D" w:themeColor="text1" w:themeTint="F2"/>
                <w:spacing w:val="-4"/>
                <w:lang w:val="en-GB"/>
              </w:rPr>
              <w:t>1% (</w:t>
            </w:r>
            <w:r w:rsidR="00493F5F">
              <w:rPr>
                <w:rFonts w:cs="Arial"/>
                <w:color w:val="0D0D0D" w:themeColor="text1" w:themeTint="F2"/>
                <w:spacing w:val="-4"/>
                <w:lang w:val="en-GB"/>
              </w:rPr>
              <w:t>by 5.4% the year before</w:t>
            </w:r>
            <w:r w:rsidR="005D7503" w:rsidRPr="001012BD">
              <w:rPr>
                <w:rFonts w:cs="Arial"/>
                <w:color w:val="0D0D0D" w:themeColor="text1" w:themeTint="F2"/>
                <w:spacing w:val="-4"/>
                <w:lang w:val="en-GB"/>
              </w:rPr>
              <w:t xml:space="preserve">). </w:t>
            </w:r>
            <w:r w:rsidR="00DD20FA">
              <w:rPr>
                <w:rFonts w:cs="Arial"/>
                <w:color w:val="0D0D0D" w:themeColor="text1" w:themeTint="F2"/>
                <w:spacing w:val="-4"/>
                <w:lang w:val="en-GB"/>
              </w:rPr>
              <w:t xml:space="preserve">The accelerated growth was caused especially by the development in Q2. </w:t>
            </w:r>
            <w:r w:rsidR="00D2689E">
              <w:rPr>
                <w:rFonts w:cs="Arial"/>
                <w:color w:val="0D0D0D" w:themeColor="text1" w:themeTint="F2"/>
                <w:spacing w:val="-4"/>
                <w:lang w:val="en-GB"/>
              </w:rPr>
              <w:t xml:space="preserve">The transfer of some activities from the grey economy due to recent measures introduced on the side of the tax collection also contributed to this result. Still, the economic growth mirrored also in the final consumption expenditures – which increased in nominal terms for households year-on-year by 6.5%, for government institutions by 5.0% in 2017, continued to represent the key factor behind the higher collection of VAT. </w:t>
            </w:r>
          </w:p>
          <w:p w:rsidR="00D2689E" w:rsidRPr="001012BD" w:rsidRDefault="00D2689E" w:rsidP="00D2689E">
            <w:pPr>
              <w:pStyle w:val="Textpoznpodarou"/>
              <w:jc w:val="both"/>
              <w:rPr>
                <w:rFonts w:cs="Arial"/>
                <w:color w:val="0D0D0D" w:themeColor="text1" w:themeTint="F2"/>
                <w:spacing w:val="-4"/>
                <w:sz w:val="14"/>
                <w:szCs w:val="14"/>
                <w:lang w:val="en-GB"/>
              </w:rPr>
            </w:pPr>
          </w:p>
        </w:tc>
      </w:tr>
      <w:tr w:rsidR="005D7503" w:rsidRPr="0094422D" w:rsidTr="00CF0826">
        <w:trPr>
          <w:trHeight w:val="145"/>
        </w:trPr>
        <w:tc>
          <w:tcPr>
            <w:tcW w:w="1016" w:type="pct"/>
            <w:shd w:val="clear" w:color="auto" w:fill="auto"/>
          </w:tcPr>
          <w:p w:rsidR="005D7503" w:rsidRPr="00650C83" w:rsidRDefault="004475C7" w:rsidP="00CF0826">
            <w:pPr>
              <w:spacing w:line="240" w:lineRule="auto"/>
              <w:rPr>
                <w:rFonts w:cs="Arial"/>
                <w:color w:val="0D0D0D" w:themeColor="text1" w:themeTint="F2"/>
                <w:spacing w:val="-2"/>
                <w:sz w:val="16"/>
                <w:szCs w:val="16"/>
                <w:lang w:val="en-GB"/>
              </w:rPr>
            </w:pPr>
            <w:r w:rsidRPr="00650C83">
              <w:rPr>
                <w:rFonts w:cs="Arial"/>
                <w:color w:val="0D0D0D" w:themeColor="text1" w:themeTint="F2"/>
                <w:spacing w:val="-2"/>
                <w:sz w:val="16"/>
                <w:szCs w:val="16"/>
                <w:lang w:val="en-GB"/>
              </w:rPr>
              <w:t xml:space="preserve">Collection of consumer tax on mineral oils increased thanks to the higher </w:t>
            </w:r>
            <w:r w:rsidR="00650C83" w:rsidRPr="00650C83">
              <w:rPr>
                <w:rFonts w:cs="Arial"/>
                <w:color w:val="0D0D0D" w:themeColor="text1" w:themeTint="F2"/>
                <w:spacing w:val="-2"/>
                <w:sz w:val="16"/>
                <w:szCs w:val="16"/>
                <w:lang w:val="en-GB"/>
              </w:rPr>
              <w:t xml:space="preserve">freight </w:t>
            </w:r>
            <w:r w:rsidRPr="00650C83">
              <w:rPr>
                <w:rFonts w:cs="Arial"/>
                <w:color w:val="0D0D0D" w:themeColor="text1" w:themeTint="F2"/>
                <w:spacing w:val="-2"/>
                <w:sz w:val="16"/>
                <w:szCs w:val="16"/>
                <w:lang w:val="en-GB"/>
              </w:rPr>
              <w:t>transport</w:t>
            </w:r>
            <w:r w:rsidR="005D7503" w:rsidRPr="00650C83">
              <w:rPr>
                <w:rFonts w:cs="Arial"/>
                <w:color w:val="0D0D0D" w:themeColor="text1" w:themeTint="F2"/>
                <w:spacing w:val="-2"/>
                <w:sz w:val="16"/>
                <w:szCs w:val="16"/>
                <w:lang w:val="en-GB"/>
              </w:rPr>
              <w:t>.</w:t>
            </w:r>
            <w:r w:rsidR="00650C83">
              <w:rPr>
                <w:rFonts w:cs="Arial"/>
                <w:color w:val="0D0D0D" w:themeColor="text1" w:themeTint="F2"/>
                <w:spacing w:val="-2"/>
                <w:sz w:val="16"/>
                <w:szCs w:val="16"/>
                <w:lang w:val="en-GB"/>
              </w:rPr>
              <w:t xml:space="preserve"> Collection of tax on tobacco products was supported by the January increase of </w:t>
            </w:r>
            <w:r w:rsidR="00B1076A">
              <w:rPr>
                <w:rFonts w:cs="Arial"/>
                <w:color w:val="0D0D0D" w:themeColor="text1" w:themeTint="F2"/>
                <w:spacing w:val="-2"/>
                <w:sz w:val="16"/>
                <w:szCs w:val="16"/>
                <w:lang w:val="en-GB"/>
              </w:rPr>
              <w:t xml:space="preserve">rate </w:t>
            </w:r>
            <w:r w:rsidR="00650C83">
              <w:rPr>
                <w:rFonts w:cs="Arial"/>
                <w:color w:val="0D0D0D" w:themeColor="text1" w:themeTint="F2"/>
                <w:spacing w:val="-2"/>
                <w:sz w:val="16"/>
                <w:szCs w:val="16"/>
                <w:lang w:val="en-GB"/>
              </w:rPr>
              <w:t xml:space="preserve">of this tax. </w:t>
            </w:r>
            <w:r w:rsidR="00650C83" w:rsidRPr="00650C83">
              <w:rPr>
                <w:rFonts w:cs="Arial"/>
                <w:color w:val="0D0D0D" w:themeColor="text1" w:themeTint="F2"/>
                <w:spacing w:val="-2"/>
                <w:sz w:val="16"/>
                <w:szCs w:val="16"/>
                <w:lang w:val="en-GB"/>
              </w:rPr>
              <w:t xml:space="preserve"> </w:t>
            </w:r>
            <w:r w:rsidR="005D7503" w:rsidRPr="00650C83">
              <w:rPr>
                <w:rFonts w:cs="Arial"/>
                <w:color w:val="0D0D0D" w:themeColor="text1" w:themeTint="F2"/>
                <w:spacing w:val="-2"/>
                <w:sz w:val="16"/>
                <w:szCs w:val="16"/>
                <w:lang w:val="en-GB"/>
              </w:rPr>
              <w:t xml:space="preserve"> </w:t>
            </w:r>
          </w:p>
        </w:tc>
        <w:tc>
          <w:tcPr>
            <w:tcW w:w="144" w:type="pct"/>
          </w:tcPr>
          <w:p w:rsidR="005D7503" w:rsidRPr="00650C83" w:rsidRDefault="005D7503" w:rsidP="00CF0826">
            <w:pPr>
              <w:pStyle w:val="Textpoznpodarou"/>
              <w:jc w:val="both"/>
              <w:rPr>
                <w:rFonts w:cs="Arial"/>
                <w:color w:val="0D0D0D" w:themeColor="text1" w:themeTint="F2"/>
                <w:lang w:val="en-GB"/>
              </w:rPr>
            </w:pPr>
          </w:p>
        </w:tc>
        <w:tc>
          <w:tcPr>
            <w:tcW w:w="3840" w:type="pct"/>
          </w:tcPr>
          <w:p w:rsidR="005D7503" w:rsidRPr="00650C83" w:rsidRDefault="00092832" w:rsidP="00CF0826">
            <w:pPr>
              <w:pStyle w:val="Textpoznpodarou"/>
              <w:jc w:val="both"/>
              <w:rPr>
                <w:spacing w:val="-4"/>
                <w:lang w:val="en-GB"/>
              </w:rPr>
            </w:pPr>
            <w:r>
              <w:rPr>
                <w:rFonts w:cs="Arial"/>
                <w:color w:val="000000" w:themeColor="text1"/>
                <w:spacing w:val="-4"/>
                <w:lang w:val="en-GB"/>
              </w:rPr>
              <w:t xml:space="preserve">The SB received by 2.9% more from all consumer taxes year-on-year in 2017. The collection of two most significant subgroups – tax on mineral oils and tax on the tobacco products strengthened by a similar pace. Growing freight transportation had a positive effect in the weight dominant tax on the mineral oils, especially the consumption of </w:t>
            </w:r>
            <w:r>
              <w:rPr>
                <w:spacing w:val="-2"/>
                <w:lang w:val="en-GB"/>
              </w:rPr>
              <w:t>the diesel fuel and jet fuel</w:t>
            </w:r>
            <w:r w:rsidR="005D7503" w:rsidRPr="00650C83">
              <w:rPr>
                <w:rFonts w:cs="Arial"/>
                <w:color w:val="000000" w:themeColor="text1"/>
                <w:spacing w:val="-4"/>
                <w:lang w:val="en-GB"/>
              </w:rPr>
              <w:t xml:space="preserve"> </w:t>
            </w:r>
            <w:r>
              <w:rPr>
                <w:rFonts w:cs="Arial"/>
                <w:color w:val="000000" w:themeColor="text1"/>
                <w:spacing w:val="-4"/>
                <w:lang w:val="en-GB"/>
              </w:rPr>
              <w:t xml:space="preserve">was growing. Year-on-year rate of growth of the retails sales for fuels nearly doubled during 2017 </w:t>
            </w:r>
            <w:r w:rsidR="005D7503" w:rsidRPr="00650C83">
              <w:rPr>
                <w:rFonts w:cs="Arial"/>
                <w:color w:val="000000" w:themeColor="text1"/>
                <w:spacing w:val="-4"/>
                <w:lang w:val="en-GB"/>
              </w:rPr>
              <w:t>(</w:t>
            </w:r>
            <w:r>
              <w:rPr>
                <w:rFonts w:cs="Arial"/>
                <w:color w:val="000000" w:themeColor="text1"/>
                <w:spacing w:val="-4"/>
                <w:lang w:val="en-GB"/>
              </w:rPr>
              <w:t>from</w:t>
            </w:r>
            <w:r w:rsidR="005369CF" w:rsidRPr="00650C83">
              <w:rPr>
                <w:rFonts w:cs="Arial"/>
                <w:color w:val="000000" w:themeColor="text1"/>
                <w:spacing w:val="-4"/>
                <w:lang w:val="en-GB"/>
              </w:rPr>
              <w:t> </w:t>
            </w:r>
            <w:r w:rsidR="005D7503" w:rsidRPr="00650C83">
              <w:rPr>
                <w:rFonts w:cs="Arial"/>
                <w:color w:val="000000" w:themeColor="text1"/>
                <w:spacing w:val="-4"/>
                <w:lang w:val="en-GB"/>
              </w:rPr>
              <w:t>3</w:t>
            </w:r>
            <w:r>
              <w:rPr>
                <w:rFonts w:cs="Arial"/>
                <w:color w:val="000000" w:themeColor="text1"/>
                <w:spacing w:val="-4"/>
                <w:lang w:val="en-GB"/>
              </w:rPr>
              <w:t>.</w:t>
            </w:r>
            <w:r w:rsidR="005D7503" w:rsidRPr="00650C83">
              <w:rPr>
                <w:rFonts w:cs="Arial"/>
                <w:color w:val="000000" w:themeColor="text1"/>
                <w:spacing w:val="-4"/>
                <w:lang w:val="en-GB"/>
              </w:rPr>
              <w:t xml:space="preserve">4% </w:t>
            </w:r>
            <w:r>
              <w:rPr>
                <w:rFonts w:cs="Arial"/>
                <w:color w:val="000000" w:themeColor="text1"/>
                <w:spacing w:val="-4"/>
                <w:lang w:val="en-GB"/>
              </w:rPr>
              <w:t>in Q</w:t>
            </w:r>
            <w:r w:rsidR="005D7503" w:rsidRPr="00650C83">
              <w:rPr>
                <w:rFonts w:cs="Arial"/>
                <w:color w:val="000000" w:themeColor="text1"/>
                <w:spacing w:val="-4"/>
                <w:lang w:val="en-GB"/>
              </w:rPr>
              <w:t>1</w:t>
            </w:r>
            <w:r>
              <w:rPr>
                <w:rFonts w:cs="Arial"/>
                <w:color w:val="000000" w:themeColor="text1"/>
                <w:spacing w:val="-4"/>
                <w:lang w:val="en-GB"/>
              </w:rPr>
              <w:t xml:space="preserve"> to </w:t>
            </w:r>
            <w:r w:rsidR="005D7503" w:rsidRPr="00650C83">
              <w:rPr>
                <w:rFonts w:cs="Arial"/>
                <w:color w:val="000000" w:themeColor="text1"/>
                <w:spacing w:val="-4"/>
                <w:lang w:val="en-GB"/>
              </w:rPr>
              <w:t>6</w:t>
            </w:r>
            <w:r>
              <w:rPr>
                <w:rFonts w:cs="Arial"/>
                <w:color w:val="000000" w:themeColor="text1"/>
                <w:spacing w:val="-4"/>
                <w:lang w:val="en-GB"/>
              </w:rPr>
              <w:t>.</w:t>
            </w:r>
            <w:r w:rsidR="005D7503" w:rsidRPr="00650C83">
              <w:rPr>
                <w:rFonts w:cs="Arial"/>
                <w:color w:val="000000" w:themeColor="text1"/>
                <w:spacing w:val="-4"/>
                <w:lang w:val="en-GB"/>
              </w:rPr>
              <w:t xml:space="preserve">6% </w:t>
            </w:r>
            <w:r>
              <w:rPr>
                <w:rFonts w:cs="Arial"/>
                <w:color w:val="000000" w:themeColor="text1"/>
                <w:spacing w:val="-4"/>
                <w:lang w:val="en-GB"/>
              </w:rPr>
              <w:t>in Q4</w:t>
            </w:r>
            <w:r w:rsidR="005D7503" w:rsidRPr="00650C83">
              <w:rPr>
                <w:rFonts w:cs="Arial"/>
                <w:color w:val="000000" w:themeColor="text1"/>
                <w:spacing w:val="-4"/>
                <w:lang w:val="en-GB"/>
              </w:rPr>
              <w:t>). T</w:t>
            </w:r>
            <w:r w:rsidR="00DC08E4">
              <w:rPr>
                <w:rFonts w:cs="Arial"/>
                <w:color w:val="000000" w:themeColor="text1"/>
                <w:spacing w:val="-4"/>
                <w:lang w:val="en-GB"/>
              </w:rPr>
              <w:t xml:space="preserve">hese influences overtook the impact of the instruction of the so called green fuel also for the animal primary production, which in contrast mildly subdued the collection of tax. </w:t>
            </w:r>
            <w:r w:rsidR="00062E1E">
              <w:rPr>
                <w:rFonts w:cs="Arial"/>
                <w:color w:val="000000" w:themeColor="text1"/>
                <w:spacing w:val="-4"/>
                <w:lang w:val="en-GB"/>
              </w:rPr>
              <w:t xml:space="preserve">With respect to the collection of tax on tobacco products, especially the increased tax rate since January 2017 stood behind its growth. </w:t>
            </w:r>
          </w:p>
          <w:p w:rsidR="005D7503" w:rsidRPr="00650C83" w:rsidRDefault="005D7503" w:rsidP="00CF0826">
            <w:pPr>
              <w:pStyle w:val="Textpoznpodarou"/>
              <w:jc w:val="both"/>
              <w:rPr>
                <w:rFonts w:cs="Arial"/>
                <w:color w:val="000000" w:themeColor="text1"/>
                <w:spacing w:val="-4"/>
                <w:sz w:val="14"/>
                <w:szCs w:val="14"/>
                <w:lang w:val="en-GB"/>
              </w:rPr>
            </w:pPr>
          </w:p>
        </w:tc>
      </w:tr>
      <w:tr w:rsidR="005D7503" w:rsidRPr="00751FC1" w:rsidTr="00CF0826">
        <w:trPr>
          <w:trHeight w:val="145"/>
        </w:trPr>
        <w:tc>
          <w:tcPr>
            <w:tcW w:w="1016" w:type="pct"/>
            <w:shd w:val="clear" w:color="auto" w:fill="auto"/>
          </w:tcPr>
          <w:p w:rsidR="005D7503" w:rsidRPr="00EB592C" w:rsidRDefault="00EB592C" w:rsidP="00CF0826">
            <w:pPr>
              <w:spacing w:line="240" w:lineRule="auto"/>
              <w:rPr>
                <w:rFonts w:cs="Arial"/>
                <w:bCs/>
                <w:iCs/>
                <w:color w:val="0D0D0D" w:themeColor="text1" w:themeTint="F2"/>
                <w:spacing w:val="-2"/>
                <w:sz w:val="16"/>
                <w:szCs w:val="16"/>
                <w:lang w:val="en-GB"/>
              </w:rPr>
            </w:pPr>
            <w:r w:rsidRPr="00EB592C">
              <w:rPr>
                <w:rFonts w:cs="Arial"/>
                <w:bCs/>
                <w:iCs/>
                <w:color w:val="0D0D0D" w:themeColor="text1" w:themeTint="F2"/>
                <w:spacing w:val="-2"/>
                <w:sz w:val="16"/>
                <w:szCs w:val="16"/>
                <w:lang w:val="en-GB"/>
              </w:rPr>
              <w:t xml:space="preserve">Collection of corporate tax grew by the weakest pace for the last four years, among other things due to the strengthening wage costs </w:t>
            </w:r>
            <w:r w:rsidRPr="00EB592C">
              <w:rPr>
                <w:rFonts w:cs="Arial"/>
                <w:bCs/>
                <w:iCs/>
                <w:color w:val="0D0D0D" w:themeColor="text1" w:themeTint="F2"/>
                <w:spacing w:val="-2"/>
                <w:sz w:val="16"/>
                <w:szCs w:val="16"/>
                <w:lang w:val="en-GB"/>
              </w:rPr>
              <w:lastRenderedPageBreak/>
              <w:t xml:space="preserve">of firms. </w:t>
            </w:r>
            <w:r w:rsidR="005D7503" w:rsidRPr="00EB592C">
              <w:rPr>
                <w:rFonts w:cs="Arial"/>
                <w:bCs/>
                <w:iCs/>
                <w:color w:val="0D0D0D" w:themeColor="text1" w:themeTint="F2"/>
                <w:spacing w:val="-2"/>
                <w:sz w:val="16"/>
                <w:szCs w:val="16"/>
                <w:lang w:val="en-GB"/>
              </w:rPr>
              <w:t xml:space="preserve"> </w:t>
            </w:r>
          </w:p>
        </w:tc>
        <w:tc>
          <w:tcPr>
            <w:tcW w:w="144" w:type="pct"/>
          </w:tcPr>
          <w:p w:rsidR="005D7503" w:rsidRPr="00EB592C" w:rsidRDefault="005D7503" w:rsidP="00CF0826">
            <w:pPr>
              <w:pStyle w:val="Textpoznpodarou"/>
              <w:jc w:val="both"/>
              <w:rPr>
                <w:rFonts w:cs="Arial"/>
                <w:color w:val="0D0D0D" w:themeColor="text1" w:themeTint="F2"/>
                <w:lang w:val="en-GB"/>
              </w:rPr>
            </w:pPr>
          </w:p>
        </w:tc>
        <w:tc>
          <w:tcPr>
            <w:tcW w:w="3840" w:type="pct"/>
          </w:tcPr>
          <w:p w:rsidR="005D7503" w:rsidRPr="00EB592C" w:rsidRDefault="00EB592C" w:rsidP="00CF0826">
            <w:pPr>
              <w:pStyle w:val="Textpoznpodarou"/>
              <w:jc w:val="both"/>
              <w:rPr>
                <w:spacing w:val="-4"/>
                <w:lang w:val="en-GB"/>
              </w:rPr>
            </w:pPr>
            <w:r>
              <w:rPr>
                <w:spacing w:val="-4"/>
                <w:lang w:val="en-GB"/>
              </w:rPr>
              <w:t xml:space="preserve">Speed of the collection of the corporate tax was weakening during 2017 and the state-wide collection was lower compared to the same period of the last year already in Q3. </w:t>
            </w:r>
            <w:r w:rsidR="005E7506">
              <w:rPr>
                <w:spacing w:val="-4"/>
                <w:lang w:val="en-GB"/>
              </w:rPr>
              <w:t>It concerned the first year-on-year fall since the end of year 2013. Thanks to a</w:t>
            </w:r>
            <w:r w:rsidR="00814833">
              <w:rPr>
                <w:spacing w:val="-4"/>
                <w:lang w:val="en-GB"/>
              </w:rPr>
              <w:t xml:space="preserve"> </w:t>
            </w:r>
            <w:r w:rsidR="005E7506">
              <w:rPr>
                <w:spacing w:val="-4"/>
                <w:lang w:val="en-GB"/>
              </w:rPr>
              <w:t xml:space="preserve">higher collection in Q4, the yearly budget anticipations for this tax was fulfilled. Its collection was by 3.6% higher year-on-year, however it was the weakest growth in the last four </w:t>
            </w:r>
            <w:r w:rsidR="005E7506">
              <w:rPr>
                <w:spacing w:val="-4"/>
                <w:lang w:val="en-GB"/>
              </w:rPr>
              <w:lastRenderedPageBreak/>
              <w:t xml:space="preserve">years. </w:t>
            </w:r>
            <w:r w:rsidR="005D7503" w:rsidRPr="00EB592C">
              <w:rPr>
                <w:spacing w:val="-4"/>
                <w:lang w:val="en-GB"/>
              </w:rPr>
              <w:t xml:space="preserve"> </w:t>
            </w:r>
            <w:r w:rsidR="00CE0ABC">
              <w:rPr>
                <w:spacing w:val="-4"/>
                <w:lang w:val="en-GB"/>
              </w:rPr>
              <w:t xml:space="preserve">The mildly falling profitability of businesses </w:t>
            </w:r>
            <w:r w:rsidR="00F916FB">
              <w:rPr>
                <w:spacing w:val="-4"/>
                <w:lang w:val="en-GB"/>
              </w:rPr>
              <w:t>f</w:t>
            </w:r>
            <w:r w:rsidR="00CE0ABC">
              <w:rPr>
                <w:spacing w:val="-4"/>
                <w:lang w:val="en-GB"/>
              </w:rPr>
              <w:t>rom years 2016 (and partially also 2017) already started to show to a higher extent, mostly due to the intensifying wage costs.</w:t>
            </w:r>
            <w:r w:rsidR="00827D56">
              <w:rPr>
                <w:spacing w:val="-4"/>
                <w:lang w:val="en-GB"/>
              </w:rPr>
              <w:t xml:space="preserve"> Last year´s collection still did not reach the level from the peak of the business cycle of the last decade, partially also because of the mild reduction of the tax rates. </w:t>
            </w:r>
            <w:r w:rsidR="005D7503" w:rsidRPr="00EB592C">
              <w:rPr>
                <w:rFonts w:cs="Arial"/>
                <w:color w:val="0D0D0D" w:themeColor="text1" w:themeTint="F2"/>
                <w:spacing w:val="-4"/>
                <w:lang w:val="en-GB"/>
              </w:rPr>
              <w:t xml:space="preserve"> </w:t>
            </w:r>
          </w:p>
          <w:p w:rsidR="005D7503" w:rsidRPr="00EB592C" w:rsidRDefault="005D7503" w:rsidP="00CF0826">
            <w:pPr>
              <w:pStyle w:val="Textpoznpodarou"/>
              <w:jc w:val="both"/>
              <w:rPr>
                <w:spacing w:val="-4"/>
                <w:sz w:val="14"/>
                <w:szCs w:val="14"/>
                <w:lang w:val="en-GB"/>
              </w:rPr>
            </w:pPr>
          </w:p>
        </w:tc>
      </w:tr>
      <w:tr w:rsidR="005D7503" w:rsidRPr="00F06A1D" w:rsidTr="00CF0826">
        <w:trPr>
          <w:trHeight w:val="233"/>
        </w:trPr>
        <w:tc>
          <w:tcPr>
            <w:tcW w:w="1016" w:type="pct"/>
            <w:shd w:val="clear" w:color="auto" w:fill="auto"/>
          </w:tcPr>
          <w:p w:rsidR="005D7503" w:rsidRPr="003E2469" w:rsidRDefault="005D7503" w:rsidP="00CF0826">
            <w:pPr>
              <w:spacing w:line="240" w:lineRule="auto"/>
              <w:rPr>
                <w:rFonts w:cs="Arial"/>
                <w:color w:val="0D0D0D" w:themeColor="text1" w:themeTint="F2"/>
                <w:spacing w:val="-4"/>
                <w:sz w:val="16"/>
                <w:szCs w:val="16"/>
                <w:lang w:val="en-GB"/>
              </w:rPr>
            </w:pPr>
            <w:r w:rsidRPr="003E2469">
              <w:rPr>
                <w:rFonts w:cs="Arial"/>
                <w:color w:val="0D0D0D" w:themeColor="text1" w:themeTint="F2"/>
                <w:spacing w:val="-4"/>
                <w:sz w:val="16"/>
                <w:szCs w:val="16"/>
                <w:lang w:val="en-GB"/>
              </w:rPr>
              <w:lastRenderedPageBreak/>
              <w:t>R</w:t>
            </w:r>
            <w:r w:rsidR="00650C83" w:rsidRPr="003E2469">
              <w:rPr>
                <w:rFonts w:cs="Arial"/>
                <w:color w:val="0D0D0D" w:themeColor="text1" w:themeTint="F2"/>
                <w:spacing w:val="-4"/>
                <w:sz w:val="16"/>
                <w:szCs w:val="16"/>
                <w:lang w:val="en-GB"/>
              </w:rPr>
              <w:t xml:space="preserve">ecord level of employment, heightening growth of the average wages as well as the increase of the level of the </w:t>
            </w:r>
            <w:r w:rsidR="003E2469" w:rsidRPr="003E2469">
              <w:rPr>
                <w:rFonts w:cs="Arial"/>
                <w:color w:val="0D0D0D" w:themeColor="text1" w:themeTint="F2"/>
                <w:spacing w:val="-4"/>
                <w:sz w:val="16"/>
                <w:szCs w:val="16"/>
                <w:lang w:val="en-GB"/>
              </w:rPr>
              <w:t>minimu</w:t>
            </w:r>
            <w:r w:rsidR="003E2469">
              <w:rPr>
                <w:rFonts w:cs="Arial"/>
                <w:color w:val="0D0D0D" w:themeColor="text1" w:themeTint="F2"/>
                <w:spacing w:val="-4"/>
                <w:sz w:val="16"/>
                <w:szCs w:val="16"/>
                <w:lang w:val="en-GB"/>
              </w:rPr>
              <w:t xml:space="preserve">m </w:t>
            </w:r>
            <w:r w:rsidR="003E2469" w:rsidRPr="003E2469">
              <w:rPr>
                <w:rFonts w:cs="Arial"/>
                <w:color w:val="0D0D0D" w:themeColor="text1" w:themeTint="F2"/>
                <w:spacing w:val="-4"/>
                <w:sz w:val="16"/>
                <w:szCs w:val="16"/>
                <w:lang w:val="en-GB"/>
              </w:rPr>
              <w:t>wage</w:t>
            </w:r>
            <w:r w:rsidR="00650C83" w:rsidRPr="003E2469">
              <w:rPr>
                <w:rFonts w:cs="Arial"/>
                <w:color w:val="0D0D0D" w:themeColor="text1" w:themeTint="F2"/>
                <w:spacing w:val="-4"/>
                <w:sz w:val="16"/>
                <w:szCs w:val="16"/>
                <w:lang w:val="en-GB"/>
              </w:rPr>
              <w:t xml:space="preserve"> increased dynamics of the growth of the collection of </w:t>
            </w:r>
            <w:r w:rsidR="00650C83" w:rsidRPr="003E2469">
              <w:rPr>
                <w:color w:val="0D0D0D" w:themeColor="text1" w:themeTint="F2"/>
                <w:spacing w:val="-2"/>
                <w:sz w:val="16"/>
                <w:szCs w:val="16"/>
                <w:lang w:val="en-GB"/>
              </w:rPr>
              <w:t>income taxes of natural persons</w:t>
            </w:r>
            <w:r w:rsidR="003E2469">
              <w:rPr>
                <w:color w:val="0D0D0D" w:themeColor="text1" w:themeTint="F2"/>
                <w:spacing w:val="-2"/>
                <w:sz w:val="16"/>
                <w:szCs w:val="16"/>
                <w:lang w:val="en-GB"/>
              </w:rPr>
              <w:t xml:space="preserve"> from </w:t>
            </w:r>
            <w:r w:rsidR="00B92C9D">
              <w:rPr>
                <w:color w:val="0D0D0D" w:themeColor="text1" w:themeTint="F2"/>
                <w:spacing w:val="-2"/>
                <w:sz w:val="16"/>
                <w:szCs w:val="16"/>
                <w:lang w:val="en-GB"/>
              </w:rPr>
              <w:t>employment</w:t>
            </w:r>
            <w:r w:rsidR="003E2469">
              <w:rPr>
                <w:color w:val="0D0D0D" w:themeColor="text1" w:themeTint="F2"/>
                <w:spacing w:val="-2"/>
                <w:sz w:val="16"/>
                <w:szCs w:val="16"/>
                <w:lang w:val="en-GB"/>
              </w:rPr>
              <w:t xml:space="preserve">. </w:t>
            </w:r>
            <w:r w:rsidR="00650C83" w:rsidRPr="003E2469">
              <w:rPr>
                <w:color w:val="0D0D0D" w:themeColor="text1" w:themeTint="F2"/>
                <w:spacing w:val="-2"/>
                <w:sz w:val="16"/>
                <w:szCs w:val="16"/>
                <w:lang w:val="en-GB"/>
              </w:rPr>
              <w:t xml:space="preserve"> </w:t>
            </w:r>
          </w:p>
        </w:tc>
        <w:tc>
          <w:tcPr>
            <w:tcW w:w="144" w:type="pct"/>
          </w:tcPr>
          <w:p w:rsidR="005D7503" w:rsidRPr="003E2469" w:rsidRDefault="005D7503" w:rsidP="00CF0826">
            <w:pPr>
              <w:pStyle w:val="Textpoznpodarou"/>
              <w:jc w:val="both"/>
              <w:rPr>
                <w:rFonts w:cs="Arial"/>
                <w:color w:val="0D0D0D" w:themeColor="text1" w:themeTint="F2"/>
                <w:lang w:val="en-GB"/>
              </w:rPr>
            </w:pPr>
          </w:p>
        </w:tc>
        <w:tc>
          <w:tcPr>
            <w:tcW w:w="3840" w:type="pct"/>
          </w:tcPr>
          <w:p w:rsidR="005D7503" w:rsidRPr="003E2469" w:rsidRDefault="003E2469" w:rsidP="00CF0826">
            <w:pPr>
              <w:pStyle w:val="Textpoznpodarou"/>
              <w:jc w:val="both"/>
              <w:rPr>
                <w:rFonts w:cs="Arial"/>
                <w:spacing w:val="-4"/>
                <w:lang w:val="en-GB"/>
              </w:rPr>
            </w:pPr>
            <w:r>
              <w:rPr>
                <w:rFonts w:cs="Arial"/>
                <w:color w:val="0D0D0D" w:themeColor="text1" w:themeTint="F2"/>
                <w:spacing w:val="-4"/>
                <w:lang w:val="en-GB"/>
              </w:rPr>
              <w:t xml:space="preserve">In contrast, </w:t>
            </w:r>
            <w:r w:rsidR="006A5B57">
              <w:rPr>
                <w:rFonts w:cs="Arial"/>
                <w:color w:val="0D0D0D" w:themeColor="text1" w:themeTint="F2"/>
                <w:spacing w:val="-4"/>
                <w:lang w:val="en-GB"/>
              </w:rPr>
              <w:t xml:space="preserve">with respect to </w:t>
            </w:r>
            <w:r>
              <w:rPr>
                <w:rFonts w:cs="Arial"/>
                <w:color w:val="0D0D0D" w:themeColor="text1" w:themeTint="F2"/>
                <w:spacing w:val="-4"/>
                <w:lang w:val="en-GB"/>
              </w:rPr>
              <w:t xml:space="preserve">the collection of the </w:t>
            </w:r>
            <w:r w:rsidR="00EB592C" w:rsidRPr="003E2469">
              <w:rPr>
                <w:rFonts w:cs="Arial"/>
                <w:color w:val="0D0D0D" w:themeColor="text1" w:themeTint="F2"/>
                <w:spacing w:val="-2"/>
                <w:lang w:val="en-GB"/>
              </w:rPr>
              <w:t>income tax of natural persons (ITNP)</w:t>
            </w:r>
            <w:r w:rsidR="005D7503" w:rsidRPr="003E2469">
              <w:rPr>
                <w:rFonts w:cs="Arial"/>
                <w:color w:val="0D0D0D" w:themeColor="text1" w:themeTint="F2"/>
                <w:spacing w:val="-4"/>
                <w:lang w:val="en-GB"/>
              </w:rPr>
              <w:t xml:space="preserve"> </w:t>
            </w:r>
            <w:r>
              <w:rPr>
                <w:rFonts w:cs="Arial"/>
                <w:color w:val="0D0D0D" w:themeColor="text1" w:themeTint="F2"/>
                <w:spacing w:val="-4"/>
                <w:lang w:val="en-GB"/>
              </w:rPr>
              <w:t xml:space="preserve">from </w:t>
            </w:r>
            <w:r w:rsidR="00B92C9D">
              <w:rPr>
                <w:rFonts w:cs="Arial"/>
                <w:color w:val="0D0D0D" w:themeColor="text1" w:themeTint="F2"/>
                <w:spacing w:val="-4"/>
                <w:lang w:val="en-GB"/>
              </w:rPr>
              <w:t>employment</w:t>
            </w:r>
            <w:r>
              <w:rPr>
                <w:rFonts w:cs="Arial"/>
                <w:color w:val="0D0D0D" w:themeColor="text1" w:themeTint="F2"/>
                <w:spacing w:val="-4"/>
                <w:lang w:val="en-GB"/>
              </w:rPr>
              <w:t xml:space="preserve">, the development of the labour market was still favourable. </w:t>
            </w:r>
            <w:r w:rsidR="006E394C">
              <w:rPr>
                <w:rFonts w:cs="Arial"/>
                <w:color w:val="0D0D0D" w:themeColor="text1" w:themeTint="F2"/>
                <w:spacing w:val="-4"/>
                <w:lang w:val="en-GB"/>
              </w:rPr>
              <w:t xml:space="preserve">Its </w:t>
            </w:r>
            <w:r w:rsidR="00163841">
              <w:rPr>
                <w:rFonts w:cs="Arial"/>
                <w:color w:val="0D0D0D" w:themeColor="text1" w:themeTint="F2"/>
                <w:spacing w:val="-4"/>
                <w:lang w:val="en-GB"/>
              </w:rPr>
              <w:t>state-wide</w:t>
            </w:r>
            <w:r w:rsidR="006E394C">
              <w:rPr>
                <w:rFonts w:cs="Arial"/>
                <w:color w:val="0D0D0D" w:themeColor="text1" w:themeTint="F2"/>
                <w:spacing w:val="-4"/>
                <w:lang w:val="en-GB"/>
              </w:rPr>
              <w:t xml:space="preserve"> collection strengthened for already a third year in a row (up to last year´s +13.3%) and it tightly exceeded the record year-on-year growth from the expansion year of 2007. </w:t>
            </w:r>
            <w:r w:rsidR="00163841">
              <w:rPr>
                <w:rFonts w:cs="Arial"/>
                <w:color w:val="0D0D0D" w:themeColor="text1" w:themeTint="F2"/>
                <w:spacing w:val="-4"/>
                <w:lang w:val="en-GB"/>
              </w:rPr>
              <w:t xml:space="preserve">Expanding economy also stimulated the business activity, which showed also in the higher collection of the ITNP from the self-employment </w:t>
            </w:r>
            <w:r w:rsidR="005D7503" w:rsidRPr="003E2469">
              <w:rPr>
                <w:rFonts w:cs="Arial"/>
                <w:spacing w:val="-4"/>
                <w:lang w:val="en-GB"/>
              </w:rPr>
              <w:t>(</w:t>
            </w:r>
            <w:r w:rsidR="00163841">
              <w:rPr>
                <w:rFonts w:cs="Arial"/>
                <w:spacing w:val="-4"/>
                <w:lang w:val="en-GB"/>
              </w:rPr>
              <w:t xml:space="preserve">by </w:t>
            </w:r>
            <w:r w:rsidR="005D7503" w:rsidRPr="003E2469">
              <w:rPr>
                <w:rFonts w:cs="Arial"/>
                <w:spacing w:val="-4"/>
                <w:lang w:val="en-GB"/>
              </w:rPr>
              <w:t>11</w:t>
            </w:r>
            <w:r w:rsidR="00163841">
              <w:rPr>
                <w:rFonts w:cs="Arial"/>
                <w:spacing w:val="-4"/>
                <w:lang w:val="en-GB"/>
              </w:rPr>
              <w:t>.</w:t>
            </w:r>
            <w:r w:rsidR="005D7503" w:rsidRPr="003E2469">
              <w:rPr>
                <w:rFonts w:cs="Arial"/>
                <w:spacing w:val="-4"/>
                <w:lang w:val="en-GB"/>
              </w:rPr>
              <w:t xml:space="preserve">2% </w:t>
            </w:r>
            <w:r w:rsidR="00163841">
              <w:rPr>
                <w:rFonts w:cs="Arial"/>
                <w:spacing w:val="-4"/>
                <w:lang w:val="en-GB"/>
              </w:rPr>
              <w:t xml:space="preserve">to </w:t>
            </w:r>
            <w:r w:rsidR="005D7503" w:rsidRPr="003E2469">
              <w:rPr>
                <w:rFonts w:cs="Arial"/>
                <w:spacing w:val="-4"/>
                <w:lang w:val="en-GB"/>
              </w:rPr>
              <w:t>7</w:t>
            </w:r>
            <w:r w:rsidR="00163841">
              <w:rPr>
                <w:rFonts w:cs="Arial"/>
                <w:spacing w:val="-4"/>
                <w:lang w:val="en-GB"/>
              </w:rPr>
              <w:t>.</w:t>
            </w:r>
            <w:r w:rsidR="005D7503" w:rsidRPr="003E2469">
              <w:rPr>
                <w:rFonts w:cs="Arial"/>
                <w:spacing w:val="-4"/>
                <w:lang w:val="en-GB"/>
              </w:rPr>
              <w:t>6 </w:t>
            </w:r>
            <w:r w:rsidR="00163841">
              <w:rPr>
                <w:rFonts w:cs="Arial"/>
                <w:spacing w:val="-4"/>
                <w:lang w:val="en-GB"/>
              </w:rPr>
              <w:t>CZK bn</w:t>
            </w:r>
            <w:r w:rsidR="005D7503" w:rsidRPr="003E2469">
              <w:rPr>
                <w:rFonts w:cs="Arial"/>
                <w:spacing w:val="-4"/>
                <w:lang w:val="en-GB"/>
              </w:rPr>
              <w:t xml:space="preserve">). </w:t>
            </w:r>
            <w:r w:rsidR="00837871">
              <w:rPr>
                <w:rFonts w:cs="Arial"/>
                <w:spacing w:val="-4"/>
                <w:lang w:val="en-GB"/>
              </w:rPr>
              <w:t xml:space="preserve">Collection of this tax grew already third year in a row. Collection of ITNP from capital revenues </w:t>
            </w:r>
            <w:r w:rsidR="00B15C1D">
              <w:rPr>
                <w:rFonts w:cs="Arial"/>
                <w:spacing w:val="-4"/>
                <w:lang w:val="en-GB"/>
              </w:rPr>
              <w:t>arrived at 16 CZK bn last year. It was the only more significant tax by volume, where the state collected less last year. Not only the prevailing low interest rates on deposits had an impact here, but especially the legislative change associated with the</w:t>
            </w:r>
            <w:r w:rsidR="005D7503" w:rsidRPr="003E2469">
              <w:rPr>
                <w:spacing w:val="-4"/>
                <w:lang w:val="en-GB"/>
              </w:rPr>
              <w:t> </w:t>
            </w:r>
            <w:r w:rsidR="00205711">
              <w:rPr>
                <w:rFonts w:cs="Arial"/>
                <w:spacing w:val="-2"/>
                <w:lang w:val="en-GB"/>
              </w:rPr>
              <w:t xml:space="preserve">tax exemption for the retirement entitlement of the defence forces. </w:t>
            </w:r>
          </w:p>
        </w:tc>
      </w:tr>
    </w:tbl>
    <w:p w:rsidR="005D7503" w:rsidRPr="00B31338" w:rsidRDefault="005D7503" w:rsidP="005D7503">
      <w:pPr>
        <w:pStyle w:val="Textpoznpodarou"/>
        <w:jc w:val="both"/>
        <w:rPr>
          <w:rFonts w:cs="Arial"/>
          <w:color w:val="000000"/>
          <w:spacing w:val="-2"/>
          <w:sz w:val="16"/>
          <w:szCs w:val="16"/>
        </w:rPr>
      </w:pPr>
    </w:p>
    <w:tbl>
      <w:tblPr>
        <w:tblW w:w="4963" w:type="pct"/>
        <w:tblInd w:w="108" w:type="dxa"/>
        <w:tblLayout w:type="fixed"/>
        <w:tblLook w:val="00A0"/>
      </w:tblPr>
      <w:tblGrid>
        <w:gridCol w:w="1997"/>
        <w:gridCol w:w="284"/>
        <w:gridCol w:w="1119"/>
        <w:gridCol w:w="6381"/>
      </w:tblGrid>
      <w:tr w:rsidR="005D7503" w:rsidRPr="00AA4A76" w:rsidTr="00CF0826">
        <w:trPr>
          <w:trHeight w:val="145"/>
        </w:trPr>
        <w:tc>
          <w:tcPr>
            <w:tcW w:w="1021" w:type="pct"/>
            <w:shd w:val="clear" w:color="auto" w:fill="auto"/>
          </w:tcPr>
          <w:p w:rsidR="005D7503" w:rsidRPr="00AA4A76" w:rsidRDefault="005D7503" w:rsidP="00CF0826">
            <w:pPr>
              <w:spacing w:line="240" w:lineRule="auto"/>
              <w:jc w:val="center"/>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3E0261" w:rsidP="00CF0826">
            <w:pPr>
              <w:pStyle w:val="Textpoznpodarou"/>
              <w:jc w:val="both"/>
              <w:rPr>
                <w:highlight w:val="yellow"/>
              </w:rPr>
            </w:pPr>
            <w:r>
              <w:rPr>
                <w:color w:val="000000"/>
              </w:rPr>
              <w:t>Chart</w:t>
            </w:r>
            <w:r w:rsidR="005D7503">
              <w:rPr>
                <w:color w:val="000000"/>
              </w:rPr>
              <w:t> 19</w:t>
            </w:r>
          </w:p>
        </w:tc>
        <w:tc>
          <w:tcPr>
            <w:tcW w:w="3262" w:type="pct"/>
          </w:tcPr>
          <w:p w:rsidR="005807D6" w:rsidRDefault="005807D6" w:rsidP="005807D6">
            <w:pPr>
              <w:spacing w:line="240" w:lineRule="auto"/>
              <w:rPr>
                <w:rFonts w:cs="Arial"/>
                <w:bCs/>
                <w:lang w:val="en-GB"/>
              </w:rPr>
            </w:pPr>
            <w:r>
              <w:rPr>
                <w:rFonts w:cs="Arial"/>
                <w:b/>
                <w:bCs/>
                <w:lang w:val="en-GB"/>
              </w:rPr>
              <w:t xml:space="preserve">State wide collection of tax income </w:t>
            </w:r>
            <w:r>
              <w:rPr>
                <w:rFonts w:cs="Arial"/>
                <w:bCs/>
                <w:lang w:val="en-GB"/>
              </w:rPr>
              <w:t>(year-on-year in %</w:t>
            </w:r>
            <w:r>
              <w:rPr>
                <w:bCs/>
                <w:spacing w:val="-2"/>
                <w:lang w:val="en-GB"/>
              </w:rPr>
              <w:t>)</w:t>
            </w:r>
            <w:r>
              <w:rPr>
                <w:rFonts w:cs="Arial"/>
                <w:bCs/>
                <w:lang w:val="en-GB"/>
              </w:rPr>
              <w:t xml:space="preserve"> </w:t>
            </w:r>
          </w:p>
          <w:p w:rsidR="005D7503" w:rsidRPr="0007324C" w:rsidRDefault="005807D6" w:rsidP="005807D6">
            <w:pPr>
              <w:spacing w:line="240" w:lineRule="auto"/>
              <w:rPr>
                <w:rFonts w:cs="Arial"/>
                <w:b/>
                <w:bCs/>
              </w:rPr>
            </w:pPr>
            <w:r>
              <w:rPr>
                <w:rFonts w:cs="Arial"/>
                <w:b/>
                <w:bCs/>
                <w:lang w:val="en-GB"/>
              </w:rPr>
              <w:t xml:space="preserve">and state budget balance </w:t>
            </w:r>
            <w:r>
              <w:rPr>
                <w:rFonts w:cs="Arial"/>
                <w:bCs/>
                <w:lang w:val="en-GB"/>
              </w:rPr>
              <w:t>(in CZK bn)</w:t>
            </w:r>
          </w:p>
        </w:tc>
      </w:tr>
      <w:tr w:rsidR="005D7503" w:rsidRPr="00AA4A76"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Default="0053030C" w:rsidP="00CF0826">
            <w:pPr>
              <w:pStyle w:val="Textpoznpodarou"/>
              <w:ind w:left="-124"/>
              <w:jc w:val="both"/>
              <w:rPr>
                <w:sz w:val="16"/>
                <w:szCs w:val="16"/>
              </w:rPr>
            </w:pPr>
            <w:r w:rsidRPr="0053030C">
              <w:rPr>
                <w:noProof/>
                <w:sz w:val="16"/>
                <w:szCs w:val="16"/>
              </w:rPr>
              <w:drawing>
                <wp:inline distT="0" distB="0" distL="0" distR="0">
                  <wp:extent cx="4752000" cy="3551605"/>
                  <wp:effectExtent l="19050" t="0" r="0" b="0"/>
                  <wp:docPr id="2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68E7" w:rsidRPr="0053030C" w:rsidRDefault="00DC68E7" w:rsidP="0053030C">
            <w:pPr>
              <w:pStyle w:val="Textpoznpodarou"/>
              <w:ind w:left="-124"/>
              <w:jc w:val="right"/>
              <w:rPr>
                <w:rFonts w:cs="Arial"/>
                <w:sz w:val="14"/>
                <w:szCs w:val="14"/>
              </w:rPr>
            </w:pPr>
            <w:proofErr w:type="spellStart"/>
            <w:r>
              <w:rPr>
                <w:rFonts w:cs="Arial"/>
                <w:sz w:val="14"/>
                <w:szCs w:val="14"/>
              </w:rPr>
              <w:t>Source</w:t>
            </w:r>
            <w:proofErr w:type="spellEnd"/>
            <w:r w:rsidR="005D7503" w:rsidRPr="00535F78">
              <w:rPr>
                <w:rFonts w:cs="Arial"/>
                <w:sz w:val="14"/>
                <w:szCs w:val="14"/>
              </w:rPr>
              <w:t>: MF</w:t>
            </w:r>
            <w:r w:rsidR="002F19CC">
              <w:rPr>
                <w:rFonts w:cs="Arial"/>
                <w:sz w:val="14"/>
                <w:szCs w:val="14"/>
              </w:rPr>
              <w:t xml:space="preserve"> CR</w:t>
            </w:r>
          </w:p>
        </w:tc>
      </w:tr>
    </w:tbl>
    <w:p w:rsidR="005D7503" w:rsidRPr="00B31338" w:rsidRDefault="005D7503" w:rsidP="005D7503">
      <w:pPr>
        <w:pStyle w:val="Textpoznpodarou"/>
        <w:jc w:val="both"/>
        <w:rPr>
          <w:rFonts w:cs="Arial"/>
          <w:color w:val="000000"/>
          <w:spacing w:val="-2"/>
          <w:sz w:val="16"/>
          <w:szCs w:val="16"/>
        </w:rPr>
      </w:pPr>
    </w:p>
    <w:tbl>
      <w:tblPr>
        <w:tblW w:w="4995" w:type="pct"/>
        <w:tblInd w:w="108" w:type="dxa"/>
        <w:tblLayout w:type="fixed"/>
        <w:tblLook w:val="00A0"/>
      </w:tblPr>
      <w:tblGrid>
        <w:gridCol w:w="2000"/>
        <w:gridCol w:w="284"/>
        <w:gridCol w:w="7560"/>
      </w:tblGrid>
      <w:tr w:rsidR="005D7503" w:rsidRPr="00F06A1D" w:rsidTr="00CF0826">
        <w:trPr>
          <w:trHeight w:val="145"/>
        </w:trPr>
        <w:tc>
          <w:tcPr>
            <w:tcW w:w="1016" w:type="pct"/>
            <w:shd w:val="clear" w:color="auto" w:fill="auto"/>
          </w:tcPr>
          <w:p w:rsidR="005D7503" w:rsidRPr="00D252D6" w:rsidRDefault="00D252D6" w:rsidP="00CF0826">
            <w:pPr>
              <w:spacing w:line="240" w:lineRule="auto"/>
              <w:rPr>
                <w:rFonts w:cs="Arial"/>
                <w:bCs/>
                <w:iCs/>
                <w:color w:val="0D0D0D" w:themeColor="text1" w:themeTint="F2"/>
                <w:spacing w:val="-2"/>
                <w:sz w:val="16"/>
                <w:szCs w:val="16"/>
                <w:lang w:val="en-GB"/>
              </w:rPr>
            </w:pPr>
            <w:r>
              <w:rPr>
                <w:rFonts w:cs="Arial"/>
                <w:bCs/>
                <w:iCs/>
                <w:color w:val="0D0D0D" w:themeColor="text1" w:themeTint="F2"/>
                <w:spacing w:val="-2"/>
                <w:sz w:val="16"/>
                <w:szCs w:val="16"/>
                <w:lang w:val="en-GB"/>
              </w:rPr>
              <w:t>Current expenditures contributed exclusively to the increase of the SB expenditures and grew the fastest in the last eight years.</w:t>
            </w:r>
          </w:p>
          <w:p w:rsidR="005D7503" w:rsidRPr="00D252D6" w:rsidRDefault="005D7503" w:rsidP="00CF0826">
            <w:pPr>
              <w:spacing w:line="240" w:lineRule="auto"/>
              <w:rPr>
                <w:rFonts w:cs="Arial"/>
                <w:bCs/>
                <w:iCs/>
                <w:color w:val="0D0D0D" w:themeColor="text1" w:themeTint="F2"/>
                <w:spacing w:val="-2"/>
                <w:sz w:val="16"/>
                <w:szCs w:val="16"/>
                <w:lang w:val="en-GB"/>
              </w:rPr>
            </w:pPr>
          </w:p>
          <w:p w:rsidR="005D7503" w:rsidRPr="00D252D6" w:rsidRDefault="005D7503" w:rsidP="00CF0826">
            <w:pPr>
              <w:spacing w:line="240" w:lineRule="auto"/>
              <w:rPr>
                <w:rFonts w:cs="Arial"/>
                <w:bCs/>
                <w:iCs/>
                <w:color w:val="0D0D0D" w:themeColor="text1" w:themeTint="F2"/>
                <w:spacing w:val="-2"/>
                <w:sz w:val="16"/>
                <w:szCs w:val="16"/>
                <w:lang w:val="en-GB"/>
              </w:rPr>
            </w:pPr>
          </w:p>
          <w:p w:rsidR="005D7503" w:rsidRPr="00D252D6" w:rsidRDefault="005D7503" w:rsidP="00CF0826">
            <w:pPr>
              <w:spacing w:line="240" w:lineRule="auto"/>
              <w:rPr>
                <w:rFonts w:cs="Arial"/>
                <w:bCs/>
                <w:iCs/>
                <w:color w:val="0D0D0D" w:themeColor="text1" w:themeTint="F2"/>
                <w:spacing w:val="-2"/>
                <w:sz w:val="16"/>
                <w:szCs w:val="16"/>
                <w:lang w:val="en-GB"/>
              </w:rPr>
            </w:pPr>
          </w:p>
          <w:p w:rsidR="005D7503" w:rsidRPr="00D252D6" w:rsidRDefault="005D7503" w:rsidP="00CF0826">
            <w:pPr>
              <w:spacing w:line="240" w:lineRule="auto"/>
              <w:rPr>
                <w:rFonts w:cs="Arial"/>
                <w:bCs/>
                <w:iCs/>
                <w:color w:val="0D0D0D" w:themeColor="text1" w:themeTint="F2"/>
                <w:spacing w:val="-2"/>
                <w:sz w:val="16"/>
                <w:szCs w:val="16"/>
                <w:lang w:val="en-GB"/>
              </w:rPr>
            </w:pPr>
          </w:p>
          <w:p w:rsidR="005D7503" w:rsidRPr="00D252D6" w:rsidRDefault="005D7503" w:rsidP="00CF0826">
            <w:pPr>
              <w:spacing w:line="240" w:lineRule="auto"/>
              <w:rPr>
                <w:rFonts w:cs="Arial"/>
                <w:bCs/>
                <w:iCs/>
                <w:color w:val="0D0D0D" w:themeColor="text1" w:themeTint="F2"/>
                <w:spacing w:val="-2"/>
                <w:sz w:val="16"/>
                <w:szCs w:val="16"/>
                <w:lang w:val="en-GB"/>
              </w:rPr>
            </w:pPr>
            <w:r w:rsidRPr="00D252D6">
              <w:rPr>
                <w:rFonts w:cs="Arial"/>
                <w:bCs/>
                <w:iCs/>
                <w:color w:val="0D0D0D" w:themeColor="text1" w:themeTint="F2"/>
                <w:spacing w:val="-2"/>
                <w:sz w:val="16"/>
                <w:szCs w:val="16"/>
                <w:lang w:val="en-GB"/>
              </w:rPr>
              <w:t>„</w:t>
            </w:r>
            <w:r w:rsidR="00556C12">
              <w:rPr>
                <w:rFonts w:cs="Arial"/>
                <w:bCs/>
                <w:iCs/>
                <w:color w:val="0D0D0D" w:themeColor="text1" w:themeTint="F2"/>
                <w:spacing w:val="-2"/>
                <w:sz w:val="16"/>
                <w:szCs w:val="16"/>
                <w:lang w:val="en-GB"/>
              </w:rPr>
              <w:t xml:space="preserve">Failing to complete the </w:t>
            </w:r>
            <w:r w:rsidR="009A1EA4">
              <w:rPr>
                <w:rFonts w:cs="Arial"/>
                <w:bCs/>
                <w:iCs/>
                <w:color w:val="0D0D0D" w:themeColor="text1" w:themeTint="F2"/>
                <w:spacing w:val="-2"/>
                <w:sz w:val="16"/>
                <w:szCs w:val="16"/>
                <w:lang w:val="en-GB"/>
              </w:rPr>
              <w:t>drawing</w:t>
            </w:r>
            <w:r w:rsidR="009A1EA4" w:rsidRPr="00D252D6">
              <w:rPr>
                <w:rFonts w:cs="Arial"/>
                <w:bCs/>
                <w:iCs/>
                <w:color w:val="0D0D0D" w:themeColor="text1" w:themeTint="F2"/>
                <w:spacing w:val="-2"/>
                <w:sz w:val="16"/>
                <w:szCs w:val="16"/>
                <w:lang w:val="en-GB"/>
              </w:rPr>
              <w:t xml:space="preserve"> “of</w:t>
            </w:r>
            <w:r w:rsidR="00556C12">
              <w:rPr>
                <w:rFonts w:cs="Arial"/>
                <w:bCs/>
                <w:iCs/>
                <w:color w:val="0D0D0D" w:themeColor="text1" w:themeTint="F2"/>
                <w:spacing w:val="-2"/>
                <w:sz w:val="16"/>
                <w:szCs w:val="16"/>
                <w:lang w:val="en-GB"/>
              </w:rPr>
              <w:t xml:space="preserve"> investment in relation to the budget anticipations deepened to 22 CZK bn last year.</w:t>
            </w:r>
          </w:p>
        </w:tc>
        <w:tc>
          <w:tcPr>
            <w:tcW w:w="144" w:type="pct"/>
          </w:tcPr>
          <w:p w:rsidR="005D7503" w:rsidRPr="00D252D6" w:rsidRDefault="005D7503" w:rsidP="00CF0826">
            <w:pPr>
              <w:pStyle w:val="Textpoznpodarou"/>
              <w:jc w:val="both"/>
              <w:rPr>
                <w:rFonts w:cs="Arial"/>
                <w:color w:val="0D0D0D" w:themeColor="text1" w:themeTint="F2"/>
                <w:lang w:val="en-GB"/>
              </w:rPr>
            </w:pPr>
          </w:p>
        </w:tc>
        <w:tc>
          <w:tcPr>
            <w:tcW w:w="3840" w:type="pct"/>
          </w:tcPr>
          <w:p w:rsidR="005D7503" w:rsidRPr="00D252D6" w:rsidRDefault="00D252D6" w:rsidP="00CF0826">
            <w:pPr>
              <w:pStyle w:val="Textpoznpodarou"/>
              <w:jc w:val="both"/>
              <w:rPr>
                <w:lang w:val="en-GB"/>
              </w:rPr>
            </w:pPr>
            <w:r>
              <w:rPr>
                <w:rFonts w:cs="Arial"/>
                <w:color w:val="0D0D0D" w:themeColor="text1" w:themeTint="F2"/>
                <w:spacing w:val="-4"/>
                <w:lang w:val="en-GB"/>
              </w:rPr>
              <w:t xml:space="preserve">Total SB expenditures grew by 4.9% last year to near </w:t>
            </w:r>
            <w:r w:rsidR="005D7503" w:rsidRPr="00D252D6">
              <w:rPr>
                <w:rFonts w:cs="Arial"/>
                <w:color w:val="0D0D0D" w:themeColor="text1" w:themeTint="F2"/>
                <w:spacing w:val="-4"/>
                <w:lang w:val="en-GB"/>
              </w:rPr>
              <w:t xml:space="preserve">1 280 </w:t>
            </w:r>
            <w:r>
              <w:rPr>
                <w:rFonts w:cs="Arial"/>
                <w:color w:val="0D0D0D" w:themeColor="text1" w:themeTint="F2"/>
                <w:spacing w:val="-4"/>
                <w:lang w:val="en-GB"/>
              </w:rPr>
              <w:t>CZK bn.</w:t>
            </w:r>
            <w:r w:rsidR="005D7503" w:rsidRPr="00D252D6">
              <w:rPr>
                <w:rFonts w:cs="Arial"/>
                <w:color w:val="0D0D0D" w:themeColor="text1" w:themeTint="F2"/>
                <w:spacing w:val="-4"/>
                <w:lang w:val="en-GB"/>
              </w:rPr>
              <w:t xml:space="preserve"> </w:t>
            </w:r>
            <w:r>
              <w:rPr>
                <w:rFonts w:cs="Arial"/>
                <w:color w:val="0D0D0D" w:themeColor="text1" w:themeTint="F2"/>
                <w:spacing w:val="-4"/>
                <w:lang w:val="en-GB"/>
              </w:rPr>
              <w:t xml:space="preserve">Similarly to year 2016, the current expenditures contributed exclusively to their growth, their rate of growth was the highest in the last eight years </w:t>
            </w:r>
            <w:r w:rsidR="005D7503" w:rsidRPr="00D252D6">
              <w:rPr>
                <w:rFonts w:cs="Arial"/>
                <w:color w:val="0D0D0D" w:themeColor="text1" w:themeTint="F2"/>
                <w:spacing w:val="-4"/>
                <w:lang w:val="en-GB"/>
              </w:rPr>
              <w:t>(+5</w:t>
            </w:r>
            <w:r>
              <w:rPr>
                <w:rFonts w:cs="Arial"/>
                <w:color w:val="0D0D0D" w:themeColor="text1" w:themeTint="F2"/>
                <w:spacing w:val="-4"/>
                <w:lang w:val="en-GB"/>
              </w:rPr>
              <w:t>.</w:t>
            </w:r>
            <w:r w:rsidR="005D7503" w:rsidRPr="00D252D6">
              <w:rPr>
                <w:rFonts w:cs="Arial"/>
                <w:color w:val="0D0D0D" w:themeColor="text1" w:themeTint="F2"/>
                <w:spacing w:val="-4"/>
                <w:lang w:val="en-GB"/>
              </w:rPr>
              <w:t xml:space="preserve">5%). </w:t>
            </w:r>
            <w:r w:rsidR="00F0540C">
              <w:rPr>
                <w:rFonts w:cs="Arial"/>
                <w:color w:val="0D0D0D" w:themeColor="text1" w:themeTint="F2"/>
                <w:spacing w:val="-4"/>
                <w:lang w:val="en-GB"/>
              </w:rPr>
              <w:t xml:space="preserve">Capital expenditures again fell despite the low comparative basis last year </w:t>
            </w:r>
            <w:r w:rsidR="003F7631" w:rsidRPr="00D252D6">
              <w:rPr>
                <w:rFonts w:cs="Arial"/>
                <w:color w:val="0D0D0D" w:themeColor="text1" w:themeTint="F2"/>
                <w:spacing w:val="-4"/>
                <w:lang w:val="en-GB"/>
              </w:rPr>
              <w:t>(-3</w:t>
            </w:r>
            <w:r w:rsidR="00F0540C">
              <w:rPr>
                <w:rFonts w:cs="Arial"/>
                <w:color w:val="0D0D0D" w:themeColor="text1" w:themeTint="F2"/>
                <w:spacing w:val="-4"/>
                <w:lang w:val="en-GB"/>
              </w:rPr>
              <w:t>.</w:t>
            </w:r>
            <w:r w:rsidR="003F7631" w:rsidRPr="00D252D6">
              <w:rPr>
                <w:rFonts w:cs="Arial"/>
                <w:color w:val="0D0D0D" w:themeColor="text1" w:themeTint="F2"/>
                <w:spacing w:val="-4"/>
                <w:lang w:val="en-GB"/>
              </w:rPr>
              <w:t>1</w:t>
            </w:r>
            <w:r w:rsidR="005D7503" w:rsidRPr="00D252D6">
              <w:rPr>
                <w:rFonts w:cs="Arial"/>
                <w:color w:val="0D0D0D" w:themeColor="text1" w:themeTint="F2"/>
                <w:spacing w:val="-4"/>
                <w:lang w:val="en-GB"/>
              </w:rPr>
              <w:t xml:space="preserve">%). </w:t>
            </w:r>
            <w:r w:rsidR="00F0540C">
              <w:rPr>
                <w:rFonts w:cs="Arial"/>
                <w:color w:val="0D0D0D" w:themeColor="text1" w:themeTint="F2"/>
                <w:spacing w:val="-4"/>
                <w:lang w:val="en-GB"/>
              </w:rPr>
              <w:t xml:space="preserve">While the </w:t>
            </w:r>
            <w:r w:rsidR="00556C12">
              <w:rPr>
                <w:rFonts w:cs="Arial"/>
                <w:color w:val="0D0D0D" w:themeColor="text1" w:themeTint="F2"/>
                <w:spacing w:val="-4"/>
                <w:lang w:val="en-GB"/>
              </w:rPr>
              <w:t>drawing</w:t>
            </w:r>
            <w:r w:rsidR="00F0540C">
              <w:rPr>
                <w:rFonts w:cs="Arial"/>
                <w:color w:val="0D0D0D" w:themeColor="text1" w:themeTint="F2"/>
                <w:spacing w:val="-4"/>
                <w:lang w:val="en-GB"/>
              </w:rPr>
              <w:t xml:space="preserve"> of investment stayed only tightly behind the budget anticipations in year 2016, this difference</w:t>
            </w:r>
            <w:r w:rsidR="00556C12">
              <w:rPr>
                <w:rFonts w:cs="Arial"/>
                <w:color w:val="0D0D0D" w:themeColor="text1" w:themeTint="F2"/>
                <w:spacing w:val="-4"/>
                <w:lang w:val="en-GB"/>
              </w:rPr>
              <w:t xml:space="preserve"> consisted of more than 22 CZK bn already last year. Their drawing recorded more considerable irregularities</w:t>
            </w:r>
            <w:r w:rsidR="005D7503" w:rsidRPr="00D252D6">
              <w:rPr>
                <w:rStyle w:val="Znakapoznpodarou"/>
                <w:color w:val="0D0D0D" w:themeColor="text1" w:themeTint="F2"/>
                <w:spacing w:val="-4"/>
                <w:lang w:val="en-GB"/>
              </w:rPr>
              <w:footnoteReference w:id="5"/>
            </w:r>
            <w:r w:rsidR="00556C12">
              <w:rPr>
                <w:rFonts w:cs="Arial"/>
                <w:color w:val="0D0D0D" w:themeColor="text1" w:themeTint="F2"/>
                <w:spacing w:val="-4"/>
                <w:lang w:val="en-GB"/>
              </w:rPr>
              <w:t xml:space="preserve"> during the year</w:t>
            </w:r>
            <w:r w:rsidR="005D7503" w:rsidRPr="00D252D6">
              <w:rPr>
                <w:rFonts w:cs="Arial"/>
                <w:color w:val="0D0D0D" w:themeColor="text1" w:themeTint="F2"/>
                <w:spacing w:val="-4"/>
                <w:lang w:val="en-GB"/>
              </w:rPr>
              <w:t xml:space="preserve">. </w:t>
            </w:r>
            <w:r w:rsidR="00556C12">
              <w:rPr>
                <w:rFonts w:cs="Arial"/>
                <w:color w:val="0D0D0D" w:themeColor="text1" w:themeTint="F2"/>
                <w:spacing w:val="-4"/>
                <w:lang w:val="en-GB"/>
              </w:rPr>
              <w:t>The volume of investment completed by means of common programmes of the EU and CR (from the programme period 2014</w:t>
            </w:r>
            <w:r w:rsidR="00A60383" w:rsidRPr="00D252D6">
              <w:rPr>
                <w:lang w:val="en-GB"/>
              </w:rPr>
              <w:t>–</w:t>
            </w:r>
            <w:r w:rsidR="005D7503" w:rsidRPr="00D252D6">
              <w:rPr>
                <w:lang w:val="en-GB"/>
              </w:rPr>
              <w:t xml:space="preserve">2020) </w:t>
            </w:r>
            <w:r w:rsidR="00556C12">
              <w:rPr>
                <w:lang w:val="en-GB"/>
              </w:rPr>
              <w:t xml:space="preserve">attained </w:t>
            </w:r>
            <w:r w:rsidR="005D7503" w:rsidRPr="00D252D6">
              <w:rPr>
                <w:lang w:val="en-GB"/>
              </w:rPr>
              <w:t>36</w:t>
            </w:r>
            <w:r w:rsidR="00556C12">
              <w:rPr>
                <w:lang w:val="en-GB"/>
              </w:rPr>
              <w:t>.</w:t>
            </w:r>
            <w:r w:rsidR="005D7503" w:rsidRPr="00D252D6">
              <w:rPr>
                <w:lang w:val="en-GB"/>
              </w:rPr>
              <w:t xml:space="preserve">9 </w:t>
            </w:r>
            <w:r w:rsidR="00556C12">
              <w:rPr>
                <w:lang w:val="en-GB"/>
              </w:rPr>
              <w:t>CZK bn, doubled year-on-year. Nearly one half from this volume was financed with the assistance of the operation</w:t>
            </w:r>
            <w:r w:rsidR="00065425">
              <w:rPr>
                <w:lang w:val="en-GB"/>
              </w:rPr>
              <w:t>al programme (</w:t>
            </w:r>
            <w:r w:rsidR="009A1EA4">
              <w:rPr>
                <w:lang w:val="en-GB"/>
              </w:rPr>
              <w:t>OP) Transportation</w:t>
            </w:r>
            <w:r w:rsidR="00065425">
              <w:rPr>
                <w:lang w:val="en-GB"/>
              </w:rPr>
              <w:t xml:space="preserve">, one </w:t>
            </w:r>
            <w:r w:rsidR="009A1EA4">
              <w:rPr>
                <w:lang w:val="en-GB"/>
              </w:rPr>
              <w:t>fifth</w:t>
            </w:r>
            <w:r w:rsidR="00065425">
              <w:rPr>
                <w:lang w:val="en-GB"/>
              </w:rPr>
              <w:t xml:space="preserve"> then via the OP Environment. All expenditures to finance the common EU and CR programmes (incl. current outlays) arrived at 91.1 CZK bn last year and practically stagnated in comparison to year 2016. </w:t>
            </w:r>
            <w:r w:rsidR="008B5F41">
              <w:rPr>
                <w:lang w:val="en-GB"/>
              </w:rPr>
              <w:t xml:space="preserve">Just under </w:t>
            </w:r>
            <w:r w:rsidR="005D7503" w:rsidRPr="00D252D6">
              <w:rPr>
                <w:lang w:val="en-GB"/>
              </w:rPr>
              <w:t>55%</w:t>
            </w:r>
            <w:r w:rsidR="008B5F41">
              <w:rPr>
                <w:lang w:val="en-GB"/>
              </w:rPr>
              <w:t xml:space="preserve"> of all SB capital expenditures were directed solely to the national projects and thus did not have any relation to the EU. The volume of such assigned </w:t>
            </w:r>
            <w:r w:rsidR="0080585A">
              <w:rPr>
                <w:lang w:val="en-GB"/>
              </w:rPr>
              <w:t xml:space="preserve">investment </w:t>
            </w:r>
            <w:r w:rsidR="005D7503" w:rsidRPr="00D252D6">
              <w:rPr>
                <w:lang w:val="en-GB"/>
              </w:rPr>
              <w:lastRenderedPageBreak/>
              <w:t>(44</w:t>
            </w:r>
            <w:r w:rsidR="00A60383" w:rsidRPr="00D252D6">
              <w:rPr>
                <w:lang w:val="en-GB"/>
              </w:rPr>
              <w:t> </w:t>
            </w:r>
            <w:r w:rsidR="008B5F41">
              <w:rPr>
                <w:lang w:val="en-GB"/>
              </w:rPr>
              <w:t xml:space="preserve">CZK bn) stagnated year-on-year, it was however by nearly one half larger compared to year 2015. The proportion of investment on total SB expenditures was falling already second year in a row and comprised mere </w:t>
            </w:r>
            <w:r w:rsidR="005D7503" w:rsidRPr="00D252D6">
              <w:rPr>
                <w:rFonts w:cs="Arial"/>
                <w:color w:val="000000" w:themeColor="text1"/>
                <w:spacing w:val="-4"/>
                <w:lang w:val="en-GB"/>
              </w:rPr>
              <w:t>6</w:t>
            </w:r>
            <w:r w:rsidR="008B5F41">
              <w:rPr>
                <w:rFonts w:cs="Arial"/>
                <w:color w:val="000000" w:themeColor="text1"/>
                <w:spacing w:val="-4"/>
                <w:lang w:val="en-GB"/>
              </w:rPr>
              <w:t>.</w:t>
            </w:r>
            <w:r w:rsidR="005D7503" w:rsidRPr="00D252D6">
              <w:rPr>
                <w:rFonts w:cs="Arial"/>
                <w:color w:val="000000" w:themeColor="text1"/>
                <w:spacing w:val="-4"/>
                <w:lang w:val="en-GB"/>
              </w:rPr>
              <w:t>4</w:t>
            </w:r>
            <w:r w:rsidR="005D7503" w:rsidRPr="00D252D6">
              <w:rPr>
                <w:rFonts w:cs="Arial"/>
                <w:color w:val="0D0D0D" w:themeColor="text1" w:themeTint="F2"/>
                <w:spacing w:val="-4"/>
                <w:lang w:val="en-GB"/>
              </w:rPr>
              <w:t>%</w:t>
            </w:r>
            <w:r w:rsidR="005D7503" w:rsidRPr="00D252D6">
              <w:rPr>
                <w:rFonts w:cs="Arial"/>
                <w:color w:val="000000" w:themeColor="text1"/>
                <w:spacing w:val="-4"/>
                <w:lang w:val="en-GB"/>
              </w:rPr>
              <w:t xml:space="preserve">, </w:t>
            </w:r>
            <w:r w:rsidR="008B5F41">
              <w:rPr>
                <w:rFonts w:cs="Arial"/>
                <w:color w:val="000000" w:themeColor="text1"/>
                <w:spacing w:val="-4"/>
                <w:lang w:val="en-GB"/>
              </w:rPr>
              <w:t xml:space="preserve">which was the least since year </w:t>
            </w:r>
            <w:r w:rsidR="005D7503" w:rsidRPr="00D252D6">
              <w:rPr>
                <w:rFonts w:cs="Arial"/>
                <w:color w:val="000000" w:themeColor="text1"/>
                <w:spacing w:val="-4"/>
                <w:lang w:val="en-GB"/>
              </w:rPr>
              <w:t>1998.</w:t>
            </w:r>
          </w:p>
          <w:p w:rsidR="005D7503" w:rsidRPr="00D252D6" w:rsidRDefault="005D7503" w:rsidP="00CF0826">
            <w:pPr>
              <w:pStyle w:val="Textpoznpodarou"/>
              <w:jc w:val="both"/>
              <w:rPr>
                <w:rFonts w:cs="Arial"/>
                <w:color w:val="0D0D0D" w:themeColor="text1" w:themeTint="F2"/>
                <w:spacing w:val="-2"/>
                <w:sz w:val="14"/>
                <w:szCs w:val="14"/>
                <w:lang w:val="en-GB"/>
              </w:rPr>
            </w:pPr>
          </w:p>
        </w:tc>
      </w:tr>
      <w:tr w:rsidR="005D7503" w:rsidRPr="0094422D" w:rsidTr="00CF0826">
        <w:trPr>
          <w:trHeight w:val="145"/>
        </w:trPr>
        <w:tc>
          <w:tcPr>
            <w:tcW w:w="1016" w:type="pct"/>
            <w:shd w:val="clear" w:color="auto" w:fill="auto"/>
          </w:tcPr>
          <w:p w:rsidR="005D7503" w:rsidRPr="004D3B7D" w:rsidRDefault="004D3B7D" w:rsidP="00CF0826">
            <w:pPr>
              <w:spacing w:line="240" w:lineRule="auto"/>
              <w:rPr>
                <w:rFonts w:cs="Arial"/>
                <w:bCs/>
                <w:iCs/>
                <w:color w:val="0D0D0D" w:themeColor="text1" w:themeTint="F2"/>
                <w:spacing w:val="-4"/>
                <w:sz w:val="16"/>
                <w:szCs w:val="16"/>
                <w:lang w:val="en-GB"/>
              </w:rPr>
            </w:pPr>
            <w:r w:rsidRPr="004D3B7D">
              <w:rPr>
                <w:rFonts w:cs="Arial"/>
                <w:bCs/>
                <w:iCs/>
                <w:color w:val="0D0D0D" w:themeColor="text1" w:themeTint="F2"/>
                <w:spacing w:val="-4"/>
                <w:sz w:val="16"/>
                <w:szCs w:val="16"/>
                <w:lang w:val="en-GB"/>
              </w:rPr>
              <w:lastRenderedPageBreak/>
              <w:t>Positive balance of the CR towards the EU budget shrank to a six-year minimum. The weak</w:t>
            </w:r>
            <w:r>
              <w:rPr>
                <w:rFonts w:cs="Arial"/>
                <w:bCs/>
                <w:iCs/>
                <w:color w:val="0D0D0D" w:themeColor="text1" w:themeTint="F2"/>
                <w:spacing w:val="-4"/>
                <w:sz w:val="16"/>
                <w:szCs w:val="16"/>
                <w:lang w:val="en-GB"/>
              </w:rPr>
              <w:t>e</w:t>
            </w:r>
            <w:r w:rsidRPr="004D3B7D">
              <w:rPr>
                <w:rFonts w:cs="Arial"/>
                <w:bCs/>
                <w:iCs/>
                <w:color w:val="0D0D0D" w:themeColor="text1" w:themeTint="F2"/>
                <w:spacing w:val="-4"/>
                <w:sz w:val="16"/>
                <w:szCs w:val="16"/>
                <w:lang w:val="en-GB"/>
              </w:rPr>
              <w:t>r drawing of the structural funds, including among other the projects hard on investment preparation were the cause.</w:t>
            </w:r>
          </w:p>
        </w:tc>
        <w:tc>
          <w:tcPr>
            <w:tcW w:w="144" w:type="pct"/>
          </w:tcPr>
          <w:p w:rsidR="005D7503" w:rsidRPr="004D3B7D" w:rsidRDefault="005D7503" w:rsidP="00CF0826">
            <w:pPr>
              <w:pStyle w:val="Textpoznpodarou"/>
              <w:jc w:val="both"/>
              <w:rPr>
                <w:rFonts w:cs="Arial"/>
                <w:color w:val="0D0D0D" w:themeColor="text1" w:themeTint="F2"/>
                <w:lang w:val="en-GB"/>
              </w:rPr>
            </w:pPr>
          </w:p>
        </w:tc>
        <w:tc>
          <w:tcPr>
            <w:tcW w:w="3840" w:type="pct"/>
          </w:tcPr>
          <w:p w:rsidR="005D7503" w:rsidRPr="004D3B7D" w:rsidRDefault="004D3B7D" w:rsidP="00CF0826">
            <w:pPr>
              <w:pStyle w:val="Textpoznpodarou"/>
              <w:jc w:val="both"/>
              <w:rPr>
                <w:rFonts w:cs="Arial"/>
                <w:color w:val="0D0D0D" w:themeColor="text1" w:themeTint="F2"/>
                <w:spacing w:val="-2"/>
                <w:lang w:val="en-GB"/>
              </w:rPr>
            </w:pPr>
            <w:r>
              <w:rPr>
                <w:rFonts w:cs="Arial"/>
                <w:color w:val="0D0D0D" w:themeColor="text1" w:themeTint="F2"/>
                <w:spacing w:val="-2"/>
                <w:lang w:val="en-GB"/>
              </w:rPr>
              <w:t xml:space="preserve">Drawing of the SB investment </w:t>
            </w:r>
            <w:r w:rsidR="0028019B">
              <w:rPr>
                <w:rFonts w:cs="Arial"/>
                <w:color w:val="0D0D0D" w:themeColor="text1" w:themeTint="F2"/>
                <w:spacing w:val="-2"/>
                <w:lang w:val="en-GB"/>
              </w:rPr>
              <w:t>intended to the European projects is with a certain delay evident in the development of the position of the CR towards the EU budget. Even though the CR acquired in “net” from the EU nearly 98 CZK bn last year, it was the least in the last six years. It was associated with the deeper reduction of the reimbursed funds in the area of the structural funds. Their last year´s amount (33 CZK bn) nevertheless slightly increased the level from yea</w:t>
            </w:r>
            <w:r w:rsidR="0080585A">
              <w:rPr>
                <w:rFonts w:cs="Arial"/>
                <w:color w:val="0D0D0D" w:themeColor="text1" w:themeTint="F2"/>
                <w:spacing w:val="-2"/>
                <w:lang w:val="en-GB"/>
              </w:rPr>
              <w:t>r</w:t>
            </w:r>
            <w:r w:rsidR="0028019B">
              <w:rPr>
                <w:rFonts w:cs="Arial"/>
                <w:color w:val="0D0D0D" w:themeColor="text1" w:themeTint="F2"/>
                <w:spacing w:val="-2"/>
                <w:lang w:val="en-GB"/>
              </w:rPr>
              <w:t>s 2007 and 2008, resp. from the commencement of the preceding programme period.</w:t>
            </w:r>
            <w:r w:rsidR="005D7503" w:rsidRPr="004D3B7D">
              <w:rPr>
                <w:rFonts w:cs="Arial"/>
                <w:color w:val="0D0D0D" w:themeColor="text1" w:themeTint="F2"/>
                <w:spacing w:val="-2"/>
                <w:lang w:val="en-GB"/>
              </w:rPr>
              <w:t xml:space="preserve"> </w:t>
            </w:r>
            <w:r w:rsidR="007D0ACF">
              <w:rPr>
                <w:rFonts w:cs="Arial"/>
                <w:color w:val="0D0D0D" w:themeColor="text1" w:themeTint="F2"/>
                <w:spacing w:val="-2"/>
                <w:lang w:val="en-GB"/>
              </w:rPr>
              <w:t xml:space="preserve">Drawing of funds meant for direct payment in agriculture or the rural development on the contrary functioned relatively continually in the recent years. The total payment of the CR into the EU budget also remains stable. In the last five years, it fluctuated around 43 CZK bn per year. </w:t>
            </w:r>
          </w:p>
        </w:tc>
      </w:tr>
    </w:tbl>
    <w:p w:rsidR="005D7503" w:rsidRPr="00B31338" w:rsidRDefault="005D7503" w:rsidP="005D7503">
      <w:pPr>
        <w:pStyle w:val="Textpoznpodarou"/>
        <w:jc w:val="both"/>
        <w:rPr>
          <w:rFonts w:cs="Arial"/>
          <w:color w:val="000000"/>
          <w:spacing w:val="-2"/>
          <w:sz w:val="14"/>
          <w:szCs w:val="14"/>
        </w:rPr>
      </w:pPr>
    </w:p>
    <w:tbl>
      <w:tblPr>
        <w:tblW w:w="4963" w:type="pct"/>
        <w:tblInd w:w="108" w:type="dxa"/>
        <w:tblLayout w:type="fixed"/>
        <w:tblLook w:val="00A0"/>
      </w:tblPr>
      <w:tblGrid>
        <w:gridCol w:w="1997"/>
        <w:gridCol w:w="284"/>
        <w:gridCol w:w="1119"/>
        <w:gridCol w:w="6381"/>
      </w:tblGrid>
      <w:tr w:rsidR="005D7503" w:rsidRPr="007E5880" w:rsidTr="00CF0826">
        <w:trPr>
          <w:trHeight w:val="145"/>
        </w:trPr>
        <w:tc>
          <w:tcPr>
            <w:tcW w:w="1021" w:type="pct"/>
            <w:shd w:val="clear" w:color="auto" w:fill="auto"/>
          </w:tcPr>
          <w:p w:rsidR="005D7503" w:rsidRPr="00AA4A76" w:rsidRDefault="005D7503" w:rsidP="00CF0826">
            <w:pPr>
              <w:spacing w:line="240" w:lineRule="auto"/>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B945B0" w:rsidP="00CF0826">
            <w:pPr>
              <w:pStyle w:val="Textpoznpodarou"/>
              <w:jc w:val="both"/>
              <w:rPr>
                <w:highlight w:val="yellow"/>
              </w:rPr>
            </w:pPr>
            <w:r>
              <w:rPr>
                <w:color w:val="000000"/>
              </w:rPr>
              <w:t xml:space="preserve">Chart </w:t>
            </w:r>
            <w:r w:rsidR="007D0ACF">
              <w:rPr>
                <w:color w:val="000000"/>
              </w:rPr>
              <w:t>2</w:t>
            </w:r>
            <w:r w:rsidR="005D7503">
              <w:rPr>
                <w:color w:val="000000"/>
              </w:rPr>
              <w:t>0</w:t>
            </w:r>
          </w:p>
        </w:tc>
        <w:tc>
          <w:tcPr>
            <w:tcW w:w="3262" w:type="pct"/>
          </w:tcPr>
          <w:p w:rsidR="005D7503" w:rsidRPr="00C9521B" w:rsidRDefault="003B2D28" w:rsidP="00E96FC2">
            <w:pPr>
              <w:pStyle w:val="Textpoznpodarou"/>
              <w:rPr>
                <w:rFonts w:cs="Arial"/>
                <w:bCs/>
              </w:rPr>
            </w:pPr>
            <w:r>
              <w:rPr>
                <w:rFonts w:cs="Arial"/>
                <w:b/>
                <w:bCs/>
                <w:lang w:val="en-GB"/>
              </w:rPr>
              <w:t xml:space="preserve">Structure of the CR income from the EU budget and net position of the CR towards EU </w:t>
            </w:r>
            <w:r>
              <w:rPr>
                <w:rFonts w:cs="Arial"/>
                <w:bCs/>
                <w:lang w:val="en-GB"/>
              </w:rPr>
              <w:t>(in CZK bn)</w:t>
            </w:r>
            <w:r>
              <w:rPr>
                <w:rFonts w:cs="Arial"/>
                <w:b/>
                <w:bCs/>
              </w:rPr>
              <w:t xml:space="preserve"> </w:t>
            </w:r>
          </w:p>
        </w:tc>
      </w:tr>
      <w:tr w:rsidR="005D7503" w:rsidRPr="006D67AC"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Default="00627F1F" w:rsidP="00CF0826">
            <w:pPr>
              <w:pStyle w:val="Textpoznpodarou"/>
              <w:ind w:left="-124"/>
              <w:jc w:val="both"/>
              <w:rPr>
                <w:sz w:val="16"/>
                <w:szCs w:val="16"/>
              </w:rPr>
            </w:pPr>
            <w:r w:rsidRPr="00627F1F">
              <w:rPr>
                <w:noProof/>
                <w:sz w:val="16"/>
                <w:szCs w:val="16"/>
              </w:rPr>
              <w:drawing>
                <wp:inline distT="0" distB="0" distL="0" distR="0">
                  <wp:extent cx="4752000" cy="3528000"/>
                  <wp:effectExtent l="0" t="0" r="0" b="0"/>
                  <wp:docPr id="2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6FC2" w:rsidRPr="00627F1F" w:rsidRDefault="005D7503" w:rsidP="00627F1F">
            <w:pPr>
              <w:pStyle w:val="Textpoznpodarou"/>
              <w:ind w:left="-124"/>
              <w:rPr>
                <w:rFonts w:cs="Arial"/>
                <w:sz w:val="14"/>
                <w:szCs w:val="14"/>
              </w:rPr>
            </w:pPr>
            <w:r>
              <w:rPr>
                <w:rFonts w:cs="Arial"/>
                <w:sz w:val="14"/>
                <w:szCs w:val="14"/>
              </w:rPr>
              <w:t>*</w:t>
            </w:r>
            <w:r w:rsidR="00E96FC2">
              <w:rPr>
                <w:rFonts w:cs="Arial"/>
                <w:sz w:val="14"/>
                <w:szCs w:val="14"/>
                <w:lang w:val="en-GB"/>
              </w:rPr>
              <w:t xml:space="preserve"> Includes also the market operations and veterinary measures. </w:t>
            </w:r>
            <w:r>
              <w:rPr>
                <w:rFonts w:cs="Arial"/>
                <w:sz w:val="14"/>
                <w:szCs w:val="14"/>
              </w:rPr>
              <w:t xml:space="preserve">                                                               </w:t>
            </w:r>
            <w:proofErr w:type="spellStart"/>
            <w:r w:rsidR="00B945B0">
              <w:rPr>
                <w:rFonts w:cs="Arial"/>
                <w:sz w:val="14"/>
                <w:szCs w:val="14"/>
              </w:rPr>
              <w:t>Source</w:t>
            </w:r>
            <w:proofErr w:type="spellEnd"/>
            <w:r w:rsidRPr="00535F78">
              <w:rPr>
                <w:rFonts w:cs="Arial"/>
                <w:sz w:val="14"/>
                <w:szCs w:val="14"/>
              </w:rPr>
              <w:t xml:space="preserve">: MF </w:t>
            </w:r>
            <w:r w:rsidR="00B945B0">
              <w:rPr>
                <w:rFonts w:cs="Arial"/>
                <w:sz w:val="14"/>
                <w:szCs w:val="14"/>
              </w:rPr>
              <w:t>C</w:t>
            </w:r>
            <w:r w:rsidRPr="00535F78">
              <w:rPr>
                <w:rFonts w:cs="Arial"/>
                <w:sz w:val="14"/>
                <w:szCs w:val="14"/>
              </w:rPr>
              <w:t>R</w:t>
            </w:r>
          </w:p>
        </w:tc>
      </w:tr>
    </w:tbl>
    <w:p w:rsidR="005D7503" w:rsidRDefault="005D7503" w:rsidP="005D7503">
      <w:pPr>
        <w:pStyle w:val="Textpoznpodarou"/>
        <w:jc w:val="both"/>
        <w:rPr>
          <w:rFonts w:cs="Arial"/>
          <w:color w:val="000000"/>
          <w:spacing w:val="-2"/>
          <w:sz w:val="14"/>
          <w:szCs w:val="14"/>
        </w:rPr>
      </w:pPr>
    </w:p>
    <w:tbl>
      <w:tblPr>
        <w:tblW w:w="4995" w:type="pct"/>
        <w:tblInd w:w="108" w:type="dxa"/>
        <w:tblLayout w:type="fixed"/>
        <w:tblLook w:val="00A0"/>
      </w:tblPr>
      <w:tblGrid>
        <w:gridCol w:w="50"/>
        <w:gridCol w:w="1949"/>
        <w:gridCol w:w="16"/>
        <w:gridCol w:w="268"/>
        <w:gridCol w:w="12"/>
        <w:gridCol w:w="1103"/>
        <w:gridCol w:w="6277"/>
        <w:gridCol w:w="169"/>
      </w:tblGrid>
      <w:tr w:rsidR="005D7503" w:rsidRPr="00751FC1" w:rsidTr="00CF0826">
        <w:trPr>
          <w:trHeight w:val="145"/>
        </w:trPr>
        <w:tc>
          <w:tcPr>
            <w:tcW w:w="1016" w:type="pct"/>
            <w:gridSpan w:val="2"/>
            <w:shd w:val="clear" w:color="auto" w:fill="auto"/>
          </w:tcPr>
          <w:p w:rsidR="005D7503" w:rsidRPr="00E96FC2" w:rsidRDefault="00E96FC2" w:rsidP="00CF0826">
            <w:pPr>
              <w:spacing w:line="240" w:lineRule="auto"/>
              <w:rPr>
                <w:rFonts w:cs="Arial"/>
                <w:bCs/>
                <w:iCs/>
                <w:color w:val="0D0D0D" w:themeColor="text1" w:themeTint="F2"/>
                <w:spacing w:val="-2"/>
                <w:sz w:val="16"/>
                <w:szCs w:val="16"/>
                <w:lang w:val="en-GB"/>
              </w:rPr>
            </w:pPr>
            <w:r>
              <w:rPr>
                <w:rFonts w:cs="Arial"/>
                <w:bCs/>
                <w:iCs/>
                <w:color w:val="0D0D0D" w:themeColor="text1" w:themeTint="F2"/>
                <w:spacing w:val="-2"/>
                <w:sz w:val="16"/>
                <w:szCs w:val="16"/>
                <w:lang w:val="en-GB"/>
              </w:rPr>
              <w:t>Mainly higher expenditures on wages of employees in areas with the state dominance and on the pension adjustment drove the growth of the current expenditures</w:t>
            </w:r>
            <w:r w:rsidR="005D7503" w:rsidRPr="00E96FC2">
              <w:rPr>
                <w:rFonts w:cs="Arial"/>
                <w:bCs/>
                <w:iCs/>
                <w:color w:val="0D0D0D" w:themeColor="text1" w:themeTint="F2"/>
                <w:spacing w:val="-2"/>
                <w:sz w:val="16"/>
                <w:szCs w:val="16"/>
                <w:lang w:val="en-GB"/>
              </w:rPr>
              <w:t xml:space="preserve">. </w:t>
            </w:r>
          </w:p>
        </w:tc>
        <w:tc>
          <w:tcPr>
            <w:tcW w:w="144" w:type="pct"/>
            <w:gridSpan w:val="2"/>
          </w:tcPr>
          <w:p w:rsidR="005D7503" w:rsidRPr="00E96FC2" w:rsidRDefault="005D7503" w:rsidP="00CF0826">
            <w:pPr>
              <w:pStyle w:val="Textpoznpodarou"/>
              <w:jc w:val="both"/>
              <w:rPr>
                <w:rFonts w:cs="Arial"/>
                <w:color w:val="0D0D0D" w:themeColor="text1" w:themeTint="F2"/>
                <w:lang w:val="en-GB"/>
              </w:rPr>
            </w:pPr>
          </w:p>
        </w:tc>
        <w:tc>
          <w:tcPr>
            <w:tcW w:w="3840" w:type="pct"/>
            <w:gridSpan w:val="4"/>
          </w:tcPr>
          <w:p w:rsidR="005D7503" w:rsidRPr="00E96FC2" w:rsidRDefault="00E96FC2" w:rsidP="00CF0826">
            <w:pPr>
              <w:pStyle w:val="Textpoznpodarou"/>
              <w:jc w:val="both"/>
              <w:rPr>
                <w:bCs/>
                <w:spacing w:val="-2"/>
                <w:szCs w:val="24"/>
                <w:lang w:val="en-GB"/>
              </w:rPr>
            </w:pPr>
            <w:r>
              <w:rPr>
                <w:rFonts w:cs="Arial"/>
                <w:color w:val="000000" w:themeColor="text1"/>
                <w:spacing w:val="-2"/>
                <w:lang w:val="en-GB"/>
              </w:rPr>
              <w:t>Non-investment transfers to the public budgets on the regional level, whose growth accelerated to 13.4% (from 4.6% in 2016) participated the most on the higher SB current expenditures (by 62.6 CZK bn) year-on-year last year</w:t>
            </w:r>
            <w:r w:rsidR="005D7503" w:rsidRPr="00E96FC2">
              <w:rPr>
                <w:bCs/>
                <w:spacing w:val="-2"/>
                <w:szCs w:val="24"/>
                <w:lang w:val="en-GB"/>
              </w:rPr>
              <w:t xml:space="preserve">. </w:t>
            </w:r>
            <w:r w:rsidR="00E67859">
              <w:rPr>
                <w:bCs/>
                <w:spacing w:val="-2"/>
                <w:szCs w:val="24"/>
                <w:lang w:val="en-GB"/>
              </w:rPr>
              <w:t>These expenditures especially reflected the growth of earnings of employees in the regional education</w:t>
            </w:r>
            <w:r w:rsidR="005D7503" w:rsidRPr="00E96FC2">
              <w:rPr>
                <w:rStyle w:val="Znakapoznpodarou"/>
                <w:bCs/>
                <w:spacing w:val="-2"/>
                <w:szCs w:val="24"/>
                <w:lang w:val="en-GB"/>
              </w:rPr>
              <w:footnoteReference w:id="6"/>
            </w:r>
            <w:r w:rsidR="005D7503" w:rsidRPr="00E96FC2">
              <w:rPr>
                <w:bCs/>
                <w:spacing w:val="-2"/>
                <w:szCs w:val="24"/>
                <w:lang w:val="en-GB"/>
              </w:rPr>
              <w:t>.</w:t>
            </w:r>
            <w:r w:rsidR="00B26CDA">
              <w:rPr>
                <w:bCs/>
                <w:spacing w:val="-2"/>
                <w:szCs w:val="24"/>
                <w:lang w:val="en-GB"/>
              </w:rPr>
              <w:t xml:space="preserve">The weight dominant item of social benefits also shared in the current expenditures in one quarter, its increase (+16.9 bn) was affected primarily by the pension adjustment. The rate of growth of expenditures on the wages of state employees nearly doubled (to </w:t>
            </w:r>
            <w:r w:rsidR="005D7503" w:rsidRPr="00E96FC2">
              <w:rPr>
                <w:bCs/>
                <w:spacing w:val="-2"/>
                <w:szCs w:val="24"/>
                <w:lang w:val="en-GB"/>
              </w:rPr>
              <w:t>9</w:t>
            </w:r>
            <w:r w:rsidR="00B26CDA">
              <w:rPr>
                <w:bCs/>
                <w:spacing w:val="-2"/>
                <w:szCs w:val="24"/>
                <w:lang w:val="en-GB"/>
              </w:rPr>
              <w:t>.</w:t>
            </w:r>
            <w:r w:rsidR="005D7503" w:rsidRPr="00E96FC2">
              <w:rPr>
                <w:bCs/>
                <w:spacing w:val="-2"/>
                <w:szCs w:val="24"/>
                <w:lang w:val="en-GB"/>
              </w:rPr>
              <w:t xml:space="preserve">2%), </w:t>
            </w:r>
            <w:r w:rsidR="00E47FCD">
              <w:rPr>
                <w:bCs/>
                <w:spacing w:val="-2"/>
                <w:szCs w:val="24"/>
                <w:lang w:val="en-GB"/>
              </w:rPr>
              <w:t xml:space="preserve">mainly thanks to the increase of the wage tariffs. The non-investment transfers to </w:t>
            </w:r>
            <w:r w:rsidR="00522F36">
              <w:rPr>
                <w:bCs/>
                <w:spacing w:val="-2"/>
                <w:szCs w:val="24"/>
                <w:lang w:val="en-GB"/>
              </w:rPr>
              <w:t xml:space="preserve">contributory organizations also recorded high dynamics </w:t>
            </w:r>
            <w:r w:rsidR="005D7503" w:rsidRPr="00E96FC2">
              <w:rPr>
                <w:bCs/>
                <w:spacing w:val="-2"/>
                <w:szCs w:val="24"/>
                <w:lang w:val="en-GB"/>
              </w:rPr>
              <w:t>(+13</w:t>
            </w:r>
            <w:r w:rsidR="00522F36">
              <w:rPr>
                <w:bCs/>
                <w:spacing w:val="-2"/>
                <w:szCs w:val="24"/>
                <w:lang w:val="en-GB"/>
              </w:rPr>
              <w:t>.</w:t>
            </w:r>
            <w:r w:rsidR="005D7503" w:rsidRPr="00E96FC2">
              <w:rPr>
                <w:bCs/>
                <w:spacing w:val="-2"/>
                <w:szCs w:val="24"/>
                <w:lang w:val="en-GB"/>
              </w:rPr>
              <w:t>8%)</w:t>
            </w:r>
            <w:r w:rsidR="00885620" w:rsidRPr="00E96FC2">
              <w:rPr>
                <w:bCs/>
                <w:spacing w:val="-2"/>
                <w:szCs w:val="24"/>
                <w:lang w:val="en-GB"/>
              </w:rPr>
              <w:t>,</w:t>
            </w:r>
            <w:r w:rsidR="005D7503" w:rsidRPr="00E96FC2">
              <w:rPr>
                <w:bCs/>
                <w:spacing w:val="-2"/>
                <w:szCs w:val="24"/>
                <w:lang w:val="en-GB"/>
              </w:rPr>
              <w:t xml:space="preserve"> </w:t>
            </w:r>
            <w:r w:rsidR="00522F36">
              <w:rPr>
                <w:bCs/>
                <w:spacing w:val="-2"/>
                <w:szCs w:val="24"/>
                <w:lang w:val="en-GB"/>
              </w:rPr>
              <w:t xml:space="preserve">including e.g. universities or the research agencies. The volume of non-investment transfers to the business entities also increased by nearly one tenth (to 48.3 CZK bn). </w:t>
            </w:r>
            <w:r w:rsidR="005D7503" w:rsidRPr="00E96FC2">
              <w:rPr>
                <w:bCs/>
                <w:spacing w:val="-2"/>
                <w:szCs w:val="24"/>
                <w:lang w:val="en-GB"/>
              </w:rPr>
              <w:t>T</w:t>
            </w:r>
            <w:r w:rsidR="00522F36">
              <w:rPr>
                <w:bCs/>
                <w:spacing w:val="-2"/>
                <w:szCs w:val="24"/>
                <w:lang w:val="en-GB"/>
              </w:rPr>
              <w:t xml:space="preserve">hese transfers </w:t>
            </w:r>
            <w:r w:rsidR="007C6EA2">
              <w:rPr>
                <w:bCs/>
                <w:spacing w:val="-2"/>
                <w:szCs w:val="24"/>
                <w:lang w:val="en-GB"/>
              </w:rPr>
              <w:t xml:space="preserve">are linked to a significant extent to the support of the sustainable sources of energy. </w:t>
            </w:r>
            <w:r w:rsidR="00EE3CA2">
              <w:rPr>
                <w:bCs/>
                <w:spacing w:val="-2"/>
                <w:szCs w:val="24"/>
                <w:lang w:val="en-GB"/>
              </w:rPr>
              <w:t xml:space="preserve"> </w:t>
            </w:r>
            <w:r w:rsidR="005D7503" w:rsidRPr="00E96FC2">
              <w:rPr>
                <w:bCs/>
                <w:spacing w:val="-2"/>
                <w:szCs w:val="24"/>
                <w:lang w:val="en-GB"/>
              </w:rPr>
              <w:t xml:space="preserve"> </w:t>
            </w:r>
          </w:p>
          <w:p w:rsidR="005D7503" w:rsidRPr="00E96FC2" w:rsidRDefault="005D7503" w:rsidP="00CF0826">
            <w:pPr>
              <w:pStyle w:val="Textpoznpodarou"/>
              <w:jc w:val="both"/>
              <w:rPr>
                <w:rFonts w:cs="Arial"/>
                <w:color w:val="0D0D0D" w:themeColor="text1" w:themeTint="F2"/>
                <w:spacing w:val="-2"/>
                <w:sz w:val="14"/>
                <w:szCs w:val="14"/>
                <w:lang w:val="en-GB"/>
              </w:rPr>
            </w:pPr>
          </w:p>
        </w:tc>
      </w:tr>
      <w:tr w:rsidR="005D7503" w:rsidRPr="00F06A1D" w:rsidTr="00CF0826">
        <w:trPr>
          <w:trHeight w:val="145"/>
        </w:trPr>
        <w:tc>
          <w:tcPr>
            <w:tcW w:w="1016" w:type="pct"/>
            <w:gridSpan w:val="2"/>
            <w:shd w:val="clear" w:color="auto" w:fill="auto"/>
          </w:tcPr>
          <w:p w:rsidR="00271B9B" w:rsidRPr="00785C7A" w:rsidRDefault="005D7503" w:rsidP="00271B9B">
            <w:pPr>
              <w:spacing w:line="240" w:lineRule="auto"/>
              <w:rPr>
                <w:rFonts w:cs="Arial"/>
                <w:bCs/>
                <w:iCs/>
                <w:color w:val="0D0D0D" w:themeColor="text1" w:themeTint="F2"/>
                <w:spacing w:val="-2"/>
                <w:sz w:val="16"/>
                <w:szCs w:val="16"/>
                <w:lang w:val="en-GB"/>
              </w:rPr>
            </w:pPr>
            <w:r w:rsidRPr="00785C7A">
              <w:rPr>
                <w:rFonts w:cs="Arial"/>
                <w:bCs/>
                <w:iCs/>
                <w:color w:val="0D0D0D" w:themeColor="text1" w:themeTint="F2"/>
                <w:spacing w:val="-2"/>
                <w:sz w:val="16"/>
                <w:szCs w:val="16"/>
                <w:lang w:val="en-GB"/>
              </w:rPr>
              <w:lastRenderedPageBreak/>
              <w:t>D</w:t>
            </w:r>
            <w:r w:rsidR="00A37229">
              <w:rPr>
                <w:rFonts w:cs="Arial"/>
                <w:bCs/>
                <w:iCs/>
                <w:color w:val="0D0D0D" w:themeColor="text1" w:themeTint="F2"/>
                <w:spacing w:val="-2"/>
                <w:sz w:val="16"/>
                <w:szCs w:val="16"/>
                <w:lang w:val="en-GB"/>
              </w:rPr>
              <w:t xml:space="preserve">ynamical </w:t>
            </w:r>
            <w:r w:rsidR="00271B9B">
              <w:rPr>
                <w:rFonts w:cs="Arial"/>
                <w:bCs/>
                <w:iCs/>
                <w:color w:val="0D0D0D" w:themeColor="text1" w:themeTint="F2"/>
                <w:spacing w:val="-2"/>
                <w:sz w:val="16"/>
                <w:szCs w:val="16"/>
                <w:lang w:val="en-GB"/>
              </w:rPr>
              <w:t>growth</w:t>
            </w:r>
            <w:r w:rsidR="00A37229">
              <w:rPr>
                <w:rFonts w:cs="Arial"/>
                <w:bCs/>
                <w:iCs/>
                <w:color w:val="0D0D0D" w:themeColor="text1" w:themeTint="F2"/>
                <w:spacing w:val="-2"/>
                <w:sz w:val="16"/>
                <w:szCs w:val="16"/>
                <w:lang w:val="en-GB"/>
              </w:rPr>
              <w:t xml:space="preserve"> of the collection of insurance together with the minimal addition to the </w:t>
            </w:r>
            <w:r w:rsidR="00271B9B">
              <w:rPr>
                <w:rFonts w:cs="Arial"/>
                <w:bCs/>
                <w:iCs/>
                <w:color w:val="0D0D0D" w:themeColor="text1" w:themeTint="F2"/>
                <w:spacing w:val="-2"/>
                <w:sz w:val="16"/>
                <w:szCs w:val="16"/>
                <w:lang w:val="en-GB"/>
              </w:rPr>
              <w:t>number</w:t>
            </w:r>
            <w:r w:rsidR="00A37229">
              <w:rPr>
                <w:rFonts w:cs="Arial"/>
                <w:bCs/>
                <w:iCs/>
                <w:color w:val="0D0D0D" w:themeColor="text1" w:themeTint="F2"/>
                <w:spacing w:val="-2"/>
                <w:sz w:val="16"/>
                <w:szCs w:val="16"/>
                <w:lang w:val="en-GB"/>
              </w:rPr>
              <w:t xml:space="preserve"> of pensioners </w:t>
            </w:r>
            <w:r w:rsidR="00271B9B">
              <w:rPr>
                <w:rFonts w:cs="Arial"/>
                <w:bCs/>
                <w:iCs/>
                <w:color w:val="0D0D0D" w:themeColor="text1" w:themeTint="F2"/>
                <w:spacing w:val="-2"/>
                <w:sz w:val="16"/>
                <w:szCs w:val="16"/>
                <w:lang w:val="en-GB"/>
              </w:rPr>
              <w:t xml:space="preserve">led to the marked improvement of the pension account balance. It broke free from the deficit for the first time in nine years.  </w:t>
            </w:r>
          </w:p>
          <w:p w:rsidR="005D7503" w:rsidRPr="00785C7A" w:rsidRDefault="005D7503" w:rsidP="00CF0826">
            <w:pPr>
              <w:spacing w:line="240" w:lineRule="auto"/>
              <w:rPr>
                <w:rFonts w:cs="Arial"/>
                <w:bCs/>
                <w:iCs/>
                <w:color w:val="0D0D0D" w:themeColor="text1" w:themeTint="F2"/>
                <w:spacing w:val="-2"/>
                <w:sz w:val="16"/>
                <w:szCs w:val="16"/>
                <w:lang w:val="en-GB"/>
              </w:rPr>
            </w:pPr>
            <w:r w:rsidRPr="00785C7A">
              <w:rPr>
                <w:rFonts w:cs="Arial"/>
                <w:bCs/>
                <w:iCs/>
                <w:color w:val="0D0D0D" w:themeColor="text1" w:themeTint="F2"/>
                <w:spacing w:val="-2"/>
                <w:sz w:val="16"/>
                <w:szCs w:val="16"/>
                <w:lang w:val="en-GB"/>
              </w:rPr>
              <w:t>.</w:t>
            </w:r>
          </w:p>
        </w:tc>
        <w:tc>
          <w:tcPr>
            <w:tcW w:w="144" w:type="pct"/>
            <w:gridSpan w:val="2"/>
          </w:tcPr>
          <w:p w:rsidR="005D7503" w:rsidRPr="00785C7A" w:rsidRDefault="005D7503" w:rsidP="00CF0826">
            <w:pPr>
              <w:pStyle w:val="Textpoznpodarou"/>
              <w:jc w:val="both"/>
              <w:rPr>
                <w:rFonts w:cs="Arial"/>
                <w:color w:val="0D0D0D" w:themeColor="text1" w:themeTint="F2"/>
                <w:lang w:val="en-GB"/>
              </w:rPr>
            </w:pPr>
          </w:p>
        </w:tc>
        <w:tc>
          <w:tcPr>
            <w:tcW w:w="3840" w:type="pct"/>
            <w:gridSpan w:val="4"/>
          </w:tcPr>
          <w:p w:rsidR="00627F1F" w:rsidRDefault="0010177A" w:rsidP="00CF0826">
            <w:pPr>
              <w:pStyle w:val="Textpoznpodarou"/>
              <w:jc w:val="both"/>
              <w:rPr>
                <w:rFonts w:cs="Arial"/>
                <w:color w:val="0D0D0D" w:themeColor="text1" w:themeTint="F2"/>
                <w:spacing w:val="-4"/>
                <w:lang w:val="en-GB"/>
              </w:rPr>
            </w:pPr>
            <w:r>
              <w:rPr>
                <w:rFonts w:cs="Arial"/>
                <w:color w:val="0D0D0D" w:themeColor="text1" w:themeTint="F2"/>
                <w:spacing w:val="-2"/>
                <w:lang w:val="en-GB"/>
              </w:rPr>
              <w:t xml:space="preserve">41.4% of all SB expenditures were aimed at the social benefits last year (by 0.7 </w:t>
            </w:r>
            <w:r w:rsidR="0030607B">
              <w:rPr>
                <w:rFonts w:cs="Arial"/>
                <w:color w:val="0D0D0D" w:themeColor="text1" w:themeTint="F2"/>
                <w:spacing w:val="-2"/>
                <w:lang w:val="en-GB"/>
              </w:rPr>
              <w:t>p.p.</w:t>
            </w:r>
            <w:r>
              <w:rPr>
                <w:rFonts w:cs="Arial"/>
                <w:color w:val="0D0D0D" w:themeColor="text1" w:themeTint="F2"/>
                <w:spacing w:val="-2"/>
                <w:lang w:val="en-GB"/>
              </w:rPr>
              <w:t xml:space="preserve"> less year-on-year). Full 78% of expenditures on social benefits were directed to pensions, where the state expended by 3.9% more year-on-year (by 0.9% in 2016). </w:t>
            </w:r>
            <w:r w:rsidR="001261B3">
              <w:rPr>
                <w:rFonts w:cs="Arial"/>
                <w:color w:val="0D0D0D" w:themeColor="text1" w:themeTint="F2"/>
                <w:spacing w:val="-2"/>
                <w:lang w:val="en-GB"/>
              </w:rPr>
              <w:t xml:space="preserve">The impact of the new legislative amendment allowing to increase pensions above the level of the standard adjustment was projected in the growing pace of expenditures. On the contrary the number of all pension recipients (2.896 mil persons) expanded only slightly (+0.1%). Apart from the demographic effects, it was also connected to the favourable situation on the labour market and </w:t>
            </w:r>
            <w:r w:rsidR="00851087">
              <w:rPr>
                <w:rFonts w:cs="Arial"/>
                <w:color w:val="0D0D0D" w:themeColor="text1" w:themeTint="F2"/>
                <w:spacing w:val="-2"/>
                <w:lang w:val="en-GB"/>
              </w:rPr>
              <w:t>consequent “l</w:t>
            </w:r>
            <w:r w:rsidR="001261B3">
              <w:rPr>
                <w:rFonts w:cs="Arial"/>
                <w:color w:val="0D0D0D" w:themeColor="text1" w:themeTint="F2"/>
                <w:spacing w:val="-2"/>
                <w:lang w:val="en-GB"/>
              </w:rPr>
              <w:t xml:space="preserve">ower demand” for early retirement (year-on-year relative addition of persons with the permanently shortened </w:t>
            </w:r>
            <w:r w:rsidR="00851087">
              <w:rPr>
                <w:rFonts w:cs="Arial"/>
                <w:color w:val="0D0D0D" w:themeColor="text1" w:themeTint="F2"/>
                <w:spacing w:val="-2"/>
                <w:lang w:val="en-GB"/>
              </w:rPr>
              <w:t>pension</w:t>
            </w:r>
            <w:r w:rsidR="001261B3">
              <w:rPr>
                <w:rFonts w:cs="Arial"/>
                <w:color w:val="0D0D0D" w:themeColor="text1" w:themeTint="F2"/>
                <w:spacing w:val="-2"/>
                <w:lang w:val="en-GB"/>
              </w:rPr>
              <w:t xml:space="preserve"> w</w:t>
            </w:r>
            <w:r w:rsidR="00851087">
              <w:rPr>
                <w:rFonts w:cs="Arial"/>
                <w:color w:val="0D0D0D" w:themeColor="text1" w:themeTint="F2"/>
                <w:spacing w:val="-2"/>
                <w:lang w:val="en-GB"/>
              </w:rPr>
              <w:t>a</w:t>
            </w:r>
            <w:r w:rsidR="001261B3">
              <w:rPr>
                <w:rFonts w:cs="Arial"/>
                <w:color w:val="0D0D0D" w:themeColor="text1" w:themeTint="F2"/>
                <w:spacing w:val="-2"/>
                <w:lang w:val="en-GB"/>
              </w:rPr>
              <w:t xml:space="preserve">s the </w:t>
            </w:r>
            <w:r w:rsidR="00851087">
              <w:rPr>
                <w:rFonts w:cs="Arial"/>
                <w:color w:val="0D0D0D" w:themeColor="text1" w:themeTint="F2"/>
                <w:spacing w:val="-2"/>
                <w:lang w:val="en-GB"/>
              </w:rPr>
              <w:t>weakest</w:t>
            </w:r>
            <w:r w:rsidR="001261B3">
              <w:rPr>
                <w:rFonts w:cs="Arial"/>
                <w:color w:val="0D0D0D" w:themeColor="text1" w:themeTint="F2"/>
                <w:spacing w:val="-2"/>
                <w:lang w:val="en-GB"/>
              </w:rPr>
              <w:t xml:space="preserve"> in the last four year</w:t>
            </w:r>
            <w:r w:rsidR="00851087">
              <w:rPr>
                <w:rFonts w:cs="Arial"/>
                <w:color w:val="0D0D0D" w:themeColor="text1" w:themeTint="F2"/>
                <w:spacing w:val="-2"/>
                <w:lang w:val="en-GB"/>
              </w:rPr>
              <w:t>s</w:t>
            </w:r>
            <w:r w:rsidR="001261B3">
              <w:rPr>
                <w:rFonts w:cs="Arial"/>
                <w:color w:val="0D0D0D" w:themeColor="text1" w:themeTint="F2"/>
                <w:spacing w:val="-2"/>
                <w:lang w:val="en-GB"/>
              </w:rPr>
              <w:t xml:space="preserve"> last year). </w:t>
            </w:r>
            <w:r w:rsidR="005D7503" w:rsidRPr="00785C7A">
              <w:rPr>
                <w:rFonts w:cs="Arial"/>
                <w:color w:val="0D0D0D" w:themeColor="text1" w:themeTint="F2"/>
                <w:spacing w:val="-4"/>
                <w:lang w:val="en-GB"/>
              </w:rPr>
              <w:t>Re</w:t>
            </w:r>
            <w:r w:rsidR="0061196F">
              <w:rPr>
                <w:rFonts w:cs="Arial"/>
                <w:color w:val="0D0D0D" w:themeColor="text1" w:themeTint="F2"/>
                <w:spacing w:val="-4"/>
                <w:lang w:val="en-GB"/>
              </w:rPr>
              <w:t xml:space="preserve">cord level of employment accompanied by the strengthening wage growth supported the dynamic collection of insurance </w:t>
            </w:r>
            <w:r w:rsidR="005D7503" w:rsidRPr="00785C7A">
              <w:rPr>
                <w:rFonts w:cs="Arial"/>
                <w:color w:val="0D0D0D" w:themeColor="text1" w:themeTint="F2"/>
                <w:spacing w:val="-4"/>
                <w:lang w:val="en-GB"/>
              </w:rPr>
              <w:t>(+8</w:t>
            </w:r>
            <w:r w:rsidR="0061196F">
              <w:rPr>
                <w:rFonts w:cs="Arial"/>
                <w:color w:val="0D0D0D" w:themeColor="text1" w:themeTint="F2"/>
                <w:spacing w:val="-4"/>
                <w:lang w:val="en-GB"/>
              </w:rPr>
              <w:t>.</w:t>
            </w:r>
            <w:r w:rsidR="005D7503" w:rsidRPr="00785C7A">
              <w:rPr>
                <w:rFonts w:cs="Arial"/>
                <w:color w:val="0D0D0D" w:themeColor="text1" w:themeTint="F2"/>
                <w:spacing w:val="-4"/>
                <w:lang w:val="en-GB"/>
              </w:rPr>
              <w:t>2</w:t>
            </w:r>
            <w:r w:rsidR="00EE208C" w:rsidRPr="00785C7A">
              <w:rPr>
                <w:rFonts w:cs="Arial"/>
                <w:color w:val="0D0D0D" w:themeColor="text1" w:themeTint="F2"/>
                <w:spacing w:val="-4"/>
                <w:lang w:val="en-GB"/>
              </w:rPr>
              <w:t xml:space="preserve">%, </w:t>
            </w:r>
            <w:r w:rsidR="0061196F">
              <w:rPr>
                <w:rFonts w:cs="Arial"/>
                <w:color w:val="0D0D0D" w:themeColor="text1" w:themeTint="F2"/>
                <w:spacing w:val="-4"/>
                <w:lang w:val="en-GB"/>
              </w:rPr>
              <w:t xml:space="preserve">the highest after </w:t>
            </w:r>
            <w:r w:rsidR="005D7503" w:rsidRPr="00785C7A">
              <w:rPr>
                <w:rFonts w:cs="Arial"/>
                <w:color w:val="0D0D0D" w:themeColor="text1" w:themeTint="F2"/>
                <w:spacing w:val="-4"/>
                <w:lang w:val="en-GB"/>
              </w:rPr>
              <w:t xml:space="preserve">2007). </w:t>
            </w:r>
            <w:r w:rsidR="00F56E04">
              <w:rPr>
                <w:rFonts w:cs="Arial"/>
                <w:color w:val="0D0D0D" w:themeColor="text1" w:themeTint="F2"/>
                <w:spacing w:val="-4"/>
                <w:lang w:val="en-GB"/>
              </w:rPr>
              <w:t xml:space="preserve">Rate of growth of insurance on pensions kept growing during the year 2017 </w:t>
            </w:r>
            <w:r w:rsidR="005D7503" w:rsidRPr="00785C7A">
              <w:rPr>
                <w:rFonts w:cs="Arial"/>
                <w:color w:val="0D0D0D" w:themeColor="text1" w:themeTint="F2"/>
                <w:spacing w:val="-4"/>
                <w:lang w:val="en-GB"/>
              </w:rPr>
              <w:t>(</w:t>
            </w:r>
            <w:r w:rsidR="00F56E04">
              <w:rPr>
                <w:rFonts w:cs="Arial"/>
                <w:color w:val="0D0D0D" w:themeColor="text1" w:themeTint="F2"/>
                <w:spacing w:val="-4"/>
                <w:lang w:val="en-GB"/>
              </w:rPr>
              <w:t xml:space="preserve">it was 6.6% year-on-year in Q1, it attacked 10% towards the </w:t>
            </w:r>
            <w:r w:rsidR="00EF6B4F">
              <w:rPr>
                <w:rFonts w:cs="Arial"/>
                <w:color w:val="0D0D0D" w:themeColor="text1" w:themeTint="F2"/>
                <w:spacing w:val="-4"/>
                <w:lang w:val="en-GB"/>
              </w:rPr>
              <w:t>end</w:t>
            </w:r>
            <w:r w:rsidR="00F56E04">
              <w:rPr>
                <w:rFonts w:cs="Arial"/>
                <w:color w:val="0D0D0D" w:themeColor="text1" w:themeTint="F2"/>
                <w:spacing w:val="-4"/>
                <w:lang w:val="en-GB"/>
              </w:rPr>
              <w:t xml:space="preserve"> of the year). </w:t>
            </w:r>
            <w:r w:rsidR="005D7503" w:rsidRPr="00785C7A">
              <w:rPr>
                <w:rFonts w:cs="Arial"/>
                <w:color w:val="0D0D0D" w:themeColor="text1" w:themeTint="F2"/>
                <w:spacing w:val="-4"/>
                <w:lang w:val="en-GB"/>
              </w:rPr>
              <w:t>T</w:t>
            </w:r>
            <w:r w:rsidR="00F56E04">
              <w:rPr>
                <w:rFonts w:cs="Arial"/>
                <w:color w:val="0D0D0D" w:themeColor="text1" w:themeTint="F2"/>
                <w:spacing w:val="-4"/>
                <w:lang w:val="en-GB"/>
              </w:rPr>
              <w:t>hese tendencies resulted in the considerable improvement of the pension account balance</w:t>
            </w:r>
            <w:r w:rsidR="005D7503" w:rsidRPr="00785C7A">
              <w:rPr>
                <w:rStyle w:val="Znakapoznpodarou"/>
                <w:color w:val="0D0D0D" w:themeColor="text1" w:themeTint="F2"/>
                <w:spacing w:val="-4"/>
                <w:lang w:val="en-GB"/>
              </w:rPr>
              <w:footnoteReference w:id="7"/>
            </w:r>
            <w:r w:rsidR="005D7503" w:rsidRPr="00785C7A">
              <w:rPr>
                <w:rFonts w:cs="Arial"/>
                <w:color w:val="0D0D0D" w:themeColor="text1" w:themeTint="F2"/>
                <w:spacing w:val="-4"/>
                <w:lang w:val="en-GB"/>
              </w:rPr>
              <w:t xml:space="preserve">, </w:t>
            </w:r>
            <w:r w:rsidR="00F56E04">
              <w:rPr>
                <w:rFonts w:cs="Arial"/>
                <w:color w:val="0D0D0D" w:themeColor="text1" w:themeTint="F2"/>
                <w:spacing w:val="-4"/>
                <w:lang w:val="en-GB"/>
              </w:rPr>
              <w:t xml:space="preserve">which was by nearly 16 bn more favourable year-on-year and attained </w:t>
            </w:r>
            <w:r w:rsidR="005D7503" w:rsidRPr="00785C7A">
              <w:rPr>
                <w:rFonts w:cs="Arial"/>
                <w:color w:val="0D0D0D" w:themeColor="text1" w:themeTint="F2"/>
                <w:spacing w:val="-4"/>
                <w:lang w:val="en-GB"/>
              </w:rPr>
              <w:t>+0</w:t>
            </w:r>
            <w:r w:rsidR="00F56E04">
              <w:rPr>
                <w:rFonts w:cs="Arial"/>
                <w:color w:val="0D0D0D" w:themeColor="text1" w:themeTint="F2"/>
                <w:spacing w:val="-4"/>
                <w:lang w:val="en-GB"/>
              </w:rPr>
              <w:t>.</w:t>
            </w:r>
            <w:r w:rsidR="005D7503" w:rsidRPr="00785C7A">
              <w:rPr>
                <w:rFonts w:cs="Arial"/>
                <w:color w:val="0D0D0D" w:themeColor="text1" w:themeTint="F2"/>
                <w:spacing w:val="-4"/>
                <w:lang w:val="en-GB"/>
              </w:rPr>
              <w:t>1</w:t>
            </w:r>
            <w:r w:rsidR="00EE208C" w:rsidRPr="00785C7A">
              <w:rPr>
                <w:rFonts w:cs="Arial"/>
                <w:color w:val="0D0D0D" w:themeColor="text1" w:themeTint="F2"/>
                <w:spacing w:val="-4"/>
                <w:lang w:val="en-GB"/>
              </w:rPr>
              <w:t> </w:t>
            </w:r>
            <w:r w:rsidR="00F56E04">
              <w:rPr>
                <w:rFonts w:cs="Arial"/>
                <w:color w:val="0D0D0D" w:themeColor="text1" w:themeTint="F2"/>
                <w:spacing w:val="-4"/>
                <w:lang w:val="en-GB"/>
              </w:rPr>
              <w:t>CZK bn</w:t>
            </w:r>
            <w:r w:rsidR="005D7503" w:rsidRPr="00785C7A">
              <w:rPr>
                <w:rFonts w:cs="Arial"/>
                <w:color w:val="0D0D0D" w:themeColor="text1" w:themeTint="F2"/>
                <w:spacing w:val="-4"/>
                <w:lang w:val="en-GB"/>
              </w:rPr>
              <w:t xml:space="preserve">. </w:t>
            </w:r>
            <w:r w:rsidR="00F56E04">
              <w:rPr>
                <w:rFonts w:cs="Arial"/>
                <w:color w:val="0D0D0D" w:themeColor="text1" w:themeTint="F2"/>
                <w:spacing w:val="-4"/>
                <w:lang w:val="en-GB"/>
              </w:rPr>
              <w:t xml:space="preserve">Pension account thus extracted itself form the deficit for the first time since the end of expansion phase of the last decade. </w:t>
            </w:r>
            <w:r w:rsidR="005D7503" w:rsidRPr="00785C7A">
              <w:rPr>
                <w:rFonts w:cs="Arial"/>
                <w:color w:val="0D0D0D" w:themeColor="text1" w:themeTint="F2"/>
                <w:spacing w:val="-4"/>
                <w:lang w:val="en-GB"/>
              </w:rPr>
              <w:t xml:space="preserve"> </w:t>
            </w:r>
          </w:p>
          <w:p w:rsidR="00627F1F" w:rsidRPr="00627F1F" w:rsidRDefault="00627F1F" w:rsidP="00CF0826">
            <w:pPr>
              <w:pStyle w:val="Textpoznpodarou"/>
              <w:jc w:val="both"/>
              <w:rPr>
                <w:rFonts w:cs="Arial"/>
                <w:color w:val="0D0D0D" w:themeColor="text1" w:themeTint="F2"/>
                <w:spacing w:val="-4"/>
                <w:sz w:val="16"/>
                <w:szCs w:val="16"/>
                <w:lang w:val="en-GB"/>
              </w:rPr>
            </w:pPr>
          </w:p>
        </w:tc>
      </w:tr>
      <w:tr w:rsidR="005D7503" w:rsidRPr="00AA4A76" w:rsidTr="00CF0826">
        <w:tblPrEx>
          <w:tblCellMar>
            <w:left w:w="57" w:type="dxa"/>
            <w:right w:w="0" w:type="dxa"/>
          </w:tblCellMar>
        </w:tblPrEx>
        <w:trPr>
          <w:gridBefore w:val="1"/>
          <w:gridAfter w:val="1"/>
          <w:wBefore w:w="26" w:type="pct"/>
          <w:wAfter w:w="86" w:type="pct"/>
          <w:trHeight w:val="145"/>
        </w:trPr>
        <w:tc>
          <w:tcPr>
            <w:tcW w:w="998" w:type="pct"/>
            <w:gridSpan w:val="2"/>
            <w:shd w:val="clear" w:color="auto" w:fill="auto"/>
          </w:tcPr>
          <w:p w:rsidR="005D7503" w:rsidRPr="00AA4A76" w:rsidRDefault="005D7503" w:rsidP="00CF0826">
            <w:pPr>
              <w:spacing w:line="240" w:lineRule="auto"/>
              <w:jc w:val="center"/>
              <w:rPr>
                <w:color w:val="000000"/>
                <w:szCs w:val="20"/>
              </w:rPr>
            </w:pPr>
          </w:p>
        </w:tc>
        <w:tc>
          <w:tcPr>
            <w:tcW w:w="142" w:type="pct"/>
            <w:gridSpan w:val="2"/>
          </w:tcPr>
          <w:p w:rsidR="005D7503" w:rsidRPr="00AA4A76" w:rsidRDefault="005D7503" w:rsidP="00CF0826">
            <w:pPr>
              <w:pStyle w:val="Textpoznpodarou"/>
              <w:jc w:val="both"/>
              <w:rPr>
                <w:highlight w:val="yellow"/>
              </w:rPr>
            </w:pPr>
          </w:p>
        </w:tc>
        <w:tc>
          <w:tcPr>
            <w:tcW w:w="560" w:type="pct"/>
          </w:tcPr>
          <w:p w:rsidR="005D7503" w:rsidRPr="00177BD8" w:rsidRDefault="00EE3CA2" w:rsidP="00CF0826">
            <w:pPr>
              <w:pStyle w:val="Textpoznpodarou"/>
              <w:jc w:val="both"/>
              <w:rPr>
                <w:spacing w:val="-4"/>
                <w:highlight w:val="yellow"/>
              </w:rPr>
            </w:pPr>
            <w:r>
              <w:rPr>
                <w:color w:val="000000"/>
                <w:spacing w:val="-4"/>
              </w:rPr>
              <w:t xml:space="preserve">Chart </w:t>
            </w:r>
            <w:r w:rsidR="005D7503" w:rsidRPr="00177BD8">
              <w:rPr>
                <w:color w:val="000000"/>
                <w:spacing w:val="-4"/>
              </w:rPr>
              <w:t>2</w:t>
            </w:r>
            <w:r w:rsidR="005D7503">
              <w:rPr>
                <w:color w:val="000000"/>
                <w:spacing w:val="-4"/>
              </w:rPr>
              <w:t>1</w:t>
            </w:r>
          </w:p>
        </w:tc>
        <w:tc>
          <w:tcPr>
            <w:tcW w:w="3188" w:type="pct"/>
          </w:tcPr>
          <w:p w:rsidR="001432C1" w:rsidRDefault="001432C1" w:rsidP="001432C1">
            <w:pPr>
              <w:pStyle w:val="Textpoznpodarou"/>
              <w:rPr>
                <w:rFonts w:cs="Arial"/>
                <w:b/>
                <w:bCs/>
                <w:spacing w:val="-2"/>
                <w:lang w:val="en-GB"/>
              </w:rPr>
            </w:pPr>
            <w:r>
              <w:rPr>
                <w:rFonts w:cs="Arial"/>
                <w:b/>
                <w:bCs/>
                <w:spacing w:val="-2"/>
                <w:lang w:val="en-GB"/>
              </w:rPr>
              <w:t xml:space="preserve">Pension recipients, income and expenditure on pensions from the state budget </w:t>
            </w:r>
            <w:r>
              <w:rPr>
                <w:rFonts w:cs="Arial"/>
                <w:bCs/>
                <w:spacing w:val="-2"/>
                <w:lang w:val="en-GB"/>
              </w:rPr>
              <w:t>(year-on-year in %</w:t>
            </w:r>
            <w:r>
              <w:rPr>
                <w:bCs/>
                <w:spacing w:val="-2"/>
                <w:lang w:val="en-GB"/>
              </w:rPr>
              <w:t>)</w:t>
            </w:r>
            <w:r>
              <w:rPr>
                <w:rFonts w:cs="Arial"/>
                <w:bCs/>
                <w:spacing w:val="-2"/>
                <w:lang w:val="en-GB"/>
              </w:rPr>
              <w:t xml:space="preserve"> </w:t>
            </w:r>
            <w:r>
              <w:rPr>
                <w:rFonts w:cs="Arial"/>
                <w:b/>
                <w:bCs/>
                <w:spacing w:val="-2"/>
                <w:lang w:val="en-GB"/>
              </w:rPr>
              <w:t>and pension account balance</w:t>
            </w:r>
          </w:p>
          <w:p w:rsidR="005D7503" w:rsidRPr="001356FC" w:rsidRDefault="001432C1" w:rsidP="001432C1">
            <w:pPr>
              <w:spacing w:line="240" w:lineRule="auto"/>
              <w:rPr>
                <w:rFonts w:cs="Arial"/>
                <w:b/>
                <w:bCs/>
                <w:spacing w:val="-4"/>
              </w:rPr>
            </w:pPr>
            <w:r>
              <w:rPr>
                <w:rFonts w:cs="Arial"/>
                <w:b/>
                <w:bCs/>
                <w:spacing w:val="-2"/>
                <w:lang w:val="en-GB"/>
              </w:rPr>
              <w:t xml:space="preserve"> </w:t>
            </w:r>
            <w:r>
              <w:rPr>
                <w:rFonts w:cs="Arial"/>
                <w:bCs/>
                <w:spacing w:val="-2"/>
                <w:lang w:val="en-GB"/>
              </w:rPr>
              <w:t>(in CZK bn)</w:t>
            </w:r>
            <w:r w:rsidRPr="001356FC">
              <w:rPr>
                <w:rFonts w:cs="Arial"/>
                <w:b/>
                <w:bCs/>
                <w:spacing w:val="-4"/>
              </w:rPr>
              <w:t xml:space="preserve"> </w:t>
            </w:r>
          </w:p>
        </w:tc>
      </w:tr>
      <w:tr w:rsidR="005D7503" w:rsidRPr="00AA4A76" w:rsidTr="00CF0826">
        <w:tblPrEx>
          <w:tblCellMar>
            <w:left w:w="57" w:type="dxa"/>
            <w:right w:w="0" w:type="dxa"/>
          </w:tblCellMar>
        </w:tblPrEx>
        <w:trPr>
          <w:gridBefore w:val="1"/>
          <w:gridAfter w:val="1"/>
          <w:wBefore w:w="26" w:type="pct"/>
          <w:wAfter w:w="86" w:type="pct"/>
          <w:trHeight w:val="145"/>
        </w:trPr>
        <w:tc>
          <w:tcPr>
            <w:tcW w:w="998" w:type="pct"/>
            <w:gridSpan w:val="2"/>
            <w:shd w:val="clear" w:color="auto" w:fill="auto"/>
          </w:tcPr>
          <w:p w:rsidR="005D7503" w:rsidRPr="006D3F53" w:rsidRDefault="005D7503" w:rsidP="00CF0826">
            <w:pPr>
              <w:spacing w:line="240" w:lineRule="auto"/>
              <w:rPr>
                <w:color w:val="000000"/>
                <w:sz w:val="16"/>
                <w:szCs w:val="16"/>
                <w:highlight w:val="yellow"/>
              </w:rPr>
            </w:pPr>
          </w:p>
        </w:tc>
        <w:tc>
          <w:tcPr>
            <w:tcW w:w="142" w:type="pct"/>
            <w:gridSpan w:val="2"/>
          </w:tcPr>
          <w:p w:rsidR="005D7503" w:rsidRPr="00A74192" w:rsidRDefault="005D7503" w:rsidP="00CF0826">
            <w:pPr>
              <w:pStyle w:val="Textpoznpodarou"/>
              <w:jc w:val="both"/>
            </w:pPr>
          </w:p>
        </w:tc>
        <w:tc>
          <w:tcPr>
            <w:tcW w:w="3748" w:type="pct"/>
            <w:gridSpan w:val="2"/>
          </w:tcPr>
          <w:p w:rsidR="001432C1" w:rsidRPr="00627F1F" w:rsidRDefault="00627F1F" w:rsidP="001432C1">
            <w:pPr>
              <w:pStyle w:val="Textpoznpodarou"/>
              <w:rPr>
                <w:sz w:val="14"/>
                <w:szCs w:val="14"/>
              </w:rPr>
            </w:pPr>
            <w:r w:rsidRPr="00627F1F">
              <w:rPr>
                <w:rFonts w:cs="Arial"/>
                <w:noProof/>
                <w:sz w:val="14"/>
                <w:szCs w:val="14"/>
              </w:rPr>
              <w:drawing>
                <wp:inline distT="0" distB="0" distL="0" distR="0">
                  <wp:extent cx="4745405" cy="3528000"/>
                  <wp:effectExtent l="0" t="0" r="0" b="0"/>
                  <wp:docPr id="2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D7503">
              <w:rPr>
                <w:rFonts w:cs="Arial"/>
                <w:sz w:val="14"/>
                <w:szCs w:val="14"/>
              </w:rPr>
              <w:t>*</w:t>
            </w:r>
            <w:r w:rsidR="001432C1">
              <w:rPr>
                <w:rFonts w:cs="Arial"/>
                <w:sz w:val="14"/>
                <w:szCs w:val="14"/>
                <w:lang w:val="en-GB"/>
              </w:rPr>
              <w:t xml:space="preserve"> Old age pension income awarded before the pension age is reached and shortened for the earliness is for the whole time period of the drawing the benefit</w:t>
            </w:r>
            <w:r w:rsidR="005D7503">
              <w:rPr>
                <w:rFonts w:cs="Arial"/>
                <w:sz w:val="14"/>
                <w:szCs w:val="14"/>
              </w:rPr>
              <w:t xml:space="preserve">.                                                      </w:t>
            </w:r>
            <w:r w:rsidR="001432C1">
              <w:rPr>
                <w:rFonts w:cs="Arial"/>
                <w:sz w:val="14"/>
                <w:szCs w:val="14"/>
              </w:rPr>
              <w:t xml:space="preserve"> </w:t>
            </w:r>
            <w:r w:rsidR="005D7503">
              <w:rPr>
                <w:rFonts w:cs="Arial"/>
                <w:sz w:val="14"/>
                <w:szCs w:val="14"/>
              </w:rPr>
              <w:t xml:space="preserve">     </w:t>
            </w:r>
            <w:r w:rsidR="002F19CC">
              <w:rPr>
                <w:rFonts w:cs="Arial"/>
                <w:sz w:val="14"/>
                <w:szCs w:val="14"/>
              </w:rPr>
              <w:t xml:space="preserve">                             </w:t>
            </w:r>
            <w:r w:rsidR="005D7503">
              <w:rPr>
                <w:rFonts w:cs="Arial"/>
                <w:sz w:val="14"/>
                <w:szCs w:val="14"/>
              </w:rPr>
              <w:t xml:space="preserve">  </w:t>
            </w:r>
            <w:proofErr w:type="spellStart"/>
            <w:r w:rsidR="001432C1">
              <w:rPr>
                <w:rFonts w:cs="Arial"/>
                <w:sz w:val="14"/>
                <w:szCs w:val="14"/>
              </w:rPr>
              <w:t>Source</w:t>
            </w:r>
            <w:proofErr w:type="spellEnd"/>
            <w:r w:rsidR="005D7503" w:rsidRPr="007E5880">
              <w:rPr>
                <w:sz w:val="14"/>
                <w:szCs w:val="14"/>
              </w:rPr>
              <w:t>: MF</w:t>
            </w:r>
            <w:r w:rsidR="002F19CC">
              <w:rPr>
                <w:sz w:val="14"/>
                <w:szCs w:val="14"/>
              </w:rPr>
              <w:t xml:space="preserve"> CR</w:t>
            </w:r>
            <w:r w:rsidR="005D7503" w:rsidRPr="007E5880">
              <w:rPr>
                <w:sz w:val="14"/>
                <w:szCs w:val="14"/>
              </w:rPr>
              <w:t>,</w:t>
            </w:r>
            <w:r w:rsidR="001432C1">
              <w:rPr>
                <w:sz w:val="14"/>
                <w:szCs w:val="14"/>
              </w:rPr>
              <w:t xml:space="preserve"> CSSA</w:t>
            </w:r>
          </w:p>
        </w:tc>
      </w:tr>
    </w:tbl>
    <w:p w:rsidR="005D7503" w:rsidRPr="002F19CC" w:rsidRDefault="005D7503" w:rsidP="005D7503">
      <w:pPr>
        <w:pStyle w:val="Textpoznpodarou"/>
        <w:jc w:val="both"/>
        <w:rPr>
          <w:rFonts w:cs="Arial"/>
          <w:color w:val="000000"/>
          <w:spacing w:val="-2"/>
          <w:sz w:val="6"/>
          <w:szCs w:val="6"/>
        </w:rPr>
      </w:pPr>
    </w:p>
    <w:tbl>
      <w:tblPr>
        <w:tblW w:w="4995" w:type="pct"/>
        <w:tblInd w:w="108" w:type="dxa"/>
        <w:tblLayout w:type="fixed"/>
        <w:tblLook w:val="00A0"/>
      </w:tblPr>
      <w:tblGrid>
        <w:gridCol w:w="2000"/>
        <w:gridCol w:w="284"/>
        <w:gridCol w:w="7560"/>
      </w:tblGrid>
      <w:tr w:rsidR="005D7503" w:rsidRPr="00BB4331" w:rsidTr="00CF0826">
        <w:trPr>
          <w:trHeight w:val="145"/>
        </w:trPr>
        <w:tc>
          <w:tcPr>
            <w:tcW w:w="1016" w:type="pct"/>
            <w:shd w:val="clear" w:color="auto" w:fill="auto"/>
          </w:tcPr>
          <w:p w:rsidR="005D7503" w:rsidRPr="003843B1" w:rsidRDefault="00821CEB" w:rsidP="00CF0826">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t>Rate of growth of other social benefits reduced last year and thus increased markedly slower then expenditures on pensions.</w:t>
            </w: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324055" w:rsidP="00CF0826">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t>Higher incomes of household from employment led to the</w:t>
            </w:r>
            <w:r w:rsidR="007C3C8E">
              <w:rPr>
                <w:rFonts w:cs="Arial"/>
                <w:bCs/>
                <w:iCs/>
                <w:color w:val="0D0D0D" w:themeColor="text1" w:themeTint="F2"/>
                <w:sz w:val="16"/>
                <w:szCs w:val="16"/>
                <w:lang w:val="en-GB"/>
              </w:rPr>
              <w:t xml:space="preserve"> reduction</w:t>
            </w:r>
            <w:r>
              <w:rPr>
                <w:rFonts w:cs="Arial"/>
                <w:bCs/>
                <w:iCs/>
                <w:color w:val="0D0D0D" w:themeColor="text1" w:themeTint="F2"/>
                <w:sz w:val="16"/>
                <w:szCs w:val="16"/>
                <w:lang w:val="en-GB"/>
              </w:rPr>
              <w:t xml:space="preserve"> </w:t>
            </w:r>
            <w:r w:rsidR="007C3C8E">
              <w:rPr>
                <w:rFonts w:cs="Arial"/>
                <w:bCs/>
                <w:iCs/>
                <w:color w:val="0D0D0D" w:themeColor="text1" w:themeTint="F2"/>
                <w:sz w:val="16"/>
                <w:szCs w:val="16"/>
                <w:lang w:val="en-GB"/>
              </w:rPr>
              <w:t xml:space="preserve">of </w:t>
            </w:r>
            <w:r w:rsidR="007C3C8E">
              <w:rPr>
                <w:rFonts w:cs="Arial"/>
                <w:bCs/>
                <w:iCs/>
                <w:color w:val="0D0D0D" w:themeColor="text1" w:themeTint="F2"/>
                <w:sz w:val="16"/>
                <w:szCs w:val="16"/>
                <w:lang w:val="en-GB"/>
              </w:rPr>
              <w:lastRenderedPageBreak/>
              <w:t>expenditures on material deprivation or state social support.</w:t>
            </w:r>
          </w:p>
        </w:tc>
        <w:tc>
          <w:tcPr>
            <w:tcW w:w="144" w:type="pct"/>
          </w:tcPr>
          <w:p w:rsidR="005D7503" w:rsidRPr="003843B1" w:rsidRDefault="005D7503" w:rsidP="00CF0826">
            <w:pPr>
              <w:pStyle w:val="Textpoznpodarou"/>
              <w:jc w:val="both"/>
              <w:rPr>
                <w:rFonts w:cs="Arial"/>
                <w:color w:val="0D0D0D" w:themeColor="text1" w:themeTint="F2"/>
                <w:lang w:val="en-GB"/>
              </w:rPr>
            </w:pPr>
          </w:p>
        </w:tc>
        <w:tc>
          <w:tcPr>
            <w:tcW w:w="3840" w:type="pct"/>
          </w:tcPr>
          <w:p w:rsidR="005D7503" w:rsidRPr="003843B1" w:rsidRDefault="00821CEB" w:rsidP="00CF0826">
            <w:pPr>
              <w:pStyle w:val="Textpoznpodarou"/>
              <w:jc w:val="both"/>
              <w:rPr>
                <w:spacing w:val="-4"/>
                <w:lang w:val="en-GB"/>
              </w:rPr>
            </w:pPr>
            <w:r>
              <w:rPr>
                <w:spacing w:val="-4"/>
                <w:lang w:val="en-GB"/>
              </w:rPr>
              <w:t xml:space="preserve">Rate of growth of the SB expenditures on other social benefits (apart from pensions) reached </w:t>
            </w:r>
            <w:r w:rsidR="005D7503" w:rsidRPr="003843B1">
              <w:rPr>
                <w:spacing w:val="-4"/>
                <w:lang w:val="en-GB"/>
              </w:rPr>
              <w:t>1</w:t>
            </w:r>
            <w:r>
              <w:rPr>
                <w:spacing w:val="-4"/>
                <w:lang w:val="en-GB"/>
              </w:rPr>
              <w:t>.</w:t>
            </w:r>
            <w:r w:rsidR="005D7503" w:rsidRPr="003843B1">
              <w:rPr>
                <w:spacing w:val="-4"/>
                <w:lang w:val="en-GB"/>
              </w:rPr>
              <w:t>3% a</w:t>
            </w:r>
            <w:r>
              <w:rPr>
                <w:spacing w:val="-4"/>
                <w:lang w:val="en-GB"/>
              </w:rPr>
              <w:t xml:space="preserve">nd it lowered to one half compared to year </w:t>
            </w:r>
            <w:r w:rsidR="005D7503" w:rsidRPr="003843B1">
              <w:rPr>
                <w:spacing w:val="-4"/>
                <w:lang w:val="en-GB"/>
              </w:rPr>
              <w:t>2016</w:t>
            </w:r>
            <w:r>
              <w:rPr>
                <w:spacing w:val="-4"/>
                <w:lang w:val="en-GB"/>
              </w:rPr>
              <w:t xml:space="preserve">. The impact on the economic growth of the household income is still more evident. State expended less especially on the material deprivation assistance benefits </w:t>
            </w:r>
            <w:r w:rsidR="005D7503" w:rsidRPr="003843B1">
              <w:rPr>
                <w:spacing w:val="-4"/>
                <w:lang w:val="en-GB"/>
              </w:rPr>
              <w:t>(</w:t>
            </w:r>
            <w:r w:rsidR="001D3A7A">
              <w:rPr>
                <w:spacing w:val="-4"/>
                <w:lang w:val="en-GB"/>
              </w:rPr>
              <w:t>year-on-year by one fifth, by 35% in three years, resp. 3.9 CZK bn</w:t>
            </w:r>
            <w:r w:rsidR="005D7503" w:rsidRPr="003843B1">
              <w:rPr>
                <w:spacing w:val="-4"/>
                <w:lang w:val="en-GB"/>
              </w:rPr>
              <w:t xml:space="preserve">), </w:t>
            </w:r>
            <w:r w:rsidR="00CE0B0C">
              <w:rPr>
                <w:spacing w:val="-4"/>
                <w:lang w:val="en-GB"/>
              </w:rPr>
              <w:t>where both the weight dominant allowance for living and supplement for housing significantly shrank.</w:t>
            </w:r>
            <w:r w:rsidR="007C3C8E">
              <w:rPr>
                <w:spacing w:val="-4"/>
                <w:lang w:val="en-GB"/>
              </w:rPr>
              <w:t xml:space="preserve"> State social support benefits fell by 1.3%, whose growth lasting the four preceding years thus halted. Mainly the lower volume of the supplements for housing and child allowances were behind this development. Mild growth of the foster care benefits as well as the weight dominant group of the parent benefits (this benefit is not linked to the income of the family and its development thus more suggest the mild growth of the natality in the recent years) worked in the opposite direction. </w:t>
            </w:r>
            <w:r w:rsidR="00AF13A0">
              <w:rPr>
                <w:spacing w:val="-4"/>
                <w:lang w:val="en-GB"/>
              </w:rPr>
              <w:t xml:space="preserve">Smaller savings were achieved with the </w:t>
            </w:r>
            <w:r w:rsidR="00AF13A0">
              <w:rPr>
                <w:spacing w:val="-4"/>
                <w:lang w:val="en-GB"/>
              </w:rPr>
              <w:lastRenderedPageBreak/>
              <w:t xml:space="preserve">unemployment support (4.9% year-on-year, by 19% in the three years, resp. 1.8 CZK bn). </w:t>
            </w:r>
            <w:r w:rsidR="00CF5BD8">
              <w:rPr>
                <w:spacing w:val="-4"/>
                <w:lang w:val="en-GB"/>
              </w:rPr>
              <w:t xml:space="preserve">Increase of the relative representation of the frictional component of unemployment as well the strengthening rising of wages stood in the background (with the impact on the size of the </w:t>
            </w:r>
            <w:r w:rsidR="000D2BD3">
              <w:rPr>
                <w:spacing w:val="-4"/>
                <w:lang w:val="en-GB"/>
              </w:rPr>
              <w:t>paid-out</w:t>
            </w:r>
            <w:r w:rsidR="00CF5BD8">
              <w:rPr>
                <w:spacing w:val="-4"/>
                <w:lang w:val="en-GB"/>
              </w:rPr>
              <w:t xml:space="preserve"> benefits</w:t>
            </w:r>
            <w:r w:rsidR="005D7503" w:rsidRPr="003843B1">
              <w:rPr>
                <w:spacing w:val="-4"/>
                <w:lang w:val="en-GB"/>
              </w:rPr>
              <w:t>)</w:t>
            </w:r>
            <w:r w:rsidR="005D7503" w:rsidRPr="003843B1">
              <w:rPr>
                <w:rStyle w:val="Znakapoznpodarou"/>
                <w:spacing w:val="-4"/>
                <w:lang w:val="en-GB"/>
              </w:rPr>
              <w:footnoteReference w:id="8"/>
            </w:r>
            <w:r w:rsidR="005D7503" w:rsidRPr="003843B1">
              <w:rPr>
                <w:spacing w:val="-4"/>
                <w:lang w:val="en-GB"/>
              </w:rPr>
              <w:t xml:space="preserve">. </w:t>
            </w:r>
            <w:r w:rsidR="00CF5BD8">
              <w:rPr>
                <w:spacing w:val="-4"/>
                <w:lang w:val="en-GB"/>
              </w:rPr>
              <w:t xml:space="preserve">On the contrary, the growth of the </w:t>
            </w:r>
            <w:r w:rsidR="000D2BD3">
              <w:rPr>
                <w:spacing w:val="-4"/>
                <w:lang w:val="en-GB"/>
              </w:rPr>
              <w:t>sickness</w:t>
            </w:r>
            <w:r w:rsidR="00CF5BD8">
              <w:rPr>
                <w:spacing w:val="-4"/>
                <w:lang w:val="en-GB"/>
              </w:rPr>
              <w:t xml:space="preserve"> benefits continued already </w:t>
            </w:r>
            <w:r w:rsidR="005D0341">
              <w:rPr>
                <w:spacing w:val="-4"/>
                <w:lang w:val="en-GB"/>
              </w:rPr>
              <w:t xml:space="preserve">for </w:t>
            </w:r>
            <w:r w:rsidR="00CF5BD8">
              <w:rPr>
                <w:spacing w:val="-4"/>
                <w:lang w:val="en-GB"/>
              </w:rPr>
              <w:t xml:space="preserve">the fifth year </w:t>
            </w:r>
            <w:r w:rsidR="005D7503" w:rsidRPr="003843B1">
              <w:rPr>
                <w:color w:val="000000" w:themeColor="text1"/>
                <w:spacing w:val="-4"/>
                <w:lang w:val="en-GB"/>
              </w:rPr>
              <w:t>(</w:t>
            </w:r>
            <w:r w:rsidR="00CF5BD8">
              <w:rPr>
                <w:color w:val="000000" w:themeColor="text1"/>
                <w:spacing w:val="-4"/>
                <w:lang w:val="en-GB"/>
              </w:rPr>
              <w:t>by 7.8% in 2017</w:t>
            </w:r>
            <w:r w:rsidR="005D7503" w:rsidRPr="003843B1">
              <w:rPr>
                <w:color w:val="000000" w:themeColor="text1"/>
                <w:spacing w:val="-4"/>
                <w:lang w:val="en-GB"/>
              </w:rPr>
              <w:t>)</w:t>
            </w:r>
            <w:r w:rsidR="005D7503" w:rsidRPr="003843B1">
              <w:rPr>
                <w:rStyle w:val="Znakapoznpodarou"/>
                <w:color w:val="000000" w:themeColor="text1"/>
                <w:spacing w:val="-4"/>
                <w:lang w:val="en-GB"/>
              </w:rPr>
              <w:footnoteReference w:id="9"/>
            </w:r>
            <w:r w:rsidR="005D7503" w:rsidRPr="003843B1">
              <w:rPr>
                <w:color w:val="000000" w:themeColor="text1"/>
                <w:spacing w:val="-4"/>
                <w:lang w:val="en-GB"/>
              </w:rPr>
              <w:t xml:space="preserve">. </w:t>
            </w:r>
            <w:r w:rsidR="000D2BD3">
              <w:rPr>
                <w:color w:val="000000" w:themeColor="text1"/>
                <w:spacing w:val="-4"/>
                <w:lang w:val="en-GB"/>
              </w:rPr>
              <w:t xml:space="preserve">It was connected both to the stronger drawing of the maternity benefits due to the slightly higher birth rate and mainly to the larger volume of sickness benefits </w:t>
            </w:r>
            <w:r w:rsidR="005D7503" w:rsidRPr="003843B1">
              <w:rPr>
                <w:color w:val="000000" w:themeColor="text1"/>
                <w:spacing w:val="-4"/>
                <w:lang w:val="en-GB"/>
              </w:rPr>
              <w:t>(+7</w:t>
            </w:r>
            <w:r w:rsidR="000D2BD3">
              <w:rPr>
                <w:color w:val="000000" w:themeColor="text1"/>
                <w:spacing w:val="-4"/>
                <w:lang w:val="en-GB"/>
              </w:rPr>
              <w:t>.</w:t>
            </w:r>
            <w:r w:rsidR="005D7503" w:rsidRPr="003843B1">
              <w:rPr>
                <w:color w:val="000000" w:themeColor="text1"/>
                <w:spacing w:val="-4"/>
                <w:lang w:val="en-GB"/>
              </w:rPr>
              <w:t>7%)</w:t>
            </w:r>
            <w:r w:rsidR="00356FED">
              <w:rPr>
                <w:color w:val="000000" w:themeColor="text1"/>
                <w:spacing w:val="-4"/>
                <w:lang w:val="en-GB"/>
              </w:rPr>
              <w:t xml:space="preserve"> as a result of both increased sickness rate and growing number of persons with health insurance. The SB spent 25.1 CZK bn on the care benefits (for persons on</w:t>
            </w:r>
            <w:r w:rsidR="00703CFE">
              <w:rPr>
                <w:color w:val="000000" w:themeColor="text1"/>
                <w:spacing w:val="-4"/>
                <w:lang w:val="en-GB"/>
              </w:rPr>
              <w:t xml:space="preserve"> long term sickness leave), by 9</w:t>
            </w:r>
            <w:r w:rsidR="00356FED">
              <w:rPr>
                <w:color w:val="000000" w:themeColor="text1"/>
                <w:spacing w:val="-4"/>
                <w:lang w:val="en-GB"/>
              </w:rPr>
              <w:t>.0% more year-on-year</w:t>
            </w:r>
            <w:r w:rsidR="005D7503" w:rsidRPr="003843B1">
              <w:rPr>
                <w:rStyle w:val="Znakapoznpodarou"/>
                <w:spacing w:val="-4"/>
                <w:lang w:val="en-GB"/>
              </w:rPr>
              <w:footnoteReference w:id="10"/>
            </w:r>
            <w:r w:rsidR="005D7503" w:rsidRPr="003843B1">
              <w:rPr>
                <w:spacing w:val="-4"/>
                <w:lang w:val="en-GB"/>
              </w:rPr>
              <w:t xml:space="preserve">. </w:t>
            </w:r>
          </w:p>
          <w:p w:rsidR="005D7503" w:rsidRPr="003843B1" w:rsidRDefault="005D7503" w:rsidP="00CF0826">
            <w:pPr>
              <w:pStyle w:val="Textpoznpodarou"/>
              <w:jc w:val="both"/>
              <w:rPr>
                <w:spacing w:val="-4"/>
                <w:sz w:val="14"/>
                <w:szCs w:val="14"/>
                <w:lang w:val="en-GB"/>
              </w:rPr>
            </w:pPr>
          </w:p>
        </w:tc>
      </w:tr>
      <w:tr w:rsidR="005D7503" w:rsidRPr="00BB4331" w:rsidTr="00CF0826">
        <w:trPr>
          <w:trHeight w:val="145"/>
        </w:trPr>
        <w:tc>
          <w:tcPr>
            <w:tcW w:w="1016" w:type="pct"/>
            <w:shd w:val="clear" w:color="auto" w:fill="auto"/>
          </w:tcPr>
          <w:p w:rsidR="005D7503" w:rsidRPr="00E46735" w:rsidRDefault="00E705CD" w:rsidP="00CF0826">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lastRenderedPageBreak/>
              <w:t>Size of the state debt substantially fluctuated during the year 2017</w:t>
            </w:r>
            <w:r w:rsidR="00F804FA">
              <w:rPr>
                <w:rFonts w:cs="Arial"/>
                <w:bCs/>
                <w:iCs/>
                <w:color w:val="0D0D0D" w:themeColor="text1" w:themeTint="F2"/>
                <w:sz w:val="16"/>
                <w:szCs w:val="16"/>
                <w:lang w:val="en-GB"/>
              </w:rPr>
              <w:t xml:space="preserve">. </w:t>
            </w:r>
            <w:r>
              <w:rPr>
                <w:rFonts w:cs="Arial"/>
                <w:bCs/>
                <w:iCs/>
                <w:color w:val="0D0D0D" w:themeColor="text1" w:themeTint="F2"/>
                <w:sz w:val="16"/>
                <w:szCs w:val="16"/>
                <w:lang w:val="en-GB"/>
              </w:rPr>
              <w:t xml:space="preserve">The expectations linked to the termination of the regime of </w:t>
            </w:r>
            <w:r w:rsidR="00604CF7">
              <w:rPr>
                <w:rFonts w:cs="Arial"/>
                <w:bCs/>
                <w:iCs/>
                <w:color w:val="0D0D0D" w:themeColor="text1" w:themeTint="F2"/>
                <w:sz w:val="16"/>
                <w:szCs w:val="16"/>
                <w:lang w:val="en-GB"/>
              </w:rPr>
              <w:t xml:space="preserve">forex </w:t>
            </w:r>
            <w:r>
              <w:rPr>
                <w:rFonts w:cs="Arial"/>
                <w:bCs/>
                <w:iCs/>
                <w:color w:val="0D0D0D" w:themeColor="text1" w:themeTint="F2"/>
                <w:sz w:val="16"/>
                <w:szCs w:val="16"/>
                <w:lang w:val="en-GB"/>
              </w:rPr>
              <w:t>interventions manifested. State was selling bonds for negative yield in a higher extent.</w:t>
            </w:r>
          </w:p>
        </w:tc>
        <w:tc>
          <w:tcPr>
            <w:tcW w:w="144" w:type="pct"/>
          </w:tcPr>
          <w:p w:rsidR="005D7503" w:rsidRPr="00E46735" w:rsidRDefault="005D7503" w:rsidP="00CF0826">
            <w:pPr>
              <w:pStyle w:val="Textpoznpodarou"/>
              <w:jc w:val="both"/>
              <w:rPr>
                <w:rFonts w:cs="Arial"/>
                <w:color w:val="0D0D0D" w:themeColor="text1" w:themeTint="F2"/>
                <w:lang w:val="en-GB"/>
              </w:rPr>
            </w:pPr>
          </w:p>
        </w:tc>
        <w:tc>
          <w:tcPr>
            <w:tcW w:w="3840" w:type="pct"/>
          </w:tcPr>
          <w:p w:rsidR="00627F1F" w:rsidRDefault="00E705CD" w:rsidP="00CF0826">
            <w:pPr>
              <w:pStyle w:val="Textpoznpodarou"/>
              <w:jc w:val="both"/>
              <w:rPr>
                <w:color w:val="0D0D0D" w:themeColor="text1" w:themeTint="F2"/>
                <w:spacing w:val="-4"/>
                <w:lang w:val="en-GB"/>
              </w:rPr>
            </w:pPr>
            <w:r>
              <w:rPr>
                <w:rFonts w:cs="Arial"/>
                <w:color w:val="0D0D0D" w:themeColor="text1" w:themeTint="F2"/>
                <w:spacing w:val="-4"/>
                <w:lang w:val="en-GB"/>
              </w:rPr>
              <w:t xml:space="preserve">Net expenditures on the state debt equalled 39.8 CZK bn in year </w:t>
            </w:r>
            <w:r w:rsidR="005D7503" w:rsidRPr="00E46735">
              <w:rPr>
                <w:rFonts w:cs="Arial"/>
                <w:color w:val="0D0D0D" w:themeColor="text1" w:themeTint="F2"/>
                <w:spacing w:val="-4"/>
                <w:lang w:val="en-GB"/>
              </w:rPr>
              <w:t xml:space="preserve">2017. </w:t>
            </w:r>
            <w:r>
              <w:rPr>
                <w:rFonts w:cs="Arial"/>
                <w:color w:val="0D0D0D" w:themeColor="text1" w:themeTint="F2"/>
                <w:spacing w:val="-4"/>
                <w:lang w:val="en-GB"/>
              </w:rPr>
              <w:t>They declined (even though by a slower pace) already for the fourth year in a row – in total they w</w:t>
            </w:r>
            <w:r w:rsidR="00F43292">
              <w:rPr>
                <w:rFonts w:cs="Arial"/>
                <w:color w:val="0D0D0D" w:themeColor="text1" w:themeTint="F2"/>
                <w:spacing w:val="-4"/>
                <w:lang w:val="en-GB"/>
              </w:rPr>
              <w:t>e</w:t>
            </w:r>
            <w:r>
              <w:rPr>
                <w:rFonts w:cs="Arial"/>
                <w:color w:val="0D0D0D" w:themeColor="text1" w:themeTint="F2"/>
                <w:spacing w:val="-4"/>
                <w:lang w:val="en-GB"/>
              </w:rPr>
              <w:t xml:space="preserve">re thus by 21.9% lower. </w:t>
            </w:r>
            <w:r w:rsidR="00F43292">
              <w:rPr>
                <w:rFonts w:cs="Arial"/>
                <w:color w:val="0D0D0D" w:themeColor="text1" w:themeTint="F2"/>
                <w:spacing w:val="-4"/>
                <w:lang w:val="en-GB"/>
              </w:rPr>
              <w:t>Lower interest rates on the market with the state bonds were behind the cut</w:t>
            </w:r>
            <w:r w:rsidR="00313F7F">
              <w:rPr>
                <w:rFonts w:cs="Arial"/>
                <w:color w:val="0D0D0D" w:themeColor="text1" w:themeTint="F2"/>
                <w:spacing w:val="-4"/>
                <w:lang w:val="en-GB"/>
              </w:rPr>
              <w:t xml:space="preserve"> in the first half of the year and also the weaker borrowing need of the state </w:t>
            </w:r>
            <w:r w:rsidR="005D7503" w:rsidRPr="00E46735">
              <w:rPr>
                <w:rFonts w:cs="Arial"/>
                <w:color w:val="0D0D0D" w:themeColor="text1" w:themeTint="F2"/>
                <w:spacing w:val="-4"/>
                <w:lang w:val="en-GB"/>
              </w:rPr>
              <w:t>(</w:t>
            </w:r>
            <w:r w:rsidR="00372B1D">
              <w:rPr>
                <w:rFonts w:cs="Arial"/>
                <w:color w:val="0D0D0D" w:themeColor="text1" w:themeTint="F2"/>
                <w:spacing w:val="-4"/>
                <w:lang w:val="en-GB"/>
              </w:rPr>
              <w:t>due to the improving SB balance</w:t>
            </w:r>
            <w:r w:rsidR="005D7503" w:rsidRPr="00E46735">
              <w:rPr>
                <w:rFonts w:cs="Arial"/>
                <w:color w:val="0D0D0D" w:themeColor="text1" w:themeTint="F2"/>
                <w:spacing w:val="-4"/>
                <w:lang w:val="en-GB"/>
              </w:rPr>
              <w:t>). S</w:t>
            </w:r>
            <w:r w:rsidR="00372B1D">
              <w:rPr>
                <w:rFonts w:cs="Arial"/>
                <w:color w:val="0D0D0D" w:themeColor="text1" w:themeTint="F2"/>
                <w:spacing w:val="-4"/>
                <w:lang w:val="en-GB"/>
              </w:rPr>
              <w:t>tate debt considerably fluctuated during the year 2017</w:t>
            </w:r>
            <w:r w:rsidR="005D7503" w:rsidRPr="00E46735">
              <w:rPr>
                <w:rStyle w:val="Znakapoznpodarou"/>
                <w:color w:val="0D0D0D" w:themeColor="text1" w:themeTint="F2"/>
                <w:spacing w:val="-4"/>
                <w:lang w:val="en-GB"/>
              </w:rPr>
              <w:footnoteReference w:id="11"/>
            </w:r>
            <w:r w:rsidR="005D7503" w:rsidRPr="00E46735">
              <w:rPr>
                <w:rFonts w:cs="Arial"/>
                <w:color w:val="0D0D0D" w:themeColor="text1" w:themeTint="F2"/>
                <w:spacing w:val="-4"/>
                <w:lang w:val="en-GB"/>
              </w:rPr>
              <w:t xml:space="preserve"> a</w:t>
            </w:r>
            <w:r w:rsidR="00372B1D">
              <w:rPr>
                <w:rFonts w:cs="Arial"/>
                <w:color w:val="0D0D0D" w:themeColor="text1" w:themeTint="F2"/>
                <w:spacing w:val="-4"/>
                <w:lang w:val="en-GB"/>
              </w:rPr>
              <w:t xml:space="preserve">nd it was </w:t>
            </w:r>
            <w:r w:rsidR="005D7503" w:rsidRPr="00E46735">
              <w:rPr>
                <w:rFonts w:cs="Arial"/>
                <w:color w:val="0D0D0D" w:themeColor="text1" w:themeTint="F2"/>
                <w:spacing w:val="-4"/>
                <w:lang w:val="en-GB"/>
              </w:rPr>
              <w:t>1</w:t>
            </w:r>
            <w:r w:rsidR="00AD6483" w:rsidRPr="00E46735">
              <w:rPr>
                <w:rFonts w:cs="Arial"/>
                <w:color w:val="0D0D0D" w:themeColor="text1" w:themeTint="F2"/>
                <w:spacing w:val="-4"/>
                <w:lang w:val="en-GB"/>
              </w:rPr>
              <w:t> </w:t>
            </w:r>
            <w:r w:rsidR="005D7503" w:rsidRPr="00E46735">
              <w:rPr>
                <w:rFonts w:cs="Arial"/>
                <w:color w:val="0D0D0D" w:themeColor="text1" w:themeTint="F2"/>
                <w:spacing w:val="-4"/>
                <w:lang w:val="en-GB"/>
              </w:rPr>
              <w:t>625</w:t>
            </w:r>
            <w:r w:rsidR="00AD6483" w:rsidRPr="00E46735">
              <w:rPr>
                <w:rFonts w:cs="Arial"/>
                <w:color w:val="0D0D0D" w:themeColor="text1" w:themeTint="F2"/>
                <w:spacing w:val="-4"/>
                <w:lang w:val="en-GB"/>
              </w:rPr>
              <w:t> </w:t>
            </w:r>
            <w:r w:rsidR="00372B1D">
              <w:rPr>
                <w:rFonts w:cs="Arial"/>
                <w:color w:val="0D0D0D" w:themeColor="text1" w:themeTint="F2"/>
                <w:spacing w:val="-4"/>
                <w:lang w:val="en-GB"/>
              </w:rPr>
              <w:t>CZK bn at the end of December</w:t>
            </w:r>
            <w:r w:rsidR="00AD6483" w:rsidRPr="00E46735">
              <w:rPr>
                <w:rFonts w:cs="Arial"/>
                <w:color w:val="0D0D0D" w:themeColor="text1" w:themeTint="F2"/>
                <w:spacing w:val="-4"/>
                <w:lang w:val="en-GB"/>
              </w:rPr>
              <w:t xml:space="preserve">, </w:t>
            </w:r>
            <w:r w:rsidR="00372B1D">
              <w:rPr>
                <w:rFonts w:cs="Arial"/>
                <w:color w:val="0D0D0D" w:themeColor="text1" w:themeTint="F2"/>
                <w:spacing w:val="-4"/>
                <w:lang w:val="en-GB"/>
              </w:rPr>
              <w:t xml:space="preserve">by </w:t>
            </w:r>
            <w:r w:rsidR="005D7503" w:rsidRPr="00E46735">
              <w:rPr>
                <w:rFonts w:cs="Arial"/>
                <w:color w:val="0D0D0D" w:themeColor="text1" w:themeTint="F2"/>
                <w:spacing w:val="-4"/>
                <w:lang w:val="en-GB"/>
              </w:rPr>
              <w:t>0</w:t>
            </w:r>
            <w:r w:rsidR="00372B1D">
              <w:rPr>
                <w:rFonts w:cs="Arial"/>
                <w:color w:val="0D0D0D" w:themeColor="text1" w:themeTint="F2"/>
                <w:spacing w:val="-4"/>
                <w:lang w:val="en-GB"/>
              </w:rPr>
              <w:t>.</w:t>
            </w:r>
            <w:r w:rsidR="005D7503" w:rsidRPr="00E46735">
              <w:rPr>
                <w:rFonts w:cs="Arial"/>
                <w:color w:val="0D0D0D" w:themeColor="text1" w:themeTint="F2"/>
                <w:spacing w:val="-4"/>
                <w:lang w:val="en-GB"/>
              </w:rPr>
              <w:t xml:space="preserve">7% </w:t>
            </w:r>
            <w:r w:rsidR="00372B1D">
              <w:rPr>
                <w:rFonts w:cs="Arial"/>
                <w:color w:val="0D0D0D" w:themeColor="text1" w:themeTint="F2"/>
                <w:spacing w:val="-4"/>
                <w:lang w:val="en-GB"/>
              </w:rPr>
              <w:t>more year-on-year</w:t>
            </w:r>
            <w:r w:rsidR="005D7503" w:rsidRPr="00E46735">
              <w:rPr>
                <w:rFonts w:cs="Arial"/>
                <w:color w:val="0D0D0D" w:themeColor="text1" w:themeTint="F2"/>
                <w:spacing w:val="-4"/>
                <w:lang w:val="en-GB"/>
              </w:rPr>
              <w:t xml:space="preserve">. </w:t>
            </w:r>
            <w:r w:rsidR="00372B1D">
              <w:rPr>
                <w:rFonts w:cs="Arial"/>
                <w:color w:val="0D0D0D" w:themeColor="text1" w:themeTint="F2"/>
                <w:spacing w:val="-4"/>
                <w:lang w:val="en-GB"/>
              </w:rPr>
              <w:t xml:space="preserve">While the internal indebtedness mildly increased </w:t>
            </w:r>
            <w:r w:rsidR="005D7503" w:rsidRPr="00E46735">
              <w:rPr>
                <w:rFonts w:cs="Arial"/>
                <w:color w:val="0D0D0D" w:themeColor="text1" w:themeTint="F2"/>
                <w:spacing w:val="-4"/>
                <w:lang w:val="en-GB"/>
              </w:rPr>
              <w:t>(+27</w:t>
            </w:r>
            <w:r w:rsidR="00AD6483" w:rsidRPr="00E46735">
              <w:rPr>
                <w:rFonts w:cs="Arial"/>
                <w:color w:val="0D0D0D" w:themeColor="text1" w:themeTint="F2"/>
                <w:spacing w:val="-4"/>
                <w:lang w:val="en-GB"/>
              </w:rPr>
              <w:t> </w:t>
            </w:r>
            <w:r w:rsidR="00372B1D">
              <w:rPr>
                <w:rFonts w:cs="Arial"/>
                <w:color w:val="0D0D0D" w:themeColor="text1" w:themeTint="F2"/>
                <w:spacing w:val="-4"/>
                <w:lang w:val="en-GB"/>
              </w:rPr>
              <w:t>bn</w:t>
            </w:r>
            <w:r w:rsidR="005D7503" w:rsidRPr="00E46735">
              <w:rPr>
                <w:rFonts w:cs="Arial"/>
                <w:color w:val="0D0D0D" w:themeColor="text1" w:themeTint="F2"/>
                <w:spacing w:val="-4"/>
                <w:lang w:val="en-GB"/>
              </w:rPr>
              <w:t xml:space="preserve">), </w:t>
            </w:r>
            <w:r w:rsidR="00DF52AE">
              <w:rPr>
                <w:rFonts w:cs="Arial"/>
                <w:color w:val="0D0D0D" w:themeColor="text1" w:themeTint="F2"/>
                <w:spacing w:val="-4"/>
                <w:lang w:val="en-GB"/>
              </w:rPr>
              <w:t xml:space="preserve">the CZK value of the external debt sank already third year in a row, since the state met its borrowing need exclusively on the domestic market. The external debt thus shared by 15.6% on the total state indebtedness and within Q4, it represented the lowest share in the last ten years. </w:t>
            </w:r>
            <w:r w:rsidR="00F804FA">
              <w:rPr>
                <w:rFonts w:cs="Arial"/>
                <w:color w:val="0D0D0D" w:themeColor="text1" w:themeTint="F2"/>
                <w:spacing w:val="-4"/>
                <w:lang w:val="en-GB"/>
              </w:rPr>
              <w:t xml:space="preserve">The volume as well as the share of the koruna bonds held by the non-residents markedly fell in connection to the outflow of the speculative capital in Q4 2017 (from </w:t>
            </w:r>
            <w:r w:rsidR="005D7503" w:rsidRPr="00E46735">
              <w:rPr>
                <w:color w:val="0D0D0D" w:themeColor="text1" w:themeTint="F2"/>
                <w:spacing w:val="-4"/>
                <w:lang w:val="en-GB"/>
              </w:rPr>
              <w:t>51</w:t>
            </w:r>
            <w:r w:rsidR="00F804FA">
              <w:rPr>
                <w:color w:val="0D0D0D" w:themeColor="text1" w:themeTint="F2"/>
                <w:spacing w:val="-4"/>
                <w:lang w:val="en-GB"/>
              </w:rPr>
              <w:t>.</w:t>
            </w:r>
            <w:r w:rsidR="005D7503" w:rsidRPr="00E46735">
              <w:rPr>
                <w:color w:val="0D0D0D" w:themeColor="text1" w:themeTint="F2"/>
                <w:spacing w:val="-4"/>
                <w:lang w:val="en-GB"/>
              </w:rPr>
              <w:t xml:space="preserve">4% </w:t>
            </w:r>
            <w:r w:rsidR="00F804FA">
              <w:rPr>
                <w:color w:val="0D0D0D" w:themeColor="text1" w:themeTint="F2"/>
                <w:spacing w:val="-4"/>
                <w:lang w:val="en-GB"/>
              </w:rPr>
              <w:t xml:space="preserve">to </w:t>
            </w:r>
            <w:r w:rsidR="005D7503" w:rsidRPr="00E46735">
              <w:rPr>
                <w:color w:val="0D0D0D" w:themeColor="text1" w:themeTint="F2"/>
                <w:spacing w:val="-4"/>
                <w:lang w:val="en-GB"/>
              </w:rPr>
              <w:t>41</w:t>
            </w:r>
            <w:r w:rsidR="00F804FA">
              <w:rPr>
                <w:color w:val="0D0D0D" w:themeColor="text1" w:themeTint="F2"/>
                <w:spacing w:val="-4"/>
                <w:lang w:val="en-GB"/>
              </w:rPr>
              <w:t>.</w:t>
            </w:r>
            <w:r w:rsidR="005D7503" w:rsidRPr="00E46735">
              <w:rPr>
                <w:color w:val="0D0D0D" w:themeColor="text1" w:themeTint="F2"/>
                <w:spacing w:val="-4"/>
                <w:lang w:val="en-GB"/>
              </w:rPr>
              <w:t>6%</w:t>
            </w:r>
            <w:r w:rsidR="00AD6483" w:rsidRPr="00E46735">
              <w:rPr>
                <w:color w:val="0D0D0D" w:themeColor="text1" w:themeTint="F2"/>
                <w:spacing w:val="-4"/>
                <w:lang w:val="en-GB"/>
              </w:rPr>
              <w:t>),</w:t>
            </w:r>
            <w:r w:rsidR="005D7503" w:rsidRPr="00E46735">
              <w:rPr>
                <w:color w:val="0D0D0D" w:themeColor="text1" w:themeTint="F2"/>
                <w:spacing w:val="-4"/>
                <w:lang w:val="en-GB"/>
              </w:rPr>
              <w:t xml:space="preserve"> a</w:t>
            </w:r>
            <w:r w:rsidR="00F804FA">
              <w:rPr>
                <w:color w:val="0D0D0D" w:themeColor="text1" w:themeTint="F2"/>
                <w:spacing w:val="-4"/>
                <w:lang w:val="en-GB"/>
              </w:rPr>
              <w:t>nd it thus returned to the value from the beginning of the year</w:t>
            </w:r>
            <w:r w:rsidR="005D7503" w:rsidRPr="00E46735">
              <w:rPr>
                <w:color w:val="0D0D0D" w:themeColor="text1" w:themeTint="F2"/>
                <w:spacing w:val="-4"/>
                <w:lang w:val="en-GB"/>
              </w:rPr>
              <w:t>.</w:t>
            </w:r>
          </w:p>
          <w:p w:rsidR="005D7503" w:rsidRPr="00627F1F" w:rsidRDefault="005D7503" w:rsidP="00CF0826">
            <w:pPr>
              <w:pStyle w:val="Textpoznpodarou"/>
              <w:jc w:val="both"/>
              <w:rPr>
                <w:spacing w:val="-4"/>
                <w:sz w:val="14"/>
                <w:szCs w:val="14"/>
                <w:lang w:val="en-GB"/>
              </w:rPr>
            </w:pPr>
            <w:r w:rsidRPr="00E46735">
              <w:rPr>
                <w:color w:val="0D0D0D" w:themeColor="text1" w:themeTint="F2"/>
                <w:spacing w:val="-4"/>
                <w:lang w:val="en-GB"/>
              </w:rPr>
              <w:t xml:space="preserve"> </w:t>
            </w:r>
          </w:p>
        </w:tc>
      </w:tr>
      <w:tr w:rsidR="00627F1F" w:rsidRPr="00465317" w:rsidTr="00627F1F">
        <w:trPr>
          <w:trHeight w:val="145"/>
        </w:trPr>
        <w:tc>
          <w:tcPr>
            <w:tcW w:w="1016" w:type="pct"/>
            <w:shd w:val="clear" w:color="auto" w:fill="auto"/>
          </w:tcPr>
          <w:p w:rsidR="00627F1F" w:rsidRPr="00465317" w:rsidRDefault="00627F1F" w:rsidP="00F96E38">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t xml:space="preserve">Rate of indebtedness of the whole sector of the government institutions attained 35.1% of GDP in Q3, it lowered by nearly one tenth year-on-year. </w:t>
            </w:r>
          </w:p>
        </w:tc>
        <w:tc>
          <w:tcPr>
            <w:tcW w:w="144" w:type="pct"/>
          </w:tcPr>
          <w:p w:rsidR="00627F1F" w:rsidRPr="00465317" w:rsidRDefault="00627F1F" w:rsidP="00F96E38">
            <w:pPr>
              <w:pStyle w:val="Textpoznpodarou"/>
              <w:jc w:val="both"/>
              <w:rPr>
                <w:rFonts w:cs="Arial"/>
                <w:color w:val="0D0D0D" w:themeColor="text1" w:themeTint="F2"/>
                <w:lang w:val="en-GB"/>
              </w:rPr>
            </w:pPr>
          </w:p>
        </w:tc>
        <w:tc>
          <w:tcPr>
            <w:tcW w:w="3840" w:type="pct"/>
          </w:tcPr>
          <w:p w:rsidR="00627F1F" w:rsidRPr="00627F1F" w:rsidRDefault="00627F1F" w:rsidP="00F96E38">
            <w:pPr>
              <w:pStyle w:val="Textpoznpodarou"/>
              <w:jc w:val="both"/>
              <w:rPr>
                <w:rFonts w:cs="Arial"/>
                <w:color w:val="0D0D0D" w:themeColor="text1" w:themeTint="F2"/>
                <w:spacing w:val="-4"/>
                <w:lang w:val="en-GB"/>
              </w:rPr>
            </w:pPr>
            <w:r w:rsidRPr="00627F1F">
              <w:rPr>
                <w:rFonts w:cs="Arial"/>
                <w:color w:val="0D0D0D" w:themeColor="text1" w:themeTint="F2"/>
                <w:spacing w:val="-4"/>
                <w:lang w:val="en-GB"/>
              </w:rPr>
              <w:t xml:space="preserve">Consolidated debt of the whole sector of the government institutions (reflecting also the budget of the regional municipalities or health insurance companies) attained according to the up-to-date data of the CZSO size 1 739 CZK </w:t>
            </w:r>
            <w:proofErr w:type="spellStart"/>
            <w:r w:rsidRPr="00627F1F">
              <w:rPr>
                <w:rFonts w:cs="Arial"/>
                <w:color w:val="0D0D0D" w:themeColor="text1" w:themeTint="F2"/>
                <w:spacing w:val="-4"/>
                <w:lang w:val="en-GB"/>
              </w:rPr>
              <w:t>bn</w:t>
            </w:r>
            <w:proofErr w:type="spellEnd"/>
            <w:r w:rsidRPr="00627F1F">
              <w:rPr>
                <w:rFonts w:cs="Arial"/>
                <w:color w:val="0D0D0D" w:themeColor="text1" w:themeTint="F2"/>
                <w:spacing w:val="-4"/>
                <w:lang w:val="en-GB"/>
              </w:rPr>
              <w:t xml:space="preserve"> at the end of Q3 2017</w:t>
            </w:r>
            <w:r w:rsidRPr="000C4253">
              <w:rPr>
                <w:rStyle w:val="Znakapoznpodarou"/>
                <w:rFonts w:cs="Arial"/>
                <w:color w:val="0D0D0D" w:themeColor="text1" w:themeTint="F2"/>
                <w:spacing w:val="-4"/>
                <w:lang w:val="en-GB"/>
              </w:rPr>
              <w:footnoteReference w:id="12"/>
            </w:r>
            <w:r w:rsidRPr="00627F1F">
              <w:rPr>
                <w:rFonts w:cs="Arial"/>
                <w:color w:val="0D0D0D" w:themeColor="text1" w:themeTint="F2"/>
                <w:spacing w:val="-4"/>
                <w:lang w:val="en-GB"/>
              </w:rPr>
              <w:t xml:space="preserve">. The rate of indebtedness was 35.1% of GDP and fell by 3.1 p.p. year-on-year, which was the similar result of both reduction of the absolute size of the debt and the growth of the nominal GDP. Apart from the central government institutions, the local government institutions also significantly participated on the reduction of the absolute size of the debt. The government institutions administered the surplus of 84 CZK </w:t>
            </w:r>
            <w:proofErr w:type="spellStart"/>
            <w:r w:rsidRPr="00627F1F">
              <w:rPr>
                <w:rFonts w:cs="Arial"/>
                <w:color w:val="0D0D0D" w:themeColor="text1" w:themeTint="F2"/>
                <w:spacing w:val="-4"/>
                <w:lang w:val="en-GB"/>
              </w:rPr>
              <w:t>bn</w:t>
            </w:r>
            <w:proofErr w:type="spellEnd"/>
            <w:r w:rsidRPr="00627F1F">
              <w:rPr>
                <w:rFonts w:cs="Arial"/>
                <w:color w:val="0D0D0D" w:themeColor="text1" w:themeTint="F2"/>
                <w:spacing w:val="-4"/>
                <w:lang w:val="en-GB"/>
              </w:rPr>
              <w:t xml:space="preserve"> in Q1 to 3 2017 (50 CZK </w:t>
            </w:r>
            <w:proofErr w:type="spellStart"/>
            <w:r w:rsidRPr="00627F1F">
              <w:rPr>
                <w:rFonts w:cs="Arial"/>
                <w:color w:val="0D0D0D" w:themeColor="text1" w:themeTint="F2"/>
                <w:spacing w:val="-4"/>
                <w:lang w:val="en-GB"/>
              </w:rPr>
              <w:t>bn</w:t>
            </w:r>
            <w:proofErr w:type="spellEnd"/>
            <w:r w:rsidRPr="00627F1F">
              <w:rPr>
                <w:rFonts w:cs="Arial"/>
                <w:color w:val="0D0D0D" w:themeColor="text1" w:themeTint="F2"/>
                <w:spacing w:val="-4"/>
                <w:lang w:val="en-GB"/>
              </w:rPr>
              <w:t xml:space="preserve"> the year before). All government subsectors showed positive balance, as well as its year-on-year enlargement. Central government institutions contributed to the increase of the total surplus the most. </w:t>
            </w:r>
          </w:p>
        </w:tc>
      </w:tr>
    </w:tbl>
    <w:p w:rsidR="00627F1F" w:rsidRDefault="00627F1F"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Default="00812984" w:rsidP="005D7503">
      <w:pPr>
        <w:pStyle w:val="Textpoznpodarou"/>
        <w:jc w:val="both"/>
        <w:rPr>
          <w:rFonts w:cs="Arial"/>
          <w:color w:val="000000"/>
          <w:spacing w:val="-2"/>
          <w:sz w:val="14"/>
          <w:szCs w:val="14"/>
        </w:rPr>
      </w:pPr>
    </w:p>
    <w:p w:rsidR="00812984" w:rsidRPr="00BD2DC3" w:rsidRDefault="00812984" w:rsidP="005D7503">
      <w:pPr>
        <w:pStyle w:val="Textpoznpodarou"/>
        <w:jc w:val="both"/>
        <w:rPr>
          <w:rFonts w:cs="Arial"/>
          <w:color w:val="000000"/>
          <w:spacing w:val="-2"/>
          <w:sz w:val="14"/>
          <w:szCs w:val="14"/>
        </w:rPr>
      </w:pPr>
    </w:p>
    <w:tbl>
      <w:tblPr>
        <w:tblW w:w="4963" w:type="pct"/>
        <w:tblInd w:w="108" w:type="dxa"/>
        <w:tblLayout w:type="fixed"/>
        <w:tblLook w:val="00A0"/>
      </w:tblPr>
      <w:tblGrid>
        <w:gridCol w:w="1997"/>
        <w:gridCol w:w="284"/>
        <w:gridCol w:w="1119"/>
        <w:gridCol w:w="6381"/>
      </w:tblGrid>
      <w:tr w:rsidR="005D7503" w:rsidRPr="00AA4A76" w:rsidTr="00CF0826">
        <w:trPr>
          <w:trHeight w:val="145"/>
        </w:trPr>
        <w:tc>
          <w:tcPr>
            <w:tcW w:w="1021" w:type="pct"/>
            <w:shd w:val="clear" w:color="auto" w:fill="auto"/>
          </w:tcPr>
          <w:p w:rsidR="005D7503" w:rsidRPr="00AA4A76" w:rsidRDefault="005D7503" w:rsidP="00CF0826">
            <w:pPr>
              <w:spacing w:line="240" w:lineRule="auto"/>
              <w:jc w:val="center"/>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E46735" w:rsidP="00CF0826">
            <w:pPr>
              <w:pStyle w:val="Textpoznpodarou"/>
              <w:jc w:val="both"/>
              <w:rPr>
                <w:highlight w:val="yellow"/>
              </w:rPr>
            </w:pPr>
            <w:r>
              <w:rPr>
                <w:color w:val="000000"/>
              </w:rPr>
              <w:t xml:space="preserve">Chart </w:t>
            </w:r>
            <w:r w:rsidR="005D7503">
              <w:rPr>
                <w:color w:val="000000"/>
              </w:rPr>
              <w:t>22</w:t>
            </w:r>
          </w:p>
        </w:tc>
        <w:tc>
          <w:tcPr>
            <w:tcW w:w="3262" w:type="pct"/>
          </w:tcPr>
          <w:p w:rsidR="005D7503" w:rsidRPr="0007324C" w:rsidRDefault="00E46735" w:rsidP="00CF0826">
            <w:pPr>
              <w:spacing w:line="240" w:lineRule="auto"/>
              <w:rPr>
                <w:rFonts w:cs="Arial"/>
                <w:b/>
                <w:bCs/>
              </w:rPr>
            </w:pPr>
            <w:r>
              <w:rPr>
                <w:rFonts w:cs="Arial"/>
                <w:b/>
                <w:bCs/>
                <w:lang w:val="en-GB"/>
              </w:rPr>
              <w:t xml:space="preserve">Selected state budget expenditures </w:t>
            </w:r>
            <w:r w:rsidR="005D7503">
              <w:rPr>
                <w:rFonts w:cs="Arial"/>
                <w:bCs/>
              </w:rPr>
              <w:t>(</w:t>
            </w:r>
            <w:r>
              <w:rPr>
                <w:rFonts w:cs="Arial"/>
                <w:bCs/>
              </w:rPr>
              <w:t>in CZK bn</w:t>
            </w:r>
            <w:r w:rsidR="005D7503">
              <w:rPr>
                <w:rFonts w:cs="Arial"/>
                <w:bCs/>
              </w:rPr>
              <w:t>)</w:t>
            </w:r>
          </w:p>
        </w:tc>
      </w:tr>
      <w:tr w:rsidR="005D7503" w:rsidRPr="00593ECE"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Pr="00593ECE" w:rsidRDefault="00C51D4B" w:rsidP="00CF0826">
            <w:pPr>
              <w:pStyle w:val="Textpoznpodarou"/>
              <w:ind w:left="-124"/>
              <w:jc w:val="both"/>
              <w:rPr>
                <w:sz w:val="16"/>
                <w:szCs w:val="16"/>
                <w:lang w:val="en-GB"/>
              </w:rPr>
            </w:pPr>
            <w:r w:rsidRPr="00C51D4B">
              <w:rPr>
                <w:noProof/>
                <w:sz w:val="16"/>
                <w:szCs w:val="16"/>
              </w:rPr>
              <w:drawing>
                <wp:inline distT="0" distB="0" distL="0" distR="0">
                  <wp:extent cx="4760919" cy="3412044"/>
                  <wp:effectExtent l="19050" t="0" r="1581" b="0"/>
                  <wp:docPr id="2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3ECE" w:rsidRPr="00593ECE" w:rsidRDefault="005D7503" w:rsidP="00CF0826">
            <w:pPr>
              <w:pStyle w:val="Textpoznpodarou"/>
              <w:rPr>
                <w:sz w:val="14"/>
                <w:szCs w:val="14"/>
                <w:lang w:val="en-GB"/>
              </w:rPr>
            </w:pPr>
            <w:r w:rsidRPr="00593ECE">
              <w:rPr>
                <w:sz w:val="14"/>
                <w:szCs w:val="14"/>
                <w:lang w:val="en-GB"/>
              </w:rPr>
              <w:t xml:space="preserve">* </w:t>
            </w:r>
            <w:r w:rsidR="00F96E38">
              <w:rPr>
                <w:sz w:val="14"/>
                <w:szCs w:val="14"/>
                <w:lang w:val="en-GB"/>
              </w:rPr>
              <w:t xml:space="preserve">Include mainly </w:t>
            </w:r>
            <w:r w:rsidR="00F96E38">
              <w:rPr>
                <w:rStyle w:val="shorttext"/>
                <w:rFonts w:cs="Arial"/>
                <w:color w:val="222222"/>
                <w:sz w:val="14"/>
                <w:szCs w:val="14"/>
              </w:rPr>
              <w:t>e</w:t>
            </w:r>
            <w:r w:rsidR="00F96E38" w:rsidRPr="00F96E38">
              <w:rPr>
                <w:rStyle w:val="shorttext"/>
                <w:rFonts w:cs="Arial"/>
                <w:color w:val="222222"/>
                <w:sz w:val="14"/>
                <w:szCs w:val="14"/>
              </w:rPr>
              <w:t>xpenditure on the purchase of services</w:t>
            </w:r>
            <w:r w:rsidR="00F96E38">
              <w:rPr>
                <w:rStyle w:val="shorttext"/>
                <w:rFonts w:cs="Arial"/>
                <w:color w:val="222222"/>
                <w:sz w:val="14"/>
                <w:szCs w:val="14"/>
              </w:rPr>
              <w:t xml:space="preserve"> (IT, rents)</w:t>
            </w:r>
            <w:r w:rsidR="00F96E38">
              <w:rPr>
                <w:sz w:val="14"/>
                <w:szCs w:val="14"/>
                <w:lang w:val="en-GB"/>
              </w:rPr>
              <w:t xml:space="preserve">, </w:t>
            </w:r>
            <w:r w:rsidR="00F96E38">
              <w:rPr>
                <w:rStyle w:val="shorttext"/>
                <w:rFonts w:cs="Arial"/>
                <w:color w:val="222222"/>
                <w:sz w:val="13"/>
                <w:szCs w:val="13"/>
              </w:rPr>
              <w:t>expenditure on water, fuel and energy purchases, expenditure on material purchase, expenditure on repairs and maintenance. On the other hand,</w:t>
            </w:r>
            <w:r w:rsidR="00F96E38">
              <w:rPr>
                <w:sz w:val="14"/>
                <w:szCs w:val="14"/>
                <w:lang w:val="en-GB"/>
              </w:rPr>
              <w:t xml:space="preserve"> i</w:t>
            </w:r>
            <w:r w:rsidR="00593ECE" w:rsidRPr="00F96E38">
              <w:rPr>
                <w:sz w:val="14"/>
                <w:szCs w:val="14"/>
                <w:lang w:val="en-GB"/>
              </w:rPr>
              <w:t>nterests</w:t>
            </w:r>
            <w:r w:rsidR="00593ECE" w:rsidRPr="00593ECE">
              <w:rPr>
                <w:sz w:val="14"/>
                <w:szCs w:val="14"/>
                <w:lang w:val="en-GB"/>
              </w:rPr>
              <w:t xml:space="preserve">, guarantees and other financial outlays on the state debt </w:t>
            </w:r>
            <w:r w:rsidR="00C51D4B">
              <w:rPr>
                <w:sz w:val="14"/>
                <w:szCs w:val="14"/>
                <w:lang w:val="en-GB"/>
              </w:rPr>
              <w:t>are excluded.</w:t>
            </w:r>
          </w:p>
          <w:p w:rsidR="00593ECE" w:rsidRPr="00593ECE" w:rsidRDefault="005D7503" w:rsidP="00CF0826">
            <w:pPr>
              <w:pStyle w:val="Textpoznpodarou"/>
              <w:rPr>
                <w:sz w:val="14"/>
                <w:szCs w:val="14"/>
                <w:lang w:val="en-GB"/>
              </w:rPr>
            </w:pPr>
            <w:r w:rsidRPr="00593ECE">
              <w:rPr>
                <w:sz w:val="14"/>
                <w:szCs w:val="14"/>
                <w:lang w:val="en-GB"/>
              </w:rPr>
              <w:t xml:space="preserve">** </w:t>
            </w:r>
            <w:r w:rsidR="00593ECE" w:rsidRPr="00593ECE">
              <w:rPr>
                <w:sz w:val="14"/>
                <w:szCs w:val="14"/>
                <w:lang w:val="en-GB"/>
              </w:rPr>
              <w:t xml:space="preserve">including the foster care benefits </w:t>
            </w:r>
          </w:p>
          <w:p w:rsidR="00593ECE" w:rsidRPr="00593ECE" w:rsidRDefault="005D7503" w:rsidP="00593ECE">
            <w:pPr>
              <w:pStyle w:val="Textpoznpodarou"/>
              <w:rPr>
                <w:sz w:val="14"/>
                <w:szCs w:val="14"/>
                <w:lang w:val="en-GB"/>
              </w:rPr>
            </w:pPr>
            <w:r w:rsidRPr="00593ECE">
              <w:rPr>
                <w:sz w:val="14"/>
                <w:szCs w:val="14"/>
                <w:lang w:val="en-GB"/>
              </w:rPr>
              <w:t xml:space="preserve">*** </w:t>
            </w:r>
            <w:r w:rsidR="00593ECE" w:rsidRPr="00593ECE">
              <w:rPr>
                <w:sz w:val="14"/>
                <w:szCs w:val="14"/>
                <w:lang w:val="en-GB"/>
              </w:rPr>
              <w:t>Material deprivation assistance benefits, Benefits for people with disabilities, Care benefits (based on Act on State Social Support)</w:t>
            </w:r>
          </w:p>
          <w:p w:rsidR="00A27D2E" w:rsidRPr="00C51D4B" w:rsidRDefault="00593ECE" w:rsidP="00C51D4B">
            <w:pPr>
              <w:pStyle w:val="Textpoznpodarou"/>
              <w:jc w:val="right"/>
              <w:rPr>
                <w:rFonts w:cs="Arial"/>
                <w:sz w:val="14"/>
                <w:szCs w:val="14"/>
                <w:lang w:val="en-GB"/>
              </w:rPr>
            </w:pPr>
            <w:r w:rsidRPr="00593ECE">
              <w:rPr>
                <w:rFonts w:cs="Arial"/>
                <w:sz w:val="14"/>
                <w:szCs w:val="14"/>
                <w:lang w:val="en-GB"/>
              </w:rPr>
              <w:t xml:space="preserve"> Source</w:t>
            </w:r>
            <w:r w:rsidR="005D7503" w:rsidRPr="00593ECE">
              <w:rPr>
                <w:rFonts w:cs="Arial"/>
                <w:sz w:val="14"/>
                <w:szCs w:val="14"/>
                <w:lang w:val="en-GB"/>
              </w:rPr>
              <w:t>: MF</w:t>
            </w:r>
            <w:r w:rsidR="002F19CC">
              <w:rPr>
                <w:rFonts w:cs="Arial"/>
                <w:sz w:val="14"/>
                <w:szCs w:val="14"/>
                <w:lang w:val="en-GB"/>
              </w:rPr>
              <w:t xml:space="preserve"> CR</w:t>
            </w:r>
            <w:r w:rsidR="005D7503" w:rsidRPr="00593ECE">
              <w:rPr>
                <w:rFonts w:cs="Arial"/>
                <w:sz w:val="14"/>
                <w:szCs w:val="14"/>
                <w:lang w:val="en-GB"/>
              </w:rPr>
              <w:t>, M</w:t>
            </w:r>
            <w:r w:rsidRPr="00593ECE">
              <w:rPr>
                <w:rFonts w:cs="Arial"/>
                <w:sz w:val="14"/>
                <w:szCs w:val="14"/>
                <w:lang w:val="en-GB"/>
              </w:rPr>
              <w:t>LSA</w:t>
            </w:r>
          </w:p>
        </w:tc>
      </w:tr>
    </w:tbl>
    <w:p w:rsidR="005D7503" w:rsidRDefault="005D7503" w:rsidP="005D7503">
      <w:pPr>
        <w:pStyle w:val="Textpoznpodarou"/>
        <w:jc w:val="both"/>
        <w:rPr>
          <w:rFonts w:cs="Arial"/>
          <w:color w:val="000000"/>
          <w:spacing w:val="-2"/>
          <w:sz w:val="18"/>
          <w:szCs w:val="18"/>
        </w:rPr>
      </w:pPr>
    </w:p>
    <w:tbl>
      <w:tblPr>
        <w:tblW w:w="4995" w:type="pct"/>
        <w:tblInd w:w="108" w:type="dxa"/>
        <w:tblLayout w:type="fixed"/>
        <w:tblLook w:val="00A0"/>
      </w:tblPr>
      <w:tblGrid>
        <w:gridCol w:w="2000"/>
        <w:gridCol w:w="284"/>
        <w:gridCol w:w="7560"/>
      </w:tblGrid>
      <w:tr w:rsidR="005D7503" w:rsidRPr="00AD0FC0" w:rsidTr="00CF0826">
        <w:trPr>
          <w:trHeight w:val="145"/>
        </w:trPr>
        <w:tc>
          <w:tcPr>
            <w:tcW w:w="1016" w:type="pct"/>
            <w:shd w:val="clear" w:color="auto" w:fill="auto"/>
          </w:tcPr>
          <w:p w:rsidR="005D7503" w:rsidRPr="00465317" w:rsidRDefault="003D49E0" w:rsidP="00CF0826">
            <w:pPr>
              <w:spacing w:line="240" w:lineRule="auto"/>
              <w:rPr>
                <w:rFonts w:cs="Arial"/>
                <w:bCs/>
                <w:iCs/>
                <w:color w:val="0D0D0D" w:themeColor="text1" w:themeTint="F2"/>
                <w:sz w:val="16"/>
                <w:szCs w:val="16"/>
                <w:lang w:val="en-GB"/>
              </w:rPr>
            </w:pPr>
            <w:r w:rsidRPr="00465317">
              <w:rPr>
                <w:rFonts w:cs="Arial"/>
                <w:bCs/>
                <w:iCs/>
                <w:color w:val="0D0D0D" w:themeColor="text1" w:themeTint="F2"/>
                <w:sz w:val="16"/>
                <w:szCs w:val="16"/>
                <w:lang w:val="en-GB"/>
              </w:rPr>
              <w:t xml:space="preserve">CR was the fourth relatively least indebted EU country. </w:t>
            </w:r>
            <w:r w:rsidR="005D7503" w:rsidRPr="00465317">
              <w:rPr>
                <w:rFonts w:cs="Arial"/>
                <w:bCs/>
                <w:iCs/>
                <w:color w:val="0D0D0D" w:themeColor="text1" w:themeTint="F2"/>
                <w:sz w:val="16"/>
                <w:szCs w:val="16"/>
                <w:lang w:val="en-GB"/>
              </w:rPr>
              <w:t xml:space="preserve"> </w:t>
            </w:r>
          </w:p>
          <w:p w:rsidR="005D7503" w:rsidRDefault="005D7503" w:rsidP="00CF0826">
            <w:pPr>
              <w:spacing w:line="240" w:lineRule="auto"/>
              <w:rPr>
                <w:rFonts w:cs="Arial"/>
                <w:bCs/>
                <w:iCs/>
                <w:color w:val="0D0D0D" w:themeColor="text1" w:themeTint="F2"/>
                <w:sz w:val="16"/>
                <w:szCs w:val="16"/>
                <w:lang w:val="en-GB"/>
              </w:rPr>
            </w:pPr>
          </w:p>
          <w:p w:rsidR="002F19CC" w:rsidRPr="00465317" w:rsidRDefault="002F19CC" w:rsidP="00CF0826">
            <w:pPr>
              <w:spacing w:line="240" w:lineRule="auto"/>
              <w:rPr>
                <w:rFonts w:cs="Arial"/>
                <w:bCs/>
                <w:iCs/>
                <w:color w:val="0D0D0D" w:themeColor="text1" w:themeTint="F2"/>
                <w:sz w:val="16"/>
                <w:szCs w:val="16"/>
                <w:lang w:val="en-GB"/>
              </w:rPr>
            </w:pPr>
          </w:p>
          <w:p w:rsidR="005D7503" w:rsidRPr="00465317" w:rsidRDefault="005D7503" w:rsidP="00CF0826">
            <w:pPr>
              <w:spacing w:line="240" w:lineRule="auto"/>
              <w:rPr>
                <w:rFonts w:cs="Arial"/>
                <w:bCs/>
                <w:iCs/>
                <w:color w:val="0D0D0D" w:themeColor="text1" w:themeTint="F2"/>
                <w:sz w:val="16"/>
                <w:szCs w:val="16"/>
                <w:lang w:val="en-GB"/>
              </w:rPr>
            </w:pPr>
          </w:p>
          <w:p w:rsidR="005D7503" w:rsidRPr="00465317" w:rsidRDefault="005D7503" w:rsidP="00CF0826">
            <w:pPr>
              <w:spacing w:line="240" w:lineRule="auto"/>
              <w:rPr>
                <w:rFonts w:cs="Arial"/>
                <w:bCs/>
                <w:iCs/>
                <w:color w:val="0D0D0D" w:themeColor="text1" w:themeTint="F2"/>
                <w:sz w:val="16"/>
                <w:szCs w:val="16"/>
                <w:lang w:val="en-GB"/>
              </w:rPr>
            </w:pPr>
          </w:p>
          <w:p w:rsidR="005D7503" w:rsidRPr="00465317" w:rsidRDefault="005D7503" w:rsidP="00CF0826">
            <w:pPr>
              <w:spacing w:line="240" w:lineRule="auto"/>
              <w:rPr>
                <w:rFonts w:cs="Arial"/>
                <w:bCs/>
                <w:iCs/>
                <w:color w:val="0D0D0D" w:themeColor="text1" w:themeTint="F2"/>
                <w:sz w:val="16"/>
                <w:szCs w:val="16"/>
                <w:lang w:val="en-GB"/>
              </w:rPr>
            </w:pPr>
            <w:r w:rsidRPr="00465317">
              <w:rPr>
                <w:rFonts w:cs="Arial"/>
                <w:color w:val="0D0D0D" w:themeColor="text1" w:themeTint="F2"/>
                <w:spacing w:val="-4"/>
                <w:sz w:val="16"/>
                <w:szCs w:val="16"/>
                <w:lang w:val="en-GB"/>
              </w:rPr>
              <w:t>Tendenc</w:t>
            </w:r>
            <w:r w:rsidR="003D49E0" w:rsidRPr="00465317">
              <w:rPr>
                <w:rFonts w:cs="Arial"/>
                <w:color w:val="0D0D0D" w:themeColor="text1" w:themeTint="F2"/>
                <w:spacing w:val="-4"/>
                <w:sz w:val="16"/>
                <w:szCs w:val="16"/>
                <w:lang w:val="en-GB"/>
              </w:rPr>
              <w:t xml:space="preserve">y to lower the relative indebtedness is apparent on the level of the whole EU since the half </w:t>
            </w:r>
            <w:r w:rsidR="00810971" w:rsidRPr="00465317">
              <w:rPr>
                <w:rFonts w:cs="Arial"/>
                <w:color w:val="0D0D0D" w:themeColor="text1" w:themeTint="F2"/>
                <w:spacing w:val="-4"/>
                <w:sz w:val="16"/>
                <w:szCs w:val="16"/>
                <w:lang w:val="en-GB"/>
              </w:rPr>
              <w:t>of</w:t>
            </w:r>
            <w:r w:rsidR="004A4A6D">
              <w:rPr>
                <w:rFonts w:cs="Arial"/>
                <w:color w:val="0D0D0D" w:themeColor="text1" w:themeTint="F2"/>
                <w:spacing w:val="-4"/>
                <w:sz w:val="16"/>
                <w:szCs w:val="16"/>
                <w:lang w:val="en-GB"/>
              </w:rPr>
              <w:t xml:space="preserve"> 2015</w:t>
            </w:r>
            <w:r w:rsidR="003E0261" w:rsidRPr="00465317">
              <w:rPr>
                <w:rFonts w:cs="Arial"/>
                <w:color w:val="0D0D0D" w:themeColor="text1" w:themeTint="F2"/>
                <w:spacing w:val="-4"/>
                <w:sz w:val="16"/>
                <w:szCs w:val="16"/>
                <w:lang w:val="en-GB"/>
              </w:rPr>
              <w:t xml:space="preserve"> nevertheless it occurred only very gradually till now. </w:t>
            </w:r>
          </w:p>
          <w:p w:rsidR="005D7503" w:rsidRPr="00465317" w:rsidRDefault="005D7503" w:rsidP="00CF0826">
            <w:pPr>
              <w:spacing w:line="240" w:lineRule="auto"/>
              <w:rPr>
                <w:rFonts w:cs="Arial"/>
                <w:bCs/>
                <w:iCs/>
                <w:color w:val="0D0D0D" w:themeColor="text1" w:themeTint="F2"/>
                <w:sz w:val="16"/>
                <w:szCs w:val="16"/>
                <w:lang w:val="en-GB"/>
              </w:rPr>
            </w:pPr>
          </w:p>
        </w:tc>
        <w:tc>
          <w:tcPr>
            <w:tcW w:w="144" w:type="pct"/>
          </w:tcPr>
          <w:p w:rsidR="005D7503" w:rsidRPr="00465317" w:rsidRDefault="005D7503" w:rsidP="00CF0826">
            <w:pPr>
              <w:pStyle w:val="Textpoznpodarou"/>
              <w:jc w:val="both"/>
              <w:rPr>
                <w:rFonts w:cs="Arial"/>
                <w:color w:val="0D0D0D" w:themeColor="text1" w:themeTint="F2"/>
                <w:lang w:val="en-GB"/>
              </w:rPr>
            </w:pPr>
          </w:p>
        </w:tc>
        <w:tc>
          <w:tcPr>
            <w:tcW w:w="3840" w:type="pct"/>
          </w:tcPr>
          <w:p w:rsidR="005D7503" w:rsidRPr="00465317" w:rsidRDefault="004F3B06" w:rsidP="00CF0826">
            <w:pPr>
              <w:pStyle w:val="Textpoznpodarou"/>
              <w:jc w:val="both"/>
              <w:rPr>
                <w:rFonts w:cs="Arial"/>
                <w:bCs/>
                <w:iCs/>
                <w:color w:val="0D0D0D" w:themeColor="text1" w:themeTint="F2"/>
                <w:spacing w:val="-4"/>
                <w:lang w:val="en-GB"/>
              </w:rPr>
            </w:pPr>
            <w:r>
              <w:rPr>
                <w:rFonts w:cs="Arial"/>
                <w:color w:val="0D0D0D" w:themeColor="text1" w:themeTint="F2"/>
                <w:spacing w:val="-4"/>
                <w:lang w:val="en-GB"/>
              </w:rPr>
              <w:t xml:space="preserve">The CR was the fourth relatively least indebted country of the EU at the end of Q3 2017 </w:t>
            </w:r>
            <w:r w:rsidR="005D7503" w:rsidRPr="00465317">
              <w:rPr>
                <w:rFonts w:cs="Arial"/>
                <w:color w:val="0D0D0D" w:themeColor="text1" w:themeTint="F2"/>
                <w:spacing w:val="-4"/>
                <w:lang w:val="en-GB"/>
              </w:rPr>
              <w:t>(</w:t>
            </w:r>
            <w:r w:rsidR="00444EC5">
              <w:rPr>
                <w:rFonts w:cs="Arial"/>
                <w:color w:val="0D0D0D" w:themeColor="text1" w:themeTint="F2"/>
                <w:spacing w:val="-4"/>
                <w:lang w:val="en-GB"/>
              </w:rPr>
              <w:t xml:space="preserve">with the distance behind Estonia, Luxembourg and Bulgaria). It was the best position since the accession of the CR into the EU. The indebtedness rate did not significantly decrease – in contrast to the CR – in the EU since the end of the last recession. </w:t>
            </w:r>
            <w:r w:rsidR="001B1FE2">
              <w:rPr>
                <w:rFonts w:cs="Arial"/>
                <w:color w:val="0D0D0D" w:themeColor="text1" w:themeTint="F2"/>
                <w:spacing w:val="-4"/>
                <w:lang w:val="en-GB"/>
              </w:rPr>
              <w:t xml:space="preserve">It fell by exactly 3 </w:t>
            </w:r>
            <w:r w:rsidR="0030607B">
              <w:rPr>
                <w:rFonts w:cs="Arial"/>
                <w:color w:val="0D0D0D" w:themeColor="text1" w:themeTint="F2"/>
                <w:spacing w:val="-4"/>
                <w:lang w:val="en-GB"/>
              </w:rPr>
              <w:t>p.p.</w:t>
            </w:r>
            <w:r w:rsidR="001B1FE2">
              <w:rPr>
                <w:rFonts w:cs="Arial"/>
                <w:color w:val="0D0D0D" w:themeColor="text1" w:themeTint="F2"/>
                <w:spacing w:val="-4"/>
                <w:lang w:val="en-GB"/>
              </w:rPr>
              <w:t xml:space="preserve"> in the last three years, by mere 0.4 </w:t>
            </w:r>
            <w:r w:rsidR="0030607B">
              <w:rPr>
                <w:rFonts w:cs="Arial"/>
                <w:color w:val="0D0D0D" w:themeColor="text1" w:themeTint="F2"/>
                <w:spacing w:val="-4"/>
                <w:lang w:val="en-GB"/>
              </w:rPr>
              <w:t>p.p.</w:t>
            </w:r>
            <w:r w:rsidR="001B1FE2">
              <w:rPr>
                <w:rFonts w:cs="Arial"/>
                <w:color w:val="0D0D0D" w:themeColor="text1" w:themeTint="F2"/>
                <w:spacing w:val="-4"/>
                <w:lang w:val="en-GB"/>
              </w:rPr>
              <w:t xml:space="preserve"> against Q3 2016 </w:t>
            </w:r>
            <w:r w:rsidR="005D7503" w:rsidRPr="00465317">
              <w:rPr>
                <w:rFonts w:cs="Arial"/>
                <w:color w:val="0D0D0D" w:themeColor="text1" w:themeTint="F2"/>
                <w:spacing w:val="-4"/>
                <w:lang w:val="en-GB"/>
              </w:rPr>
              <w:t>(</w:t>
            </w:r>
            <w:r w:rsidR="001B1FE2">
              <w:rPr>
                <w:rFonts w:cs="Arial"/>
                <w:color w:val="0D0D0D" w:themeColor="text1" w:themeTint="F2"/>
                <w:spacing w:val="-4"/>
                <w:lang w:val="en-GB"/>
              </w:rPr>
              <w:t xml:space="preserve">to </w:t>
            </w:r>
            <w:r w:rsidR="005D7503" w:rsidRPr="00465317">
              <w:rPr>
                <w:rFonts w:cs="Arial"/>
                <w:color w:val="0D0D0D" w:themeColor="text1" w:themeTint="F2"/>
                <w:spacing w:val="-4"/>
                <w:lang w:val="en-GB"/>
              </w:rPr>
              <w:t>82</w:t>
            </w:r>
            <w:r w:rsidR="001B1FE2">
              <w:rPr>
                <w:rFonts w:cs="Arial"/>
                <w:color w:val="0D0D0D" w:themeColor="text1" w:themeTint="F2"/>
                <w:spacing w:val="-4"/>
                <w:lang w:val="en-GB"/>
              </w:rPr>
              <w:t>.</w:t>
            </w:r>
            <w:r w:rsidR="005D7503" w:rsidRPr="00465317">
              <w:rPr>
                <w:rFonts w:cs="Arial"/>
                <w:color w:val="0D0D0D" w:themeColor="text1" w:themeTint="F2"/>
                <w:spacing w:val="-4"/>
                <w:lang w:val="en-GB"/>
              </w:rPr>
              <w:t>5%</w:t>
            </w:r>
            <w:r w:rsidR="001B1FE2">
              <w:rPr>
                <w:rFonts w:cs="Arial"/>
                <w:color w:val="0D0D0D" w:themeColor="text1" w:themeTint="F2"/>
                <w:spacing w:val="-4"/>
                <w:lang w:val="en-GB"/>
              </w:rPr>
              <w:t xml:space="preserve"> of GDP</w:t>
            </w:r>
            <w:r w:rsidR="005D7503" w:rsidRPr="00465317">
              <w:rPr>
                <w:rFonts w:cs="Arial"/>
                <w:color w:val="0D0D0D" w:themeColor="text1" w:themeTint="F2"/>
                <w:spacing w:val="-4"/>
                <w:lang w:val="en-GB"/>
              </w:rPr>
              <w:t xml:space="preserve">). </w:t>
            </w:r>
            <w:r w:rsidR="00A03343">
              <w:rPr>
                <w:rFonts w:cs="Arial"/>
                <w:color w:val="0D0D0D" w:themeColor="text1" w:themeTint="F2"/>
                <w:spacing w:val="-4"/>
                <w:lang w:val="en-GB"/>
              </w:rPr>
              <w:t xml:space="preserve">24 countries of the Union signalled the year-on-year reduction of the indebtedness (19 the year before). The position of the most indebted economies however improved only marginally. </w:t>
            </w:r>
            <w:r w:rsidR="007A796D">
              <w:rPr>
                <w:rFonts w:cs="Arial"/>
                <w:color w:val="0D0D0D" w:themeColor="text1" w:themeTint="F2"/>
                <w:spacing w:val="-4"/>
                <w:lang w:val="en-GB"/>
              </w:rPr>
              <w:t xml:space="preserve">In Italy and France, troubled by high unemployment, the indebtedness rate even increased </w:t>
            </w:r>
            <w:r w:rsidR="005D7503" w:rsidRPr="00465317">
              <w:rPr>
                <w:rFonts w:cs="Arial"/>
                <w:color w:val="0D0D0D" w:themeColor="text1" w:themeTint="F2"/>
                <w:spacing w:val="-4"/>
                <w:lang w:val="en-GB"/>
              </w:rPr>
              <w:t>(</w:t>
            </w:r>
            <w:r w:rsidR="007A796D">
              <w:rPr>
                <w:rFonts w:cs="Arial"/>
                <w:color w:val="0D0D0D" w:themeColor="text1" w:themeTint="F2"/>
                <w:spacing w:val="-4"/>
                <w:lang w:val="en-GB"/>
              </w:rPr>
              <w:t xml:space="preserve">by </w:t>
            </w:r>
            <w:r w:rsidR="005D7503" w:rsidRPr="00465317">
              <w:rPr>
                <w:rFonts w:cs="Arial"/>
                <w:color w:val="0D0D0D" w:themeColor="text1" w:themeTint="F2"/>
                <w:spacing w:val="-4"/>
                <w:lang w:val="en-GB"/>
              </w:rPr>
              <w:t>2, resp.</w:t>
            </w:r>
            <w:r w:rsidR="00CA2BF5" w:rsidRPr="00465317">
              <w:rPr>
                <w:rFonts w:cs="Arial"/>
                <w:color w:val="0D0D0D" w:themeColor="text1" w:themeTint="F2"/>
                <w:spacing w:val="-4"/>
                <w:lang w:val="en-GB"/>
              </w:rPr>
              <w:t> </w:t>
            </w:r>
            <w:r w:rsidR="005D7503" w:rsidRPr="00465317">
              <w:rPr>
                <w:rFonts w:cs="Arial"/>
                <w:color w:val="0D0D0D" w:themeColor="text1" w:themeTint="F2"/>
                <w:spacing w:val="-4"/>
                <w:lang w:val="en-GB"/>
              </w:rPr>
              <w:t>1</w:t>
            </w:r>
            <w:r w:rsidR="00CA2BF5" w:rsidRPr="00465317">
              <w:rPr>
                <w:rFonts w:cs="Arial"/>
                <w:color w:val="0D0D0D" w:themeColor="text1" w:themeTint="F2"/>
                <w:spacing w:val="-4"/>
                <w:lang w:val="en-GB"/>
              </w:rPr>
              <w:t> </w:t>
            </w:r>
            <w:r w:rsidR="0030607B">
              <w:rPr>
                <w:rFonts w:cs="Arial"/>
                <w:color w:val="0D0D0D" w:themeColor="text1" w:themeTint="F2"/>
                <w:spacing w:val="-4"/>
                <w:lang w:val="en-GB"/>
              </w:rPr>
              <w:t>p.p.</w:t>
            </w:r>
            <w:r w:rsidR="005D7503" w:rsidRPr="00465317">
              <w:rPr>
                <w:rFonts w:cs="Arial"/>
                <w:color w:val="0D0D0D" w:themeColor="text1" w:themeTint="F2"/>
                <w:spacing w:val="-4"/>
                <w:lang w:val="en-GB"/>
              </w:rPr>
              <w:t xml:space="preserve"> </w:t>
            </w:r>
            <w:r w:rsidR="007A796D">
              <w:rPr>
                <w:rFonts w:cs="Arial"/>
                <w:color w:val="0D0D0D" w:themeColor="text1" w:themeTint="F2"/>
                <w:spacing w:val="-4"/>
                <w:lang w:val="en-GB"/>
              </w:rPr>
              <w:t>year-on-year</w:t>
            </w:r>
            <w:r w:rsidR="005D7503" w:rsidRPr="00465317">
              <w:rPr>
                <w:rFonts w:cs="Arial"/>
                <w:color w:val="0D0D0D" w:themeColor="text1" w:themeTint="F2"/>
                <w:spacing w:val="-4"/>
                <w:lang w:val="en-GB"/>
              </w:rPr>
              <w:t xml:space="preserve">). </w:t>
            </w:r>
            <w:r w:rsidR="00A243A3">
              <w:rPr>
                <w:rFonts w:cs="Arial"/>
                <w:color w:val="0D0D0D" w:themeColor="text1" w:themeTint="F2"/>
                <w:spacing w:val="-4"/>
                <w:lang w:val="en-GB"/>
              </w:rPr>
              <w:t>O</w:t>
            </w:r>
            <w:r w:rsidR="00D8776A">
              <w:rPr>
                <w:rFonts w:cs="Arial"/>
                <w:color w:val="0D0D0D" w:themeColor="text1" w:themeTint="F2"/>
                <w:spacing w:val="-4"/>
                <w:lang w:val="en-GB"/>
              </w:rPr>
              <w:t>nly one third of the euro area members</w:t>
            </w:r>
            <w:r w:rsidR="00A243A3">
              <w:rPr>
                <w:rFonts w:cs="Arial"/>
                <w:color w:val="0D0D0D" w:themeColor="text1" w:themeTint="F2"/>
                <w:spacing w:val="-4"/>
                <w:lang w:val="en-GB"/>
              </w:rPr>
              <w:t xml:space="preserve"> fulfilled the </w:t>
            </w:r>
            <w:r w:rsidR="00A243A3" w:rsidRPr="00465317">
              <w:rPr>
                <w:rFonts w:cs="Arial"/>
                <w:color w:val="0D0D0D" w:themeColor="text1" w:themeTint="F2"/>
                <w:spacing w:val="-4"/>
                <w:lang w:val="en-GB"/>
              </w:rPr>
              <w:t>Maastricht</w:t>
            </w:r>
            <w:r w:rsidR="00A243A3">
              <w:rPr>
                <w:rFonts w:cs="Arial"/>
                <w:color w:val="0D0D0D" w:themeColor="text1" w:themeTint="F2"/>
                <w:spacing w:val="-4"/>
                <w:lang w:val="en-GB"/>
              </w:rPr>
              <w:t xml:space="preserve"> debt criterion </w:t>
            </w:r>
            <w:r w:rsidR="00A243A3" w:rsidRPr="00465317">
              <w:rPr>
                <w:rFonts w:cs="Arial"/>
                <w:color w:val="0D0D0D" w:themeColor="text1" w:themeTint="F2"/>
                <w:spacing w:val="-4"/>
                <w:lang w:val="en-GB"/>
              </w:rPr>
              <w:t>(60%</w:t>
            </w:r>
            <w:r w:rsidR="00A243A3">
              <w:rPr>
                <w:rFonts w:cs="Arial"/>
                <w:color w:val="0D0D0D" w:themeColor="text1" w:themeTint="F2"/>
                <w:spacing w:val="-4"/>
                <w:lang w:val="en-GB"/>
              </w:rPr>
              <w:t xml:space="preserve"> of GDP</w:t>
            </w:r>
            <w:r w:rsidR="00A243A3" w:rsidRPr="00465317">
              <w:rPr>
                <w:rFonts w:cs="Arial"/>
                <w:color w:val="0D0D0D" w:themeColor="text1" w:themeTint="F2"/>
                <w:spacing w:val="-4"/>
                <w:lang w:val="en-GB"/>
              </w:rPr>
              <w:t>)</w:t>
            </w:r>
            <w:r w:rsidR="00D8776A">
              <w:rPr>
                <w:rFonts w:cs="Arial"/>
                <w:color w:val="0D0D0D" w:themeColor="text1" w:themeTint="F2"/>
                <w:spacing w:val="-4"/>
                <w:lang w:val="en-GB"/>
              </w:rPr>
              <w:t xml:space="preserve">, in that from the core countries </w:t>
            </w:r>
            <w:r w:rsidR="005D7503" w:rsidRPr="00465317">
              <w:rPr>
                <w:rFonts w:cs="Arial"/>
                <w:color w:val="0D0D0D" w:themeColor="text1" w:themeTint="F2"/>
                <w:spacing w:val="-4"/>
                <w:lang w:val="en-GB"/>
              </w:rPr>
              <w:t xml:space="preserve">(EU15) </w:t>
            </w:r>
            <w:r w:rsidR="00D8776A">
              <w:rPr>
                <w:rFonts w:cs="Arial"/>
                <w:color w:val="0D0D0D" w:themeColor="text1" w:themeTint="F2"/>
                <w:spacing w:val="-4"/>
                <w:lang w:val="en-GB"/>
              </w:rPr>
              <w:t xml:space="preserve">only Luxembourg and Netherlands. </w:t>
            </w:r>
            <w:r w:rsidR="006155F1">
              <w:rPr>
                <w:rFonts w:cs="Arial"/>
                <w:color w:val="0D0D0D" w:themeColor="text1" w:themeTint="F2"/>
                <w:spacing w:val="-4"/>
                <w:lang w:val="en-GB"/>
              </w:rPr>
              <w:t xml:space="preserve">Only Germany, Sweden and Malta managed to decrease their indebtedness to the level close to the pre-crisis year 2008 so far. </w:t>
            </w:r>
          </w:p>
        </w:tc>
      </w:tr>
    </w:tbl>
    <w:p w:rsidR="008A03DE" w:rsidRPr="00CE7158" w:rsidRDefault="008A03DE" w:rsidP="00293553">
      <w:pPr>
        <w:pStyle w:val="Textpoznpodarou"/>
        <w:jc w:val="both"/>
        <w:rPr>
          <w:rFonts w:cs="Arial"/>
          <w:color w:val="000000"/>
          <w:sz w:val="10"/>
          <w:szCs w:val="10"/>
        </w:rPr>
      </w:pPr>
    </w:p>
    <w:sectPr w:rsidR="008A03DE" w:rsidRPr="00CE7158" w:rsidSect="00812984">
      <w:headerReference w:type="even" r:id="rId15"/>
      <w:headerReference w:type="default" r:id="rId16"/>
      <w:footerReference w:type="even" r:id="rId17"/>
      <w:footerReference w:type="default" r:id="rId18"/>
      <w:type w:val="continuous"/>
      <w:pgSz w:w="11906" w:h="16838" w:code="9"/>
      <w:pgMar w:top="1134" w:right="1134" w:bottom="1418" w:left="1134" w:header="680" w:footer="680"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5E5" w:rsidRDefault="000515E5" w:rsidP="00E71A58">
      <w:r>
        <w:separator/>
      </w:r>
    </w:p>
  </w:endnote>
  <w:endnote w:type="continuationSeparator" w:id="0">
    <w:p w:rsidR="000515E5" w:rsidRDefault="000515E5"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22412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F369F4" w:rsidRPr="005A21E0">
      <w:rPr>
        <w:rFonts w:ascii="Arial" w:hAnsi="Arial" w:cs="Arial"/>
        <w:sz w:val="16"/>
        <w:szCs w:val="16"/>
      </w:rPr>
      <w:fldChar w:fldCharType="begin"/>
    </w:r>
    <w:r w:rsidRPr="005A21E0">
      <w:rPr>
        <w:rFonts w:ascii="Arial" w:hAnsi="Arial" w:cs="Arial"/>
        <w:sz w:val="16"/>
        <w:szCs w:val="16"/>
      </w:rPr>
      <w:instrText>PAGE   \* MERGEFORMAT</w:instrText>
    </w:r>
    <w:r w:rsidR="00F369F4" w:rsidRPr="005A21E0">
      <w:rPr>
        <w:rFonts w:ascii="Arial" w:hAnsi="Arial" w:cs="Arial"/>
        <w:sz w:val="16"/>
        <w:szCs w:val="16"/>
      </w:rPr>
      <w:fldChar w:fldCharType="separate"/>
    </w:r>
    <w:r w:rsidR="00812984">
      <w:rPr>
        <w:rFonts w:ascii="Arial" w:hAnsi="Arial" w:cs="Arial"/>
        <w:noProof/>
        <w:sz w:val="16"/>
        <w:szCs w:val="16"/>
      </w:rPr>
      <w:t>28</w:t>
    </w:r>
    <w:r w:rsidR="00F369F4" w:rsidRPr="005A21E0">
      <w:rPr>
        <w:rFonts w:ascii="Arial" w:hAnsi="Arial" w:cs="Arial"/>
        <w:sz w:val="16"/>
        <w:szCs w:val="16"/>
      </w:rPr>
      <w:fldChar w:fldCharType="end"/>
    </w:r>
    <w:r>
      <w:rPr>
        <w:rFonts w:ascii="Arial" w:hAnsi="Arial" w:cs="Arial"/>
        <w:sz w:val="16"/>
        <w:szCs w:val="16"/>
      </w:rPr>
      <w:tab/>
      <w:t>2018</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B6349B" w:rsidP="00357449">
    <w:pPr>
      <w:pStyle w:val="Zpat"/>
      <w:tabs>
        <w:tab w:val="clear" w:pos="4536"/>
        <w:tab w:val="clear" w:pos="9072"/>
        <w:tab w:val="left" w:pos="1134"/>
        <w:tab w:val="left" w:pos="1920"/>
        <w:tab w:val="center" w:pos="4820"/>
        <w:tab w:val="right" w:pos="9639"/>
      </w:tabs>
    </w:pPr>
    <w:r w:rsidRPr="00B6349B">
      <w:rPr>
        <w:noProof/>
        <w:lang w:eastAsia="cs-CZ"/>
      </w:rPr>
      <w:drawing>
        <wp:anchor distT="0" distB="0" distL="114300" distR="114300" simplePos="0" relativeHeight="251662848" behindDoc="0" locked="0" layoutInCell="1" allowOverlap="1">
          <wp:simplePos x="0" y="0"/>
          <wp:positionH relativeFrom="column">
            <wp:posOffset>-100538</wp:posOffset>
          </wp:positionH>
          <wp:positionV relativeFrom="paragraph">
            <wp:posOffset>183818</wp:posOffset>
          </wp:positionV>
          <wp:extent cx="690633" cy="204716"/>
          <wp:effectExtent l="19050" t="0" r="0" b="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00224123">
      <w:tab/>
    </w:r>
    <w:r w:rsidR="00224123">
      <w:tab/>
    </w:r>
    <w:r w:rsidR="00224123" w:rsidRPr="00DC5B3B">
      <w:t xml:space="preserve">                              </w:t>
    </w:r>
  </w:p>
  <w:p w:rsidR="00224123" w:rsidRPr="00223E00" w:rsidRDefault="0022412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00F369F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F369F4" w:rsidRPr="00223E00">
      <w:rPr>
        <w:rFonts w:ascii="Arial" w:hAnsi="Arial" w:cs="Arial"/>
        <w:sz w:val="16"/>
        <w:szCs w:val="16"/>
      </w:rPr>
      <w:fldChar w:fldCharType="separate"/>
    </w:r>
    <w:r w:rsidR="00812984">
      <w:rPr>
        <w:rFonts w:ascii="Arial" w:hAnsi="Arial" w:cs="Arial"/>
        <w:noProof/>
        <w:sz w:val="16"/>
        <w:szCs w:val="16"/>
      </w:rPr>
      <w:t>29</w:t>
    </w:r>
    <w:r w:rsidR="00F369F4"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5E5" w:rsidRDefault="000515E5" w:rsidP="00E71A58">
      <w:r>
        <w:separator/>
      </w:r>
    </w:p>
  </w:footnote>
  <w:footnote w:type="continuationSeparator" w:id="0">
    <w:p w:rsidR="000515E5" w:rsidRDefault="000515E5" w:rsidP="00E71A58">
      <w:r>
        <w:continuationSeparator/>
      </w:r>
    </w:p>
  </w:footnote>
  <w:footnote w:id="1">
    <w:p w:rsidR="00224123" w:rsidRPr="00DD20FA" w:rsidRDefault="00224123" w:rsidP="00A827B4">
      <w:pPr>
        <w:pStyle w:val="Textpoznpodarou"/>
        <w:jc w:val="both"/>
        <w:rPr>
          <w:color w:val="0D0D0D" w:themeColor="text1" w:themeTint="F2"/>
          <w:spacing w:val="-2"/>
          <w:sz w:val="16"/>
          <w:szCs w:val="16"/>
          <w:lang w:val="en-GB"/>
        </w:rPr>
      </w:pPr>
      <w:r w:rsidRPr="00DD20FA">
        <w:rPr>
          <w:rStyle w:val="Znakapoznpodarou"/>
          <w:spacing w:val="-2"/>
          <w:sz w:val="16"/>
          <w:szCs w:val="16"/>
          <w:lang w:val="en-GB"/>
        </w:rPr>
        <w:footnoteRef/>
      </w:r>
      <w:r w:rsidRPr="00DD20FA">
        <w:rPr>
          <w:spacing w:val="-2"/>
          <w:sz w:val="16"/>
          <w:szCs w:val="16"/>
          <w:lang w:val="en-GB"/>
        </w:rPr>
        <w:t xml:space="preserve"> Unless stated otherwise, all dat</w:t>
      </w:r>
      <w:r>
        <w:rPr>
          <w:spacing w:val="-2"/>
          <w:sz w:val="16"/>
          <w:szCs w:val="16"/>
          <w:lang w:val="en-GB"/>
        </w:rPr>
        <w:t>a</w:t>
      </w:r>
      <w:r w:rsidRPr="00DD20FA">
        <w:rPr>
          <w:spacing w:val="-2"/>
          <w:sz w:val="16"/>
          <w:szCs w:val="16"/>
          <w:lang w:val="en-GB"/>
        </w:rPr>
        <w:t xml:space="preserve"> related to the state budget are sourced from the data of the Ministry of Finance on the cash fulfilment. </w:t>
      </w:r>
    </w:p>
  </w:footnote>
  <w:footnote w:id="2">
    <w:p w:rsidR="00224123" w:rsidRPr="00DD20FA" w:rsidRDefault="00224123" w:rsidP="00A827B4">
      <w:pPr>
        <w:pStyle w:val="Textpoznpodarou"/>
        <w:jc w:val="both"/>
        <w:rPr>
          <w:color w:val="0D0D0D" w:themeColor="text1" w:themeTint="F2"/>
          <w:spacing w:val="-3"/>
          <w:sz w:val="16"/>
          <w:szCs w:val="16"/>
          <w:lang w:val="en-GB"/>
        </w:rPr>
      </w:pPr>
      <w:r w:rsidRPr="00DD20FA">
        <w:rPr>
          <w:rStyle w:val="Znakapoznpodarou"/>
          <w:color w:val="0D0D0D" w:themeColor="text1" w:themeTint="F2"/>
          <w:spacing w:val="-3"/>
          <w:sz w:val="16"/>
          <w:szCs w:val="16"/>
          <w:lang w:val="en-GB"/>
        </w:rPr>
        <w:footnoteRef/>
      </w:r>
      <w:r w:rsidRPr="00DD20FA">
        <w:rPr>
          <w:color w:val="0D0D0D" w:themeColor="text1" w:themeTint="F2"/>
          <w:spacing w:val="-3"/>
          <w:sz w:val="16"/>
          <w:szCs w:val="16"/>
          <w:lang w:val="en-GB"/>
        </w:rPr>
        <w:t xml:space="preserve"> </w:t>
      </w:r>
      <w:r>
        <w:rPr>
          <w:color w:val="0D0D0D" w:themeColor="text1" w:themeTint="F2"/>
          <w:spacing w:val="-3"/>
          <w:sz w:val="16"/>
          <w:szCs w:val="16"/>
          <w:lang w:val="en-GB"/>
        </w:rPr>
        <w:t xml:space="preserve">The balance was +26.5 CZK bn in total for the first ten months of 2017. The capital outlays increased during November and December (by 30 CZK bn to 81.6 bn). Rate of growth of expenditure on the wages of state employees also accelerated, similarly to the non-investment outlays to business entities or state funds. </w:t>
      </w:r>
      <w:r w:rsidRPr="00DD20FA">
        <w:rPr>
          <w:color w:val="0D0D0D" w:themeColor="text1" w:themeTint="F2"/>
          <w:spacing w:val="-3"/>
          <w:sz w:val="16"/>
          <w:szCs w:val="16"/>
          <w:lang w:val="en-GB"/>
        </w:rPr>
        <w:t xml:space="preserve"> </w:t>
      </w:r>
    </w:p>
  </w:footnote>
  <w:footnote w:id="3">
    <w:p w:rsidR="00224123" w:rsidRPr="00DD20FA" w:rsidRDefault="00224123" w:rsidP="00A827B4">
      <w:pPr>
        <w:pStyle w:val="Textpoznpodarou"/>
        <w:jc w:val="both"/>
        <w:rPr>
          <w:i/>
          <w:color w:val="0D0D0D" w:themeColor="text1" w:themeTint="F2"/>
          <w:sz w:val="16"/>
          <w:szCs w:val="16"/>
          <w:lang w:val="en-GB"/>
        </w:rPr>
      </w:pPr>
      <w:r w:rsidRPr="00DD20FA">
        <w:rPr>
          <w:rStyle w:val="Znakapoznpodarou"/>
          <w:color w:val="0D0D0D" w:themeColor="text1" w:themeTint="F2"/>
          <w:spacing w:val="-2"/>
          <w:sz w:val="16"/>
          <w:szCs w:val="16"/>
          <w:lang w:val="en-GB"/>
        </w:rPr>
        <w:footnoteRef/>
      </w:r>
      <w:r w:rsidRPr="00DD20FA">
        <w:rPr>
          <w:color w:val="0D0D0D" w:themeColor="text1" w:themeTint="F2"/>
          <w:spacing w:val="-2"/>
          <w:sz w:val="16"/>
          <w:szCs w:val="16"/>
          <w:lang w:val="en-GB"/>
        </w:rPr>
        <w:t xml:space="preserve"> </w:t>
      </w:r>
      <w:r>
        <w:rPr>
          <w:color w:val="0D0D0D" w:themeColor="text1" w:themeTint="F2"/>
          <w:spacing w:val="-2"/>
          <w:sz w:val="16"/>
          <w:szCs w:val="16"/>
          <w:lang w:val="en-GB"/>
        </w:rPr>
        <w:t xml:space="preserve">According to the calculations of the MF, the SB balance adjusted on both income and expenditure side for the resources on programmes from the EU budget and Financial mechanisms (EEA and the Norway Grants, Swiss – Czech Cooperation Programme) arrived at -1.3 CZK bn in 2017 (-13.6 bn the year before). </w:t>
      </w:r>
      <w:r w:rsidRPr="00DD20FA">
        <w:rPr>
          <w:rStyle w:val="Zvraznn"/>
          <w:i w:val="0"/>
          <w:color w:val="0D0D0D" w:themeColor="text1" w:themeTint="F2"/>
          <w:spacing w:val="-2"/>
          <w:sz w:val="16"/>
          <w:szCs w:val="16"/>
          <w:lang w:val="en-GB"/>
        </w:rPr>
        <w:t xml:space="preserve"> </w:t>
      </w:r>
    </w:p>
  </w:footnote>
  <w:footnote w:id="4">
    <w:p w:rsidR="00224123" w:rsidRPr="00DD20FA" w:rsidRDefault="00224123" w:rsidP="00A827B4">
      <w:pPr>
        <w:pStyle w:val="Textpoznpodarou"/>
        <w:jc w:val="both"/>
        <w:rPr>
          <w:color w:val="0D0D0D" w:themeColor="text1" w:themeTint="F2"/>
          <w:spacing w:val="-4"/>
          <w:sz w:val="16"/>
          <w:szCs w:val="16"/>
          <w:lang w:val="en-GB"/>
        </w:rPr>
      </w:pPr>
      <w:r w:rsidRPr="00DD20FA">
        <w:rPr>
          <w:rStyle w:val="Znakapoznpodarou"/>
          <w:color w:val="0D0D0D" w:themeColor="text1" w:themeTint="F2"/>
          <w:spacing w:val="-4"/>
          <w:sz w:val="16"/>
          <w:szCs w:val="16"/>
          <w:lang w:val="en-GB"/>
        </w:rPr>
        <w:footnoteRef/>
      </w:r>
      <w:r w:rsidRPr="00DD20FA">
        <w:rPr>
          <w:color w:val="0D0D0D" w:themeColor="text1" w:themeTint="F2"/>
          <w:spacing w:val="-4"/>
          <w:sz w:val="16"/>
          <w:szCs w:val="16"/>
          <w:lang w:val="en-GB"/>
        </w:rPr>
        <w:t xml:space="preserve"> </w:t>
      </w:r>
      <w:r>
        <w:rPr>
          <w:color w:val="0D0D0D" w:themeColor="text1" w:themeTint="F2"/>
          <w:spacing w:val="-2"/>
          <w:sz w:val="16"/>
          <w:szCs w:val="16"/>
          <w:lang w:val="en-GB"/>
        </w:rPr>
        <w:t>The proportion of the SB on the state-wide VAT revenue fell from 70.25% to 69.68% due to the change of the budget appropriations of taxes to the benefit of municipalities starting 1. 1. 2017. Reciprocally, the percentage share of the tax revenue – from the tax returns on income taxes of natural persons was amended.</w:t>
      </w:r>
    </w:p>
  </w:footnote>
  <w:footnote w:id="5">
    <w:p w:rsidR="00224123" w:rsidRPr="004D3B7D" w:rsidRDefault="00224123" w:rsidP="004D3B7D">
      <w:pPr>
        <w:pStyle w:val="Textpoznpodarou"/>
        <w:jc w:val="both"/>
        <w:rPr>
          <w:sz w:val="16"/>
          <w:szCs w:val="16"/>
          <w:lang w:val="en-GB"/>
        </w:rPr>
      </w:pPr>
      <w:r w:rsidRPr="007F2E68">
        <w:rPr>
          <w:rStyle w:val="Znakapoznpodarou"/>
          <w:sz w:val="16"/>
          <w:szCs w:val="16"/>
        </w:rPr>
        <w:footnoteRef/>
      </w:r>
      <w:r w:rsidRPr="007F2E68">
        <w:rPr>
          <w:sz w:val="16"/>
          <w:szCs w:val="16"/>
        </w:rPr>
        <w:t xml:space="preserve"> </w:t>
      </w:r>
      <w:r w:rsidRPr="004D3B7D">
        <w:rPr>
          <w:sz w:val="16"/>
          <w:szCs w:val="16"/>
          <w:lang w:val="en-GB"/>
        </w:rPr>
        <w:t xml:space="preserve">Nearly one half of the yearly volume of investment was drawn in the last quarter. Further </w:t>
      </w:r>
      <w:r>
        <w:rPr>
          <w:sz w:val="16"/>
          <w:szCs w:val="16"/>
          <w:lang w:val="en-GB"/>
        </w:rPr>
        <w:t xml:space="preserve">one </w:t>
      </w:r>
      <w:r w:rsidRPr="004D3B7D">
        <w:rPr>
          <w:sz w:val="16"/>
          <w:szCs w:val="16"/>
          <w:lang w:val="en-GB"/>
        </w:rPr>
        <w:t>quarter th</w:t>
      </w:r>
      <w:r>
        <w:rPr>
          <w:sz w:val="16"/>
          <w:szCs w:val="16"/>
          <w:lang w:val="en-GB"/>
        </w:rPr>
        <w:t>e</w:t>
      </w:r>
      <w:r w:rsidRPr="004D3B7D">
        <w:rPr>
          <w:sz w:val="16"/>
          <w:szCs w:val="16"/>
          <w:lang w:val="en-GB"/>
        </w:rPr>
        <w:t>n in Q3 2017.</w:t>
      </w:r>
    </w:p>
  </w:footnote>
  <w:footnote w:id="6">
    <w:p w:rsidR="00224123" w:rsidRPr="00BE6CA9" w:rsidRDefault="00224123" w:rsidP="00BE6CA9">
      <w:pPr>
        <w:pStyle w:val="Textpoznpodarou"/>
        <w:jc w:val="both"/>
        <w:rPr>
          <w:sz w:val="16"/>
          <w:szCs w:val="16"/>
          <w:lang w:val="en-GB"/>
        </w:rPr>
      </w:pPr>
      <w:r w:rsidRPr="002B6CE9">
        <w:rPr>
          <w:rStyle w:val="Znakapoznpodarou"/>
          <w:sz w:val="16"/>
          <w:szCs w:val="16"/>
        </w:rPr>
        <w:footnoteRef/>
      </w:r>
      <w:r w:rsidRPr="002B6CE9">
        <w:rPr>
          <w:sz w:val="16"/>
          <w:szCs w:val="16"/>
        </w:rPr>
        <w:t xml:space="preserve"> </w:t>
      </w:r>
      <w:r w:rsidRPr="00BE6CA9">
        <w:rPr>
          <w:sz w:val="16"/>
          <w:szCs w:val="16"/>
          <w:lang w:val="en-GB"/>
        </w:rPr>
        <w:t>As of 1</w:t>
      </w:r>
      <w:r w:rsidRPr="00BE6CA9">
        <w:rPr>
          <w:sz w:val="16"/>
          <w:szCs w:val="16"/>
          <w:vertAlign w:val="superscript"/>
          <w:lang w:val="en-GB"/>
        </w:rPr>
        <w:t>st</w:t>
      </w:r>
      <w:r w:rsidRPr="00BE6CA9">
        <w:rPr>
          <w:sz w:val="16"/>
          <w:szCs w:val="16"/>
          <w:lang w:val="en-GB"/>
        </w:rPr>
        <w:t xml:space="preserve"> September 2016, the wages were raised to teachers (+8%), but also non-educational employees (+5%) – their wages were also raised starting 1</w:t>
      </w:r>
      <w:r w:rsidRPr="00BE6CA9">
        <w:rPr>
          <w:sz w:val="16"/>
          <w:szCs w:val="16"/>
          <w:vertAlign w:val="superscript"/>
          <w:lang w:val="en-GB"/>
        </w:rPr>
        <w:t>st</w:t>
      </w:r>
      <w:r w:rsidRPr="00BE6CA9">
        <w:rPr>
          <w:sz w:val="16"/>
          <w:szCs w:val="16"/>
          <w:lang w:val="en-GB"/>
        </w:rPr>
        <w:t xml:space="preserve"> July 2017 (by further 9.4%). </w:t>
      </w:r>
      <w:r>
        <w:rPr>
          <w:sz w:val="16"/>
          <w:szCs w:val="16"/>
          <w:lang w:val="en-GB"/>
        </w:rPr>
        <w:t>Wages then rose also to the educational employees (+15%) as of 1</w:t>
      </w:r>
      <w:r w:rsidRPr="00785C7A">
        <w:rPr>
          <w:sz w:val="16"/>
          <w:szCs w:val="16"/>
          <w:vertAlign w:val="superscript"/>
          <w:lang w:val="en-GB"/>
        </w:rPr>
        <w:t>st</w:t>
      </w:r>
      <w:r>
        <w:rPr>
          <w:sz w:val="16"/>
          <w:szCs w:val="16"/>
          <w:lang w:val="en-GB"/>
        </w:rPr>
        <w:t xml:space="preserve"> November </w:t>
      </w:r>
      <w:r w:rsidRPr="00BE6CA9">
        <w:rPr>
          <w:sz w:val="16"/>
          <w:szCs w:val="16"/>
          <w:lang w:val="en-GB"/>
        </w:rPr>
        <w:t>2017</w:t>
      </w:r>
      <w:r>
        <w:rPr>
          <w:sz w:val="16"/>
          <w:szCs w:val="16"/>
          <w:lang w:val="en-GB"/>
        </w:rPr>
        <w:t xml:space="preserve">. </w:t>
      </w:r>
      <w:r w:rsidRPr="00BE6CA9">
        <w:rPr>
          <w:sz w:val="16"/>
          <w:szCs w:val="16"/>
          <w:lang w:val="en-GB"/>
        </w:rPr>
        <w:t xml:space="preserve"> </w:t>
      </w:r>
    </w:p>
  </w:footnote>
  <w:footnote w:id="7">
    <w:p w:rsidR="00224123" w:rsidRPr="00E82336" w:rsidRDefault="00224123" w:rsidP="003843B1">
      <w:pPr>
        <w:pStyle w:val="Textpoznpodarou"/>
        <w:jc w:val="both"/>
        <w:rPr>
          <w:sz w:val="16"/>
          <w:szCs w:val="16"/>
        </w:rPr>
      </w:pPr>
      <w:r w:rsidRPr="00E82336">
        <w:rPr>
          <w:rStyle w:val="Znakapoznpodarou"/>
          <w:sz w:val="16"/>
          <w:szCs w:val="16"/>
        </w:rPr>
        <w:footnoteRef/>
      </w:r>
      <w:r w:rsidRPr="00E82336">
        <w:rPr>
          <w:sz w:val="16"/>
          <w:szCs w:val="16"/>
        </w:rPr>
        <w:t xml:space="preserve"> </w:t>
      </w:r>
      <w:r>
        <w:rPr>
          <w:sz w:val="16"/>
          <w:szCs w:val="16"/>
          <w:lang w:val="en-GB"/>
        </w:rPr>
        <w:t>It is expressed as the difference between revenues and expenditure on the pensions from the SB (based on preliminary data).</w:t>
      </w:r>
    </w:p>
  </w:footnote>
  <w:footnote w:id="8">
    <w:p w:rsidR="00224123" w:rsidRPr="00627F1F" w:rsidRDefault="00224123" w:rsidP="00593ECE">
      <w:pPr>
        <w:pStyle w:val="Textpoznpodarou"/>
        <w:jc w:val="both"/>
        <w:rPr>
          <w:spacing w:val="-2"/>
          <w:sz w:val="16"/>
          <w:szCs w:val="16"/>
          <w:lang w:val="en-GB"/>
        </w:rPr>
      </w:pPr>
      <w:r w:rsidRPr="00627F1F">
        <w:rPr>
          <w:rStyle w:val="Znakapoznpodarou"/>
          <w:spacing w:val="-2"/>
          <w:sz w:val="16"/>
          <w:szCs w:val="16"/>
        </w:rPr>
        <w:footnoteRef/>
      </w:r>
      <w:r w:rsidRPr="00627F1F">
        <w:rPr>
          <w:spacing w:val="-2"/>
          <w:sz w:val="16"/>
          <w:szCs w:val="16"/>
        </w:rPr>
        <w:t xml:space="preserve"> </w:t>
      </w:r>
      <w:r w:rsidRPr="00627F1F">
        <w:rPr>
          <w:spacing w:val="-2"/>
          <w:sz w:val="16"/>
          <w:szCs w:val="16"/>
          <w:lang w:val="en-GB"/>
        </w:rPr>
        <w:t>Even though the total number of unemployed registered with the LO fell by more than 100 thousand, the number of persons with the right to claim support was lower only by 17.3 thousand year-on-year at the end of December 2017. The long-term unemployed succeeded to find a job in a higher extent. The number of applicants with the right to the unemployment support thus mildly increased to 30.5% (from 27.0% last year). The average monthly size of the unemployment support was 6 969 CZK at the end of year 2017, 6 457 CZK the year before.</w:t>
      </w:r>
    </w:p>
  </w:footnote>
  <w:footnote w:id="9">
    <w:p w:rsidR="00224123" w:rsidRPr="00593ECE" w:rsidRDefault="00224123" w:rsidP="00593ECE">
      <w:pPr>
        <w:pStyle w:val="Textpoznpodarou"/>
        <w:jc w:val="both"/>
        <w:rPr>
          <w:sz w:val="16"/>
          <w:szCs w:val="16"/>
          <w:lang w:val="en-GB"/>
        </w:rPr>
      </w:pPr>
      <w:r w:rsidRPr="00593ECE">
        <w:rPr>
          <w:rStyle w:val="Znakapoznpodarou"/>
          <w:sz w:val="16"/>
          <w:szCs w:val="16"/>
          <w:lang w:val="en-GB"/>
        </w:rPr>
        <w:footnoteRef/>
      </w:r>
      <w:r w:rsidRPr="00593ECE">
        <w:rPr>
          <w:sz w:val="16"/>
          <w:szCs w:val="16"/>
          <w:lang w:val="en-GB"/>
        </w:rPr>
        <w:t xml:space="preserve"> </w:t>
      </w:r>
      <w:r>
        <w:rPr>
          <w:sz w:val="16"/>
          <w:szCs w:val="16"/>
          <w:lang w:val="en-GB"/>
        </w:rPr>
        <w:t>The difference between the revenues and expenditures in the area of the health insurance remained according to the data of the MLSA positive (+3.1 CZK bn) in 2017 as a result of the strong growth of the collection of insurance (+10.7%)</w:t>
      </w:r>
      <w:r w:rsidRPr="00593ECE">
        <w:rPr>
          <w:sz w:val="16"/>
          <w:szCs w:val="16"/>
          <w:lang w:val="en-GB"/>
        </w:rPr>
        <w:t>.</w:t>
      </w:r>
    </w:p>
  </w:footnote>
  <w:footnote w:id="10">
    <w:p w:rsidR="00224123" w:rsidRPr="00593ECE" w:rsidRDefault="00224123" w:rsidP="00593ECE">
      <w:pPr>
        <w:pStyle w:val="Textpoznpodarou"/>
        <w:jc w:val="both"/>
        <w:rPr>
          <w:rFonts w:cs="Arial"/>
          <w:color w:val="0D0D0D" w:themeColor="text1" w:themeTint="F2"/>
          <w:spacing w:val="-4"/>
          <w:sz w:val="16"/>
          <w:szCs w:val="16"/>
          <w:lang w:val="en-GB"/>
        </w:rPr>
      </w:pPr>
      <w:r w:rsidRPr="00593ECE">
        <w:rPr>
          <w:rStyle w:val="Znakapoznpodarou"/>
          <w:spacing w:val="-4"/>
          <w:sz w:val="16"/>
          <w:szCs w:val="16"/>
          <w:lang w:val="en-GB"/>
        </w:rPr>
        <w:footnoteRef/>
      </w:r>
      <w:r w:rsidRPr="00593ECE">
        <w:rPr>
          <w:spacing w:val="-4"/>
          <w:sz w:val="16"/>
          <w:szCs w:val="16"/>
          <w:lang w:val="en-GB"/>
        </w:rPr>
        <w:t xml:space="preserve"> </w:t>
      </w:r>
      <w:r>
        <w:rPr>
          <w:spacing w:val="-4"/>
          <w:sz w:val="16"/>
          <w:szCs w:val="16"/>
          <w:lang w:val="en-GB"/>
        </w:rPr>
        <w:t xml:space="preserve">Acceleration of the rate of growth was caused mainly by the legislative amendment, which raised the contribution in all grades of dependence by 10% as of 1 .8. 2016. </w:t>
      </w:r>
    </w:p>
  </w:footnote>
  <w:footnote w:id="11">
    <w:p w:rsidR="00224123" w:rsidRPr="00B75AAD" w:rsidRDefault="00224123" w:rsidP="00593ECE">
      <w:pPr>
        <w:pStyle w:val="Textpoznpodarou"/>
        <w:jc w:val="both"/>
        <w:rPr>
          <w:sz w:val="16"/>
          <w:szCs w:val="16"/>
          <w:lang w:val="en-GB"/>
        </w:rPr>
      </w:pPr>
      <w:r w:rsidRPr="00593ECE">
        <w:rPr>
          <w:rStyle w:val="Znakapoznpodarou"/>
          <w:sz w:val="16"/>
          <w:szCs w:val="16"/>
          <w:lang w:val="en-GB"/>
        </w:rPr>
        <w:footnoteRef/>
      </w:r>
      <w:r w:rsidRPr="00593ECE">
        <w:rPr>
          <w:sz w:val="16"/>
          <w:szCs w:val="16"/>
          <w:lang w:val="en-GB"/>
        </w:rPr>
        <w:t xml:space="preserve"> </w:t>
      </w:r>
      <w:r>
        <w:rPr>
          <w:sz w:val="16"/>
          <w:szCs w:val="16"/>
          <w:lang w:val="en-GB"/>
        </w:rPr>
        <w:t xml:space="preserve">The debt hiked to 1 789 CZK bn during Q1 and recorded the fastest quarter-on-quarter growth since year </w:t>
      </w:r>
      <w:r w:rsidRPr="00593ECE">
        <w:rPr>
          <w:spacing w:val="-2"/>
          <w:sz w:val="16"/>
          <w:szCs w:val="16"/>
          <w:lang w:val="en-GB"/>
        </w:rPr>
        <w:t>2010 (+</w:t>
      </w:r>
      <w:r w:rsidRPr="00593ECE">
        <w:rPr>
          <w:rFonts w:cs="Arial"/>
          <w:spacing w:val="-2"/>
          <w:sz w:val="16"/>
          <w:szCs w:val="16"/>
          <w:lang w:val="en-GB"/>
        </w:rPr>
        <w:t>11%</w:t>
      </w:r>
      <w:r w:rsidRPr="00593ECE">
        <w:rPr>
          <w:rFonts w:cs="Arial"/>
          <w:color w:val="0D0D0D" w:themeColor="text1" w:themeTint="F2"/>
          <w:spacing w:val="-4"/>
          <w:sz w:val="16"/>
          <w:szCs w:val="16"/>
          <w:lang w:val="en-GB"/>
        </w:rPr>
        <w:t>)</w:t>
      </w:r>
      <w:r w:rsidRPr="00593ECE">
        <w:rPr>
          <w:spacing w:val="-2"/>
          <w:sz w:val="16"/>
          <w:szCs w:val="16"/>
          <w:lang w:val="en-GB"/>
        </w:rPr>
        <w:t>. T</w:t>
      </w:r>
      <w:r>
        <w:rPr>
          <w:spacing w:val="-2"/>
          <w:sz w:val="16"/>
          <w:szCs w:val="16"/>
          <w:lang w:val="en-GB"/>
        </w:rPr>
        <w:t xml:space="preserve">his short-term increase was connected to the specific situation on the bond market due to the expectations associated with the termination of the regime of forex interventions. State bonds were sold for the negative yield in the value of 493 CZK bn in 2017, which brought additional revenues into the state budget in the amount of 1.2 bn. The proportion of the state debt, which does not carry any interest costs, rose from 12.0% to 15.2% during the year 2017. </w:t>
      </w:r>
    </w:p>
  </w:footnote>
  <w:footnote w:id="12">
    <w:p w:rsidR="00224123" w:rsidRPr="00E9220F" w:rsidRDefault="00224123" w:rsidP="00627F1F">
      <w:pPr>
        <w:pStyle w:val="Textpoznpodarou"/>
        <w:jc w:val="both"/>
        <w:rPr>
          <w:color w:val="0D0D0D" w:themeColor="text1" w:themeTint="F2"/>
          <w:spacing w:val="-2"/>
          <w:sz w:val="16"/>
          <w:szCs w:val="16"/>
        </w:rPr>
      </w:pPr>
      <w:r w:rsidRPr="00E9220F">
        <w:rPr>
          <w:rStyle w:val="Znakapoznpodarou"/>
          <w:color w:val="0D0D0D" w:themeColor="text1" w:themeTint="F2"/>
          <w:spacing w:val="-2"/>
          <w:sz w:val="16"/>
          <w:szCs w:val="16"/>
        </w:rPr>
        <w:footnoteRef/>
      </w:r>
      <w:r w:rsidRPr="00E9220F">
        <w:rPr>
          <w:color w:val="0D0D0D" w:themeColor="text1" w:themeTint="F2"/>
          <w:spacing w:val="-2"/>
          <w:sz w:val="16"/>
          <w:szCs w:val="16"/>
        </w:rPr>
        <w:t xml:space="preserve"> </w:t>
      </w:r>
      <w:r w:rsidRPr="00C30EB6">
        <w:rPr>
          <w:color w:val="0D0D0D" w:themeColor="text1" w:themeTint="F2"/>
          <w:spacing w:val="-2"/>
          <w:sz w:val="16"/>
          <w:szCs w:val="16"/>
          <w:lang w:val="en-GB"/>
        </w:rPr>
        <w:t xml:space="preserve">The CZSO </w:t>
      </w:r>
      <w:r>
        <w:rPr>
          <w:color w:val="0D0D0D" w:themeColor="text1" w:themeTint="F2"/>
          <w:spacing w:val="-2"/>
          <w:sz w:val="16"/>
          <w:szCs w:val="16"/>
          <w:lang w:val="en-GB"/>
        </w:rPr>
        <w:t xml:space="preserve">will </w:t>
      </w:r>
      <w:r w:rsidRPr="00C30EB6">
        <w:rPr>
          <w:color w:val="0D0D0D" w:themeColor="text1" w:themeTint="F2"/>
          <w:spacing w:val="-2"/>
          <w:sz w:val="16"/>
          <w:szCs w:val="16"/>
          <w:lang w:val="en-GB"/>
        </w:rPr>
        <w:t>publis</w:t>
      </w:r>
      <w:r>
        <w:rPr>
          <w:color w:val="0D0D0D" w:themeColor="text1" w:themeTint="F2"/>
          <w:spacing w:val="-2"/>
          <w:sz w:val="16"/>
          <w:szCs w:val="16"/>
          <w:lang w:val="en-GB"/>
        </w:rPr>
        <w:t>h</w:t>
      </w:r>
      <w:r w:rsidRPr="00C30EB6">
        <w:rPr>
          <w:color w:val="0D0D0D" w:themeColor="text1" w:themeTint="F2"/>
          <w:spacing w:val="-2"/>
          <w:sz w:val="16"/>
          <w:szCs w:val="16"/>
          <w:lang w:val="en-GB"/>
        </w:rPr>
        <w:t xml:space="preserve"> the preliminary data regarding to debt and deficit of the government institutions sector for </w:t>
      </w:r>
      <w:r>
        <w:rPr>
          <w:color w:val="0D0D0D" w:themeColor="text1" w:themeTint="F2"/>
          <w:spacing w:val="-2"/>
          <w:sz w:val="16"/>
          <w:szCs w:val="16"/>
          <w:lang w:val="en-GB"/>
        </w:rPr>
        <w:t xml:space="preserve">the whole year </w:t>
      </w:r>
      <w:r w:rsidRPr="00C30EB6">
        <w:rPr>
          <w:color w:val="0D0D0D" w:themeColor="text1" w:themeTint="F2"/>
          <w:spacing w:val="-2"/>
          <w:sz w:val="16"/>
          <w:szCs w:val="16"/>
          <w:lang w:val="en-GB"/>
        </w:rPr>
        <w:t xml:space="preserve">2017 on 4th </w:t>
      </w:r>
      <w:r>
        <w:rPr>
          <w:color w:val="0D0D0D" w:themeColor="text1" w:themeTint="F2"/>
          <w:spacing w:val="-2"/>
          <w:sz w:val="16"/>
          <w:szCs w:val="16"/>
          <w:lang w:val="en-GB"/>
        </w:rPr>
        <w:t xml:space="preserve">April </w:t>
      </w:r>
      <w:r w:rsidRPr="00C30EB6">
        <w:rPr>
          <w:color w:val="0D0D0D" w:themeColor="text1" w:themeTint="F2"/>
          <w:spacing w:val="-2"/>
          <w:sz w:val="16"/>
          <w:szCs w:val="16"/>
          <w:lang w:val="en-GB"/>
        </w:rPr>
        <w:t>201</w:t>
      </w:r>
      <w:r>
        <w:rPr>
          <w:color w:val="0D0D0D" w:themeColor="text1" w:themeTint="F2"/>
          <w:spacing w:val="-2"/>
          <w:sz w:val="16"/>
          <w:szCs w:val="16"/>
          <w:lang w:val="en-GB"/>
        </w:rPr>
        <w:t>8</w:t>
      </w:r>
      <w:r w:rsidRPr="00C30EB6">
        <w:rPr>
          <w:color w:val="0D0D0D" w:themeColor="text1" w:themeTint="F2"/>
          <w:spacing w:val="-2"/>
          <w:sz w:val="16"/>
          <w:szCs w:val="16"/>
          <w:lang w:val="en-GB"/>
        </w:rPr>
        <w:t xml:space="preserve">, </w:t>
      </w:r>
      <w:proofErr w:type="spellStart"/>
      <w:r w:rsidRPr="00C30EB6">
        <w:rPr>
          <w:color w:val="0D0D0D" w:themeColor="text1" w:themeTint="F2"/>
          <w:spacing w:val="-2"/>
          <w:sz w:val="16"/>
          <w:szCs w:val="16"/>
          <w:lang w:val="en-GB"/>
        </w:rPr>
        <w:t>Eurostat</w:t>
      </w:r>
      <w:proofErr w:type="spellEnd"/>
      <w:r w:rsidRPr="00C30EB6">
        <w:rPr>
          <w:color w:val="0D0D0D" w:themeColor="text1" w:themeTint="F2"/>
          <w:spacing w:val="-2"/>
          <w:sz w:val="16"/>
          <w:szCs w:val="16"/>
          <w:lang w:val="en-GB"/>
        </w:rPr>
        <w:t xml:space="preserve"> then on 24th </w:t>
      </w:r>
      <w:r>
        <w:rPr>
          <w:color w:val="0D0D0D" w:themeColor="text1" w:themeTint="F2"/>
          <w:spacing w:val="-2"/>
          <w:sz w:val="16"/>
          <w:szCs w:val="16"/>
          <w:lang w:val="en-GB"/>
        </w:rPr>
        <w:t xml:space="preserve">April </w:t>
      </w:r>
      <w:r w:rsidRPr="00C30EB6">
        <w:rPr>
          <w:color w:val="0D0D0D" w:themeColor="text1" w:themeTint="F2"/>
          <w:spacing w:val="-2"/>
          <w:sz w:val="16"/>
          <w:szCs w:val="16"/>
          <w:lang w:val="en-GB"/>
        </w:rPr>
        <w:t>201</w:t>
      </w:r>
      <w:r>
        <w:rPr>
          <w:color w:val="0D0D0D" w:themeColor="text1" w:themeTint="F2"/>
          <w:spacing w:val="-2"/>
          <w:sz w:val="16"/>
          <w:szCs w:val="16"/>
          <w:lang w:val="en-GB"/>
        </w:rPr>
        <w:t>8</w:t>
      </w:r>
      <w:r w:rsidRPr="00C30EB6">
        <w:rPr>
          <w:color w:val="0D0D0D" w:themeColor="text1" w:themeTint="F2"/>
          <w:spacing w:val="-2"/>
          <w:sz w:val="16"/>
          <w:szCs w:val="16"/>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2473CA" w:rsidRDefault="00224123" w:rsidP="00D766EF">
    <w:pPr>
      <w:pStyle w:val="Zhlav"/>
      <w:tabs>
        <w:tab w:val="clear" w:pos="4536"/>
        <w:tab w:val="clear" w:pos="9072"/>
        <w:tab w:val="left" w:pos="-6379"/>
        <w:tab w:val="center" w:pos="4820"/>
        <w:tab w:val="right" w:pos="9639"/>
      </w:tabs>
      <w:rPr>
        <w:rFonts w:ascii="Arial" w:hAnsi="Arial" w:cs="Arial"/>
        <w:sz w:val="16"/>
        <w:szCs w:val="16"/>
        <w:lang w:val="en-US"/>
      </w:rPr>
    </w:pPr>
    <w:r w:rsidRPr="002473CA">
      <w:rPr>
        <w:rFonts w:ascii="Arial" w:hAnsi="Arial" w:cs="Arial"/>
        <w:sz w:val="16"/>
        <w:szCs w:val="16"/>
        <w:lang w:val="en-US"/>
      </w:rPr>
      <w:t>The Czech Economy Development in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ED0C9B" w:rsidRDefault="00224123" w:rsidP="0030768C">
    <w:pPr>
      <w:pStyle w:val="Zhlav"/>
      <w:tabs>
        <w:tab w:val="clear" w:pos="4536"/>
        <w:tab w:val="clear" w:pos="9072"/>
        <w:tab w:val="left" w:pos="-6379"/>
        <w:tab w:val="center" w:pos="4820"/>
        <w:tab w:val="right" w:pos="9639"/>
      </w:tabs>
      <w:rPr>
        <w:rFonts w:ascii="Arial" w:hAnsi="Arial" w:cs="Arial"/>
        <w:sz w:val="16"/>
        <w:szCs w:val="16"/>
        <w:lang w:val="en-GB"/>
      </w:rPr>
    </w:pPr>
    <w:r w:rsidRPr="00ED0C9B">
      <w:rPr>
        <w:rFonts w:ascii="Arial" w:hAnsi="Arial" w:cs="Arial"/>
        <w:sz w:val="16"/>
        <w:szCs w:val="16"/>
        <w:lang w:val="en-GB"/>
      </w:rPr>
      <w:t>The Czech Economy Development in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4593DCB"/>
    <w:multiLevelType w:val="hybridMultilevel"/>
    <w:tmpl w:val="52DAF5A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FB457C"/>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nsid w:val="1A48046E"/>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BC47DB"/>
    <w:multiLevelType w:val="hybridMultilevel"/>
    <w:tmpl w:val="AA50650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8"/>
  </w:num>
  <w:num w:numId="2">
    <w:abstractNumId w:val="24"/>
  </w:num>
  <w:num w:numId="3">
    <w:abstractNumId w:val="14"/>
  </w:num>
  <w:num w:numId="4">
    <w:abstractNumId w:val="22"/>
  </w:num>
  <w:num w:numId="5">
    <w:abstractNumId w:val="16"/>
  </w:num>
  <w:num w:numId="6">
    <w:abstractNumId w:val="19"/>
  </w:num>
  <w:num w:numId="7">
    <w:abstractNumId w:val="6"/>
  </w:num>
  <w:num w:numId="8">
    <w:abstractNumId w:val="12"/>
  </w:num>
  <w:num w:numId="9">
    <w:abstractNumId w:val="21"/>
  </w:num>
  <w:num w:numId="10">
    <w:abstractNumId w:val="5"/>
  </w:num>
  <w:num w:numId="11">
    <w:abstractNumId w:val="10"/>
  </w:num>
  <w:num w:numId="12">
    <w:abstractNumId w:val="3"/>
  </w:num>
  <w:num w:numId="13">
    <w:abstractNumId w:val="9"/>
  </w:num>
  <w:num w:numId="14">
    <w:abstractNumId w:val="0"/>
  </w:num>
  <w:num w:numId="15">
    <w:abstractNumId w:val="20"/>
  </w:num>
  <w:num w:numId="16">
    <w:abstractNumId w:val="17"/>
  </w:num>
  <w:num w:numId="17">
    <w:abstractNumId w:val="8"/>
  </w:num>
  <w:num w:numId="18">
    <w:abstractNumId w:val="23"/>
  </w:num>
  <w:num w:numId="19">
    <w:abstractNumId w:val="11"/>
  </w:num>
  <w:num w:numId="20">
    <w:abstractNumId w:val="1"/>
  </w:num>
  <w:num w:numId="21">
    <w:abstractNumId w:val="13"/>
  </w:num>
  <w:num w:numId="22">
    <w:abstractNumId w:val="15"/>
  </w:num>
  <w:num w:numId="23">
    <w:abstractNumId w:val="4"/>
  </w:num>
  <w:num w:numId="24">
    <w:abstractNumId w:val="7"/>
  </w:num>
  <w:num w:numId="2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9B70BD"/>
    <w:rsid w:val="00000C43"/>
    <w:rsid w:val="00000FA7"/>
    <w:rsid w:val="00001EFF"/>
    <w:rsid w:val="00002F5C"/>
    <w:rsid w:val="00003687"/>
    <w:rsid w:val="00003C43"/>
    <w:rsid w:val="00004C5D"/>
    <w:rsid w:val="00004EB0"/>
    <w:rsid w:val="00004FF9"/>
    <w:rsid w:val="00006AAD"/>
    <w:rsid w:val="00007498"/>
    <w:rsid w:val="0000767A"/>
    <w:rsid w:val="000101F5"/>
    <w:rsid w:val="000104B9"/>
    <w:rsid w:val="00010702"/>
    <w:rsid w:val="00010770"/>
    <w:rsid w:val="00010982"/>
    <w:rsid w:val="00011191"/>
    <w:rsid w:val="0001159B"/>
    <w:rsid w:val="000117CA"/>
    <w:rsid w:val="00012986"/>
    <w:rsid w:val="000129CF"/>
    <w:rsid w:val="00013C75"/>
    <w:rsid w:val="00014028"/>
    <w:rsid w:val="00014690"/>
    <w:rsid w:val="00015195"/>
    <w:rsid w:val="0001519F"/>
    <w:rsid w:val="0001572B"/>
    <w:rsid w:val="0001573E"/>
    <w:rsid w:val="000157DA"/>
    <w:rsid w:val="0001589D"/>
    <w:rsid w:val="00016033"/>
    <w:rsid w:val="000162DB"/>
    <w:rsid w:val="00017F05"/>
    <w:rsid w:val="000202C6"/>
    <w:rsid w:val="00020315"/>
    <w:rsid w:val="000208B1"/>
    <w:rsid w:val="00020946"/>
    <w:rsid w:val="00021B1D"/>
    <w:rsid w:val="00022081"/>
    <w:rsid w:val="0002292C"/>
    <w:rsid w:val="00022983"/>
    <w:rsid w:val="00022B41"/>
    <w:rsid w:val="00022D8D"/>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41F6"/>
    <w:rsid w:val="00034D3F"/>
    <w:rsid w:val="00035CCF"/>
    <w:rsid w:val="00035FC6"/>
    <w:rsid w:val="0003705E"/>
    <w:rsid w:val="00037667"/>
    <w:rsid w:val="0003780E"/>
    <w:rsid w:val="0004075D"/>
    <w:rsid w:val="000411E1"/>
    <w:rsid w:val="00041E9C"/>
    <w:rsid w:val="00042EC6"/>
    <w:rsid w:val="00043C68"/>
    <w:rsid w:val="00043E05"/>
    <w:rsid w:val="0004442E"/>
    <w:rsid w:val="00044913"/>
    <w:rsid w:val="00045681"/>
    <w:rsid w:val="0004694F"/>
    <w:rsid w:val="00046E43"/>
    <w:rsid w:val="000500DC"/>
    <w:rsid w:val="000509FD"/>
    <w:rsid w:val="000515E5"/>
    <w:rsid w:val="000516F5"/>
    <w:rsid w:val="00051ADE"/>
    <w:rsid w:val="00052052"/>
    <w:rsid w:val="00052172"/>
    <w:rsid w:val="0005235A"/>
    <w:rsid w:val="000534FD"/>
    <w:rsid w:val="00053CBA"/>
    <w:rsid w:val="00054E43"/>
    <w:rsid w:val="00055059"/>
    <w:rsid w:val="000553E4"/>
    <w:rsid w:val="00055CE3"/>
    <w:rsid w:val="0005619C"/>
    <w:rsid w:val="000567FA"/>
    <w:rsid w:val="00056B26"/>
    <w:rsid w:val="00057C16"/>
    <w:rsid w:val="00060F26"/>
    <w:rsid w:val="00062D43"/>
    <w:rsid w:val="00062E1E"/>
    <w:rsid w:val="00062EC5"/>
    <w:rsid w:val="00063AF0"/>
    <w:rsid w:val="00064256"/>
    <w:rsid w:val="00065425"/>
    <w:rsid w:val="0006638F"/>
    <w:rsid w:val="00066B7B"/>
    <w:rsid w:val="000673F8"/>
    <w:rsid w:val="00070314"/>
    <w:rsid w:val="000706A4"/>
    <w:rsid w:val="00070A0C"/>
    <w:rsid w:val="00071F80"/>
    <w:rsid w:val="00072118"/>
    <w:rsid w:val="00073173"/>
    <w:rsid w:val="0007324C"/>
    <w:rsid w:val="00073655"/>
    <w:rsid w:val="000777FF"/>
    <w:rsid w:val="000779AC"/>
    <w:rsid w:val="00077C8D"/>
    <w:rsid w:val="000807ED"/>
    <w:rsid w:val="00080A41"/>
    <w:rsid w:val="00080AA8"/>
    <w:rsid w:val="00081851"/>
    <w:rsid w:val="0008376A"/>
    <w:rsid w:val="00083803"/>
    <w:rsid w:val="00083D7F"/>
    <w:rsid w:val="00083FE5"/>
    <w:rsid w:val="00084393"/>
    <w:rsid w:val="00084771"/>
    <w:rsid w:val="00085094"/>
    <w:rsid w:val="0008716A"/>
    <w:rsid w:val="00087634"/>
    <w:rsid w:val="0008769B"/>
    <w:rsid w:val="00091237"/>
    <w:rsid w:val="000916B1"/>
    <w:rsid w:val="0009191B"/>
    <w:rsid w:val="000920EC"/>
    <w:rsid w:val="000921B6"/>
    <w:rsid w:val="00092208"/>
    <w:rsid w:val="00092505"/>
    <w:rsid w:val="000927EB"/>
    <w:rsid w:val="00092832"/>
    <w:rsid w:val="00092C9A"/>
    <w:rsid w:val="00092D0F"/>
    <w:rsid w:val="00093F4B"/>
    <w:rsid w:val="00093FF2"/>
    <w:rsid w:val="0009437C"/>
    <w:rsid w:val="00096747"/>
    <w:rsid w:val="000973B6"/>
    <w:rsid w:val="000977F5"/>
    <w:rsid w:val="00097BFC"/>
    <w:rsid w:val="00097D02"/>
    <w:rsid w:val="000A1183"/>
    <w:rsid w:val="000A1A47"/>
    <w:rsid w:val="000A1B31"/>
    <w:rsid w:val="000A2121"/>
    <w:rsid w:val="000A2484"/>
    <w:rsid w:val="000A2929"/>
    <w:rsid w:val="000A36CE"/>
    <w:rsid w:val="000A4FFD"/>
    <w:rsid w:val="000A59BF"/>
    <w:rsid w:val="000A66C2"/>
    <w:rsid w:val="000A68A7"/>
    <w:rsid w:val="000A6F68"/>
    <w:rsid w:val="000B1CFE"/>
    <w:rsid w:val="000B210A"/>
    <w:rsid w:val="000B2324"/>
    <w:rsid w:val="000B249B"/>
    <w:rsid w:val="000B2729"/>
    <w:rsid w:val="000B27B2"/>
    <w:rsid w:val="000B2ADE"/>
    <w:rsid w:val="000B3B01"/>
    <w:rsid w:val="000B3C13"/>
    <w:rsid w:val="000B3DB9"/>
    <w:rsid w:val="000B3F02"/>
    <w:rsid w:val="000B4550"/>
    <w:rsid w:val="000B48A2"/>
    <w:rsid w:val="000B48E7"/>
    <w:rsid w:val="000B4E9F"/>
    <w:rsid w:val="000B4F41"/>
    <w:rsid w:val="000B5746"/>
    <w:rsid w:val="000B7663"/>
    <w:rsid w:val="000B7A90"/>
    <w:rsid w:val="000C1106"/>
    <w:rsid w:val="000C11D3"/>
    <w:rsid w:val="000C12F5"/>
    <w:rsid w:val="000C2F62"/>
    <w:rsid w:val="000C3408"/>
    <w:rsid w:val="000C4253"/>
    <w:rsid w:val="000C54AF"/>
    <w:rsid w:val="000C57C5"/>
    <w:rsid w:val="000C5C0F"/>
    <w:rsid w:val="000C5D56"/>
    <w:rsid w:val="000C60D8"/>
    <w:rsid w:val="000C6498"/>
    <w:rsid w:val="000C6F88"/>
    <w:rsid w:val="000C70D9"/>
    <w:rsid w:val="000D0B22"/>
    <w:rsid w:val="000D0D51"/>
    <w:rsid w:val="000D14B3"/>
    <w:rsid w:val="000D1BFB"/>
    <w:rsid w:val="000D1F52"/>
    <w:rsid w:val="000D208B"/>
    <w:rsid w:val="000D263E"/>
    <w:rsid w:val="000D2B8D"/>
    <w:rsid w:val="000D2BD3"/>
    <w:rsid w:val="000D2E41"/>
    <w:rsid w:val="000D342A"/>
    <w:rsid w:val="000D434D"/>
    <w:rsid w:val="000D43CB"/>
    <w:rsid w:val="000D5E7A"/>
    <w:rsid w:val="000D5FAA"/>
    <w:rsid w:val="000D65A4"/>
    <w:rsid w:val="000D6AEF"/>
    <w:rsid w:val="000D7414"/>
    <w:rsid w:val="000E025B"/>
    <w:rsid w:val="000E055F"/>
    <w:rsid w:val="000E0ECB"/>
    <w:rsid w:val="000E153A"/>
    <w:rsid w:val="000E19A8"/>
    <w:rsid w:val="000E1EEA"/>
    <w:rsid w:val="000E4241"/>
    <w:rsid w:val="000E4A42"/>
    <w:rsid w:val="000E5549"/>
    <w:rsid w:val="000E6184"/>
    <w:rsid w:val="000E6476"/>
    <w:rsid w:val="000E78D2"/>
    <w:rsid w:val="000F3332"/>
    <w:rsid w:val="000F33EE"/>
    <w:rsid w:val="000F3511"/>
    <w:rsid w:val="000F401E"/>
    <w:rsid w:val="000F45F0"/>
    <w:rsid w:val="000F5445"/>
    <w:rsid w:val="000F5598"/>
    <w:rsid w:val="000F5673"/>
    <w:rsid w:val="000F67B2"/>
    <w:rsid w:val="000F6CFB"/>
    <w:rsid w:val="000F7121"/>
    <w:rsid w:val="000F74B6"/>
    <w:rsid w:val="000F790F"/>
    <w:rsid w:val="000F7C25"/>
    <w:rsid w:val="000F7E1B"/>
    <w:rsid w:val="000F7F49"/>
    <w:rsid w:val="00100014"/>
    <w:rsid w:val="00100224"/>
    <w:rsid w:val="0010039A"/>
    <w:rsid w:val="001012BD"/>
    <w:rsid w:val="0010177A"/>
    <w:rsid w:val="00101E94"/>
    <w:rsid w:val="00101FB2"/>
    <w:rsid w:val="001028CF"/>
    <w:rsid w:val="00102CB8"/>
    <w:rsid w:val="00102F02"/>
    <w:rsid w:val="0010385D"/>
    <w:rsid w:val="00103E41"/>
    <w:rsid w:val="001041B6"/>
    <w:rsid w:val="00104F55"/>
    <w:rsid w:val="001070EA"/>
    <w:rsid w:val="001076CA"/>
    <w:rsid w:val="00107FF4"/>
    <w:rsid w:val="0011002A"/>
    <w:rsid w:val="001107CE"/>
    <w:rsid w:val="001109F0"/>
    <w:rsid w:val="0011110A"/>
    <w:rsid w:val="001118AF"/>
    <w:rsid w:val="00111CA5"/>
    <w:rsid w:val="0011256E"/>
    <w:rsid w:val="0011352E"/>
    <w:rsid w:val="0011365A"/>
    <w:rsid w:val="00114FC0"/>
    <w:rsid w:val="00115496"/>
    <w:rsid w:val="00115BDB"/>
    <w:rsid w:val="00116DB9"/>
    <w:rsid w:val="00116F28"/>
    <w:rsid w:val="00117597"/>
    <w:rsid w:val="00117CE8"/>
    <w:rsid w:val="00117F28"/>
    <w:rsid w:val="001201F0"/>
    <w:rsid w:val="00121961"/>
    <w:rsid w:val="00121C39"/>
    <w:rsid w:val="00123255"/>
    <w:rsid w:val="0012394A"/>
    <w:rsid w:val="00124D2D"/>
    <w:rsid w:val="00124DA1"/>
    <w:rsid w:val="00125326"/>
    <w:rsid w:val="00125CB5"/>
    <w:rsid w:val="001261B3"/>
    <w:rsid w:val="001264C1"/>
    <w:rsid w:val="00127535"/>
    <w:rsid w:val="001305B2"/>
    <w:rsid w:val="001307BE"/>
    <w:rsid w:val="00130C8F"/>
    <w:rsid w:val="001314F2"/>
    <w:rsid w:val="001317DA"/>
    <w:rsid w:val="00131FFA"/>
    <w:rsid w:val="001323BA"/>
    <w:rsid w:val="0013254D"/>
    <w:rsid w:val="00133643"/>
    <w:rsid w:val="00133AAC"/>
    <w:rsid w:val="00133FBD"/>
    <w:rsid w:val="00134DFD"/>
    <w:rsid w:val="001350B3"/>
    <w:rsid w:val="00136168"/>
    <w:rsid w:val="00136561"/>
    <w:rsid w:val="00136AE8"/>
    <w:rsid w:val="00136B6B"/>
    <w:rsid w:val="001400E1"/>
    <w:rsid w:val="001405FA"/>
    <w:rsid w:val="001408DD"/>
    <w:rsid w:val="001413B3"/>
    <w:rsid w:val="00142533"/>
    <w:rsid w:val="001425C3"/>
    <w:rsid w:val="00142F16"/>
    <w:rsid w:val="001432C1"/>
    <w:rsid w:val="00143E03"/>
    <w:rsid w:val="00143E93"/>
    <w:rsid w:val="00143FA3"/>
    <w:rsid w:val="0014428D"/>
    <w:rsid w:val="0014514D"/>
    <w:rsid w:val="00145AF9"/>
    <w:rsid w:val="00146FE4"/>
    <w:rsid w:val="0014731B"/>
    <w:rsid w:val="00147E55"/>
    <w:rsid w:val="00150040"/>
    <w:rsid w:val="001500FC"/>
    <w:rsid w:val="00150CEC"/>
    <w:rsid w:val="00151AC0"/>
    <w:rsid w:val="00151B27"/>
    <w:rsid w:val="00152046"/>
    <w:rsid w:val="001520AF"/>
    <w:rsid w:val="00152488"/>
    <w:rsid w:val="00152E53"/>
    <w:rsid w:val="00152FDD"/>
    <w:rsid w:val="0015323B"/>
    <w:rsid w:val="00153FED"/>
    <w:rsid w:val="00154147"/>
    <w:rsid w:val="001550F3"/>
    <w:rsid w:val="00155746"/>
    <w:rsid w:val="00156318"/>
    <w:rsid w:val="0015639A"/>
    <w:rsid w:val="0016081D"/>
    <w:rsid w:val="00160CF3"/>
    <w:rsid w:val="00160DCA"/>
    <w:rsid w:val="00160E61"/>
    <w:rsid w:val="00161300"/>
    <w:rsid w:val="00161DB6"/>
    <w:rsid w:val="001620FA"/>
    <w:rsid w:val="00162853"/>
    <w:rsid w:val="00162C62"/>
    <w:rsid w:val="00163793"/>
    <w:rsid w:val="00163841"/>
    <w:rsid w:val="00163F4D"/>
    <w:rsid w:val="00164978"/>
    <w:rsid w:val="001663DE"/>
    <w:rsid w:val="00167FB2"/>
    <w:rsid w:val="001707DE"/>
    <w:rsid w:val="00170B04"/>
    <w:rsid w:val="00170F47"/>
    <w:rsid w:val="001711F2"/>
    <w:rsid w:val="001714F2"/>
    <w:rsid w:val="001718C2"/>
    <w:rsid w:val="00171E6C"/>
    <w:rsid w:val="00172B64"/>
    <w:rsid w:val="00173583"/>
    <w:rsid w:val="00173642"/>
    <w:rsid w:val="001736BB"/>
    <w:rsid w:val="00173AF4"/>
    <w:rsid w:val="00173CB0"/>
    <w:rsid w:val="00174CE8"/>
    <w:rsid w:val="00174E7D"/>
    <w:rsid w:val="001752CB"/>
    <w:rsid w:val="00175351"/>
    <w:rsid w:val="00175F60"/>
    <w:rsid w:val="00176050"/>
    <w:rsid w:val="001764D8"/>
    <w:rsid w:val="00176A8F"/>
    <w:rsid w:val="00180D58"/>
    <w:rsid w:val="00181410"/>
    <w:rsid w:val="001814AE"/>
    <w:rsid w:val="00181938"/>
    <w:rsid w:val="001827CE"/>
    <w:rsid w:val="00182981"/>
    <w:rsid w:val="001833E9"/>
    <w:rsid w:val="00184CF9"/>
    <w:rsid w:val="00184DE8"/>
    <w:rsid w:val="00185010"/>
    <w:rsid w:val="001852EC"/>
    <w:rsid w:val="00185D56"/>
    <w:rsid w:val="00186447"/>
    <w:rsid w:val="001874CF"/>
    <w:rsid w:val="00187F91"/>
    <w:rsid w:val="00190214"/>
    <w:rsid w:val="00190D9B"/>
    <w:rsid w:val="0019161A"/>
    <w:rsid w:val="00191BAE"/>
    <w:rsid w:val="001921B5"/>
    <w:rsid w:val="00193432"/>
    <w:rsid w:val="0019346C"/>
    <w:rsid w:val="0019357D"/>
    <w:rsid w:val="00194096"/>
    <w:rsid w:val="0019431C"/>
    <w:rsid w:val="00194AE3"/>
    <w:rsid w:val="00195335"/>
    <w:rsid w:val="00195444"/>
    <w:rsid w:val="0019579E"/>
    <w:rsid w:val="00197806"/>
    <w:rsid w:val="001A1087"/>
    <w:rsid w:val="001A199D"/>
    <w:rsid w:val="001A2855"/>
    <w:rsid w:val="001A2BDB"/>
    <w:rsid w:val="001A30F4"/>
    <w:rsid w:val="001A47AB"/>
    <w:rsid w:val="001A4C0D"/>
    <w:rsid w:val="001A552F"/>
    <w:rsid w:val="001A56F3"/>
    <w:rsid w:val="001A5A2F"/>
    <w:rsid w:val="001A68CA"/>
    <w:rsid w:val="001A737B"/>
    <w:rsid w:val="001A750C"/>
    <w:rsid w:val="001B008E"/>
    <w:rsid w:val="001B05FE"/>
    <w:rsid w:val="001B1D89"/>
    <w:rsid w:val="001B1EFA"/>
    <w:rsid w:val="001B1FE2"/>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B1E"/>
    <w:rsid w:val="001C0E0E"/>
    <w:rsid w:val="001C0E66"/>
    <w:rsid w:val="001C0EB9"/>
    <w:rsid w:val="001C1219"/>
    <w:rsid w:val="001C357A"/>
    <w:rsid w:val="001C3657"/>
    <w:rsid w:val="001C3961"/>
    <w:rsid w:val="001C3A37"/>
    <w:rsid w:val="001C4384"/>
    <w:rsid w:val="001C55F5"/>
    <w:rsid w:val="001C65FF"/>
    <w:rsid w:val="001C6747"/>
    <w:rsid w:val="001C677A"/>
    <w:rsid w:val="001D05E6"/>
    <w:rsid w:val="001D12FB"/>
    <w:rsid w:val="001D1383"/>
    <w:rsid w:val="001D1D45"/>
    <w:rsid w:val="001D1E7C"/>
    <w:rsid w:val="001D2583"/>
    <w:rsid w:val="001D3787"/>
    <w:rsid w:val="001D3A7A"/>
    <w:rsid w:val="001D47E5"/>
    <w:rsid w:val="001D4EEB"/>
    <w:rsid w:val="001D53CB"/>
    <w:rsid w:val="001D584C"/>
    <w:rsid w:val="001D5E1B"/>
    <w:rsid w:val="001D66C1"/>
    <w:rsid w:val="001D6EF6"/>
    <w:rsid w:val="001D7C6F"/>
    <w:rsid w:val="001E0024"/>
    <w:rsid w:val="001E0241"/>
    <w:rsid w:val="001E0735"/>
    <w:rsid w:val="001E0C65"/>
    <w:rsid w:val="001E23E3"/>
    <w:rsid w:val="001E29AF"/>
    <w:rsid w:val="001E3731"/>
    <w:rsid w:val="001E387A"/>
    <w:rsid w:val="001E3DA4"/>
    <w:rsid w:val="001E5469"/>
    <w:rsid w:val="001E5830"/>
    <w:rsid w:val="001E5F62"/>
    <w:rsid w:val="001E684C"/>
    <w:rsid w:val="001E701C"/>
    <w:rsid w:val="001E7552"/>
    <w:rsid w:val="001E7C03"/>
    <w:rsid w:val="001F02AF"/>
    <w:rsid w:val="001F0649"/>
    <w:rsid w:val="001F28F4"/>
    <w:rsid w:val="001F2902"/>
    <w:rsid w:val="001F2CC6"/>
    <w:rsid w:val="001F3055"/>
    <w:rsid w:val="001F31BC"/>
    <w:rsid w:val="001F378E"/>
    <w:rsid w:val="001F3C79"/>
    <w:rsid w:val="001F3D52"/>
    <w:rsid w:val="001F3E68"/>
    <w:rsid w:val="001F4597"/>
    <w:rsid w:val="001F56A9"/>
    <w:rsid w:val="001F5C6A"/>
    <w:rsid w:val="001F63A7"/>
    <w:rsid w:val="001F670A"/>
    <w:rsid w:val="001F7C2A"/>
    <w:rsid w:val="00200D15"/>
    <w:rsid w:val="00200D2A"/>
    <w:rsid w:val="00201E7B"/>
    <w:rsid w:val="0020223B"/>
    <w:rsid w:val="0020294A"/>
    <w:rsid w:val="00203074"/>
    <w:rsid w:val="0020340C"/>
    <w:rsid w:val="00203B09"/>
    <w:rsid w:val="00203B46"/>
    <w:rsid w:val="00203FCB"/>
    <w:rsid w:val="002047DA"/>
    <w:rsid w:val="002048E1"/>
    <w:rsid w:val="00205711"/>
    <w:rsid w:val="002070AB"/>
    <w:rsid w:val="00207DB6"/>
    <w:rsid w:val="00210278"/>
    <w:rsid w:val="00210CC2"/>
    <w:rsid w:val="00210F5B"/>
    <w:rsid w:val="00210FFA"/>
    <w:rsid w:val="00211262"/>
    <w:rsid w:val="0021139C"/>
    <w:rsid w:val="002115F5"/>
    <w:rsid w:val="00211AC9"/>
    <w:rsid w:val="00212491"/>
    <w:rsid w:val="0021329E"/>
    <w:rsid w:val="002133D5"/>
    <w:rsid w:val="0021355B"/>
    <w:rsid w:val="002137A1"/>
    <w:rsid w:val="0021396F"/>
    <w:rsid w:val="00215061"/>
    <w:rsid w:val="0021507A"/>
    <w:rsid w:val="0021552C"/>
    <w:rsid w:val="00215A2C"/>
    <w:rsid w:val="00217980"/>
    <w:rsid w:val="002179F9"/>
    <w:rsid w:val="002205F2"/>
    <w:rsid w:val="0022080E"/>
    <w:rsid w:val="00220895"/>
    <w:rsid w:val="00220B20"/>
    <w:rsid w:val="0022139E"/>
    <w:rsid w:val="002224C1"/>
    <w:rsid w:val="0022272B"/>
    <w:rsid w:val="00222A99"/>
    <w:rsid w:val="00223678"/>
    <w:rsid w:val="002236F7"/>
    <w:rsid w:val="00223E00"/>
    <w:rsid w:val="00224048"/>
    <w:rsid w:val="00224123"/>
    <w:rsid w:val="002244CE"/>
    <w:rsid w:val="002250AD"/>
    <w:rsid w:val="002252E0"/>
    <w:rsid w:val="002255F6"/>
    <w:rsid w:val="00225F36"/>
    <w:rsid w:val="00226466"/>
    <w:rsid w:val="002266D0"/>
    <w:rsid w:val="00226887"/>
    <w:rsid w:val="00227991"/>
    <w:rsid w:val="00227A27"/>
    <w:rsid w:val="00230574"/>
    <w:rsid w:val="00230CA7"/>
    <w:rsid w:val="00230DAD"/>
    <w:rsid w:val="0023229C"/>
    <w:rsid w:val="00232A3C"/>
    <w:rsid w:val="0023301B"/>
    <w:rsid w:val="002334DF"/>
    <w:rsid w:val="0023355C"/>
    <w:rsid w:val="00234280"/>
    <w:rsid w:val="00234DD5"/>
    <w:rsid w:val="00235000"/>
    <w:rsid w:val="002350E3"/>
    <w:rsid w:val="00235330"/>
    <w:rsid w:val="00236443"/>
    <w:rsid w:val="00240773"/>
    <w:rsid w:val="00240815"/>
    <w:rsid w:val="00240924"/>
    <w:rsid w:val="00240A5B"/>
    <w:rsid w:val="00240C76"/>
    <w:rsid w:val="002411EF"/>
    <w:rsid w:val="00241446"/>
    <w:rsid w:val="00241FC7"/>
    <w:rsid w:val="00242730"/>
    <w:rsid w:val="002436BA"/>
    <w:rsid w:val="002439C3"/>
    <w:rsid w:val="002444ED"/>
    <w:rsid w:val="00244A15"/>
    <w:rsid w:val="00244D40"/>
    <w:rsid w:val="002452E5"/>
    <w:rsid w:val="0024644F"/>
    <w:rsid w:val="00246AE9"/>
    <w:rsid w:val="002473CA"/>
    <w:rsid w:val="0024799E"/>
    <w:rsid w:val="00250C59"/>
    <w:rsid w:val="00250E0D"/>
    <w:rsid w:val="002518F6"/>
    <w:rsid w:val="00251D59"/>
    <w:rsid w:val="00252602"/>
    <w:rsid w:val="00252609"/>
    <w:rsid w:val="00252FDC"/>
    <w:rsid w:val="002532E2"/>
    <w:rsid w:val="00253E11"/>
    <w:rsid w:val="00254069"/>
    <w:rsid w:val="00254B3B"/>
    <w:rsid w:val="00254C4B"/>
    <w:rsid w:val="002550D8"/>
    <w:rsid w:val="00255A44"/>
    <w:rsid w:val="00257083"/>
    <w:rsid w:val="00257613"/>
    <w:rsid w:val="002609C2"/>
    <w:rsid w:val="00261A0F"/>
    <w:rsid w:val="00261E5B"/>
    <w:rsid w:val="00262EB9"/>
    <w:rsid w:val="00262F34"/>
    <w:rsid w:val="002633E5"/>
    <w:rsid w:val="00263470"/>
    <w:rsid w:val="00263733"/>
    <w:rsid w:val="00264676"/>
    <w:rsid w:val="00264A46"/>
    <w:rsid w:val="00265536"/>
    <w:rsid w:val="0026595E"/>
    <w:rsid w:val="00265E54"/>
    <w:rsid w:val="00266306"/>
    <w:rsid w:val="002664A1"/>
    <w:rsid w:val="00266534"/>
    <w:rsid w:val="00266F3E"/>
    <w:rsid w:val="00270785"/>
    <w:rsid w:val="00271B9B"/>
    <w:rsid w:val="0027224A"/>
    <w:rsid w:val="00272464"/>
    <w:rsid w:val="00272B0B"/>
    <w:rsid w:val="00272CC5"/>
    <w:rsid w:val="00273C60"/>
    <w:rsid w:val="00273DCD"/>
    <w:rsid w:val="00274291"/>
    <w:rsid w:val="00276C09"/>
    <w:rsid w:val="00276CFE"/>
    <w:rsid w:val="00277071"/>
    <w:rsid w:val="002776A5"/>
    <w:rsid w:val="0027786C"/>
    <w:rsid w:val="00277BF7"/>
    <w:rsid w:val="0028019B"/>
    <w:rsid w:val="00280A72"/>
    <w:rsid w:val="00281416"/>
    <w:rsid w:val="00282084"/>
    <w:rsid w:val="00283720"/>
    <w:rsid w:val="00283C61"/>
    <w:rsid w:val="00283D6A"/>
    <w:rsid w:val="00284C6F"/>
    <w:rsid w:val="00285CD3"/>
    <w:rsid w:val="0028633E"/>
    <w:rsid w:val="0028686A"/>
    <w:rsid w:val="00286E66"/>
    <w:rsid w:val="002870B7"/>
    <w:rsid w:val="002919B5"/>
    <w:rsid w:val="002920F5"/>
    <w:rsid w:val="00292D0B"/>
    <w:rsid w:val="00293441"/>
    <w:rsid w:val="00293553"/>
    <w:rsid w:val="00294238"/>
    <w:rsid w:val="00294776"/>
    <w:rsid w:val="0029493E"/>
    <w:rsid w:val="002962E0"/>
    <w:rsid w:val="00296C2E"/>
    <w:rsid w:val="002A04C7"/>
    <w:rsid w:val="002A1B05"/>
    <w:rsid w:val="002A267F"/>
    <w:rsid w:val="002A3354"/>
    <w:rsid w:val="002A35EA"/>
    <w:rsid w:val="002A37B6"/>
    <w:rsid w:val="002A3BD5"/>
    <w:rsid w:val="002A43A2"/>
    <w:rsid w:val="002A44ED"/>
    <w:rsid w:val="002A4612"/>
    <w:rsid w:val="002A4F70"/>
    <w:rsid w:val="002A5263"/>
    <w:rsid w:val="002A5D3F"/>
    <w:rsid w:val="002A5DF2"/>
    <w:rsid w:val="002A63B9"/>
    <w:rsid w:val="002A6821"/>
    <w:rsid w:val="002A6F67"/>
    <w:rsid w:val="002A74D2"/>
    <w:rsid w:val="002A7A78"/>
    <w:rsid w:val="002A7CDA"/>
    <w:rsid w:val="002A7F47"/>
    <w:rsid w:val="002B1544"/>
    <w:rsid w:val="002B1DC1"/>
    <w:rsid w:val="002B36C8"/>
    <w:rsid w:val="002B385B"/>
    <w:rsid w:val="002B4ADE"/>
    <w:rsid w:val="002B6B7A"/>
    <w:rsid w:val="002B71B4"/>
    <w:rsid w:val="002B7240"/>
    <w:rsid w:val="002B725B"/>
    <w:rsid w:val="002B7323"/>
    <w:rsid w:val="002B7937"/>
    <w:rsid w:val="002C0FF4"/>
    <w:rsid w:val="002C125A"/>
    <w:rsid w:val="002C2668"/>
    <w:rsid w:val="002C43BD"/>
    <w:rsid w:val="002C493D"/>
    <w:rsid w:val="002C5261"/>
    <w:rsid w:val="002C5CB7"/>
    <w:rsid w:val="002C6091"/>
    <w:rsid w:val="002C63C1"/>
    <w:rsid w:val="002C6A6E"/>
    <w:rsid w:val="002D0562"/>
    <w:rsid w:val="002D1B5A"/>
    <w:rsid w:val="002D2500"/>
    <w:rsid w:val="002D338A"/>
    <w:rsid w:val="002D3E4C"/>
    <w:rsid w:val="002D3F00"/>
    <w:rsid w:val="002D4A1E"/>
    <w:rsid w:val="002D4D59"/>
    <w:rsid w:val="002D50CF"/>
    <w:rsid w:val="002D54BF"/>
    <w:rsid w:val="002D5C3D"/>
    <w:rsid w:val="002D5E94"/>
    <w:rsid w:val="002D632D"/>
    <w:rsid w:val="002D6B01"/>
    <w:rsid w:val="002D6B11"/>
    <w:rsid w:val="002D6FC7"/>
    <w:rsid w:val="002D778C"/>
    <w:rsid w:val="002D7EF4"/>
    <w:rsid w:val="002E02A1"/>
    <w:rsid w:val="002E0982"/>
    <w:rsid w:val="002E0DB9"/>
    <w:rsid w:val="002E10D3"/>
    <w:rsid w:val="002E1BFA"/>
    <w:rsid w:val="002E1C23"/>
    <w:rsid w:val="002E2CE4"/>
    <w:rsid w:val="002E31A0"/>
    <w:rsid w:val="002E34F3"/>
    <w:rsid w:val="002E4217"/>
    <w:rsid w:val="002E435E"/>
    <w:rsid w:val="002E4C1C"/>
    <w:rsid w:val="002E6DB8"/>
    <w:rsid w:val="002E73F2"/>
    <w:rsid w:val="002F0709"/>
    <w:rsid w:val="002F0FDB"/>
    <w:rsid w:val="002F149A"/>
    <w:rsid w:val="002F19CC"/>
    <w:rsid w:val="002F33FB"/>
    <w:rsid w:val="002F36D0"/>
    <w:rsid w:val="002F663A"/>
    <w:rsid w:val="002F68A4"/>
    <w:rsid w:val="002F7594"/>
    <w:rsid w:val="002F7902"/>
    <w:rsid w:val="003003E7"/>
    <w:rsid w:val="003004EB"/>
    <w:rsid w:val="00300D6F"/>
    <w:rsid w:val="00301357"/>
    <w:rsid w:val="0030192C"/>
    <w:rsid w:val="00301D04"/>
    <w:rsid w:val="003035D4"/>
    <w:rsid w:val="00303A3C"/>
    <w:rsid w:val="00303DCB"/>
    <w:rsid w:val="0030464E"/>
    <w:rsid w:val="00304771"/>
    <w:rsid w:val="00304E6C"/>
    <w:rsid w:val="00305736"/>
    <w:rsid w:val="00305C33"/>
    <w:rsid w:val="0030607B"/>
    <w:rsid w:val="00306C5B"/>
    <w:rsid w:val="00306E3B"/>
    <w:rsid w:val="0030768C"/>
    <w:rsid w:val="00310ADB"/>
    <w:rsid w:val="003119B6"/>
    <w:rsid w:val="003124EF"/>
    <w:rsid w:val="00312A00"/>
    <w:rsid w:val="00312C3D"/>
    <w:rsid w:val="003131A6"/>
    <w:rsid w:val="00313F7F"/>
    <w:rsid w:val="00314331"/>
    <w:rsid w:val="00317E31"/>
    <w:rsid w:val="00320214"/>
    <w:rsid w:val="003209D6"/>
    <w:rsid w:val="0032109A"/>
    <w:rsid w:val="0032214F"/>
    <w:rsid w:val="00322164"/>
    <w:rsid w:val="00322719"/>
    <w:rsid w:val="0032330F"/>
    <w:rsid w:val="00323486"/>
    <w:rsid w:val="00323A13"/>
    <w:rsid w:val="00323CF7"/>
    <w:rsid w:val="00323E61"/>
    <w:rsid w:val="00324055"/>
    <w:rsid w:val="0032513D"/>
    <w:rsid w:val="00326251"/>
    <w:rsid w:val="0032739C"/>
    <w:rsid w:val="003273BB"/>
    <w:rsid w:val="00327602"/>
    <w:rsid w:val="003276D1"/>
    <w:rsid w:val="00327DEE"/>
    <w:rsid w:val="003301FD"/>
    <w:rsid w:val="003302DA"/>
    <w:rsid w:val="00330EB0"/>
    <w:rsid w:val="00331574"/>
    <w:rsid w:val="0033229B"/>
    <w:rsid w:val="003329F3"/>
    <w:rsid w:val="00333134"/>
    <w:rsid w:val="0033352E"/>
    <w:rsid w:val="00333690"/>
    <w:rsid w:val="00333D20"/>
    <w:rsid w:val="00333F53"/>
    <w:rsid w:val="003340EF"/>
    <w:rsid w:val="00334A49"/>
    <w:rsid w:val="0033536F"/>
    <w:rsid w:val="00335BB0"/>
    <w:rsid w:val="00335BE6"/>
    <w:rsid w:val="00335E99"/>
    <w:rsid w:val="0033627B"/>
    <w:rsid w:val="003406BD"/>
    <w:rsid w:val="00343474"/>
    <w:rsid w:val="00343F84"/>
    <w:rsid w:val="00344135"/>
    <w:rsid w:val="003450E2"/>
    <w:rsid w:val="00351315"/>
    <w:rsid w:val="00351B63"/>
    <w:rsid w:val="00352482"/>
    <w:rsid w:val="00352E57"/>
    <w:rsid w:val="00352FC0"/>
    <w:rsid w:val="003541B0"/>
    <w:rsid w:val="0035457E"/>
    <w:rsid w:val="00355885"/>
    <w:rsid w:val="00355CAA"/>
    <w:rsid w:val="0035605E"/>
    <w:rsid w:val="00356244"/>
    <w:rsid w:val="00356CAE"/>
    <w:rsid w:val="00356FED"/>
    <w:rsid w:val="00357449"/>
    <w:rsid w:val="00357C28"/>
    <w:rsid w:val="00361F76"/>
    <w:rsid w:val="0036238B"/>
    <w:rsid w:val="00362408"/>
    <w:rsid w:val="003630B0"/>
    <w:rsid w:val="00364087"/>
    <w:rsid w:val="003649FC"/>
    <w:rsid w:val="00364C0E"/>
    <w:rsid w:val="00364EAD"/>
    <w:rsid w:val="003651A4"/>
    <w:rsid w:val="00365680"/>
    <w:rsid w:val="003657F3"/>
    <w:rsid w:val="00366D4D"/>
    <w:rsid w:val="00366F77"/>
    <w:rsid w:val="00367038"/>
    <w:rsid w:val="003670FE"/>
    <w:rsid w:val="0036710C"/>
    <w:rsid w:val="0037040B"/>
    <w:rsid w:val="00370963"/>
    <w:rsid w:val="0037144E"/>
    <w:rsid w:val="00372272"/>
    <w:rsid w:val="0037290D"/>
    <w:rsid w:val="00372B1D"/>
    <w:rsid w:val="003736B5"/>
    <w:rsid w:val="00374546"/>
    <w:rsid w:val="00374DB6"/>
    <w:rsid w:val="00374F1E"/>
    <w:rsid w:val="003750CF"/>
    <w:rsid w:val="003769F0"/>
    <w:rsid w:val="00376DEC"/>
    <w:rsid w:val="00377200"/>
    <w:rsid w:val="00377666"/>
    <w:rsid w:val="00377E93"/>
    <w:rsid w:val="0038034A"/>
    <w:rsid w:val="00380E04"/>
    <w:rsid w:val="00380E6C"/>
    <w:rsid w:val="00381171"/>
    <w:rsid w:val="0038187C"/>
    <w:rsid w:val="00383227"/>
    <w:rsid w:val="003839C9"/>
    <w:rsid w:val="00383FD2"/>
    <w:rsid w:val="0038422D"/>
    <w:rsid w:val="003843B1"/>
    <w:rsid w:val="00384D8F"/>
    <w:rsid w:val="003857A2"/>
    <w:rsid w:val="00385D71"/>
    <w:rsid w:val="00385D98"/>
    <w:rsid w:val="00385EC5"/>
    <w:rsid w:val="0038658E"/>
    <w:rsid w:val="003875C2"/>
    <w:rsid w:val="0039066E"/>
    <w:rsid w:val="00391C95"/>
    <w:rsid w:val="00392110"/>
    <w:rsid w:val="00392B64"/>
    <w:rsid w:val="00392B9E"/>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1F5"/>
    <w:rsid w:val="003A6B38"/>
    <w:rsid w:val="003B2142"/>
    <w:rsid w:val="003B2580"/>
    <w:rsid w:val="003B2721"/>
    <w:rsid w:val="003B293F"/>
    <w:rsid w:val="003B2D28"/>
    <w:rsid w:val="003B2E63"/>
    <w:rsid w:val="003B3189"/>
    <w:rsid w:val="003B3A9D"/>
    <w:rsid w:val="003B3DDD"/>
    <w:rsid w:val="003B5031"/>
    <w:rsid w:val="003B5A32"/>
    <w:rsid w:val="003B6105"/>
    <w:rsid w:val="003B769D"/>
    <w:rsid w:val="003B7F20"/>
    <w:rsid w:val="003C03CC"/>
    <w:rsid w:val="003C04C4"/>
    <w:rsid w:val="003C08E2"/>
    <w:rsid w:val="003C0B96"/>
    <w:rsid w:val="003C0CB5"/>
    <w:rsid w:val="003C26F4"/>
    <w:rsid w:val="003C3686"/>
    <w:rsid w:val="003C3E2C"/>
    <w:rsid w:val="003C4852"/>
    <w:rsid w:val="003C5BC7"/>
    <w:rsid w:val="003C5F05"/>
    <w:rsid w:val="003C601E"/>
    <w:rsid w:val="003C66C4"/>
    <w:rsid w:val="003C6DB9"/>
    <w:rsid w:val="003D1FA0"/>
    <w:rsid w:val="003D2393"/>
    <w:rsid w:val="003D2519"/>
    <w:rsid w:val="003D2C4E"/>
    <w:rsid w:val="003D3600"/>
    <w:rsid w:val="003D3825"/>
    <w:rsid w:val="003D3EC4"/>
    <w:rsid w:val="003D3FB2"/>
    <w:rsid w:val="003D44E2"/>
    <w:rsid w:val="003D4760"/>
    <w:rsid w:val="003D49DC"/>
    <w:rsid w:val="003D49E0"/>
    <w:rsid w:val="003D4DD9"/>
    <w:rsid w:val="003D4FB5"/>
    <w:rsid w:val="003D59BE"/>
    <w:rsid w:val="003D5D7A"/>
    <w:rsid w:val="003D5E4B"/>
    <w:rsid w:val="003D653F"/>
    <w:rsid w:val="003D6B55"/>
    <w:rsid w:val="003E0261"/>
    <w:rsid w:val="003E0663"/>
    <w:rsid w:val="003E133F"/>
    <w:rsid w:val="003E1A70"/>
    <w:rsid w:val="003E2469"/>
    <w:rsid w:val="003E49F6"/>
    <w:rsid w:val="003E699C"/>
    <w:rsid w:val="003E69F3"/>
    <w:rsid w:val="003E782E"/>
    <w:rsid w:val="003E7A0B"/>
    <w:rsid w:val="003E7B2B"/>
    <w:rsid w:val="003E7F69"/>
    <w:rsid w:val="003F01D7"/>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3F7631"/>
    <w:rsid w:val="003F7948"/>
    <w:rsid w:val="004000D5"/>
    <w:rsid w:val="00400244"/>
    <w:rsid w:val="004005C1"/>
    <w:rsid w:val="00400BBD"/>
    <w:rsid w:val="00401716"/>
    <w:rsid w:val="004018F7"/>
    <w:rsid w:val="00401A09"/>
    <w:rsid w:val="0040273A"/>
    <w:rsid w:val="00402C25"/>
    <w:rsid w:val="004036FB"/>
    <w:rsid w:val="00403D65"/>
    <w:rsid w:val="0040501E"/>
    <w:rsid w:val="004050D7"/>
    <w:rsid w:val="004076EE"/>
    <w:rsid w:val="004078BD"/>
    <w:rsid w:val="00407C32"/>
    <w:rsid w:val="00410132"/>
    <w:rsid w:val="004104E4"/>
    <w:rsid w:val="00410A97"/>
    <w:rsid w:val="00410BCD"/>
    <w:rsid w:val="00410DE5"/>
    <w:rsid w:val="0041175D"/>
    <w:rsid w:val="004117CE"/>
    <w:rsid w:val="00412044"/>
    <w:rsid w:val="004120DE"/>
    <w:rsid w:val="004121D6"/>
    <w:rsid w:val="004123BE"/>
    <w:rsid w:val="0041329F"/>
    <w:rsid w:val="00414CE5"/>
    <w:rsid w:val="00416618"/>
    <w:rsid w:val="00416673"/>
    <w:rsid w:val="0041677D"/>
    <w:rsid w:val="00420D92"/>
    <w:rsid w:val="0042160D"/>
    <w:rsid w:val="0042254E"/>
    <w:rsid w:val="00423A3C"/>
    <w:rsid w:val="00423C04"/>
    <w:rsid w:val="00424D9B"/>
    <w:rsid w:val="00424F18"/>
    <w:rsid w:val="00425612"/>
    <w:rsid w:val="0042681B"/>
    <w:rsid w:val="00426B7F"/>
    <w:rsid w:val="00426E44"/>
    <w:rsid w:val="00427193"/>
    <w:rsid w:val="00427332"/>
    <w:rsid w:val="0043068A"/>
    <w:rsid w:val="004306E0"/>
    <w:rsid w:val="00430BD6"/>
    <w:rsid w:val="00431D54"/>
    <w:rsid w:val="00431F98"/>
    <w:rsid w:val="004325CC"/>
    <w:rsid w:val="004329BE"/>
    <w:rsid w:val="00432C38"/>
    <w:rsid w:val="004333B9"/>
    <w:rsid w:val="004342EC"/>
    <w:rsid w:val="00434D5A"/>
    <w:rsid w:val="00435874"/>
    <w:rsid w:val="00436EDB"/>
    <w:rsid w:val="00437C76"/>
    <w:rsid w:val="00437F4A"/>
    <w:rsid w:val="0044105C"/>
    <w:rsid w:val="00441306"/>
    <w:rsid w:val="00442197"/>
    <w:rsid w:val="00442BD1"/>
    <w:rsid w:val="00443293"/>
    <w:rsid w:val="00443CC7"/>
    <w:rsid w:val="00443E95"/>
    <w:rsid w:val="004441A0"/>
    <w:rsid w:val="00444268"/>
    <w:rsid w:val="00444326"/>
    <w:rsid w:val="004443BF"/>
    <w:rsid w:val="00444C19"/>
    <w:rsid w:val="00444EC5"/>
    <w:rsid w:val="00445218"/>
    <w:rsid w:val="00445CDD"/>
    <w:rsid w:val="0044683E"/>
    <w:rsid w:val="00446892"/>
    <w:rsid w:val="00447267"/>
    <w:rsid w:val="004475C7"/>
    <w:rsid w:val="00447E36"/>
    <w:rsid w:val="00450700"/>
    <w:rsid w:val="00450C30"/>
    <w:rsid w:val="004514C2"/>
    <w:rsid w:val="004522AE"/>
    <w:rsid w:val="004529C7"/>
    <w:rsid w:val="004540FF"/>
    <w:rsid w:val="004541F1"/>
    <w:rsid w:val="00454921"/>
    <w:rsid w:val="00454D31"/>
    <w:rsid w:val="00455BB8"/>
    <w:rsid w:val="00455ECA"/>
    <w:rsid w:val="00456EA3"/>
    <w:rsid w:val="0045707D"/>
    <w:rsid w:val="004570DE"/>
    <w:rsid w:val="00457296"/>
    <w:rsid w:val="00457320"/>
    <w:rsid w:val="00457D0F"/>
    <w:rsid w:val="00460164"/>
    <w:rsid w:val="0046039A"/>
    <w:rsid w:val="00460A6B"/>
    <w:rsid w:val="00460F61"/>
    <w:rsid w:val="004616F1"/>
    <w:rsid w:val="00461977"/>
    <w:rsid w:val="00461A3F"/>
    <w:rsid w:val="00461C4C"/>
    <w:rsid w:val="004620C7"/>
    <w:rsid w:val="004629FD"/>
    <w:rsid w:val="00462AD2"/>
    <w:rsid w:val="00463B4B"/>
    <w:rsid w:val="00463F4D"/>
    <w:rsid w:val="00464658"/>
    <w:rsid w:val="0046471F"/>
    <w:rsid w:val="00464BE8"/>
    <w:rsid w:val="00465019"/>
    <w:rsid w:val="00465317"/>
    <w:rsid w:val="00465FA4"/>
    <w:rsid w:val="0046613F"/>
    <w:rsid w:val="0046655D"/>
    <w:rsid w:val="00466808"/>
    <w:rsid w:val="00466AAE"/>
    <w:rsid w:val="0046765E"/>
    <w:rsid w:val="004676E2"/>
    <w:rsid w:val="004703E3"/>
    <w:rsid w:val="00471B64"/>
    <w:rsid w:val="00471EDD"/>
    <w:rsid w:val="00473E94"/>
    <w:rsid w:val="0047400C"/>
    <w:rsid w:val="00474471"/>
    <w:rsid w:val="004745D9"/>
    <w:rsid w:val="00474619"/>
    <w:rsid w:val="0047494A"/>
    <w:rsid w:val="00474B94"/>
    <w:rsid w:val="00475076"/>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0524"/>
    <w:rsid w:val="00490B20"/>
    <w:rsid w:val="0049104F"/>
    <w:rsid w:val="00491218"/>
    <w:rsid w:val="00491CFD"/>
    <w:rsid w:val="00492991"/>
    <w:rsid w:val="00493362"/>
    <w:rsid w:val="00493F5F"/>
    <w:rsid w:val="00494343"/>
    <w:rsid w:val="00494AAB"/>
    <w:rsid w:val="00494FB8"/>
    <w:rsid w:val="0049548B"/>
    <w:rsid w:val="00496C2F"/>
    <w:rsid w:val="0049740D"/>
    <w:rsid w:val="004978D3"/>
    <w:rsid w:val="004A06A6"/>
    <w:rsid w:val="004A1160"/>
    <w:rsid w:val="004A11F8"/>
    <w:rsid w:val="004A22BD"/>
    <w:rsid w:val="004A22FA"/>
    <w:rsid w:val="004A25E2"/>
    <w:rsid w:val="004A269A"/>
    <w:rsid w:val="004A26AF"/>
    <w:rsid w:val="004A26DB"/>
    <w:rsid w:val="004A30FB"/>
    <w:rsid w:val="004A35DD"/>
    <w:rsid w:val="004A37D3"/>
    <w:rsid w:val="004A3AD6"/>
    <w:rsid w:val="004A3BCE"/>
    <w:rsid w:val="004A4A6D"/>
    <w:rsid w:val="004A4D61"/>
    <w:rsid w:val="004A5155"/>
    <w:rsid w:val="004A56EB"/>
    <w:rsid w:val="004A5865"/>
    <w:rsid w:val="004A7670"/>
    <w:rsid w:val="004A77DF"/>
    <w:rsid w:val="004B0295"/>
    <w:rsid w:val="004B0803"/>
    <w:rsid w:val="004B10A8"/>
    <w:rsid w:val="004B1F58"/>
    <w:rsid w:val="004B1F9D"/>
    <w:rsid w:val="004B2093"/>
    <w:rsid w:val="004B22DA"/>
    <w:rsid w:val="004B314A"/>
    <w:rsid w:val="004B3CB7"/>
    <w:rsid w:val="004B3D55"/>
    <w:rsid w:val="004B41DC"/>
    <w:rsid w:val="004B55B7"/>
    <w:rsid w:val="004B5836"/>
    <w:rsid w:val="004B5E1F"/>
    <w:rsid w:val="004B5F05"/>
    <w:rsid w:val="004C0009"/>
    <w:rsid w:val="004C00A6"/>
    <w:rsid w:val="004C0243"/>
    <w:rsid w:val="004C08F1"/>
    <w:rsid w:val="004C0B46"/>
    <w:rsid w:val="004C0BBB"/>
    <w:rsid w:val="004C1AD6"/>
    <w:rsid w:val="004C1B86"/>
    <w:rsid w:val="004C1DEE"/>
    <w:rsid w:val="004C3382"/>
    <w:rsid w:val="004C3867"/>
    <w:rsid w:val="004C4AB7"/>
    <w:rsid w:val="004C4B88"/>
    <w:rsid w:val="004C4CD0"/>
    <w:rsid w:val="004C5121"/>
    <w:rsid w:val="004C57B5"/>
    <w:rsid w:val="004C5C25"/>
    <w:rsid w:val="004C6717"/>
    <w:rsid w:val="004C6CFF"/>
    <w:rsid w:val="004C7065"/>
    <w:rsid w:val="004C70DC"/>
    <w:rsid w:val="004C7268"/>
    <w:rsid w:val="004C77A8"/>
    <w:rsid w:val="004C7C50"/>
    <w:rsid w:val="004D0211"/>
    <w:rsid w:val="004D1C9C"/>
    <w:rsid w:val="004D2A0E"/>
    <w:rsid w:val="004D2D7A"/>
    <w:rsid w:val="004D3B7D"/>
    <w:rsid w:val="004D458D"/>
    <w:rsid w:val="004D474F"/>
    <w:rsid w:val="004D4F13"/>
    <w:rsid w:val="004D504B"/>
    <w:rsid w:val="004D536E"/>
    <w:rsid w:val="004D58CE"/>
    <w:rsid w:val="004D6307"/>
    <w:rsid w:val="004D70B1"/>
    <w:rsid w:val="004D745A"/>
    <w:rsid w:val="004D76CC"/>
    <w:rsid w:val="004E1415"/>
    <w:rsid w:val="004E1839"/>
    <w:rsid w:val="004E38D2"/>
    <w:rsid w:val="004E4A75"/>
    <w:rsid w:val="004E541A"/>
    <w:rsid w:val="004E5A5C"/>
    <w:rsid w:val="004E7007"/>
    <w:rsid w:val="004E70ED"/>
    <w:rsid w:val="004E76D6"/>
    <w:rsid w:val="004E7F57"/>
    <w:rsid w:val="004F06F5"/>
    <w:rsid w:val="004F0B25"/>
    <w:rsid w:val="004F191F"/>
    <w:rsid w:val="004F2A4D"/>
    <w:rsid w:val="004F2A73"/>
    <w:rsid w:val="004F33A0"/>
    <w:rsid w:val="004F353A"/>
    <w:rsid w:val="004F3B06"/>
    <w:rsid w:val="004F4353"/>
    <w:rsid w:val="004F447D"/>
    <w:rsid w:val="004F4C28"/>
    <w:rsid w:val="004F4E82"/>
    <w:rsid w:val="004F5470"/>
    <w:rsid w:val="004F5950"/>
    <w:rsid w:val="004F5CC5"/>
    <w:rsid w:val="004F5DCC"/>
    <w:rsid w:val="004F6350"/>
    <w:rsid w:val="004F7170"/>
    <w:rsid w:val="00501BFD"/>
    <w:rsid w:val="005028E1"/>
    <w:rsid w:val="00503955"/>
    <w:rsid w:val="005041D8"/>
    <w:rsid w:val="00505989"/>
    <w:rsid w:val="00506309"/>
    <w:rsid w:val="0050692E"/>
    <w:rsid w:val="00507040"/>
    <w:rsid w:val="00507638"/>
    <w:rsid w:val="005079F8"/>
    <w:rsid w:val="00507A87"/>
    <w:rsid w:val="00510189"/>
    <w:rsid w:val="00510428"/>
    <w:rsid w:val="005108C0"/>
    <w:rsid w:val="00510C81"/>
    <w:rsid w:val="00511873"/>
    <w:rsid w:val="00512495"/>
    <w:rsid w:val="00512603"/>
    <w:rsid w:val="00512B54"/>
    <w:rsid w:val="00512CC5"/>
    <w:rsid w:val="0051367B"/>
    <w:rsid w:val="00513A89"/>
    <w:rsid w:val="00513B7E"/>
    <w:rsid w:val="005140DE"/>
    <w:rsid w:val="00514474"/>
    <w:rsid w:val="005147E9"/>
    <w:rsid w:val="0051507D"/>
    <w:rsid w:val="0051593C"/>
    <w:rsid w:val="0051668A"/>
    <w:rsid w:val="00516CF6"/>
    <w:rsid w:val="00516F2B"/>
    <w:rsid w:val="00517567"/>
    <w:rsid w:val="0051778E"/>
    <w:rsid w:val="005177BB"/>
    <w:rsid w:val="005215EF"/>
    <w:rsid w:val="00521CFC"/>
    <w:rsid w:val="00522795"/>
    <w:rsid w:val="00522F36"/>
    <w:rsid w:val="00524637"/>
    <w:rsid w:val="0052495F"/>
    <w:rsid w:val="00524FDD"/>
    <w:rsid w:val="00525137"/>
    <w:rsid w:val="005251DD"/>
    <w:rsid w:val="005257A8"/>
    <w:rsid w:val="00526A54"/>
    <w:rsid w:val="00526D50"/>
    <w:rsid w:val="00526DB6"/>
    <w:rsid w:val="00527F5A"/>
    <w:rsid w:val="005300CB"/>
    <w:rsid w:val="0053017A"/>
    <w:rsid w:val="0053030C"/>
    <w:rsid w:val="00530492"/>
    <w:rsid w:val="005308E4"/>
    <w:rsid w:val="005325A8"/>
    <w:rsid w:val="00532854"/>
    <w:rsid w:val="005350F2"/>
    <w:rsid w:val="00535152"/>
    <w:rsid w:val="00535359"/>
    <w:rsid w:val="005357A2"/>
    <w:rsid w:val="005359E3"/>
    <w:rsid w:val="00535D87"/>
    <w:rsid w:val="00535EF0"/>
    <w:rsid w:val="00535F78"/>
    <w:rsid w:val="005363DF"/>
    <w:rsid w:val="005369CF"/>
    <w:rsid w:val="0053734B"/>
    <w:rsid w:val="005375B1"/>
    <w:rsid w:val="00537AFD"/>
    <w:rsid w:val="00537CB4"/>
    <w:rsid w:val="00540CB3"/>
    <w:rsid w:val="00540D25"/>
    <w:rsid w:val="005412E0"/>
    <w:rsid w:val="00541822"/>
    <w:rsid w:val="00542D19"/>
    <w:rsid w:val="00543989"/>
    <w:rsid w:val="005440E1"/>
    <w:rsid w:val="0054516B"/>
    <w:rsid w:val="0054531C"/>
    <w:rsid w:val="0054559E"/>
    <w:rsid w:val="005459BD"/>
    <w:rsid w:val="00546833"/>
    <w:rsid w:val="0054787A"/>
    <w:rsid w:val="00551147"/>
    <w:rsid w:val="00551259"/>
    <w:rsid w:val="005513D5"/>
    <w:rsid w:val="00551A4F"/>
    <w:rsid w:val="00552112"/>
    <w:rsid w:val="005523B9"/>
    <w:rsid w:val="005538E2"/>
    <w:rsid w:val="00553C88"/>
    <w:rsid w:val="005545E0"/>
    <w:rsid w:val="00554865"/>
    <w:rsid w:val="00554E57"/>
    <w:rsid w:val="00556C12"/>
    <w:rsid w:val="00557E6A"/>
    <w:rsid w:val="00562749"/>
    <w:rsid w:val="00562DE9"/>
    <w:rsid w:val="0056303C"/>
    <w:rsid w:val="00563270"/>
    <w:rsid w:val="005638A5"/>
    <w:rsid w:val="00564137"/>
    <w:rsid w:val="00566381"/>
    <w:rsid w:val="00566A03"/>
    <w:rsid w:val="00571932"/>
    <w:rsid w:val="00573A00"/>
    <w:rsid w:val="00573C97"/>
    <w:rsid w:val="00574240"/>
    <w:rsid w:val="005743B4"/>
    <w:rsid w:val="0057454C"/>
    <w:rsid w:val="005752BD"/>
    <w:rsid w:val="005752EB"/>
    <w:rsid w:val="005755FE"/>
    <w:rsid w:val="0057569E"/>
    <w:rsid w:val="00575CDC"/>
    <w:rsid w:val="005765D5"/>
    <w:rsid w:val="00576A3E"/>
    <w:rsid w:val="0057703D"/>
    <w:rsid w:val="005807D6"/>
    <w:rsid w:val="00581892"/>
    <w:rsid w:val="0058366F"/>
    <w:rsid w:val="00583D5B"/>
    <w:rsid w:val="00583FFD"/>
    <w:rsid w:val="00585EFE"/>
    <w:rsid w:val="00587CCD"/>
    <w:rsid w:val="005908AE"/>
    <w:rsid w:val="00590CDE"/>
    <w:rsid w:val="0059176E"/>
    <w:rsid w:val="00592854"/>
    <w:rsid w:val="00593152"/>
    <w:rsid w:val="005934CE"/>
    <w:rsid w:val="00593CA3"/>
    <w:rsid w:val="00593D14"/>
    <w:rsid w:val="00593ECE"/>
    <w:rsid w:val="00594161"/>
    <w:rsid w:val="00594969"/>
    <w:rsid w:val="00594B91"/>
    <w:rsid w:val="00595035"/>
    <w:rsid w:val="005959ED"/>
    <w:rsid w:val="00595C7C"/>
    <w:rsid w:val="0059649D"/>
    <w:rsid w:val="00596601"/>
    <w:rsid w:val="00596C5E"/>
    <w:rsid w:val="005A038A"/>
    <w:rsid w:val="005A198E"/>
    <w:rsid w:val="005A1FEE"/>
    <w:rsid w:val="005A20D8"/>
    <w:rsid w:val="005A2194"/>
    <w:rsid w:val="005A21E0"/>
    <w:rsid w:val="005A3210"/>
    <w:rsid w:val="005A33A1"/>
    <w:rsid w:val="005A3687"/>
    <w:rsid w:val="005A54EE"/>
    <w:rsid w:val="005A563B"/>
    <w:rsid w:val="005A5F82"/>
    <w:rsid w:val="005A61D1"/>
    <w:rsid w:val="005A6CD0"/>
    <w:rsid w:val="005A6E85"/>
    <w:rsid w:val="005A7500"/>
    <w:rsid w:val="005A77E4"/>
    <w:rsid w:val="005A77F6"/>
    <w:rsid w:val="005A7896"/>
    <w:rsid w:val="005B0262"/>
    <w:rsid w:val="005B0B4C"/>
    <w:rsid w:val="005B0B8F"/>
    <w:rsid w:val="005B1BDB"/>
    <w:rsid w:val="005B22A7"/>
    <w:rsid w:val="005B2BAA"/>
    <w:rsid w:val="005B2D53"/>
    <w:rsid w:val="005B3247"/>
    <w:rsid w:val="005B3409"/>
    <w:rsid w:val="005B498A"/>
    <w:rsid w:val="005B513A"/>
    <w:rsid w:val="005B52AE"/>
    <w:rsid w:val="005B6E77"/>
    <w:rsid w:val="005B75C7"/>
    <w:rsid w:val="005B7B12"/>
    <w:rsid w:val="005C16CB"/>
    <w:rsid w:val="005C21D6"/>
    <w:rsid w:val="005C27C5"/>
    <w:rsid w:val="005C3F9F"/>
    <w:rsid w:val="005C406F"/>
    <w:rsid w:val="005C40BA"/>
    <w:rsid w:val="005C419C"/>
    <w:rsid w:val="005C4A23"/>
    <w:rsid w:val="005C562C"/>
    <w:rsid w:val="005C571E"/>
    <w:rsid w:val="005C5812"/>
    <w:rsid w:val="005C5885"/>
    <w:rsid w:val="005C6400"/>
    <w:rsid w:val="005C76F1"/>
    <w:rsid w:val="005C7F1E"/>
    <w:rsid w:val="005D0341"/>
    <w:rsid w:val="005D073B"/>
    <w:rsid w:val="005D11D2"/>
    <w:rsid w:val="005D1E78"/>
    <w:rsid w:val="005D1EDA"/>
    <w:rsid w:val="005D25B4"/>
    <w:rsid w:val="005D374F"/>
    <w:rsid w:val="005D5802"/>
    <w:rsid w:val="005D6CFC"/>
    <w:rsid w:val="005D73E2"/>
    <w:rsid w:val="005D7503"/>
    <w:rsid w:val="005D757A"/>
    <w:rsid w:val="005D76AE"/>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06"/>
    <w:rsid w:val="005E75B8"/>
    <w:rsid w:val="005F0976"/>
    <w:rsid w:val="005F26CE"/>
    <w:rsid w:val="005F38D3"/>
    <w:rsid w:val="005F393C"/>
    <w:rsid w:val="005F3F04"/>
    <w:rsid w:val="005F4057"/>
    <w:rsid w:val="005F4088"/>
    <w:rsid w:val="005F42F4"/>
    <w:rsid w:val="005F49ED"/>
    <w:rsid w:val="005F4C83"/>
    <w:rsid w:val="005F5628"/>
    <w:rsid w:val="005F5916"/>
    <w:rsid w:val="005F5A4E"/>
    <w:rsid w:val="005F5F61"/>
    <w:rsid w:val="005F601D"/>
    <w:rsid w:val="005F6119"/>
    <w:rsid w:val="005F7940"/>
    <w:rsid w:val="00600712"/>
    <w:rsid w:val="0060091A"/>
    <w:rsid w:val="0060107A"/>
    <w:rsid w:val="00601AFF"/>
    <w:rsid w:val="00602D1D"/>
    <w:rsid w:val="00603A13"/>
    <w:rsid w:val="00604307"/>
    <w:rsid w:val="0060487F"/>
    <w:rsid w:val="00604CF7"/>
    <w:rsid w:val="00605419"/>
    <w:rsid w:val="00605814"/>
    <w:rsid w:val="00606B93"/>
    <w:rsid w:val="00607727"/>
    <w:rsid w:val="00607934"/>
    <w:rsid w:val="00610BD5"/>
    <w:rsid w:val="00611363"/>
    <w:rsid w:val="00611531"/>
    <w:rsid w:val="006118AA"/>
    <w:rsid w:val="0061196F"/>
    <w:rsid w:val="00611C28"/>
    <w:rsid w:val="006122F3"/>
    <w:rsid w:val="00612E84"/>
    <w:rsid w:val="006139C7"/>
    <w:rsid w:val="00615023"/>
    <w:rsid w:val="006150EA"/>
    <w:rsid w:val="006153E3"/>
    <w:rsid w:val="006155F1"/>
    <w:rsid w:val="006167AB"/>
    <w:rsid w:val="0061718A"/>
    <w:rsid w:val="00617D2D"/>
    <w:rsid w:val="00617D83"/>
    <w:rsid w:val="00620430"/>
    <w:rsid w:val="00620AC5"/>
    <w:rsid w:val="00621575"/>
    <w:rsid w:val="006215FC"/>
    <w:rsid w:val="00624093"/>
    <w:rsid w:val="006260B8"/>
    <w:rsid w:val="00626576"/>
    <w:rsid w:val="00627F1F"/>
    <w:rsid w:val="0063030A"/>
    <w:rsid w:val="006305C4"/>
    <w:rsid w:val="00630E82"/>
    <w:rsid w:val="00630F66"/>
    <w:rsid w:val="00631FC2"/>
    <w:rsid w:val="00632171"/>
    <w:rsid w:val="0063332A"/>
    <w:rsid w:val="00633729"/>
    <w:rsid w:val="00633C64"/>
    <w:rsid w:val="006347F9"/>
    <w:rsid w:val="0063494E"/>
    <w:rsid w:val="00634C90"/>
    <w:rsid w:val="00635818"/>
    <w:rsid w:val="00635E79"/>
    <w:rsid w:val="006365E8"/>
    <w:rsid w:val="00636A55"/>
    <w:rsid w:val="00636A84"/>
    <w:rsid w:val="00636E26"/>
    <w:rsid w:val="00636E5E"/>
    <w:rsid w:val="00637211"/>
    <w:rsid w:val="006379E0"/>
    <w:rsid w:val="00637D0E"/>
    <w:rsid w:val="006404A7"/>
    <w:rsid w:val="006407F3"/>
    <w:rsid w:val="006408EC"/>
    <w:rsid w:val="0064129B"/>
    <w:rsid w:val="00641DF7"/>
    <w:rsid w:val="00643497"/>
    <w:rsid w:val="00643735"/>
    <w:rsid w:val="00643A80"/>
    <w:rsid w:val="00644DFC"/>
    <w:rsid w:val="006451E4"/>
    <w:rsid w:val="006454B4"/>
    <w:rsid w:val="0064574A"/>
    <w:rsid w:val="00645A9C"/>
    <w:rsid w:val="006460B8"/>
    <w:rsid w:val="00646448"/>
    <w:rsid w:val="006467D0"/>
    <w:rsid w:val="00646B41"/>
    <w:rsid w:val="006504A0"/>
    <w:rsid w:val="00650784"/>
    <w:rsid w:val="00650C83"/>
    <w:rsid w:val="006520C7"/>
    <w:rsid w:val="006520D5"/>
    <w:rsid w:val="00652179"/>
    <w:rsid w:val="00652CBB"/>
    <w:rsid w:val="00652CF0"/>
    <w:rsid w:val="006530B8"/>
    <w:rsid w:val="006535D6"/>
    <w:rsid w:val="00654093"/>
    <w:rsid w:val="00654E14"/>
    <w:rsid w:val="006564FB"/>
    <w:rsid w:val="00656716"/>
    <w:rsid w:val="006572ED"/>
    <w:rsid w:val="00657E87"/>
    <w:rsid w:val="0066026B"/>
    <w:rsid w:val="00660457"/>
    <w:rsid w:val="00660CB4"/>
    <w:rsid w:val="00660E1E"/>
    <w:rsid w:val="006637B1"/>
    <w:rsid w:val="00663CFD"/>
    <w:rsid w:val="006647AD"/>
    <w:rsid w:val="00664B64"/>
    <w:rsid w:val="00665691"/>
    <w:rsid w:val="00665B35"/>
    <w:rsid w:val="00665D67"/>
    <w:rsid w:val="00665D77"/>
    <w:rsid w:val="006660CD"/>
    <w:rsid w:val="00666883"/>
    <w:rsid w:val="00666B1D"/>
    <w:rsid w:val="00666EC8"/>
    <w:rsid w:val="00666F4B"/>
    <w:rsid w:val="006676D0"/>
    <w:rsid w:val="0066796E"/>
    <w:rsid w:val="00670FAC"/>
    <w:rsid w:val="006710C9"/>
    <w:rsid w:val="006716A5"/>
    <w:rsid w:val="006717CC"/>
    <w:rsid w:val="006743E8"/>
    <w:rsid w:val="00675E37"/>
    <w:rsid w:val="00675E9B"/>
    <w:rsid w:val="00675F0F"/>
    <w:rsid w:val="006764ED"/>
    <w:rsid w:val="00676AFC"/>
    <w:rsid w:val="00676F11"/>
    <w:rsid w:val="00680079"/>
    <w:rsid w:val="00680ECC"/>
    <w:rsid w:val="00680F68"/>
    <w:rsid w:val="0068260E"/>
    <w:rsid w:val="0068373D"/>
    <w:rsid w:val="00683BFE"/>
    <w:rsid w:val="00683EAB"/>
    <w:rsid w:val="00683EC9"/>
    <w:rsid w:val="0068437D"/>
    <w:rsid w:val="006847C5"/>
    <w:rsid w:val="006857DF"/>
    <w:rsid w:val="00685E66"/>
    <w:rsid w:val="00686B72"/>
    <w:rsid w:val="00686BF1"/>
    <w:rsid w:val="006873E5"/>
    <w:rsid w:val="00687AE5"/>
    <w:rsid w:val="00690A09"/>
    <w:rsid w:val="00690A25"/>
    <w:rsid w:val="00691748"/>
    <w:rsid w:val="00691E14"/>
    <w:rsid w:val="0069340D"/>
    <w:rsid w:val="006936AD"/>
    <w:rsid w:val="00693EA1"/>
    <w:rsid w:val="00693FEA"/>
    <w:rsid w:val="00694930"/>
    <w:rsid w:val="00695170"/>
    <w:rsid w:val="00695BEF"/>
    <w:rsid w:val="006960D6"/>
    <w:rsid w:val="006963FB"/>
    <w:rsid w:val="00696AA5"/>
    <w:rsid w:val="006977F6"/>
    <w:rsid w:val="0069789D"/>
    <w:rsid w:val="00697A13"/>
    <w:rsid w:val="006A109C"/>
    <w:rsid w:val="006A14D5"/>
    <w:rsid w:val="006A1582"/>
    <w:rsid w:val="006A18AE"/>
    <w:rsid w:val="006A23E5"/>
    <w:rsid w:val="006A288C"/>
    <w:rsid w:val="006A2EE8"/>
    <w:rsid w:val="006A3CF3"/>
    <w:rsid w:val="006A4522"/>
    <w:rsid w:val="006A568F"/>
    <w:rsid w:val="006A5B57"/>
    <w:rsid w:val="006A65EF"/>
    <w:rsid w:val="006A672B"/>
    <w:rsid w:val="006A683F"/>
    <w:rsid w:val="006A7257"/>
    <w:rsid w:val="006B1781"/>
    <w:rsid w:val="006B1913"/>
    <w:rsid w:val="006B23A9"/>
    <w:rsid w:val="006B23D8"/>
    <w:rsid w:val="006B281D"/>
    <w:rsid w:val="006B3F8A"/>
    <w:rsid w:val="006B5152"/>
    <w:rsid w:val="006B59D7"/>
    <w:rsid w:val="006B5CA3"/>
    <w:rsid w:val="006B6171"/>
    <w:rsid w:val="006B6B3B"/>
    <w:rsid w:val="006B7248"/>
    <w:rsid w:val="006B7714"/>
    <w:rsid w:val="006B78D8"/>
    <w:rsid w:val="006B797F"/>
    <w:rsid w:val="006B7CCE"/>
    <w:rsid w:val="006C090F"/>
    <w:rsid w:val="006C0935"/>
    <w:rsid w:val="006C0BCE"/>
    <w:rsid w:val="006C0E9E"/>
    <w:rsid w:val="006C113F"/>
    <w:rsid w:val="006C1AA9"/>
    <w:rsid w:val="006C1CE7"/>
    <w:rsid w:val="006C20A0"/>
    <w:rsid w:val="006C2927"/>
    <w:rsid w:val="006C2AED"/>
    <w:rsid w:val="006C38DD"/>
    <w:rsid w:val="006C3DC1"/>
    <w:rsid w:val="006C457F"/>
    <w:rsid w:val="006C53C7"/>
    <w:rsid w:val="006C5577"/>
    <w:rsid w:val="006C559A"/>
    <w:rsid w:val="006C586D"/>
    <w:rsid w:val="006C58FA"/>
    <w:rsid w:val="006C6197"/>
    <w:rsid w:val="006C7A7B"/>
    <w:rsid w:val="006C7D09"/>
    <w:rsid w:val="006D004F"/>
    <w:rsid w:val="006D042D"/>
    <w:rsid w:val="006D06EF"/>
    <w:rsid w:val="006D07EC"/>
    <w:rsid w:val="006D1418"/>
    <w:rsid w:val="006D142E"/>
    <w:rsid w:val="006D231B"/>
    <w:rsid w:val="006D3976"/>
    <w:rsid w:val="006D3B87"/>
    <w:rsid w:val="006D4497"/>
    <w:rsid w:val="006D4E6F"/>
    <w:rsid w:val="006D61F6"/>
    <w:rsid w:val="006D710C"/>
    <w:rsid w:val="006D7297"/>
    <w:rsid w:val="006E0EB0"/>
    <w:rsid w:val="006E182C"/>
    <w:rsid w:val="006E1F4C"/>
    <w:rsid w:val="006E22C8"/>
    <w:rsid w:val="006E279A"/>
    <w:rsid w:val="006E2C28"/>
    <w:rsid w:val="006E2F3F"/>
    <w:rsid w:val="006E2F44"/>
    <w:rsid w:val="006E313B"/>
    <w:rsid w:val="006E394C"/>
    <w:rsid w:val="006E4368"/>
    <w:rsid w:val="006E442A"/>
    <w:rsid w:val="006E4434"/>
    <w:rsid w:val="006E4A1B"/>
    <w:rsid w:val="006E59FC"/>
    <w:rsid w:val="006E5CFD"/>
    <w:rsid w:val="006E5FC4"/>
    <w:rsid w:val="006E635B"/>
    <w:rsid w:val="006E642F"/>
    <w:rsid w:val="006E76BE"/>
    <w:rsid w:val="006E7E2C"/>
    <w:rsid w:val="006F0D32"/>
    <w:rsid w:val="006F0E00"/>
    <w:rsid w:val="006F1326"/>
    <w:rsid w:val="006F1553"/>
    <w:rsid w:val="006F1DDD"/>
    <w:rsid w:val="006F2280"/>
    <w:rsid w:val="006F2BEE"/>
    <w:rsid w:val="006F32FF"/>
    <w:rsid w:val="006F3708"/>
    <w:rsid w:val="006F376C"/>
    <w:rsid w:val="006F3A90"/>
    <w:rsid w:val="006F3E6B"/>
    <w:rsid w:val="006F440D"/>
    <w:rsid w:val="006F4619"/>
    <w:rsid w:val="006F4A59"/>
    <w:rsid w:val="006F5693"/>
    <w:rsid w:val="006F6968"/>
    <w:rsid w:val="00700232"/>
    <w:rsid w:val="00701382"/>
    <w:rsid w:val="007014C7"/>
    <w:rsid w:val="00702100"/>
    <w:rsid w:val="00702358"/>
    <w:rsid w:val="00702D6F"/>
    <w:rsid w:val="007031C6"/>
    <w:rsid w:val="00703B6C"/>
    <w:rsid w:val="00703C6B"/>
    <w:rsid w:val="00703CFE"/>
    <w:rsid w:val="007047D5"/>
    <w:rsid w:val="00705A91"/>
    <w:rsid w:val="00705D98"/>
    <w:rsid w:val="00707891"/>
    <w:rsid w:val="00707D43"/>
    <w:rsid w:val="00710F7C"/>
    <w:rsid w:val="00711398"/>
    <w:rsid w:val="00711970"/>
    <w:rsid w:val="00711EF1"/>
    <w:rsid w:val="0071229A"/>
    <w:rsid w:val="00712572"/>
    <w:rsid w:val="00712691"/>
    <w:rsid w:val="00713495"/>
    <w:rsid w:val="00713EEB"/>
    <w:rsid w:val="007142C1"/>
    <w:rsid w:val="0071479D"/>
    <w:rsid w:val="00715487"/>
    <w:rsid w:val="00715504"/>
    <w:rsid w:val="007159D2"/>
    <w:rsid w:val="00716DCC"/>
    <w:rsid w:val="00717726"/>
    <w:rsid w:val="0072050E"/>
    <w:rsid w:val="00720958"/>
    <w:rsid w:val="00720FA2"/>
    <w:rsid w:val="007211F5"/>
    <w:rsid w:val="00722985"/>
    <w:rsid w:val="007240C5"/>
    <w:rsid w:val="00724666"/>
    <w:rsid w:val="00724E80"/>
    <w:rsid w:val="00725492"/>
    <w:rsid w:val="007256B7"/>
    <w:rsid w:val="00726043"/>
    <w:rsid w:val="007260C3"/>
    <w:rsid w:val="007265C6"/>
    <w:rsid w:val="0072671B"/>
    <w:rsid w:val="0072704A"/>
    <w:rsid w:val="007273DC"/>
    <w:rsid w:val="007279B9"/>
    <w:rsid w:val="00727F9F"/>
    <w:rsid w:val="00730AE8"/>
    <w:rsid w:val="00730BBC"/>
    <w:rsid w:val="007315DA"/>
    <w:rsid w:val="00731963"/>
    <w:rsid w:val="00732706"/>
    <w:rsid w:val="0073325D"/>
    <w:rsid w:val="00733C96"/>
    <w:rsid w:val="0073402C"/>
    <w:rsid w:val="00734321"/>
    <w:rsid w:val="00734597"/>
    <w:rsid w:val="00735044"/>
    <w:rsid w:val="0073532E"/>
    <w:rsid w:val="00735B01"/>
    <w:rsid w:val="007367F6"/>
    <w:rsid w:val="00740310"/>
    <w:rsid w:val="00740652"/>
    <w:rsid w:val="00740F02"/>
    <w:rsid w:val="00740FEC"/>
    <w:rsid w:val="0074132E"/>
    <w:rsid w:val="00741493"/>
    <w:rsid w:val="0074240C"/>
    <w:rsid w:val="007426B3"/>
    <w:rsid w:val="007426FD"/>
    <w:rsid w:val="007430AB"/>
    <w:rsid w:val="007430BF"/>
    <w:rsid w:val="0074329D"/>
    <w:rsid w:val="00744376"/>
    <w:rsid w:val="007449EA"/>
    <w:rsid w:val="00744D00"/>
    <w:rsid w:val="00744D2B"/>
    <w:rsid w:val="00745273"/>
    <w:rsid w:val="00745650"/>
    <w:rsid w:val="00745F3C"/>
    <w:rsid w:val="00746DD9"/>
    <w:rsid w:val="00747459"/>
    <w:rsid w:val="0075057A"/>
    <w:rsid w:val="00751771"/>
    <w:rsid w:val="00751C1C"/>
    <w:rsid w:val="00752180"/>
    <w:rsid w:val="007521A1"/>
    <w:rsid w:val="0075274D"/>
    <w:rsid w:val="00752BC3"/>
    <w:rsid w:val="0075315D"/>
    <w:rsid w:val="007538F9"/>
    <w:rsid w:val="00753AFD"/>
    <w:rsid w:val="00754253"/>
    <w:rsid w:val="007552BB"/>
    <w:rsid w:val="007558D3"/>
    <w:rsid w:val="007559D7"/>
    <w:rsid w:val="00755D3A"/>
    <w:rsid w:val="00755EA0"/>
    <w:rsid w:val="00760141"/>
    <w:rsid w:val="007609C6"/>
    <w:rsid w:val="00760C01"/>
    <w:rsid w:val="007610A0"/>
    <w:rsid w:val="00762036"/>
    <w:rsid w:val="007620F2"/>
    <w:rsid w:val="0076290D"/>
    <w:rsid w:val="00762EBA"/>
    <w:rsid w:val="0076359D"/>
    <w:rsid w:val="00763A13"/>
    <w:rsid w:val="00763D86"/>
    <w:rsid w:val="00766109"/>
    <w:rsid w:val="00766F78"/>
    <w:rsid w:val="0076719C"/>
    <w:rsid w:val="0077058D"/>
    <w:rsid w:val="00770931"/>
    <w:rsid w:val="00770FA7"/>
    <w:rsid w:val="00772536"/>
    <w:rsid w:val="00773613"/>
    <w:rsid w:val="0077430F"/>
    <w:rsid w:val="00774782"/>
    <w:rsid w:val="00776476"/>
    <w:rsid w:val="00776527"/>
    <w:rsid w:val="00777DB1"/>
    <w:rsid w:val="007805E1"/>
    <w:rsid w:val="00780DDF"/>
    <w:rsid w:val="0078113E"/>
    <w:rsid w:val="00781834"/>
    <w:rsid w:val="00781EBB"/>
    <w:rsid w:val="007821DB"/>
    <w:rsid w:val="00782235"/>
    <w:rsid w:val="00782818"/>
    <w:rsid w:val="007838F1"/>
    <w:rsid w:val="007841BB"/>
    <w:rsid w:val="00784C4A"/>
    <w:rsid w:val="00784DCA"/>
    <w:rsid w:val="00785C7A"/>
    <w:rsid w:val="00787432"/>
    <w:rsid w:val="00787507"/>
    <w:rsid w:val="0078778C"/>
    <w:rsid w:val="007879F2"/>
    <w:rsid w:val="00790164"/>
    <w:rsid w:val="00790393"/>
    <w:rsid w:val="007904B2"/>
    <w:rsid w:val="00790C15"/>
    <w:rsid w:val="00791804"/>
    <w:rsid w:val="0079197F"/>
    <w:rsid w:val="00791CF8"/>
    <w:rsid w:val="00791EF9"/>
    <w:rsid w:val="00792262"/>
    <w:rsid w:val="00793387"/>
    <w:rsid w:val="00793BAE"/>
    <w:rsid w:val="007941C3"/>
    <w:rsid w:val="00794870"/>
    <w:rsid w:val="00794E0A"/>
    <w:rsid w:val="00795B04"/>
    <w:rsid w:val="0079638B"/>
    <w:rsid w:val="00796642"/>
    <w:rsid w:val="00797354"/>
    <w:rsid w:val="007A11D9"/>
    <w:rsid w:val="007A327B"/>
    <w:rsid w:val="007A36DE"/>
    <w:rsid w:val="007A4048"/>
    <w:rsid w:val="007A45B1"/>
    <w:rsid w:val="007A4606"/>
    <w:rsid w:val="007A4D58"/>
    <w:rsid w:val="007A5039"/>
    <w:rsid w:val="007A6772"/>
    <w:rsid w:val="007A684C"/>
    <w:rsid w:val="007A74B4"/>
    <w:rsid w:val="007A796D"/>
    <w:rsid w:val="007B04E8"/>
    <w:rsid w:val="007B0920"/>
    <w:rsid w:val="007B0D67"/>
    <w:rsid w:val="007B0F90"/>
    <w:rsid w:val="007B1966"/>
    <w:rsid w:val="007B2257"/>
    <w:rsid w:val="007B22E6"/>
    <w:rsid w:val="007B2779"/>
    <w:rsid w:val="007B2AF7"/>
    <w:rsid w:val="007B2F37"/>
    <w:rsid w:val="007B3DCC"/>
    <w:rsid w:val="007B4518"/>
    <w:rsid w:val="007B4EEC"/>
    <w:rsid w:val="007B5031"/>
    <w:rsid w:val="007B573F"/>
    <w:rsid w:val="007B70B8"/>
    <w:rsid w:val="007B72AC"/>
    <w:rsid w:val="007B78F8"/>
    <w:rsid w:val="007C0065"/>
    <w:rsid w:val="007C010B"/>
    <w:rsid w:val="007C29B0"/>
    <w:rsid w:val="007C3289"/>
    <w:rsid w:val="007C32B6"/>
    <w:rsid w:val="007C3AE3"/>
    <w:rsid w:val="007C3C8E"/>
    <w:rsid w:val="007C5363"/>
    <w:rsid w:val="007C5E52"/>
    <w:rsid w:val="007C605B"/>
    <w:rsid w:val="007C6557"/>
    <w:rsid w:val="007C6EA2"/>
    <w:rsid w:val="007C6EBA"/>
    <w:rsid w:val="007C75CA"/>
    <w:rsid w:val="007C7BAC"/>
    <w:rsid w:val="007C7CC5"/>
    <w:rsid w:val="007D0ACF"/>
    <w:rsid w:val="007D2749"/>
    <w:rsid w:val="007D2A5A"/>
    <w:rsid w:val="007D2AD8"/>
    <w:rsid w:val="007D2C47"/>
    <w:rsid w:val="007D2C61"/>
    <w:rsid w:val="007D2DA3"/>
    <w:rsid w:val="007D2F81"/>
    <w:rsid w:val="007D3167"/>
    <w:rsid w:val="007D329F"/>
    <w:rsid w:val="007D3A2C"/>
    <w:rsid w:val="007D3CF7"/>
    <w:rsid w:val="007D4128"/>
    <w:rsid w:val="007D4281"/>
    <w:rsid w:val="007D42F5"/>
    <w:rsid w:val="007D44C3"/>
    <w:rsid w:val="007D5947"/>
    <w:rsid w:val="007D65C1"/>
    <w:rsid w:val="007D7936"/>
    <w:rsid w:val="007E030F"/>
    <w:rsid w:val="007E0D49"/>
    <w:rsid w:val="007E0E59"/>
    <w:rsid w:val="007E0F4B"/>
    <w:rsid w:val="007E12C1"/>
    <w:rsid w:val="007E15E9"/>
    <w:rsid w:val="007E1EF7"/>
    <w:rsid w:val="007E20C0"/>
    <w:rsid w:val="007E34F7"/>
    <w:rsid w:val="007E3715"/>
    <w:rsid w:val="007E4996"/>
    <w:rsid w:val="007E5036"/>
    <w:rsid w:val="007E5880"/>
    <w:rsid w:val="007E5F3D"/>
    <w:rsid w:val="007E61FF"/>
    <w:rsid w:val="007E6588"/>
    <w:rsid w:val="007E7063"/>
    <w:rsid w:val="007E7E61"/>
    <w:rsid w:val="007F0316"/>
    <w:rsid w:val="007F0845"/>
    <w:rsid w:val="007F0DF6"/>
    <w:rsid w:val="007F1092"/>
    <w:rsid w:val="007F16F9"/>
    <w:rsid w:val="007F2801"/>
    <w:rsid w:val="007F2BF6"/>
    <w:rsid w:val="007F3E3E"/>
    <w:rsid w:val="007F42E0"/>
    <w:rsid w:val="007F45FF"/>
    <w:rsid w:val="007F500D"/>
    <w:rsid w:val="007F5F14"/>
    <w:rsid w:val="007F61D3"/>
    <w:rsid w:val="007F646D"/>
    <w:rsid w:val="007F69EE"/>
    <w:rsid w:val="007F7B54"/>
    <w:rsid w:val="007F7C60"/>
    <w:rsid w:val="00800073"/>
    <w:rsid w:val="008001F0"/>
    <w:rsid w:val="008005D7"/>
    <w:rsid w:val="00801547"/>
    <w:rsid w:val="00801D15"/>
    <w:rsid w:val="00801FDD"/>
    <w:rsid w:val="008020C2"/>
    <w:rsid w:val="00802386"/>
    <w:rsid w:val="0080255C"/>
    <w:rsid w:val="008054FB"/>
    <w:rsid w:val="0080585A"/>
    <w:rsid w:val="00806088"/>
    <w:rsid w:val="00806D07"/>
    <w:rsid w:val="0081019B"/>
    <w:rsid w:val="00810971"/>
    <w:rsid w:val="0081187C"/>
    <w:rsid w:val="00811E24"/>
    <w:rsid w:val="008120C5"/>
    <w:rsid w:val="00812386"/>
    <w:rsid w:val="00812984"/>
    <w:rsid w:val="00812E2B"/>
    <w:rsid w:val="00813A70"/>
    <w:rsid w:val="00813CB4"/>
    <w:rsid w:val="00813DB0"/>
    <w:rsid w:val="00813FE6"/>
    <w:rsid w:val="00814833"/>
    <w:rsid w:val="00814965"/>
    <w:rsid w:val="00815B82"/>
    <w:rsid w:val="00815C6E"/>
    <w:rsid w:val="00815DD0"/>
    <w:rsid w:val="00815F10"/>
    <w:rsid w:val="0081645F"/>
    <w:rsid w:val="00816A28"/>
    <w:rsid w:val="00816DDF"/>
    <w:rsid w:val="008174A3"/>
    <w:rsid w:val="00817755"/>
    <w:rsid w:val="00817865"/>
    <w:rsid w:val="008178C2"/>
    <w:rsid w:val="008178CF"/>
    <w:rsid w:val="00817BBE"/>
    <w:rsid w:val="00817C98"/>
    <w:rsid w:val="00820C9F"/>
    <w:rsid w:val="00821AAE"/>
    <w:rsid w:val="00821C4A"/>
    <w:rsid w:val="00821CEB"/>
    <w:rsid w:val="00821FF6"/>
    <w:rsid w:val="00823AAF"/>
    <w:rsid w:val="00824081"/>
    <w:rsid w:val="0082409A"/>
    <w:rsid w:val="00824626"/>
    <w:rsid w:val="008252D7"/>
    <w:rsid w:val="008259CC"/>
    <w:rsid w:val="00825C0F"/>
    <w:rsid w:val="00826376"/>
    <w:rsid w:val="00826ED1"/>
    <w:rsid w:val="00827181"/>
    <w:rsid w:val="0082733C"/>
    <w:rsid w:val="00827746"/>
    <w:rsid w:val="00827D56"/>
    <w:rsid w:val="0083102D"/>
    <w:rsid w:val="0083143E"/>
    <w:rsid w:val="0083159D"/>
    <w:rsid w:val="008318FF"/>
    <w:rsid w:val="00831E95"/>
    <w:rsid w:val="00832187"/>
    <w:rsid w:val="00832493"/>
    <w:rsid w:val="008328C9"/>
    <w:rsid w:val="008329BD"/>
    <w:rsid w:val="008334C3"/>
    <w:rsid w:val="008336D8"/>
    <w:rsid w:val="008339C4"/>
    <w:rsid w:val="00834B56"/>
    <w:rsid w:val="00834F0A"/>
    <w:rsid w:val="00834FAA"/>
    <w:rsid w:val="00835181"/>
    <w:rsid w:val="00835991"/>
    <w:rsid w:val="00836086"/>
    <w:rsid w:val="00837566"/>
    <w:rsid w:val="00837871"/>
    <w:rsid w:val="0084002E"/>
    <w:rsid w:val="00840458"/>
    <w:rsid w:val="00840699"/>
    <w:rsid w:val="00841D9F"/>
    <w:rsid w:val="00842078"/>
    <w:rsid w:val="00842604"/>
    <w:rsid w:val="008434B0"/>
    <w:rsid w:val="00843ECF"/>
    <w:rsid w:val="0084535E"/>
    <w:rsid w:val="00845A11"/>
    <w:rsid w:val="00845AB1"/>
    <w:rsid w:val="00846673"/>
    <w:rsid w:val="00846891"/>
    <w:rsid w:val="008508A9"/>
    <w:rsid w:val="00851087"/>
    <w:rsid w:val="0085188D"/>
    <w:rsid w:val="008518D8"/>
    <w:rsid w:val="0085220C"/>
    <w:rsid w:val="008525F9"/>
    <w:rsid w:val="0085281A"/>
    <w:rsid w:val="00853C0F"/>
    <w:rsid w:val="00853F33"/>
    <w:rsid w:val="008548EA"/>
    <w:rsid w:val="008550EA"/>
    <w:rsid w:val="008559FE"/>
    <w:rsid w:val="0085686D"/>
    <w:rsid w:val="00857339"/>
    <w:rsid w:val="00860706"/>
    <w:rsid w:val="00861C98"/>
    <w:rsid w:val="00862A7A"/>
    <w:rsid w:val="00862FBD"/>
    <w:rsid w:val="00863104"/>
    <w:rsid w:val="008636CD"/>
    <w:rsid w:val="00863702"/>
    <w:rsid w:val="00863D9E"/>
    <w:rsid w:val="00863FDC"/>
    <w:rsid w:val="008642AF"/>
    <w:rsid w:val="00864B5A"/>
    <w:rsid w:val="00864F00"/>
    <w:rsid w:val="00865286"/>
    <w:rsid w:val="00865729"/>
    <w:rsid w:val="0086590D"/>
    <w:rsid w:val="00865EA8"/>
    <w:rsid w:val="00865ED4"/>
    <w:rsid w:val="008669A7"/>
    <w:rsid w:val="00867464"/>
    <w:rsid w:val="00867B8F"/>
    <w:rsid w:val="00867D15"/>
    <w:rsid w:val="00867E29"/>
    <w:rsid w:val="00870F2B"/>
    <w:rsid w:val="00873B2E"/>
    <w:rsid w:val="00874097"/>
    <w:rsid w:val="008746E6"/>
    <w:rsid w:val="0087515D"/>
    <w:rsid w:val="00875740"/>
    <w:rsid w:val="0087594C"/>
    <w:rsid w:val="00876086"/>
    <w:rsid w:val="008765FA"/>
    <w:rsid w:val="008768D6"/>
    <w:rsid w:val="008775D1"/>
    <w:rsid w:val="008777BB"/>
    <w:rsid w:val="00877D68"/>
    <w:rsid w:val="00877E5D"/>
    <w:rsid w:val="00880150"/>
    <w:rsid w:val="00880ABA"/>
    <w:rsid w:val="00880F23"/>
    <w:rsid w:val="008810BB"/>
    <w:rsid w:val="00883A67"/>
    <w:rsid w:val="00883D45"/>
    <w:rsid w:val="00884519"/>
    <w:rsid w:val="00884D69"/>
    <w:rsid w:val="0088503D"/>
    <w:rsid w:val="00885620"/>
    <w:rsid w:val="00885EC6"/>
    <w:rsid w:val="008869D2"/>
    <w:rsid w:val="00886A8F"/>
    <w:rsid w:val="0088733A"/>
    <w:rsid w:val="008901CC"/>
    <w:rsid w:val="0089061C"/>
    <w:rsid w:val="00891251"/>
    <w:rsid w:val="00891BE0"/>
    <w:rsid w:val="008929A0"/>
    <w:rsid w:val="00893269"/>
    <w:rsid w:val="00893302"/>
    <w:rsid w:val="00893648"/>
    <w:rsid w:val="00893D05"/>
    <w:rsid w:val="00893D83"/>
    <w:rsid w:val="00893F0C"/>
    <w:rsid w:val="00893F3C"/>
    <w:rsid w:val="008945A1"/>
    <w:rsid w:val="00894A63"/>
    <w:rsid w:val="00894F71"/>
    <w:rsid w:val="00895A54"/>
    <w:rsid w:val="008963A7"/>
    <w:rsid w:val="00896776"/>
    <w:rsid w:val="00896874"/>
    <w:rsid w:val="00896916"/>
    <w:rsid w:val="00896BDE"/>
    <w:rsid w:val="0089763E"/>
    <w:rsid w:val="008A03DE"/>
    <w:rsid w:val="008A0861"/>
    <w:rsid w:val="008A0BB2"/>
    <w:rsid w:val="008A1AB3"/>
    <w:rsid w:val="008A1D5C"/>
    <w:rsid w:val="008A2890"/>
    <w:rsid w:val="008A3292"/>
    <w:rsid w:val="008A3A85"/>
    <w:rsid w:val="008A43E9"/>
    <w:rsid w:val="008A4CB1"/>
    <w:rsid w:val="008A5F34"/>
    <w:rsid w:val="008A615E"/>
    <w:rsid w:val="008A632B"/>
    <w:rsid w:val="008A6720"/>
    <w:rsid w:val="008A6BFE"/>
    <w:rsid w:val="008A6F21"/>
    <w:rsid w:val="008A6F3F"/>
    <w:rsid w:val="008A6F67"/>
    <w:rsid w:val="008A73DA"/>
    <w:rsid w:val="008B00C2"/>
    <w:rsid w:val="008B04A0"/>
    <w:rsid w:val="008B05E8"/>
    <w:rsid w:val="008B07EF"/>
    <w:rsid w:val="008B16DE"/>
    <w:rsid w:val="008B190E"/>
    <w:rsid w:val="008B1A8A"/>
    <w:rsid w:val="008B1FC9"/>
    <w:rsid w:val="008B4EEA"/>
    <w:rsid w:val="008B531F"/>
    <w:rsid w:val="008B54A3"/>
    <w:rsid w:val="008B5F41"/>
    <w:rsid w:val="008B634C"/>
    <w:rsid w:val="008B6B67"/>
    <w:rsid w:val="008B7306"/>
    <w:rsid w:val="008B775F"/>
    <w:rsid w:val="008B77D1"/>
    <w:rsid w:val="008B7C02"/>
    <w:rsid w:val="008B7D13"/>
    <w:rsid w:val="008B7F9E"/>
    <w:rsid w:val="008C034E"/>
    <w:rsid w:val="008C0E88"/>
    <w:rsid w:val="008C1399"/>
    <w:rsid w:val="008C18A5"/>
    <w:rsid w:val="008C1AA8"/>
    <w:rsid w:val="008C22A8"/>
    <w:rsid w:val="008C4DBA"/>
    <w:rsid w:val="008C5B43"/>
    <w:rsid w:val="008C63FD"/>
    <w:rsid w:val="008C6CB8"/>
    <w:rsid w:val="008C6D92"/>
    <w:rsid w:val="008C777A"/>
    <w:rsid w:val="008C7815"/>
    <w:rsid w:val="008C7A07"/>
    <w:rsid w:val="008C7E90"/>
    <w:rsid w:val="008C7EB3"/>
    <w:rsid w:val="008D0171"/>
    <w:rsid w:val="008D0632"/>
    <w:rsid w:val="008D0A23"/>
    <w:rsid w:val="008D0E3B"/>
    <w:rsid w:val="008D13EA"/>
    <w:rsid w:val="008D21DE"/>
    <w:rsid w:val="008D2671"/>
    <w:rsid w:val="008D2A16"/>
    <w:rsid w:val="008D2ECF"/>
    <w:rsid w:val="008D347D"/>
    <w:rsid w:val="008D3F3D"/>
    <w:rsid w:val="008D4376"/>
    <w:rsid w:val="008D4F04"/>
    <w:rsid w:val="008D51E9"/>
    <w:rsid w:val="008D5BAD"/>
    <w:rsid w:val="008D699D"/>
    <w:rsid w:val="008E0367"/>
    <w:rsid w:val="008E2DCD"/>
    <w:rsid w:val="008E308D"/>
    <w:rsid w:val="008E31FF"/>
    <w:rsid w:val="008E3B0F"/>
    <w:rsid w:val="008E46A3"/>
    <w:rsid w:val="008E5DE6"/>
    <w:rsid w:val="008E5E90"/>
    <w:rsid w:val="008E6113"/>
    <w:rsid w:val="008E6AB3"/>
    <w:rsid w:val="008E6AD3"/>
    <w:rsid w:val="008E6EBD"/>
    <w:rsid w:val="008E71A6"/>
    <w:rsid w:val="008E77B6"/>
    <w:rsid w:val="008E7C55"/>
    <w:rsid w:val="008F032E"/>
    <w:rsid w:val="008F062F"/>
    <w:rsid w:val="008F0F14"/>
    <w:rsid w:val="008F1638"/>
    <w:rsid w:val="008F1723"/>
    <w:rsid w:val="008F2097"/>
    <w:rsid w:val="008F2F44"/>
    <w:rsid w:val="008F352D"/>
    <w:rsid w:val="008F3F1C"/>
    <w:rsid w:val="008F4FCE"/>
    <w:rsid w:val="008F5301"/>
    <w:rsid w:val="008F6967"/>
    <w:rsid w:val="008F6A0C"/>
    <w:rsid w:val="008F6F38"/>
    <w:rsid w:val="008F7721"/>
    <w:rsid w:val="008F7D28"/>
    <w:rsid w:val="009003A8"/>
    <w:rsid w:val="009010A7"/>
    <w:rsid w:val="009010E3"/>
    <w:rsid w:val="00901703"/>
    <w:rsid w:val="00901AF3"/>
    <w:rsid w:val="0090229C"/>
    <w:rsid w:val="00902CBE"/>
    <w:rsid w:val="00902D74"/>
    <w:rsid w:val="00902EFF"/>
    <w:rsid w:val="00902FAC"/>
    <w:rsid w:val="00903E06"/>
    <w:rsid w:val="009045D1"/>
    <w:rsid w:val="00904B9D"/>
    <w:rsid w:val="009057D4"/>
    <w:rsid w:val="00905A11"/>
    <w:rsid w:val="00905FE8"/>
    <w:rsid w:val="009066E1"/>
    <w:rsid w:val="00906F67"/>
    <w:rsid w:val="00907A41"/>
    <w:rsid w:val="00910098"/>
    <w:rsid w:val="009102BD"/>
    <w:rsid w:val="00910F93"/>
    <w:rsid w:val="00910FBC"/>
    <w:rsid w:val="00911E3B"/>
    <w:rsid w:val="0091255A"/>
    <w:rsid w:val="00914426"/>
    <w:rsid w:val="0091561A"/>
    <w:rsid w:val="0091675F"/>
    <w:rsid w:val="00917709"/>
    <w:rsid w:val="00917918"/>
    <w:rsid w:val="00920874"/>
    <w:rsid w:val="00921F14"/>
    <w:rsid w:val="009227C6"/>
    <w:rsid w:val="0092347C"/>
    <w:rsid w:val="00923750"/>
    <w:rsid w:val="009243A5"/>
    <w:rsid w:val="0092465F"/>
    <w:rsid w:val="0092500F"/>
    <w:rsid w:val="009250D2"/>
    <w:rsid w:val="0092519D"/>
    <w:rsid w:val="0092540B"/>
    <w:rsid w:val="009256C5"/>
    <w:rsid w:val="00925A21"/>
    <w:rsid w:val="00926283"/>
    <w:rsid w:val="009306BE"/>
    <w:rsid w:val="00930CD7"/>
    <w:rsid w:val="0093161F"/>
    <w:rsid w:val="009339FD"/>
    <w:rsid w:val="00934836"/>
    <w:rsid w:val="00934963"/>
    <w:rsid w:val="00936ECA"/>
    <w:rsid w:val="00937320"/>
    <w:rsid w:val="00937B11"/>
    <w:rsid w:val="00940F1F"/>
    <w:rsid w:val="00941250"/>
    <w:rsid w:val="00941339"/>
    <w:rsid w:val="0094396E"/>
    <w:rsid w:val="0094427A"/>
    <w:rsid w:val="00944380"/>
    <w:rsid w:val="00945904"/>
    <w:rsid w:val="009459C5"/>
    <w:rsid w:val="009459DE"/>
    <w:rsid w:val="00945E5E"/>
    <w:rsid w:val="0094626C"/>
    <w:rsid w:val="00946552"/>
    <w:rsid w:val="0095013A"/>
    <w:rsid w:val="00953AEF"/>
    <w:rsid w:val="00954FC3"/>
    <w:rsid w:val="009551E2"/>
    <w:rsid w:val="00955783"/>
    <w:rsid w:val="009558A6"/>
    <w:rsid w:val="00955E5F"/>
    <w:rsid w:val="009560B0"/>
    <w:rsid w:val="009564B2"/>
    <w:rsid w:val="00956F23"/>
    <w:rsid w:val="009576AC"/>
    <w:rsid w:val="00957871"/>
    <w:rsid w:val="00960077"/>
    <w:rsid w:val="00960769"/>
    <w:rsid w:val="00960D56"/>
    <w:rsid w:val="00962D2E"/>
    <w:rsid w:val="00963724"/>
    <w:rsid w:val="00963D22"/>
    <w:rsid w:val="00964498"/>
    <w:rsid w:val="0096504D"/>
    <w:rsid w:val="00965795"/>
    <w:rsid w:val="00965A2D"/>
    <w:rsid w:val="009663EB"/>
    <w:rsid w:val="0096650F"/>
    <w:rsid w:val="00967801"/>
    <w:rsid w:val="00967AD2"/>
    <w:rsid w:val="00967AE9"/>
    <w:rsid w:val="009700DB"/>
    <w:rsid w:val="0097040B"/>
    <w:rsid w:val="00971DC6"/>
    <w:rsid w:val="00971DD6"/>
    <w:rsid w:val="00972263"/>
    <w:rsid w:val="0097242E"/>
    <w:rsid w:val="00972502"/>
    <w:rsid w:val="00972D8D"/>
    <w:rsid w:val="00973A9E"/>
    <w:rsid w:val="00973AAE"/>
    <w:rsid w:val="00974236"/>
    <w:rsid w:val="009742F7"/>
    <w:rsid w:val="0097476C"/>
    <w:rsid w:val="00974923"/>
    <w:rsid w:val="00974D48"/>
    <w:rsid w:val="00974D5F"/>
    <w:rsid w:val="00975017"/>
    <w:rsid w:val="009759DF"/>
    <w:rsid w:val="009777B3"/>
    <w:rsid w:val="00977A4D"/>
    <w:rsid w:val="00980373"/>
    <w:rsid w:val="00980621"/>
    <w:rsid w:val="0098095B"/>
    <w:rsid w:val="00982072"/>
    <w:rsid w:val="009821FE"/>
    <w:rsid w:val="009833FA"/>
    <w:rsid w:val="00983ACF"/>
    <w:rsid w:val="00983DBB"/>
    <w:rsid w:val="00983ECF"/>
    <w:rsid w:val="00985157"/>
    <w:rsid w:val="00986208"/>
    <w:rsid w:val="00986745"/>
    <w:rsid w:val="00986746"/>
    <w:rsid w:val="009867BC"/>
    <w:rsid w:val="009869C4"/>
    <w:rsid w:val="009870EF"/>
    <w:rsid w:val="00987109"/>
    <w:rsid w:val="00987309"/>
    <w:rsid w:val="00987351"/>
    <w:rsid w:val="0099012D"/>
    <w:rsid w:val="00990363"/>
    <w:rsid w:val="00991266"/>
    <w:rsid w:val="00991952"/>
    <w:rsid w:val="009928AE"/>
    <w:rsid w:val="00993BE6"/>
    <w:rsid w:val="00993D9C"/>
    <w:rsid w:val="00993F56"/>
    <w:rsid w:val="00994835"/>
    <w:rsid w:val="0099483E"/>
    <w:rsid w:val="009954FF"/>
    <w:rsid w:val="0099571E"/>
    <w:rsid w:val="00995E2F"/>
    <w:rsid w:val="009961BC"/>
    <w:rsid w:val="00996355"/>
    <w:rsid w:val="00997301"/>
    <w:rsid w:val="0099788F"/>
    <w:rsid w:val="00997ADD"/>
    <w:rsid w:val="00997CDD"/>
    <w:rsid w:val="009A05A2"/>
    <w:rsid w:val="009A1374"/>
    <w:rsid w:val="009A13FA"/>
    <w:rsid w:val="009A1EA4"/>
    <w:rsid w:val="009A2014"/>
    <w:rsid w:val="009A2030"/>
    <w:rsid w:val="009A3A87"/>
    <w:rsid w:val="009A4E12"/>
    <w:rsid w:val="009A5003"/>
    <w:rsid w:val="009A5C68"/>
    <w:rsid w:val="009A5DE2"/>
    <w:rsid w:val="009A6EF7"/>
    <w:rsid w:val="009B04D0"/>
    <w:rsid w:val="009B052C"/>
    <w:rsid w:val="009B0676"/>
    <w:rsid w:val="009B0975"/>
    <w:rsid w:val="009B0EF2"/>
    <w:rsid w:val="009B19B8"/>
    <w:rsid w:val="009B23A3"/>
    <w:rsid w:val="009B25CE"/>
    <w:rsid w:val="009B2C0E"/>
    <w:rsid w:val="009B4925"/>
    <w:rsid w:val="009B4B4B"/>
    <w:rsid w:val="009B4BD4"/>
    <w:rsid w:val="009B4CE3"/>
    <w:rsid w:val="009B6342"/>
    <w:rsid w:val="009B6FD3"/>
    <w:rsid w:val="009B70BD"/>
    <w:rsid w:val="009C07A5"/>
    <w:rsid w:val="009C0CD4"/>
    <w:rsid w:val="009C24A3"/>
    <w:rsid w:val="009C3705"/>
    <w:rsid w:val="009C6215"/>
    <w:rsid w:val="009C7388"/>
    <w:rsid w:val="009C74C2"/>
    <w:rsid w:val="009D0CFF"/>
    <w:rsid w:val="009D1551"/>
    <w:rsid w:val="009D2859"/>
    <w:rsid w:val="009D36EC"/>
    <w:rsid w:val="009D3757"/>
    <w:rsid w:val="009D3CD0"/>
    <w:rsid w:val="009D3E88"/>
    <w:rsid w:val="009D4076"/>
    <w:rsid w:val="009D4173"/>
    <w:rsid w:val="009D51CA"/>
    <w:rsid w:val="009D6095"/>
    <w:rsid w:val="009D6306"/>
    <w:rsid w:val="009D6727"/>
    <w:rsid w:val="009E048A"/>
    <w:rsid w:val="009E1124"/>
    <w:rsid w:val="009E1FBA"/>
    <w:rsid w:val="009E2C54"/>
    <w:rsid w:val="009E3710"/>
    <w:rsid w:val="009E6F65"/>
    <w:rsid w:val="009E72A1"/>
    <w:rsid w:val="009E7340"/>
    <w:rsid w:val="009E7B1F"/>
    <w:rsid w:val="009F07B5"/>
    <w:rsid w:val="009F346F"/>
    <w:rsid w:val="009F371A"/>
    <w:rsid w:val="009F3F25"/>
    <w:rsid w:val="009F3FC3"/>
    <w:rsid w:val="009F41C4"/>
    <w:rsid w:val="009F5846"/>
    <w:rsid w:val="009F63D2"/>
    <w:rsid w:val="009F777A"/>
    <w:rsid w:val="009F7B52"/>
    <w:rsid w:val="009F7D77"/>
    <w:rsid w:val="00A004D2"/>
    <w:rsid w:val="00A015EA"/>
    <w:rsid w:val="00A0172C"/>
    <w:rsid w:val="00A02610"/>
    <w:rsid w:val="00A03343"/>
    <w:rsid w:val="00A03965"/>
    <w:rsid w:val="00A03B8A"/>
    <w:rsid w:val="00A05B91"/>
    <w:rsid w:val="00A06B3D"/>
    <w:rsid w:val="00A07BB0"/>
    <w:rsid w:val="00A10D66"/>
    <w:rsid w:val="00A12BA8"/>
    <w:rsid w:val="00A133F2"/>
    <w:rsid w:val="00A138D7"/>
    <w:rsid w:val="00A13993"/>
    <w:rsid w:val="00A14081"/>
    <w:rsid w:val="00A1420C"/>
    <w:rsid w:val="00A1456C"/>
    <w:rsid w:val="00A14821"/>
    <w:rsid w:val="00A14C9D"/>
    <w:rsid w:val="00A15B39"/>
    <w:rsid w:val="00A17754"/>
    <w:rsid w:val="00A2055B"/>
    <w:rsid w:val="00A20E22"/>
    <w:rsid w:val="00A219FE"/>
    <w:rsid w:val="00A22210"/>
    <w:rsid w:val="00A2253C"/>
    <w:rsid w:val="00A23545"/>
    <w:rsid w:val="00A23A55"/>
    <w:rsid w:val="00A23E43"/>
    <w:rsid w:val="00A23EF0"/>
    <w:rsid w:val="00A243A3"/>
    <w:rsid w:val="00A24F8C"/>
    <w:rsid w:val="00A262BF"/>
    <w:rsid w:val="00A264F5"/>
    <w:rsid w:val="00A271AD"/>
    <w:rsid w:val="00A276D5"/>
    <w:rsid w:val="00A27D2E"/>
    <w:rsid w:val="00A301C5"/>
    <w:rsid w:val="00A30336"/>
    <w:rsid w:val="00A30BB5"/>
    <w:rsid w:val="00A3128F"/>
    <w:rsid w:val="00A326D0"/>
    <w:rsid w:val="00A33C9A"/>
    <w:rsid w:val="00A348DC"/>
    <w:rsid w:val="00A35287"/>
    <w:rsid w:val="00A355F2"/>
    <w:rsid w:val="00A35CB2"/>
    <w:rsid w:val="00A37201"/>
    <w:rsid w:val="00A37229"/>
    <w:rsid w:val="00A375DE"/>
    <w:rsid w:val="00A378F8"/>
    <w:rsid w:val="00A40965"/>
    <w:rsid w:val="00A40B19"/>
    <w:rsid w:val="00A40F56"/>
    <w:rsid w:val="00A41D07"/>
    <w:rsid w:val="00A424F8"/>
    <w:rsid w:val="00A42883"/>
    <w:rsid w:val="00A437B7"/>
    <w:rsid w:val="00A43EA2"/>
    <w:rsid w:val="00A45E2F"/>
    <w:rsid w:val="00A46C70"/>
    <w:rsid w:val="00A46D48"/>
    <w:rsid w:val="00A46DE0"/>
    <w:rsid w:val="00A4778A"/>
    <w:rsid w:val="00A47C94"/>
    <w:rsid w:val="00A504C0"/>
    <w:rsid w:val="00A5067F"/>
    <w:rsid w:val="00A517C1"/>
    <w:rsid w:val="00A518E0"/>
    <w:rsid w:val="00A529C8"/>
    <w:rsid w:val="00A5408A"/>
    <w:rsid w:val="00A5421F"/>
    <w:rsid w:val="00A5430D"/>
    <w:rsid w:val="00A55301"/>
    <w:rsid w:val="00A572FB"/>
    <w:rsid w:val="00A57B3C"/>
    <w:rsid w:val="00A57E77"/>
    <w:rsid w:val="00A57F1B"/>
    <w:rsid w:val="00A600D2"/>
    <w:rsid w:val="00A60383"/>
    <w:rsid w:val="00A6128E"/>
    <w:rsid w:val="00A614EB"/>
    <w:rsid w:val="00A62CE1"/>
    <w:rsid w:val="00A631FA"/>
    <w:rsid w:val="00A63517"/>
    <w:rsid w:val="00A64203"/>
    <w:rsid w:val="00A64348"/>
    <w:rsid w:val="00A644E1"/>
    <w:rsid w:val="00A65A2B"/>
    <w:rsid w:val="00A67641"/>
    <w:rsid w:val="00A6766C"/>
    <w:rsid w:val="00A70765"/>
    <w:rsid w:val="00A711B0"/>
    <w:rsid w:val="00A71279"/>
    <w:rsid w:val="00A721FB"/>
    <w:rsid w:val="00A727BA"/>
    <w:rsid w:val="00A72CA4"/>
    <w:rsid w:val="00A72D4B"/>
    <w:rsid w:val="00A732AE"/>
    <w:rsid w:val="00A738E8"/>
    <w:rsid w:val="00A74192"/>
    <w:rsid w:val="00A750EB"/>
    <w:rsid w:val="00A75837"/>
    <w:rsid w:val="00A75E40"/>
    <w:rsid w:val="00A76B12"/>
    <w:rsid w:val="00A76EF2"/>
    <w:rsid w:val="00A7727E"/>
    <w:rsid w:val="00A77EB2"/>
    <w:rsid w:val="00A803A1"/>
    <w:rsid w:val="00A81094"/>
    <w:rsid w:val="00A827B4"/>
    <w:rsid w:val="00A82B66"/>
    <w:rsid w:val="00A82C52"/>
    <w:rsid w:val="00A83798"/>
    <w:rsid w:val="00A83914"/>
    <w:rsid w:val="00A83B58"/>
    <w:rsid w:val="00A84D59"/>
    <w:rsid w:val="00A84D7D"/>
    <w:rsid w:val="00A84FAF"/>
    <w:rsid w:val="00A85100"/>
    <w:rsid w:val="00A851B6"/>
    <w:rsid w:val="00A851ED"/>
    <w:rsid w:val="00A85729"/>
    <w:rsid w:val="00A8574B"/>
    <w:rsid w:val="00A857C0"/>
    <w:rsid w:val="00A85F5E"/>
    <w:rsid w:val="00A90343"/>
    <w:rsid w:val="00A9082A"/>
    <w:rsid w:val="00A90B8B"/>
    <w:rsid w:val="00A91336"/>
    <w:rsid w:val="00A9221C"/>
    <w:rsid w:val="00A92277"/>
    <w:rsid w:val="00A92916"/>
    <w:rsid w:val="00A929D1"/>
    <w:rsid w:val="00A92B4C"/>
    <w:rsid w:val="00A9334B"/>
    <w:rsid w:val="00A94628"/>
    <w:rsid w:val="00A94954"/>
    <w:rsid w:val="00A9497A"/>
    <w:rsid w:val="00A949A6"/>
    <w:rsid w:val="00A95545"/>
    <w:rsid w:val="00A95AAE"/>
    <w:rsid w:val="00A95AF3"/>
    <w:rsid w:val="00A96241"/>
    <w:rsid w:val="00A96463"/>
    <w:rsid w:val="00A96F21"/>
    <w:rsid w:val="00A97E3F"/>
    <w:rsid w:val="00A97EC0"/>
    <w:rsid w:val="00AA09D3"/>
    <w:rsid w:val="00AA0CDE"/>
    <w:rsid w:val="00AA1034"/>
    <w:rsid w:val="00AA1356"/>
    <w:rsid w:val="00AA220F"/>
    <w:rsid w:val="00AA23FB"/>
    <w:rsid w:val="00AA34FE"/>
    <w:rsid w:val="00AA42AB"/>
    <w:rsid w:val="00AA4A76"/>
    <w:rsid w:val="00AA50E5"/>
    <w:rsid w:val="00AA559A"/>
    <w:rsid w:val="00AA57A4"/>
    <w:rsid w:val="00AA5F10"/>
    <w:rsid w:val="00AA6FA8"/>
    <w:rsid w:val="00AA7C35"/>
    <w:rsid w:val="00AB0BB9"/>
    <w:rsid w:val="00AB104D"/>
    <w:rsid w:val="00AB1441"/>
    <w:rsid w:val="00AB1653"/>
    <w:rsid w:val="00AB2AF1"/>
    <w:rsid w:val="00AB440B"/>
    <w:rsid w:val="00AB47E3"/>
    <w:rsid w:val="00AB74C5"/>
    <w:rsid w:val="00AB75A7"/>
    <w:rsid w:val="00AB7BEE"/>
    <w:rsid w:val="00AB7DF2"/>
    <w:rsid w:val="00AC0725"/>
    <w:rsid w:val="00AC0B14"/>
    <w:rsid w:val="00AC1E3F"/>
    <w:rsid w:val="00AC20EB"/>
    <w:rsid w:val="00AC219A"/>
    <w:rsid w:val="00AC2CE1"/>
    <w:rsid w:val="00AC3D02"/>
    <w:rsid w:val="00AC49B5"/>
    <w:rsid w:val="00AC4F18"/>
    <w:rsid w:val="00AC5F5B"/>
    <w:rsid w:val="00AC69CA"/>
    <w:rsid w:val="00AC7501"/>
    <w:rsid w:val="00AC79F3"/>
    <w:rsid w:val="00AD0B46"/>
    <w:rsid w:val="00AD1094"/>
    <w:rsid w:val="00AD2565"/>
    <w:rsid w:val="00AD2862"/>
    <w:rsid w:val="00AD306C"/>
    <w:rsid w:val="00AD3111"/>
    <w:rsid w:val="00AD31B8"/>
    <w:rsid w:val="00AD3424"/>
    <w:rsid w:val="00AD3E3F"/>
    <w:rsid w:val="00AD4FEF"/>
    <w:rsid w:val="00AD50D1"/>
    <w:rsid w:val="00AD5414"/>
    <w:rsid w:val="00AD59BB"/>
    <w:rsid w:val="00AD5D68"/>
    <w:rsid w:val="00AD5D71"/>
    <w:rsid w:val="00AD6483"/>
    <w:rsid w:val="00AD675A"/>
    <w:rsid w:val="00AD6A63"/>
    <w:rsid w:val="00AD6BE5"/>
    <w:rsid w:val="00AD6C73"/>
    <w:rsid w:val="00AD7D49"/>
    <w:rsid w:val="00AE06D0"/>
    <w:rsid w:val="00AE1B8A"/>
    <w:rsid w:val="00AE20DF"/>
    <w:rsid w:val="00AE26E1"/>
    <w:rsid w:val="00AE39DC"/>
    <w:rsid w:val="00AE3CDA"/>
    <w:rsid w:val="00AE481D"/>
    <w:rsid w:val="00AE5270"/>
    <w:rsid w:val="00AE608F"/>
    <w:rsid w:val="00AE6734"/>
    <w:rsid w:val="00AE684E"/>
    <w:rsid w:val="00AE7968"/>
    <w:rsid w:val="00AE7B2B"/>
    <w:rsid w:val="00AE7DFF"/>
    <w:rsid w:val="00AF128B"/>
    <w:rsid w:val="00AF13A0"/>
    <w:rsid w:val="00AF1AEA"/>
    <w:rsid w:val="00AF2536"/>
    <w:rsid w:val="00AF2852"/>
    <w:rsid w:val="00AF3225"/>
    <w:rsid w:val="00AF398B"/>
    <w:rsid w:val="00AF4983"/>
    <w:rsid w:val="00AF4A95"/>
    <w:rsid w:val="00AF4B98"/>
    <w:rsid w:val="00AF4CA7"/>
    <w:rsid w:val="00AF518B"/>
    <w:rsid w:val="00AF5275"/>
    <w:rsid w:val="00AF5D62"/>
    <w:rsid w:val="00AF6367"/>
    <w:rsid w:val="00AF6A79"/>
    <w:rsid w:val="00AF6B7C"/>
    <w:rsid w:val="00AF724E"/>
    <w:rsid w:val="00AF73A9"/>
    <w:rsid w:val="00AF7C9B"/>
    <w:rsid w:val="00B013C0"/>
    <w:rsid w:val="00B01436"/>
    <w:rsid w:val="00B0178A"/>
    <w:rsid w:val="00B01C2C"/>
    <w:rsid w:val="00B0231C"/>
    <w:rsid w:val="00B034DC"/>
    <w:rsid w:val="00B05A37"/>
    <w:rsid w:val="00B07372"/>
    <w:rsid w:val="00B079BC"/>
    <w:rsid w:val="00B07C2A"/>
    <w:rsid w:val="00B10100"/>
    <w:rsid w:val="00B1076A"/>
    <w:rsid w:val="00B111CA"/>
    <w:rsid w:val="00B128E5"/>
    <w:rsid w:val="00B13681"/>
    <w:rsid w:val="00B13BCE"/>
    <w:rsid w:val="00B15C1D"/>
    <w:rsid w:val="00B15DCD"/>
    <w:rsid w:val="00B16201"/>
    <w:rsid w:val="00B16796"/>
    <w:rsid w:val="00B17335"/>
    <w:rsid w:val="00B17E71"/>
    <w:rsid w:val="00B17FDE"/>
    <w:rsid w:val="00B208FC"/>
    <w:rsid w:val="00B20C65"/>
    <w:rsid w:val="00B20DF8"/>
    <w:rsid w:val="00B2153E"/>
    <w:rsid w:val="00B21953"/>
    <w:rsid w:val="00B22E17"/>
    <w:rsid w:val="00B2419B"/>
    <w:rsid w:val="00B25567"/>
    <w:rsid w:val="00B25E31"/>
    <w:rsid w:val="00B266C5"/>
    <w:rsid w:val="00B26CDA"/>
    <w:rsid w:val="00B27293"/>
    <w:rsid w:val="00B300E8"/>
    <w:rsid w:val="00B301BB"/>
    <w:rsid w:val="00B30737"/>
    <w:rsid w:val="00B3216D"/>
    <w:rsid w:val="00B321E3"/>
    <w:rsid w:val="00B3229E"/>
    <w:rsid w:val="00B32DDB"/>
    <w:rsid w:val="00B340AD"/>
    <w:rsid w:val="00B3447A"/>
    <w:rsid w:val="00B3448C"/>
    <w:rsid w:val="00B34931"/>
    <w:rsid w:val="00B34FC6"/>
    <w:rsid w:val="00B35174"/>
    <w:rsid w:val="00B35BEA"/>
    <w:rsid w:val="00B365CB"/>
    <w:rsid w:val="00B37915"/>
    <w:rsid w:val="00B3793D"/>
    <w:rsid w:val="00B40879"/>
    <w:rsid w:val="00B41BE6"/>
    <w:rsid w:val="00B42831"/>
    <w:rsid w:val="00B428A4"/>
    <w:rsid w:val="00B428EA"/>
    <w:rsid w:val="00B454B4"/>
    <w:rsid w:val="00B457E7"/>
    <w:rsid w:val="00B45D1B"/>
    <w:rsid w:val="00B45DE5"/>
    <w:rsid w:val="00B461D6"/>
    <w:rsid w:val="00B46248"/>
    <w:rsid w:val="00B46D25"/>
    <w:rsid w:val="00B47430"/>
    <w:rsid w:val="00B4795A"/>
    <w:rsid w:val="00B47AC6"/>
    <w:rsid w:val="00B52D2D"/>
    <w:rsid w:val="00B534EF"/>
    <w:rsid w:val="00B548DA"/>
    <w:rsid w:val="00B54B85"/>
    <w:rsid w:val="00B55BA8"/>
    <w:rsid w:val="00B55F15"/>
    <w:rsid w:val="00B561A6"/>
    <w:rsid w:val="00B56645"/>
    <w:rsid w:val="00B57CC4"/>
    <w:rsid w:val="00B60062"/>
    <w:rsid w:val="00B606B9"/>
    <w:rsid w:val="00B6136C"/>
    <w:rsid w:val="00B62960"/>
    <w:rsid w:val="00B6349B"/>
    <w:rsid w:val="00B63A11"/>
    <w:rsid w:val="00B63FD0"/>
    <w:rsid w:val="00B643EC"/>
    <w:rsid w:val="00B6449F"/>
    <w:rsid w:val="00B6493D"/>
    <w:rsid w:val="00B6553E"/>
    <w:rsid w:val="00B65C84"/>
    <w:rsid w:val="00B6608F"/>
    <w:rsid w:val="00B661F6"/>
    <w:rsid w:val="00B6724D"/>
    <w:rsid w:val="00B67E42"/>
    <w:rsid w:val="00B73180"/>
    <w:rsid w:val="00B74317"/>
    <w:rsid w:val="00B74D75"/>
    <w:rsid w:val="00B75700"/>
    <w:rsid w:val="00B75AAD"/>
    <w:rsid w:val="00B760C1"/>
    <w:rsid w:val="00B76D1E"/>
    <w:rsid w:val="00B77ABC"/>
    <w:rsid w:val="00B77BC8"/>
    <w:rsid w:val="00B77DC3"/>
    <w:rsid w:val="00B77FB7"/>
    <w:rsid w:val="00B800EB"/>
    <w:rsid w:val="00B822D2"/>
    <w:rsid w:val="00B823F1"/>
    <w:rsid w:val="00B831B4"/>
    <w:rsid w:val="00B83CFE"/>
    <w:rsid w:val="00B83D46"/>
    <w:rsid w:val="00B848B8"/>
    <w:rsid w:val="00B84A41"/>
    <w:rsid w:val="00B84D57"/>
    <w:rsid w:val="00B8504B"/>
    <w:rsid w:val="00B853C2"/>
    <w:rsid w:val="00B85689"/>
    <w:rsid w:val="00B8672A"/>
    <w:rsid w:val="00B86748"/>
    <w:rsid w:val="00B86B70"/>
    <w:rsid w:val="00B907EA"/>
    <w:rsid w:val="00B91EC9"/>
    <w:rsid w:val="00B924CA"/>
    <w:rsid w:val="00B92A4B"/>
    <w:rsid w:val="00B92C9D"/>
    <w:rsid w:val="00B93384"/>
    <w:rsid w:val="00B93530"/>
    <w:rsid w:val="00B93616"/>
    <w:rsid w:val="00B94417"/>
    <w:rsid w:val="00B945B0"/>
    <w:rsid w:val="00B945C1"/>
    <w:rsid w:val="00B94DE2"/>
    <w:rsid w:val="00B95566"/>
    <w:rsid w:val="00B95940"/>
    <w:rsid w:val="00B95EF8"/>
    <w:rsid w:val="00B95F50"/>
    <w:rsid w:val="00B96BD9"/>
    <w:rsid w:val="00B979A0"/>
    <w:rsid w:val="00BA094F"/>
    <w:rsid w:val="00BA0DED"/>
    <w:rsid w:val="00BA0F99"/>
    <w:rsid w:val="00BA1EC9"/>
    <w:rsid w:val="00BA622C"/>
    <w:rsid w:val="00BA6D2C"/>
    <w:rsid w:val="00BB0274"/>
    <w:rsid w:val="00BB0B13"/>
    <w:rsid w:val="00BB12AC"/>
    <w:rsid w:val="00BB16AD"/>
    <w:rsid w:val="00BB1CFD"/>
    <w:rsid w:val="00BB2C53"/>
    <w:rsid w:val="00BB32DA"/>
    <w:rsid w:val="00BB3A54"/>
    <w:rsid w:val="00BB4286"/>
    <w:rsid w:val="00BB462A"/>
    <w:rsid w:val="00BB4D26"/>
    <w:rsid w:val="00BB4E21"/>
    <w:rsid w:val="00BB51AF"/>
    <w:rsid w:val="00BB6F86"/>
    <w:rsid w:val="00BB7746"/>
    <w:rsid w:val="00BC10DE"/>
    <w:rsid w:val="00BC22EB"/>
    <w:rsid w:val="00BC26CA"/>
    <w:rsid w:val="00BC6556"/>
    <w:rsid w:val="00BC682B"/>
    <w:rsid w:val="00BC68BA"/>
    <w:rsid w:val="00BC6B04"/>
    <w:rsid w:val="00BC6D27"/>
    <w:rsid w:val="00BD059A"/>
    <w:rsid w:val="00BD08A0"/>
    <w:rsid w:val="00BD0CBB"/>
    <w:rsid w:val="00BD186B"/>
    <w:rsid w:val="00BD1EAC"/>
    <w:rsid w:val="00BD254C"/>
    <w:rsid w:val="00BD3428"/>
    <w:rsid w:val="00BD345F"/>
    <w:rsid w:val="00BD366B"/>
    <w:rsid w:val="00BD5298"/>
    <w:rsid w:val="00BD534C"/>
    <w:rsid w:val="00BD557B"/>
    <w:rsid w:val="00BD55A9"/>
    <w:rsid w:val="00BD56BC"/>
    <w:rsid w:val="00BD5D91"/>
    <w:rsid w:val="00BD6445"/>
    <w:rsid w:val="00BD6526"/>
    <w:rsid w:val="00BD6615"/>
    <w:rsid w:val="00BD6D50"/>
    <w:rsid w:val="00BE0D79"/>
    <w:rsid w:val="00BE0DB0"/>
    <w:rsid w:val="00BE15B9"/>
    <w:rsid w:val="00BE2C15"/>
    <w:rsid w:val="00BE3381"/>
    <w:rsid w:val="00BE3F09"/>
    <w:rsid w:val="00BE670A"/>
    <w:rsid w:val="00BE6906"/>
    <w:rsid w:val="00BE6CA9"/>
    <w:rsid w:val="00BF18F4"/>
    <w:rsid w:val="00BF1907"/>
    <w:rsid w:val="00BF1A69"/>
    <w:rsid w:val="00BF2C67"/>
    <w:rsid w:val="00BF3BC8"/>
    <w:rsid w:val="00BF3DF1"/>
    <w:rsid w:val="00BF3FE5"/>
    <w:rsid w:val="00BF4C31"/>
    <w:rsid w:val="00BF4E57"/>
    <w:rsid w:val="00BF53B8"/>
    <w:rsid w:val="00BF71D5"/>
    <w:rsid w:val="00BF786A"/>
    <w:rsid w:val="00BF7CB8"/>
    <w:rsid w:val="00BF7F08"/>
    <w:rsid w:val="00BF7F28"/>
    <w:rsid w:val="00C00831"/>
    <w:rsid w:val="00C00F20"/>
    <w:rsid w:val="00C01354"/>
    <w:rsid w:val="00C01700"/>
    <w:rsid w:val="00C01B84"/>
    <w:rsid w:val="00C027C8"/>
    <w:rsid w:val="00C034E6"/>
    <w:rsid w:val="00C05715"/>
    <w:rsid w:val="00C05926"/>
    <w:rsid w:val="00C06370"/>
    <w:rsid w:val="00C0784A"/>
    <w:rsid w:val="00C10B28"/>
    <w:rsid w:val="00C10B3B"/>
    <w:rsid w:val="00C10D62"/>
    <w:rsid w:val="00C10FAE"/>
    <w:rsid w:val="00C1135D"/>
    <w:rsid w:val="00C11DAF"/>
    <w:rsid w:val="00C11E1F"/>
    <w:rsid w:val="00C123B4"/>
    <w:rsid w:val="00C12A69"/>
    <w:rsid w:val="00C13150"/>
    <w:rsid w:val="00C13737"/>
    <w:rsid w:val="00C150BE"/>
    <w:rsid w:val="00C158B0"/>
    <w:rsid w:val="00C15A0C"/>
    <w:rsid w:val="00C15CEB"/>
    <w:rsid w:val="00C15DCB"/>
    <w:rsid w:val="00C16208"/>
    <w:rsid w:val="00C1711F"/>
    <w:rsid w:val="00C17AB1"/>
    <w:rsid w:val="00C17BF1"/>
    <w:rsid w:val="00C17E38"/>
    <w:rsid w:val="00C20027"/>
    <w:rsid w:val="00C2038A"/>
    <w:rsid w:val="00C205BF"/>
    <w:rsid w:val="00C20744"/>
    <w:rsid w:val="00C20B1C"/>
    <w:rsid w:val="00C20C4D"/>
    <w:rsid w:val="00C21D46"/>
    <w:rsid w:val="00C21F94"/>
    <w:rsid w:val="00C222A1"/>
    <w:rsid w:val="00C22C59"/>
    <w:rsid w:val="00C23371"/>
    <w:rsid w:val="00C23CBD"/>
    <w:rsid w:val="00C23D22"/>
    <w:rsid w:val="00C2412D"/>
    <w:rsid w:val="00C2463B"/>
    <w:rsid w:val="00C24E77"/>
    <w:rsid w:val="00C2613A"/>
    <w:rsid w:val="00C268AD"/>
    <w:rsid w:val="00C2732D"/>
    <w:rsid w:val="00C273C6"/>
    <w:rsid w:val="00C27913"/>
    <w:rsid w:val="00C3004E"/>
    <w:rsid w:val="00C300C6"/>
    <w:rsid w:val="00C30828"/>
    <w:rsid w:val="00C30924"/>
    <w:rsid w:val="00C31D16"/>
    <w:rsid w:val="00C31DD8"/>
    <w:rsid w:val="00C3271C"/>
    <w:rsid w:val="00C32A35"/>
    <w:rsid w:val="00C336DD"/>
    <w:rsid w:val="00C339DE"/>
    <w:rsid w:val="00C34D57"/>
    <w:rsid w:val="00C34FDE"/>
    <w:rsid w:val="00C35C16"/>
    <w:rsid w:val="00C36EC3"/>
    <w:rsid w:val="00C40E09"/>
    <w:rsid w:val="00C40F81"/>
    <w:rsid w:val="00C41463"/>
    <w:rsid w:val="00C41A06"/>
    <w:rsid w:val="00C41A72"/>
    <w:rsid w:val="00C42D45"/>
    <w:rsid w:val="00C43CB1"/>
    <w:rsid w:val="00C4422D"/>
    <w:rsid w:val="00C44EBB"/>
    <w:rsid w:val="00C466D1"/>
    <w:rsid w:val="00C476C5"/>
    <w:rsid w:val="00C47D7C"/>
    <w:rsid w:val="00C47EB6"/>
    <w:rsid w:val="00C503B0"/>
    <w:rsid w:val="00C511C2"/>
    <w:rsid w:val="00C51D4B"/>
    <w:rsid w:val="00C527C6"/>
    <w:rsid w:val="00C538FC"/>
    <w:rsid w:val="00C53CDB"/>
    <w:rsid w:val="00C53D7B"/>
    <w:rsid w:val="00C53D82"/>
    <w:rsid w:val="00C54748"/>
    <w:rsid w:val="00C553E8"/>
    <w:rsid w:val="00C574CF"/>
    <w:rsid w:val="00C575FB"/>
    <w:rsid w:val="00C60696"/>
    <w:rsid w:val="00C60943"/>
    <w:rsid w:val="00C60EEF"/>
    <w:rsid w:val="00C610C5"/>
    <w:rsid w:val="00C6121D"/>
    <w:rsid w:val="00C615F1"/>
    <w:rsid w:val="00C61627"/>
    <w:rsid w:val="00C6369F"/>
    <w:rsid w:val="00C636C0"/>
    <w:rsid w:val="00C63B1A"/>
    <w:rsid w:val="00C64E60"/>
    <w:rsid w:val="00C6517A"/>
    <w:rsid w:val="00C657A4"/>
    <w:rsid w:val="00C65B84"/>
    <w:rsid w:val="00C66589"/>
    <w:rsid w:val="00C6736C"/>
    <w:rsid w:val="00C7179C"/>
    <w:rsid w:val="00C71A1D"/>
    <w:rsid w:val="00C71EC4"/>
    <w:rsid w:val="00C73ED2"/>
    <w:rsid w:val="00C7410A"/>
    <w:rsid w:val="00C74735"/>
    <w:rsid w:val="00C74791"/>
    <w:rsid w:val="00C7591E"/>
    <w:rsid w:val="00C75C7E"/>
    <w:rsid w:val="00C75C9B"/>
    <w:rsid w:val="00C76425"/>
    <w:rsid w:val="00C76D8E"/>
    <w:rsid w:val="00C77833"/>
    <w:rsid w:val="00C80953"/>
    <w:rsid w:val="00C80C9B"/>
    <w:rsid w:val="00C8180B"/>
    <w:rsid w:val="00C8335E"/>
    <w:rsid w:val="00C83F9C"/>
    <w:rsid w:val="00C844CA"/>
    <w:rsid w:val="00C84CE3"/>
    <w:rsid w:val="00C85614"/>
    <w:rsid w:val="00C86127"/>
    <w:rsid w:val="00C864FB"/>
    <w:rsid w:val="00C86509"/>
    <w:rsid w:val="00C86F39"/>
    <w:rsid w:val="00C9003C"/>
    <w:rsid w:val="00C905B2"/>
    <w:rsid w:val="00C90CF4"/>
    <w:rsid w:val="00C91C19"/>
    <w:rsid w:val="00C92988"/>
    <w:rsid w:val="00C929A0"/>
    <w:rsid w:val="00C930FB"/>
    <w:rsid w:val="00C93389"/>
    <w:rsid w:val="00C937DB"/>
    <w:rsid w:val="00C93F0E"/>
    <w:rsid w:val="00C94519"/>
    <w:rsid w:val="00C94E11"/>
    <w:rsid w:val="00C94E83"/>
    <w:rsid w:val="00C9567E"/>
    <w:rsid w:val="00C9613F"/>
    <w:rsid w:val="00C97038"/>
    <w:rsid w:val="00C9730D"/>
    <w:rsid w:val="00C97D46"/>
    <w:rsid w:val="00CA02B2"/>
    <w:rsid w:val="00CA0883"/>
    <w:rsid w:val="00CA1085"/>
    <w:rsid w:val="00CA140F"/>
    <w:rsid w:val="00CA25C2"/>
    <w:rsid w:val="00CA2BF5"/>
    <w:rsid w:val="00CA37BB"/>
    <w:rsid w:val="00CA37CA"/>
    <w:rsid w:val="00CA39E1"/>
    <w:rsid w:val="00CA5016"/>
    <w:rsid w:val="00CA5724"/>
    <w:rsid w:val="00CA6508"/>
    <w:rsid w:val="00CA6B87"/>
    <w:rsid w:val="00CA6BA1"/>
    <w:rsid w:val="00CA6CD5"/>
    <w:rsid w:val="00CA6D0B"/>
    <w:rsid w:val="00CB158C"/>
    <w:rsid w:val="00CB1910"/>
    <w:rsid w:val="00CB2150"/>
    <w:rsid w:val="00CB289A"/>
    <w:rsid w:val="00CB28EE"/>
    <w:rsid w:val="00CB2B15"/>
    <w:rsid w:val="00CB2EEA"/>
    <w:rsid w:val="00CB39FE"/>
    <w:rsid w:val="00CB43A7"/>
    <w:rsid w:val="00CB49F6"/>
    <w:rsid w:val="00CB4DF1"/>
    <w:rsid w:val="00CB5996"/>
    <w:rsid w:val="00CB6809"/>
    <w:rsid w:val="00CB7452"/>
    <w:rsid w:val="00CC0E10"/>
    <w:rsid w:val="00CC0F96"/>
    <w:rsid w:val="00CC1DAF"/>
    <w:rsid w:val="00CC212E"/>
    <w:rsid w:val="00CC2642"/>
    <w:rsid w:val="00CC2967"/>
    <w:rsid w:val="00CC2A1E"/>
    <w:rsid w:val="00CC2A36"/>
    <w:rsid w:val="00CC2E15"/>
    <w:rsid w:val="00CC30E2"/>
    <w:rsid w:val="00CC3440"/>
    <w:rsid w:val="00CC351B"/>
    <w:rsid w:val="00CC3908"/>
    <w:rsid w:val="00CC4F3D"/>
    <w:rsid w:val="00CC575E"/>
    <w:rsid w:val="00CC62AD"/>
    <w:rsid w:val="00CC6CA2"/>
    <w:rsid w:val="00CC7086"/>
    <w:rsid w:val="00CC7B80"/>
    <w:rsid w:val="00CD0080"/>
    <w:rsid w:val="00CD0779"/>
    <w:rsid w:val="00CD1A5C"/>
    <w:rsid w:val="00CD2B3C"/>
    <w:rsid w:val="00CD2DA6"/>
    <w:rsid w:val="00CD30F6"/>
    <w:rsid w:val="00CD4907"/>
    <w:rsid w:val="00CD4B29"/>
    <w:rsid w:val="00CD5493"/>
    <w:rsid w:val="00CD5FE3"/>
    <w:rsid w:val="00CD6339"/>
    <w:rsid w:val="00CD6607"/>
    <w:rsid w:val="00CD67CA"/>
    <w:rsid w:val="00CD6954"/>
    <w:rsid w:val="00CD6DA3"/>
    <w:rsid w:val="00CD6EF1"/>
    <w:rsid w:val="00CD6FE1"/>
    <w:rsid w:val="00CD7E35"/>
    <w:rsid w:val="00CE0ABC"/>
    <w:rsid w:val="00CE0B0C"/>
    <w:rsid w:val="00CE0CD6"/>
    <w:rsid w:val="00CE1313"/>
    <w:rsid w:val="00CE21C7"/>
    <w:rsid w:val="00CE2682"/>
    <w:rsid w:val="00CE2756"/>
    <w:rsid w:val="00CE29D6"/>
    <w:rsid w:val="00CE31D8"/>
    <w:rsid w:val="00CE442A"/>
    <w:rsid w:val="00CE44CE"/>
    <w:rsid w:val="00CE4DEB"/>
    <w:rsid w:val="00CE57D8"/>
    <w:rsid w:val="00CE5F03"/>
    <w:rsid w:val="00CE617A"/>
    <w:rsid w:val="00CE6E3C"/>
    <w:rsid w:val="00CE7158"/>
    <w:rsid w:val="00CE797F"/>
    <w:rsid w:val="00CF0826"/>
    <w:rsid w:val="00CF107E"/>
    <w:rsid w:val="00CF15BF"/>
    <w:rsid w:val="00CF243E"/>
    <w:rsid w:val="00CF25D2"/>
    <w:rsid w:val="00CF28C2"/>
    <w:rsid w:val="00CF3D3A"/>
    <w:rsid w:val="00CF42BD"/>
    <w:rsid w:val="00CF51EC"/>
    <w:rsid w:val="00CF56A8"/>
    <w:rsid w:val="00CF5BD8"/>
    <w:rsid w:val="00CF6A9D"/>
    <w:rsid w:val="00CF6CD7"/>
    <w:rsid w:val="00CF7276"/>
    <w:rsid w:val="00CF75EC"/>
    <w:rsid w:val="00D002DF"/>
    <w:rsid w:val="00D0037A"/>
    <w:rsid w:val="00D0061E"/>
    <w:rsid w:val="00D00DAF"/>
    <w:rsid w:val="00D017EC"/>
    <w:rsid w:val="00D01CDA"/>
    <w:rsid w:val="00D020FC"/>
    <w:rsid w:val="00D024A1"/>
    <w:rsid w:val="00D03866"/>
    <w:rsid w:val="00D040DD"/>
    <w:rsid w:val="00D04E1B"/>
    <w:rsid w:val="00D0547B"/>
    <w:rsid w:val="00D076DB"/>
    <w:rsid w:val="00D07EFF"/>
    <w:rsid w:val="00D1067C"/>
    <w:rsid w:val="00D110AB"/>
    <w:rsid w:val="00D11102"/>
    <w:rsid w:val="00D11CBB"/>
    <w:rsid w:val="00D132AD"/>
    <w:rsid w:val="00D136D4"/>
    <w:rsid w:val="00D13830"/>
    <w:rsid w:val="00D13ECF"/>
    <w:rsid w:val="00D142E5"/>
    <w:rsid w:val="00D148CD"/>
    <w:rsid w:val="00D14AFA"/>
    <w:rsid w:val="00D155E4"/>
    <w:rsid w:val="00D1611E"/>
    <w:rsid w:val="00D163CC"/>
    <w:rsid w:val="00D16E69"/>
    <w:rsid w:val="00D17F4A"/>
    <w:rsid w:val="00D205A9"/>
    <w:rsid w:val="00D217EE"/>
    <w:rsid w:val="00D24299"/>
    <w:rsid w:val="00D245BA"/>
    <w:rsid w:val="00D248FE"/>
    <w:rsid w:val="00D250C2"/>
    <w:rsid w:val="00D252D6"/>
    <w:rsid w:val="00D2689E"/>
    <w:rsid w:val="00D26923"/>
    <w:rsid w:val="00D26E27"/>
    <w:rsid w:val="00D277FF"/>
    <w:rsid w:val="00D27856"/>
    <w:rsid w:val="00D27D34"/>
    <w:rsid w:val="00D3006B"/>
    <w:rsid w:val="00D301CA"/>
    <w:rsid w:val="00D30740"/>
    <w:rsid w:val="00D309C0"/>
    <w:rsid w:val="00D30DC4"/>
    <w:rsid w:val="00D31075"/>
    <w:rsid w:val="00D31445"/>
    <w:rsid w:val="00D31932"/>
    <w:rsid w:val="00D32AE0"/>
    <w:rsid w:val="00D360DA"/>
    <w:rsid w:val="00D3614A"/>
    <w:rsid w:val="00D369AD"/>
    <w:rsid w:val="00D374B3"/>
    <w:rsid w:val="00D37689"/>
    <w:rsid w:val="00D378CC"/>
    <w:rsid w:val="00D37E80"/>
    <w:rsid w:val="00D4042C"/>
    <w:rsid w:val="00D40B9E"/>
    <w:rsid w:val="00D41281"/>
    <w:rsid w:val="00D41320"/>
    <w:rsid w:val="00D42312"/>
    <w:rsid w:val="00D433F5"/>
    <w:rsid w:val="00D43998"/>
    <w:rsid w:val="00D439C2"/>
    <w:rsid w:val="00D44A1D"/>
    <w:rsid w:val="00D451E0"/>
    <w:rsid w:val="00D4538D"/>
    <w:rsid w:val="00D455F9"/>
    <w:rsid w:val="00D45A1D"/>
    <w:rsid w:val="00D45B52"/>
    <w:rsid w:val="00D4615E"/>
    <w:rsid w:val="00D4651F"/>
    <w:rsid w:val="00D478E2"/>
    <w:rsid w:val="00D51739"/>
    <w:rsid w:val="00D5264C"/>
    <w:rsid w:val="00D53794"/>
    <w:rsid w:val="00D53B5F"/>
    <w:rsid w:val="00D547BA"/>
    <w:rsid w:val="00D55626"/>
    <w:rsid w:val="00D556BC"/>
    <w:rsid w:val="00D5626D"/>
    <w:rsid w:val="00D56631"/>
    <w:rsid w:val="00D56D85"/>
    <w:rsid w:val="00D5759D"/>
    <w:rsid w:val="00D577A4"/>
    <w:rsid w:val="00D57E4B"/>
    <w:rsid w:val="00D60277"/>
    <w:rsid w:val="00D60336"/>
    <w:rsid w:val="00D61B06"/>
    <w:rsid w:val="00D61F88"/>
    <w:rsid w:val="00D623F7"/>
    <w:rsid w:val="00D62688"/>
    <w:rsid w:val="00D62901"/>
    <w:rsid w:val="00D6345E"/>
    <w:rsid w:val="00D6470C"/>
    <w:rsid w:val="00D64853"/>
    <w:rsid w:val="00D64CB5"/>
    <w:rsid w:val="00D66D48"/>
    <w:rsid w:val="00D7162F"/>
    <w:rsid w:val="00D72897"/>
    <w:rsid w:val="00D7305B"/>
    <w:rsid w:val="00D73256"/>
    <w:rsid w:val="00D7383E"/>
    <w:rsid w:val="00D73A30"/>
    <w:rsid w:val="00D73E6F"/>
    <w:rsid w:val="00D73FB6"/>
    <w:rsid w:val="00D74278"/>
    <w:rsid w:val="00D74ABF"/>
    <w:rsid w:val="00D74C65"/>
    <w:rsid w:val="00D74E97"/>
    <w:rsid w:val="00D74F21"/>
    <w:rsid w:val="00D754CE"/>
    <w:rsid w:val="00D758D0"/>
    <w:rsid w:val="00D75DC2"/>
    <w:rsid w:val="00D75DC3"/>
    <w:rsid w:val="00D766EF"/>
    <w:rsid w:val="00D76C03"/>
    <w:rsid w:val="00D77D68"/>
    <w:rsid w:val="00D77E0D"/>
    <w:rsid w:val="00D77F8D"/>
    <w:rsid w:val="00D80A6A"/>
    <w:rsid w:val="00D80E07"/>
    <w:rsid w:val="00D8118B"/>
    <w:rsid w:val="00D8119B"/>
    <w:rsid w:val="00D81B44"/>
    <w:rsid w:val="00D82462"/>
    <w:rsid w:val="00D831C6"/>
    <w:rsid w:val="00D83EF3"/>
    <w:rsid w:val="00D84BD1"/>
    <w:rsid w:val="00D85773"/>
    <w:rsid w:val="00D85886"/>
    <w:rsid w:val="00D85D55"/>
    <w:rsid w:val="00D867A7"/>
    <w:rsid w:val="00D868CE"/>
    <w:rsid w:val="00D86DAE"/>
    <w:rsid w:val="00D875C9"/>
    <w:rsid w:val="00D8776A"/>
    <w:rsid w:val="00D90116"/>
    <w:rsid w:val="00D90C1E"/>
    <w:rsid w:val="00D91BDF"/>
    <w:rsid w:val="00D91F2C"/>
    <w:rsid w:val="00D9266B"/>
    <w:rsid w:val="00D93F09"/>
    <w:rsid w:val="00D94859"/>
    <w:rsid w:val="00D954C2"/>
    <w:rsid w:val="00D95D83"/>
    <w:rsid w:val="00D96368"/>
    <w:rsid w:val="00D9640A"/>
    <w:rsid w:val="00D97AAD"/>
    <w:rsid w:val="00D97BB8"/>
    <w:rsid w:val="00DA1318"/>
    <w:rsid w:val="00DA1382"/>
    <w:rsid w:val="00DA28B7"/>
    <w:rsid w:val="00DA2FE8"/>
    <w:rsid w:val="00DA3F70"/>
    <w:rsid w:val="00DA4AF6"/>
    <w:rsid w:val="00DA649A"/>
    <w:rsid w:val="00DA7AB2"/>
    <w:rsid w:val="00DB016E"/>
    <w:rsid w:val="00DB06E9"/>
    <w:rsid w:val="00DB0870"/>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08E4"/>
    <w:rsid w:val="00DC176E"/>
    <w:rsid w:val="00DC226A"/>
    <w:rsid w:val="00DC257F"/>
    <w:rsid w:val="00DC2A9F"/>
    <w:rsid w:val="00DC2FA9"/>
    <w:rsid w:val="00DC350B"/>
    <w:rsid w:val="00DC3790"/>
    <w:rsid w:val="00DC408A"/>
    <w:rsid w:val="00DC436D"/>
    <w:rsid w:val="00DC519B"/>
    <w:rsid w:val="00DC53D9"/>
    <w:rsid w:val="00DC5B3B"/>
    <w:rsid w:val="00DC60C2"/>
    <w:rsid w:val="00DC6796"/>
    <w:rsid w:val="00DC68E7"/>
    <w:rsid w:val="00DC6CC6"/>
    <w:rsid w:val="00DC78DF"/>
    <w:rsid w:val="00DC7D4C"/>
    <w:rsid w:val="00DD0726"/>
    <w:rsid w:val="00DD0821"/>
    <w:rsid w:val="00DD0E32"/>
    <w:rsid w:val="00DD1878"/>
    <w:rsid w:val="00DD1DC1"/>
    <w:rsid w:val="00DD20FA"/>
    <w:rsid w:val="00DD21F1"/>
    <w:rsid w:val="00DD2670"/>
    <w:rsid w:val="00DD2872"/>
    <w:rsid w:val="00DD2A62"/>
    <w:rsid w:val="00DD2BB1"/>
    <w:rsid w:val="00DD2BD0"/>
    <w:rsid w:val="00DD2BFE"/>
    <w:rsid w:val="00DD36E7"/>
    <w:rsid w:val="00DD373E"/>
    <w:rsid w:val="00DD3867"/>
    <w:rsid w:val="00DD57AD"/>
    <w:rsid w:val="00DD7435"/>
    <w:rsid w:val="00DD7C6D"/>
    <w:rsid w:val="00DE009B"/>
    <w:rsid w:val="00DE08F8"/>
    <w:rsid w:val="00DE0C31"/>
    <w:rsid w:val="00DE0E40"/>
    <w:rsid w:val="00DE1460"/>
    <w:rsid w:val="00DE2ED9"/>
    <w:rsid w:val="00DE319A"/>
    <w:rsid w:val="00DE5AD3"/>
    <w:rsid w:val="00DE6EAC"/>
    <w:rsid w:val="00DE74A8"/>
    <w:rsid w:val="00DE7B69"/>
    <w:rsid w:val="00DF0615"/>
    <w:rsid w:val="00DF0DC3"/>
    <w:rsid w:val="00DF1328"/>
    <w:rsid w:val="00DF18C6"/>
    <w:rsid w:val="00DF1A2F"/>
    <w:rsid w:val="00DF204C"/>
    <w:rsid w:val="00DF2078"/>
    <w:rsid w:val="00DF21FD"/>
    <w:rsid w:val="00DF2873"/>
    <w:rsid w:val="00DF293C"/>
    <w:rsid w:val="00DF330C"/>
    <w:rsid w:val="00DF34B2"/>
    <w:rsid w:val="00DF3A10"/>
    <w:rsid w:val="00DF4C74"/>
    <w:rsid w:val="00DF52AE"/>
    <w:rsid w:val="00DF5578"/>
    <w:rsid w:val="00DF594F"/>
    <w:rsid w:val="00DF6CF8"/>
    <w:rsid w:val="00DF6F6E"/>
    <w:rsid w:val="00DF78DD"/>
    <w:rsid w:val="00DF7FEC"/>
    <w:rsid w:val="00E00CCA"/>
    <w:rsid w:val="00E01B16"/>
    <w:rsid w:val="00E01B6E"/>
    <w:rsid w:val="00E01C0E"/>
    <w:rsid w:val="00E02086"/>
    <w:rsid w:val="00E023BE"/>
    <w:rsid w:val="00E02740"/>
    <w:rsid w:val="00E03B27"/>
    <w:rsid w:val="00E03B58"/>
    <w:rsid w:val="00E04694"/>
    <w:rsid w:val="00E049F6"/>
    <w:rsid w:val="00E04CA9"/>
    <w:rsid w:val="00E05B2B"/>
    <w:rsid w:val="00E05EAD"/>
    <w:rsid w:val="00E065FC"/>
    <w:rsid w:val="00E06A2A"/>
    <w:rsid w:val="00E07F05"/>
    <w:rsid w:val="00E106A2"/>
    <w:rsid w:val="00E127E1"/>
    <w:rsid w:val="00E12BCE"/>
    <w:rsid w:val="00E1409E"/>
    <w:rsid w:val="00E144D2"/>
    <w:rsid w:val="00E144D6"/>
    <w:rsid w:val="00E14A98"/>
    <w:rsid w:val="00E15346"/>
    <w:rsid w:val="00E15B7D"/>
    <w:rsid w:val="00E16157"/>
    <w:rsid w:val="00E17C5F"/>
    <w:rsid w:val="00E2097E"/>
    <w:rsid w:val="00E215EA"/>
    <w:rsid w:val="00E21CAB"/>
    <w:rsid w:val="00E221FC"/>
    <w:rsid w:val="00E222BB"/>
    <w:rsid w:val="00E22782"/>
    <w:rsid w:val="00E22E78"/>
    <w:rsid w:val="00E24619"/>
    <w:rsid w:val="00E24871"/>
    <w:rsid w:val="00E25223"/>
    <w:rsid w:val="00E25999"/>
    <w:rsid w:val="00E26123"/>
    <w:rsid w:val="00E263A8"/>
    <w:rsid w:val="00E30BEA"/>
    <w:rsid w:val="00E31764"/>
    <w:rsid w:val="00E3288A"/>
    <w:rsid w:val="00E329AB"/>
    <w:rsid w:val="00E32BC2"/>
    <w:rsid w:val="00E32DFC"/>
    <w:rsid w:val="00E33313"/>
    <w:rsid w:val="00E3405E"/>
    <w:rsid w:val="00E34985"/>
    <w:rsid w:val="00E34E4A"/>
    <w:rsid w:val="00E365B3"/>
    <w:rsid w:val="00E366BB"/>
    <w:rsid w:val="00E372FD"/>
    <w:rsid w:val="00E37C45"/>
    <w:rsid w:val="00E40844"/>
    <w:rsid w:val="00E40AAA"/>
    <w:rsid w:val="00E4164E"/>
    <w:rsid w:val="00E41A59"/>
    <w:rsid w:val="00E42444"/>
    <w:rsid w:val="00E427EA"/>
    <w:rsid w:val="00E42C77"/>
    <w:rsid w:val="00E42D52"/>
    <w:rsid w:val="00E438CF"/>
    <w:rsid w:val="00E43B06"/>
    <w:rsid w:val="00E43C41"/>
    <w:rsid w:val="00E4500E"/>
    <w:rsid w:val="00E450CE"/>
    <w:rsid w:val="00E45703"/>
    <w:rsid w:val="00E45A00"/>
    <w:rsid w:val="00E45CE7"/>
    <w:rsid w:val="00E4631F"/>
    <w:rsid w:val="00E46735"/>
    <w:rsid w:val="00E46A4A"/>
    <w:rsid w:val="00E46E03"/>
    <w:rsid w:val="00E46F78"/>
    <w:rsid w:val="00E4793B"/>
    <w:rsid w:val="00E479D8"/>
    <w:rsid w:val="00E47B32"/>
    <w:rsid w:val="00E47CB8"/>
    <w:rsid w:val="00E47FCD"/>
    <w:rsid w:val="00E522BB"/>
    <w:rsid w:val="00E52A3D"/>
    <w:rsid w:val="00E533B7"/>
    <w:rsid w:val="00E539E4"/>
    <w:rsid w:val="00E53C14"/>
    <w:rsid w:val="00E549C7"/>
    <w:rsid w:val="00E569C7"/>
    <w:rsid w:val="00E569D7"/>
    <w:rsid w:val="00E571F2"/>
    <w:rsid w:val="00E57429"/>
    <w:rsid w:val="00E60FCE"/>
    <w:rsid w:val="00E61EA8"/>
    <w:rsid w:val="00E62A33"/>
    <w:rsid w:val="00E63200"/>
    <w:rsid w:val="00E63221"/>
    <w:rsid w:val="00E63960"/>
    <w:rsid w:val="00E63BFD"/>
    <w:rsid w:val="00E63EC6"/>
    <w:rsid w:val="00E64AE4"/>
    <w:rsid w:val="00E64CFF"/>
    <w:rsid w:val="00E64EA1"/>
    <w:rsid w:val="00E6582D"/>
    <w:rsid w:val="00E669C7"/>
    <w:rsid w:val="00E67611"/>
    <w:rsid w:val="00E67859"/>
    <w:rsid w:val="00E70510"/>
    <w:rsid w:val="00E705CD"/>
    <w:rsid w:val="00E71262"/>
    <w:rsid w:val="00E71A58"/>
    <w:rsid w:val="00E71C3A"/>
    <w:rsid w:val="00E72BA7"/>
    <w:rsid w:val="00E737F6"/>
    <w:rsid w:val="00E7568F"/>
    <w:rsid w:val="00E764AE"/>
    <w:rsid w:val="00E76733"/>
    <w:rsid w:val="00E76F80"/>
    <w:rsid w:val="00E7724B"/>
    <w:rsid w:val="00E776DE"/>
    <w:rsid w:val="00E80E31"/>
    <w:rsid w:val="00E81130"/>
    <w:rsid w:val="00E813EF"/>
    <w:rsid w:val="00E81556"/>
    <w:rsid w:val="00E83DAB"/>
    <w:rsid w:val="00E841E3"/>
    <w:rsid w:val="00E84F21"/>
    <w:rsid w:val="00E85720"/>
    <w:rsid w:val="00E8618A"/>
    <w:rsid w:val="00E90A4B"/>
    <w:rsid w:val="00E90D67"/>
    <w:rsid w:val="00E90F73"/>
    <w:rsid w:val="00E910A7"/>
    <w:rsid w:val="00E91607"/>
    <w:rsid w:val="00E921C7"/>
    <w:rsid w:val="00E92995"/>
    <w:rsid w:val="00E92A8C"/>
    <w:rsid w:val="00E93035"/>
    <w:rsid w:val="00E932EA"/>
    <w:rsid w:val="00E9446C"/>
    <w:rsid w:val="00E94612"/>
    <w:rsid w:val="00E94ADB"/>
    <w:rsid w:val="00E95797"/>
    <w:rsid w:val="00E9682F"/>
    <w:rsid w:val="00E96A8D"/>
    <w:rsid w:val="00E96FC2"/>
    <w:rsid w:val="00E970D9"/>
    <w:rsid w:val="00E972BA"/>
    <w:rsid w:val="00E97FA2"/>
    <w:rsid w:val="00EA06CB"/>
    <w:rsid w:val="00EA0AF3"/>
    <w:rsid w:val="00EA0C68"/>
    <w:rsid w:val="00EA19E2"/>
    <w:rsid w:val="00EA1CFB"/>
    <w:rsid w:val="00EA2169"/>
    <w:rsid w:val="00EA3BF6"/>
    <w:rsid w:val="00EA3EBE"/>
    <w:rsid w:val="00EA3FAC"/>
    <w:rsid w:val="00EA4153"/>
    <w:rsid w:val="00EA421A"/>
    <w:rsid w:val="00EA5CD6"/>
    <w:rsid w:val="00EA76FD"/>
    <w:rsid w:val="00EA77CA"/>
    <w:rsid w:val="00EA78FE"/>
    <w:rsid w:val="00EB03D4"/>
    <w:rsid w:val="00EB0555"/>
    <w:rsid w:val="00EB0938"/>
    <w:rsid w:val="00EB0FCC"/>
    <w:rsid w:val="00EB1298"/>
    <w:rsid w:val="00EB20A0"/>
    <w:rsid w:val="00EB29CA"/>
    <w:rsid w:val="00EB2CE9"/>
    <w:rsid w:val="00EB30B6"/>
    <w:rsid w:val="00EB4335"/>
    <w:rsid w:val="00EB4FA4"/>
    <w:rsid w:val="00EB5146"/>
    <w:rsid w:val="00EB514B"/>
    <w:rsid w:val="00EB522B"/>
    <w:rsid w:val="00EB5410"/>
    <w:rsid w:val="00EB55E9"/>
    <w:rsid w:val="00EB5641"/>
    <w:rsid w:val="00EB592C"/>
    <w:rsid w:val="00EB599D"/>
    <w:rsid w:val="00EB5CA9"/>
    <w:rsid w:val="00EB5ED4"/>
    <w:rsid w:val="00EB6537"/>
    <w:rsid w:val="00EB70E1"/>
    <w:rsid w:val="00EB7EB5"/>
    <w:rsid w:val="00EC0860"/>
    <w:rsid w:val="00EC0EC1"/>
    <w:rsid w:val="00EC424C"/>
    <w:rsid w:val="00EC454B"/>
    <w:rsid w:val="00EC4941"/>
    <w:rsid w:val="00EC4D9C"/>
    <w:rsid w:val="00EC6153"/>
    <w:rsid w:val="00EC7F92"/>
    <w:rsid w:val="00ED00A8"/>
    <w:rsid w:val="00ED0A79"/>
    <w:rsid w:val="00ED0C9B"/>
    <w:rsid w:val="00ED2989"/>
    <w:rsid w:val="00ED2B0B"/>
    <w:rsid w:val="00ED2CA5"/>
    <w:rsid w:val="00ED336F"/>
    <w:rsid w:val="00ED390A"/>
    <w:rsid w:val="00ED3A94"/>
    <w:rsid w:val="00ED40F0"/>
    <w:rsid w:val="00ED4AC0"/>
    <w:rsid w:val="00ED54D6"/>
    <w:rsid w:val="00ED5726"/>
    <w:rsid w:val="00ED7AA7"/>
    <w:rsid w:val="00ED7C3C"/>
    <w:rsid w:val="00EE0113"/>
    <w:rsid w:val="00EE0298"/>
    <w:rsid w:val="00EE0384"/>
    <w:rsid w:val="00EE043A"/>
    <w:rsid w:val="00EE0473"/>
    <w:rsid w:val="00EE07DE"/>
    <w:rsid w:val="00EE1057"/>
    <w:rsid w:val="00EE10AA"/>
    <w:rsid w:val="00EE1637"/>
    <w:rsid w:val="00EE208C"/>
    <w:rsid w:val="00EE3547"/>
    <w:rsid w:val="00EE3B7A"/>
    <w:rsid w:val="00EE3CA2"/>
    <w:rsid w:val="00EE3E78"/>
    <w:rsid w:val="00EE450E"/>
    <w:rsid w:val="00EE4534"/>
    <w:rsid w:val="00EE495A"/>
    <w:rsid w:val="00EE5E02"/>
    <w:rsid w:val="00EE617D"/>
    <w:rsid w:val="00EE61BF"/>
    <w:rsid w:val="00EE6538"/>
    <w:rsid w:val="00EE6748"/>
    <w:rsid w:val="00EE6C6B"/>
    <w:rsid w:val="00EF0E75"/>
    <w:rsid w:val="00EF1D92"/>
    <w:rsid w:val="00EF1ED5"/>
    <w:rsid w:val="00EF1F5A"/>
    <w:rsid w:val="00EF303D"/>
    <w:rsid w:val="00EF3486"/>
    <w:rsid w:val="00EF35CA"/>
    <w:rsid w:val="00EF3CF0"/>
    <w:rsid w:val="00EF4685"/>
    <w:rsid w:val="00EF51FE"/>
    <w:rsid w:val="00EF5397"/>
    <w:rsid w:val="00EF63CC"/>
    <w:rsid w:val="00EF6B4F"/>
    <w:rsid w:val="00EF6BE3"/>
    <w:rsid w:val="00F00D0E"/>
    <w:rsid w:val="00F00D3C"/>
    <w:rsid w:val="00F020EA"/>
    <w:rsid w:val="00F02A72"/>
    <w:rsid w:val="00F032C4"/>
    <w:rsid w:val="00F0356B"/>
    <w:rsid w:val="00F04811"/>
    <w:rsid w:val="00F0488C"/>
    <w:rsid w:val="00F0496E"/>
    <w:rsid w:val="00F04D10"/>
    <w:rsid w:val="00F04FAE"/>
    <w:rsid w:val="00F053EA"/>
    <w:rsid w:val="00F0540C"/>
    <w:rsid w:val="00F06158"/>
    <w:rsid w:val="00F0625B"/>
    <w:rsid w:val="00F068A8"/>
    <w:rsid w:val="00F06944"/>
    <w:rsid w:val="00F069AC"/>
    <w:rsid w:val="00F06C6F"/>
    <w:rsid w:val="00F0732D"/>
    <w:rsid w:val="00F101FF"/>
    <w:rsid w:val="00F104DF"/>
    <w:rsid w:val="00F10A33"/>
    <w:rsid w:val="00F10B64"/>
    <w:rsid w:val="00F1186C"/>
    <w:rsid w:val="00F11AD5"/>
    <w:rsid w:val="00F126D0"/>
    <w:rsid w:val="00F12A83"/>
    <w:rsid w:val="00F14ACD"/>
    <w:rsid w:val="00F15309"/>
    <w:rsid w:val="00F15BEF"/>
    <w:rsid w:val="00F160EC"/>
    <w:rsid w:val="00F172BE"/>
    <w:rsid w:val="00F1776C"/>
    <w:rsid w:val="00F2037E"/>
    <w:rsid w:val="00F20D17"/>
    <w:rsid w:val="00F2103E"/>
    <w:rsid w:val="00F214FC"/>
    <w:rsid w:val="00F21837"/>
    <w:rsid w:val="00F21C31"/>
    <w:rsid w:val="00F23825"/>
    <w:rsid w:val="00F2389A"/>
    <w:rsid w:val="00F23F6C"/>
    <w:rsid w:val="00F23FFF"/>
    <w:rsid w:val="00F24115"/>
    <w:rsid w:val="00F243F6"/>
    <w:rsid w:val="00F2441D"/>
    <w:rsid w:val="00F2490D"/>
    <w:rsid w:val="00F24FAA"/>
    <w:rsid w:val="00F25226"/>
    <w:rsid w:val="00F25860"/>
    <w:rsid w:val="00F26197"/>
    <w:rsid w:val="00F273D4"/>
    <w:rsid w:val="00F307DD"/>
    <w:rsid w:val="00F30C2E"/>
    <w:rsid w:val="00F30CB4"/>
    <w:rsid w:val="00F30EBF"/>
    <w:rsid w:val="00F318FC"/>
    <w:rsid w:val="00F31D53"/>
    <w:rsid w:val="00F31F76"/>
    <w:rsid w:val="00F325A3"/>
    <w:rsid w:val="00F3267A"/>
    <w:rsid w:val="00F3364D"/>
    <w:rsid w:val="00F339D0"/>
    <w:rsid w:val="00F353AE"/>
    <w:rsid w:val="00F35ACD"/>
    <w:rsid w:val="00F365BF"/>
    <w:rsid w:val="00F369F4"/>
    <w:rsid w:val="00F36BB9"/>
    <w:rsid w:val="00F36BF8"/>
    <w:rsid w:val="00F36FC0"/>
    <w:rsid w:val="00F375BA"/>
    <w:rsid w:val="00F37760"/>
    <w:rsid w:val="00F37F3C"/>
    <w:rsid w:val="00F403D1"/>
    <w:rsid w:val="00F40562"/>
    <w:rsid w:val="00F4170B"/>
    <w:rsid w:val="00F43292"/>
    <w:rsid w:val="00F43921"/>
    <w:rsid w:val="00F44E1B"/>
    <w:rsid w:val="00F45222"/>
    <w:rsid w:val="00F4524F"/>
    <w:rsid w:val="00F45530"/>
    <w:rsid w:val="00F4591F"/>
    <w:rsid w:val="00F47321"/>
    <w:rsid w:val="00F4736B"/>
    <w:rsid w:val="00F47804"/>
    <w:rsid w:val="00F47997"/>
    <w:rsid w:val="00F47D05"/>
    <w:rsid w:val="00F50030"/>
    <w:rsid w:val="00F502F5"/>
    <w:rsid w:val="00F50B9D"/>
    <w:rsid w:val="00F51FC9"/>
    <w:rsid w:val="00F529EE"/>
    <w:rsid w:val="00F52AE1"/>
    <w:rsid w:val="00F53243"/>
    <w:rsid w:val="00F541ED"/>
    <w:rsid w:val="00F54B31"/>
    <w:rsid w:val="00F54C70"/>
    <w:rsid w:val="00F54FD3"/>
    <w:rsid w:val="00F554F9"/>
    <w:rsid w:val="00F55605"/>
    <w:rsid w:val="00F56375"/>
    <w:rsid w:val="00F56E04"/>
    <w:rsid w:val="00F57CAD"/>
    <w:rsid w:val="00F57CD7"/>
    <w:rsid w:val="00F6080A"/>
    <w:rsid w:val="00F61BFE"/>
    <w:rsid w:val="00F62F02"/>
    <w:rsid w:val="00F6339F"/>
    <w:rsid w:val="00F638E6"/>
    <w:rsid w:val="00F63DDE"/>
    <w:rsid w:val="00F63FB7"/>
    <w:rsid w:val="00F64726"/>
    <w:rsid w:val="00F64C5B"/>
    <w:rsid w:val="00F64F44"/>
    <w:rsid w:val="00F6561A"/>
    <w:rsid w:val="00F66243"/>
    <w:rsid w:val="00F66CA8"/>
    <w:rsid w:val="00F67BDA"/>
    <w:rsid w:val="00F70309"/>
    <w:rsid w:val="00F7078A"/>
    <w:rsid w:val="00F70C8E"/>
    <w:rsid w:val="00F70E45"/>
    <w:rsid w:val="00F727D5"/>
    <w:rsid w:val="00F72F44"/>
    <w:rsid w:val="00F73150"/>
    <w:rsid w:val="00F73A0C"/>
    <w:rsid w:val="00F7593A"/>
    <w:rsid w:val="00F7593B"/>
    <w:rsid w:val="00F759DC"/>
    <w:rsid w:val="00F76309"/>
    <w:rsid w:val="00F76563"/>
    <w:rsid w:val="00F76F35"/>
    <w:rsid w:val="00F7717C"/>
    <w:rsid w:val="00F771A5"/>
    <w:rsid w:val="00F77387"/>
    <w:rsid w:val="00F80021"/>
    <w:rsid w:val="00F804FA"/>
    <w:rsid w:val="00F80D1E"/>
    <w:rsid w:val="00F817A4"/>
    <w:rsid w:val="00F81C3A"/>
    <w:rsid w:val="00F83573"/>
    <w:rsid w:val="00F835E1"/>
    <w:rsid w:val="00F835FC"/>
    <w:rsid w:val="00F8373A"/>
    <w:rsid w:val="00F83E21"/>
    <w:rsid w:val="00F83FA4"/>
    <w:rsid w:val="00F8410C"/>
    <w:rsid w:val="00F84E18"/>
    <w:rsid w:val="00F852E5"/>
    <w:rsid w:val="00F853A5"/>
    <w:rsid w:val="00F8630A"/>
    <w:rsid w:val="00F86F2E"/>
    <w:rsid w:val="00F90350"/>
    <w:rsid w:val="00F916FB"/>
    <w:rsid w:val="00F91EAF"/>
    <w:rsid w:val="00F9310A"/>
    <w:rsid w:val="00F94681"/>
    <w:rsid w:val="00F95117"/>
    <w:rsid w:val="00F951D6"/>
    <w:rsid w:val="00F96E38"/>
    <w:rsid w:val="00F97ED2"/>
    <w:rsid w:val="00FA05D7"/>
    <w:rsid w:val="00FA16BD"/>
    <w:rsid w:val="00FA1992"/>
    <w:rsid w:val="00FA1C6C"/>
    <w:rsid w:val="00FA23C1"/>
    <w:rsid w:val="00FA2447"/>
    <w:rsid w:val="00FA2A4A"/>
    <w:rsid w:val="00FA2BDE"/>
    <w:rsid w:val="00FA2C2A"/>
    <w:rsid w:val="00FA309A"/>
    <w:rsid w:val="00FA6B3F"/>
    <w:rsid w:val="00FA7644"/>
    <w:rsid w:val="00FA76E1"/>
    <w:rsid w:val="00FB0A9A"/>
    <w:rsid w:val="00FB16AD"/>
    <w:rsid w:val="00FB1BC4"/>
    <w:rsid w:val="00FB1F21"/>
    <w:rsid w:val="00FB332E"/>
    <w:rsid w:val="00FB3763"/>
    <w:rsid w:val="00FB483B"/>
    <w:rsid w:val="00FB56F1"/>
    <w:rsid w:val="00FB5A54"/>
    <w:rsid w:val="00FB5FD4"/>
    <w:rsid w:val="00FB6398"/>
    <w:rsid w:val="00FB67F3"/>
    <w:rsid w:val="00FB6AF4"/>
    <w:rsid w:val="00FB7710"/>
    <w:rsid w:val="00FC0D8A"/>
    <w:rsid w:val="00FC0E5F"/>
    <w:rsid w:val="00FC135D"/>
    <w:rsid w:val="00FC26FB"/>
    <w:rsid w:val="00FC2CF4"/>
    <w:rsid w:val="00FC3C84"/>
    <w:rsid w:val="00FC3EED"/>
    <w:rsid w:val="00FC428D"/>
    <w:rsid w:val="00FC4660"/>
    <w:rsid w:val="00FC56DE"/>
    <w:rsid w:val="00FC5E01"/>
    <w:rsid w:val="00FC6140"/>
    <w:rsid w:val="00FC6DB5"/>
    <w:rsid w:val="00FC740A"/>
    <w:rsid w:val="00FD1261"/>
    <w:rsid w:val="00FD1627"/>
    <w:rsid w:val="00FD1BBD"/>
    <w:rsid w:val="00FD33E5"/>
    <w:rsid w:val="00FD38B2"/>
    <w:rsid w:val="00FD38F7"/>
    <w:rsid w:val="00FD4262"/>
    <w:rsid w:val="00FD43A0"/>
    <w:rsid w:val="00FD473D"/>
    <w:rsid w:val="00FD55BA"/>
    <w:rsid w:val="00FD61C8"/>
    <w:rsid w:val="00FD63CE"/>
    <w:rsid w:val="00FD77BB"/>
    <w:rsid w:val="00FD7D49"/>
    <w:rsid w:val="00FE1251"/>
    <w:rsid w:val="00FE16E6"/>
    <w:rsid w:val="00FE2F3B"/>
    <w:rsid w:val="00FE2F78"/>
    <w:rsid w:val="00FE3510"/>
    <w:rsid w:val="00FE371D"/>
    <w:rsid w:val="00FE375F"/>
    <w:rsid w:val="00FE3D8B"/>
    <w:rsid w:val="00FE4FCB"/>
    <w:rsid w:val="00FE60A8"/>
    <w:rsid w:val="00FE688F"/>
    <w:rsid w:val="00FE6920"/>
    <w:rsid w:val="00FE705E"/>
    <w:rsid w:val="00FF02EB"/>
    <w:rsid w:val="00FF288B"/>
    <w:rsid w:val="00FF28E0"/>
    <w:rsid w:val="00FF2FB4"/>
    <w:rsid w:val="00FF30B3"/>
    <w:rsid w:val="00FF3DF3"/>
    <w:rsid w:val="00FF4027"/>
    <w:rsid w:val="00FF45A2"/>
    <w:rsid w:val="00FF4BD5"/>
    <w:rsid w:val="00FF55B1"/>
    <w:rsid w:val="00FF5A33"/>
    <w:rsid w:val="00FF65DF"/>
    <w:rsid w:val="00FF6B00"/>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 w:type="character" w:customStyle="1" w:styleId="shorttext">
    <w:name w:val="short_text"/>
    <w:basedOn w:val="Standardnpsmoodstavce"/>
    <w:rsid w:val="00F96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2268191">
      <w:bodyDiv w:val="1"/>
      <w:marLeft w:val="0"/>
      <w:marRight w:val="0"/>
      <w:marTop w:val="0"/>
      <w:marBottom w:val="0"/>
      <w:divBdr>
        <w:top w:val="none" w:sz="0" w:space="0" w:color="auto"/>
        <w:left w:val="none" w:sz="0" w:space="0" w:color="auto"/>
        <w:bottom w:val="none" w:sz="0" w:space="0" w:color="auto"/>
        <w:right w:val="none" w:sz="0" w:space="0" w:color="auto"/>
      </w:divBdr>
    </w:div>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328634465">
      <w:bodyDiv w:val="1"/>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 w:id="1749158053">
      <w:bodyDiv w:val="1"/>
      <w:marLeft w:val="0"/>
      <w:marRight w:val="0"/>
      <w:marTop w:val="0"/>
      <w:marBottom w:val="0"/>
      <w:divBdr>
        <w:top w:val="none" w:sz="0" w:space="0" w:color="auto"/>
        <w:left w:val="none" w:sz="0" w:space="0" w:color="auto"/>
        <w:bottom w:val="none" w:sz="0" w:space="0" w:color="auto"/>
        <w:right w:val="none" w:sz="0" w:space="0" w:color="auto"/>
      </w:divBdr>
    </w:div>
    <w:div w:id="2084790664">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st&#225;tn&#237;%20rozpo&#269;et-rok-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st&#225;tn&#237;%20rozpo&#269;et-rok-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st&#225;tn&#237;%20rozpo&#269;et-rok-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st&#225;tn&#237;%20rozpo&#269;et-rok-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5577477727787412E-2"/>
          <c:y val="1.7107238390107405E-2"/>
          <c:w val="0.90191712370542121"/>
          <c:h val="0.79011658109502458"/>
        </c:manualLayout>
      </c:layout>
      <c:barChart>
        <c:barDir val="col"/>
        <c:grouping val="clustered"/>
        <c:ser>
          <c:idx val="2"/>
          <c:order val="4"/>
          <c:tx>
            <c:strRef>
              <c:f>'Státní rozpočet 1'!$A$40</c:f>
              <c:strCache>
                <c:ptCount val="1"/>
                <c:pt idx="0">
                  <c:v>State budget balance</c:v>
                </c:pt>
              </c:strCache>
            </c:strRef>
          </c:tx>
          <c:spPr>
            <a:solidFill>
              <a:sysClr val="window" lastClr="FFFFFF">
                <a:lumMod val="75000"/>
              </a:sysClr>
            </a:solidFill>
            <a:ln>
              <a:noFill/>
            </a:ln>
          </c:spP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1'!$B$40:$N$40</c:f>
              <c:numCache>
                <c:formatCode>#,##0.0</c:formatCode>
                <c:ptCount val="13"/>
                <c:pt idx="0">
                  <c:v>-56.36</c:v>
                </c:pt>
                <c:pt idx="1">
                  <c:v>-97.3</c:v>
                </c:pt>
                <c:pt idx="2">
                  <c:v>-66.391999999999996</c:v>
                </c:pt>
                <c:pt idx="3">
                  <c:v>-20.003</c:v>
                </c:pt>
                <c:pt idx="4">
                  <c:v>-192.39400000000001</c:v>
                </c:pt>
                <c:pt idx="5">
                  <c:v>-156.416</c:v>
                </c:pt>
                <c:pt idx="6">
                  <c:v>-142.77099999999999</c:v>
                </c:pt>
                <c:pt idx="7">
                  <c:v>-101</c:v>
                </c:pt>
                <c:pt idx="8">
                  <c:v>-81.263999999999996</c:v>
                </c:pt>
                <c:pt idx="9">
                  <c:v>-77.78</c:v>
                </c:pt>
                <c:pt idx="10">
                  <c:v>-62.8</c:v>
                </c:pt>
                <c:pt idx="11">
                  <c:v>61.77</c:v>
                </c:pt>
                <c:pt idx="12">
                  <c:v>-6.1499999999999995</c:v>
                </c:pt>
              </c:numCache>
            </c:numRef>
          </c:val>
        </c:ser>
        <c:gapWidth val="43"/>
        <c:axId val="193078784"/>
        <c:axId val="191927040"/>
      </c:barChart>
      <c:lineChart>
        <c:grouping val="standard"/>
        <c:ser>
          <c:idx val="0"/>
          <c:order val="0"/>
          <c:tx>
            <c:strRef>
              <c:f>'Státní rozpočet 1'!$A$36</c:f>
              <c:strCache>
                <c:ptCount val="1"/>
                <c:pt idx="0">
                  <c:v>Value added tax</c:v>
                </c:pt>
              </c:strCache>
            </c:strRef>
          </c:tx>
          <c:spPr>
            <a:ln w="19050">
              <a:solidFill>
                <a:srgbClr val="BD1B25"/>
              </a:solidFill>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1'!$B$36:$N$36</c:f>
              <c:numCache>
                <c:formatCode>0.0</c:formatCode>
                <c:ptCount val="13"/>
                <c:pt idx="0">
                  <c:v>13.1556086437181</c:v>
                </c:pt>
                <c:pt idx="1">
                  <c:v>4.4959454920589224</c:v>
                </c:pt>
                <c:pt idx="2">
                  <c:v>8.540729176232901</c:v>
                </c:pt>
                <c:pt idx="3">
                  <c:v>7.9575260174295535</c:v>
                </c:pt>
                <c:pt idx="4">
                  <c:v>-0.61914651828048828</c:v>
                </c:pt>
                <c:pt idx="5">
                  <c:v>6.2852411182524479</c:v>
                </c:pt>
                <c:pt idx="6">
                  <c:v>2.1665739194954341</c:v>
                </c:pt>
                <c:pt idx="7">
                  <c:v>1.0312647518065459</c:v>
                </c:pt>
                <c:pt idx="8">
                  <c:v>10.865111598317954</c:v>
                </c:pt>
                <c:pt idx="9">
                  <c:v>4.6748362834727395</c:v>
                </c:pt>
                <c:pt idx="10">
                  <c:v>2.7750247770069385</c:v>
                </c:pt>
                <c:pt idx="11">
                  <c:v>5.3881388621022355</c:v>
                </c:pt>
                <c:pt idx="12">
                  <c:v>9.138739563079028</c:v>
                </c:pt>
              </c:numCache>
            </c:numRef>
          </c:val>
        </c:ser>
        <c:ser>
          <c:idx val="1"/>
          <c:order val="1"/>
          <c:tx>
            <c:strRef>
              <c:f>'Státní rozpočet 1'!$A$37</c:f>
              <c:strCache>
                <c:ptCount val="1"/>
                <c:pt idx="0">
                  <c:v>Consumption tax</c:v>
                </c:pt>
              </c:strCache>
            </c:strRef>
          </c:tx>
          <c:spPr>
            <a:ln w="19050">
              <a:solidFill>
                <a:srgbClr val="7DBB2D"/>
              </a:solidFill>
              <a:prstDash val="solid"/>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1'!$B$37:$N$37</c:f>
              <c:numCache>
                <c:formatCode>0.0</c:formatCode>
                <c:ptCount val="13"/>
                <c:pt idx="0">
                  <c:v>15.148989372785994</c:v>
                </c:pt>
                <c:pt idx="1">
                  <c:v>8.1704668838219412</c:v>
                </c:pt>
                <c:pt idx="2">
                  <c:v>16.227519866164748</c:v>
                </c:pt>
                <c:pt idx="3">
                  <c:v>-4.2605253688376976</c:v>
                </c:pt>
                <c:pt idx="4">
                  <c:v>-1.473351875516798</c:v>
                </c:pt>
                <c:pt idx="5">
                  <c:v>5.4932478828107296</c:v>
                </c:pt>
                <c:pt idx="6">
                  <c:v>6.0099804729876354</c:v>
                </c:pt>
                <c:pt idx="7">
                  <c:v>0.13644426251875089</c:v>
                </c:pt>
                <c:pt idx="8">
                  <c:v>-2.2891402098378557</c:v>
                </c:pt>
                <c:pt idx="9">
                  <c:v>-1.4712034583739908</c:v>
                </c:pt>
                <c:pt idx="10">
                  <c:v>6.5034321704055005</c:v>
                </c:pt>
                <c:pt idx="11">
                  <c:v>5.1362126245847053</c:v>
                </c:pt>
                <c:pt idx="12">
                  <c:v>2.9071604626177252</c:v>
                </c:pt>
              </c:numCache>
            </c:numRef>
          </c:val>
        </c:ser>
        <c:ser>
          <c:idx val="3"/>
          <c:order val="2"/>
          <c:tx>
            <c:strRef>
              <c:f>'Státní rozpočet 1'!$A$38</c:f>
              <c:strCache>
                <c:ptCount val="1"/>
                <c:pt idx="0">
                  <c:v>Income taxes of natural persons (from employment)</c:v>
                </c:pt>
              </c:strCache>
            </c:strRef>
          </c:tx>
          <c:spPr>
            <a:ln w="19050">
              <a:solidFill>
                <a:srgbClr val="0071BC"/>
              </a:solidFill>
              <a:prstDash val="solid"/>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1'!$B$38:$N$38</c:f>
              <c:numCache>
                <c:formatCode>0.0</c:formatCode>
                <c:ptCount val="13"/>
                <c:pt idx="0">
                  <c:v>7.833966676410407</c:v>
                </c:pt>
                <c:pt idx="1">
                  <c:v>0.86744375169422483</c:v>
                </c:pt>
                <c:pt idx="2">
                  <c:v>13.222252082773448</c:v>
                </c:pt>
                <c:pt idx="3">
                  <c:v>-8.8693725769443983</c:v>
                </c:pt>
                <c:pt idx="4">
                  <c:v>-3.594374023267934</c:v>
                </c:pt>
                <c:pt idx="5">
                  <c:v>0.72046109510085898</c:v>
                </c:pt>
                <c:pt idx="6">
                  <c:v>6.7328326180257481</c:v>
                </c:pt>
                <c:pt idx="7">
                  <c:v>0.35184719778837348</c:v>
                </c:pt>
                <c:pt idx="8">
                  <c:v>5.292595375239979</c:v>
                </c:pt>
                <c:pt idx="9">
                  <c:v>3.7580274320145861</c:v>
                </c:pt>
                <c:pt idx="10">
                  <c:v>4.0116145793535445</c:v>
                </c:pt>
                <c:pt idx="11">
                  <c:v>9.748751101968832</c:v>
                </c:pt>
                <c:pt idx="12">
                  <c:v>13.287368632438589</c:v>
                </c:pt>
              </c:numCache>
            </c:numRef>
          </c:val>
        </c:ser>
        <c:ser>
          <c:idx val="4"/>
          <c:order val="3"/>
          <c:tx>
            <c:strRef>
              <c:f>'Státní rozpočet 1'!$A$39</c:f>
              <c:strCache>
                <c:ptCount val="1"/>
                <c:pt idx="0">
                  <c:v>Income taxes of legal persons</c:v>
                </c:pt>
              </c:strCache>
            </c:strRef>
          </c:tx>
          <c:spPr>
            <a:ln w="19050">
              <a:noFill/>
            </a:ln>
          </c:spPr>
          <c:marker>
            <c:symbol val="diamond"/>
            <c:size val="6"/>
            <c:spPr>
              <a:solidFill>
                <a:srgbClr val="984807"/>
              </a:solidFill>
              <a:ln>
                <a:noFill/>
              </a:ln>
            </c:spPr>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1'!$B$39:$N$39</c:f>
              <c:numCache>
                <c:formatCode>0.0</c:formatCode>
                <c:ptCount val="13"/>
                <c:pt idx="0">
                  <c:v>26.963584434130624</c:v>
                </c:pt>
                <c:pt idx="1">
                  <c:v>-4.7873462214411306</c:v>
                </c:pt>
                <c:pt idx="2">
                  <c:v>20.193443591258116</c:v>
                </c:pt>
                <c:pt idx="3">
                  <c:v>12.113766201855157</c:v>
                </c:pt>
                <c:pt idx="4">
                  <c:v>-34.469344145526264</c:v>
                </c:pt>
                <c:pt idx="5">
                  <c:v>3.5618729096990025</c:v>
                </c:pt>
                <c:pt idx="6">
                  <c:v>-4.6423381236880354</c:v>
                </c:pt>
                <c:pt idx="7">
                  <c:v>8.3735500804335032</c:v>
                </c:pt>
                <c:pt idx="8">
                  <c:v>-5.6874999999999956</c:v>
                </c:pt>
                <c:pt idx="9">
                  <c:v>9.6752816434725109</c:v>
                </c:pt>
                <c:pt idx="10">
                  <c:v>11.412386706948634</c:v>
                </c:pt>
                <c:pt idx="11">
                  <c:v>11.667005626737165</c:v>
                </c:pt>
                <c:pt idx="12">
                  <c:v>3.6000485672656595</c:v>
                </c:pt>
              </c:numCache>
            </c:numRef>
          </c:val>
        </c:ser>
        <c:marker val="1"/>
        <c:axId val="188893824"/>
        <c:axId val="191760256"/>
      </c:lineChart>
      <c:catAx>
        <c:axId val="188893824"/>
        <c:scaling>
          <c:orientation val="minMax"/>
        </c:scaling>
        <c:axPos val="b"/>
        <c:numFmt formatCode="General" sourceLinked="1"/>
        <c:tickLblPos val="low"/>
        <c:spPr>
          <a:ln>
            <a:solidFill>
              <a:schemeClr val="tx1"/>
            </a:solidFill>
          </a:ln>
        </c:spPr>
        <c:crossAx val="191760256"/>
        <c:crosses val="autoZero"/>
        <c:auto val="1"/>
        <c:lblAlgn val="ctr"/>
        <c:lblOffset val="0"/>
      </c:catAx>
      <c:valAx>
        <c:axId val="191760256"/>
        <c:scaling>
          <c:orientation val="minMax"/>
          <c:max val="30"/>
          <c:min val="-40"/>
        </c:scaling>
        <c:axPos val="l"/>
        <c:majorGridlines>
          <c:spPr>
            <a:ln w="6350">
              <a:solidFill>
                <a:schemeClr val="bg1">
                  <a:lumMod val="75000"/>
                </a:schemeClr>
              </a:solidFill>
            </a:ln>
          </c:spPr>
        </c:majorGridlines>
        <c:numFmt formatCode="0" sourceLinked="0"/>
        <c:tickLblPos val="nextTo"/>
        <c:spPr>
          <a:ln>
            <a:solidFill>
              <a:schemeClr val="tx1"/>
            </a:solidFill>
          </a:ln>
        </c:spPr>
        <c:crossAx val="188893824"/>
        <c:crosses val="autoZero"/>
        <c:crossBetween val="between"/>
        <c:majorUnit val="5"/>
      </c:valAx>
      <c:valAx>
        <c:axId val="191927040"/>
        <c:scaling>
          <c:orientation val="minMax"/>
          <c:max val="150"/>
          <c:min val="-200"/>
        </c:scaling>
        <c:axPos val="r"/>
        <c:numFmt formatCode="#,##0" sourceLinked="0"/>
        <c:tickLblPos val="nextTo"/>
        <c:crossAx val="193078784"/>
        <c:crosses val="max"/>
        <c:crossBetween val="between"/>
        <c:majorUnit val="25"/>
      </c:valAx>
      <c:catAx>
        <c:axId val="193078784"/>
        <c:scaling>
          <c:orientation val="minMax"/>
        </c:scaling>
        <c:delete val="1"/>
        <c:axPos val="b"/>
        <c:tickLblPos val="none"/>
        <c:crossAx val="191927040"/>
        <c:crosses val="autoZero"/>
        <c:auto val="1"/>
        <c:lblAlgn val="ctr"/>
        <c:lblOffset val="100"/>
      </c:catAx>
      <c:spPr>
        <a:ln>
          <a:solidFill>
            <a:schemeClr val="tx1"/>
          </a:solidFill>
        </a:ln>
      </c:spPr>
    </c:plotArea>
    <c:legend>
      <c:legendPos val="b"/>
      <c:layout>
        <c:manualLayout>
          <c:xMode val="edge"/>
          <c:yMode val="edge"/>
          <c:x val="5.1878156565656246E-2"/>
          <c:y val="0.84765929769780346"/>
          <c:w val="0.88108922558922553"/>
          <c:h val="0.14514114041398191"/>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6.5885856591416561E-2"/>
          <c:y val="2.1967687074830006E-2"/>
          <c:w val="0.92164178636877725"/>
          <c:h val="0.79758786848072549"/>
        </c:manualLayout>
      </c:layout>
      <c:barChart>
        <c:barDir val="col"/>
        <c:grouping val="stacked"/>
        <c:ser>
          <c:idx val="0"/>
          <c:order val="0"/>
          <c:tx>
            <c:strRef>
              <c:f>'Státní rozpočet 2'!$A$39</c:f>
              <c:strCache>
                <c:ptCount val="1"/>
                <c:pt idx="0">
                  <c:v>Structural funds</c:v>
                </c:pt>
              </c:strCache>
            </c:strRef>
          </c:tx>
          <c:spPr>
            <a:solidFill>
              <a:srgbClr val="BD1B25"/>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2'!$B$39:$N$39</c:f>
              <c:numCache>
                <c:formatCode>#,##0.0</c:formatCode>
                <c:ptCount val="13"/>
                <c:pt idx="0">
                  <c:v>4.4123665769599949</c:v>
                </c:pt>
                <c:pt idx="1">
                  <c:v>7.1633856882119948</c:v>
                </c:pt>
                <c:pt idx="2">
                  <c:v>21.116304846792957</c:v>
                </c:pt>
                <c:pt idx="3">
                  <c:v>27.054443506608962</c:v>
                </c:pt>
                <c:pt idx="4">
                  <c:v>32.764587240562051</c:v>
                </c:pt>
                <c:pt idx="5">
                  <c:v>40.619410000000002</c:v>
                </c:pt>
                <c:pt idx="6">
                  <c:v>42.454847750173784</c:v>
                </c:pt>
                <c:pt idx="7">
                  <c:v>44.317030145591225</c:v>
                </c:pt>
                <c:pt idx="8">
                  <c:v>56.533247644358177</c:v>
                </c:pt>
                <c:pt idx="9">
                  <c:v>57.303112398046913</c:v>
                </c:pt>
                <c:pt idx="10">
                  <c:v>109.92965235829206</c:v>
                </c:pt>
                <c:pt idx="11">
                  <c:v>48.210545255019021</c:v>
                </c:pt>
                <c:pt idx="12">
                  <c:v>32.965705627111213</c:v>
                </c:pt>
              </c:numCache>
            </c:numRef>
          </c:val>
        </c:ser>
        <c:ser>
          <c:idx val="1"/>
          <c:order val="1"/>
          <c:tx>
            <c:strRef>
              <c:f>'Státní rozpočet 2'!$A$40</c:f>
              <c:strCache>
                <c:ptCount val="1"/>
                <c:pt idx="0">
                  <c:v>Cohesion funds</c:v>
                </c:pt>
              </c:strCache>
            </c:strRef>
          </c:tx>
          <c:spPr>
            <a:solidFill>
              <a:srgbClr val="F8A124"/>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2'!$B$40:$N$40</c:f>
              <c:numCache>
                <c:formatCode>#,##0.0</c:formatCode>
                <c:ptCount val="13"/>
                <c:pt idx="0">
                  <c:v>2.3760864943999964</c:v>
                </c:pt>
                <c:pt idx="1">
                  <c:v>6.1369082624399951</c:v>
                </c:pt>
                <c:pt idx="2">
                  <c:v>6.4491126000000003</c:v>
                </c:pt>
                <c:pt idx="3">
                  <c:v>14.851307279303711</c:v>
                </c:pt>
                <c:pt idx="4">
                  <c:v>19.142700914047033</c:v>
                </c:pt>
                <c:pt idx="5">
                  <c:v>14.83794</c:v>
                </c:pt>
                <c:pt idx="6">
                  <c:v>1.0006079238812819</c:v>
                </c:pt>
                <c:pt idx="7">
                  <c:v>36.973114268359282</c:v>
                </c:pt>
                <c:pt idx="8">
                  <c:v>35.920021817604564</c:v>
                </c:pt>
                <c:pt idx="9">
                  <c:v>24.830230876574618</c:v>
                </c:pt>
                <c:pt idx="10">
                  <c:v>47.478337172235072</c:v>
                </c:pt>
                <c:pt idx="11">
                  <c:v>39.746769959371996</c:v>
                </c:pt>
                <c:pt idx="12">
                  <c:v>31.124818884783199</c:v>
                </c:pt>
              </c:numCache>
            </c:numRef>
          </c:val>
        </c:ser>
        <c:ser>
          <c:idx val="2"/>
          <c:order val="2"/>
          <c:tx>
            <c:strRef>
              <c:f>'Státní rozpočet 2'!$A$41</c:f>
              <c:strCache>
                <c:ptCount val="1"/>
                <c:pt idx="0">
                  <c:v>Direct payments in agriculture*</c:v>
                </c:pt>
              </c:strCache>
            </c:strRef>
          </c:tx>
          <c:spPr>
            <a:solidFill>
              <a:srgbClr val="47AEE7"/>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2'!$B$41:$N$41</c:f>
              <c:numCache>
                <c:formatCode>#,##0.0</c:formatCode>
                <c:ptCount val="13"/>
                <c:pt idx="0">
                  <c:v>8.4001158167300005</c:v>
                </c:pt>
                <c:pt idx="1">
                  <c:v>9.2691018341200024</c:v>
                </c:pt>
                <c:pt idx="2">
                  <c:v>9.1230810208661186</c:v>
                </c:pt>
                <c:pt idx="3">
                  <c:v>9.2205451040404185</c:v>
                </c:pt>
                <c:pt idx="4">
                  <c:v>13.469158734599551</c:v>
                </c:pt>
                <c:pt idx="5">
                  <c:v>15.109960000000001</c:v>
                </c:pt>
                <c:pt idx="6">
                  <c:v>16.503768791381287</c:v>
                </c:pt>
                <c:pt idx="7">
                  <c:v>19.068706411758626</c:v>
                </c:pt>
                <c:pt idx="8">
                  <c:v>21.656415013433481</c:v>
                </c:pt>
                <c:pt idx="9">
                  <c:v>24.611693796169373</c:v>
                </c:pt>
                <c:pt idx="10">
                  <c:v>24.459875117348766</c:v>
                </c:pt>
                <c:pt idx="11">
                  <c:v>23.029869848496592</c:v>
                </c:pt>
                <c:pt idx="12">
                  <c:v>22.535048320524787</c:v>
                </c:pt>
              </c:numCache>
            </c:numRef>
          </c:val>
        </c:ser>
        <c:ser>
          <c:idx val="3"/>
          <c:order val="3"/>
          <c:tx>
            <c:strRef>
              <c:f>'Státní rozpočet 2'!$A$42</c:f>
              <c:strCache>
                <c:ptCount val="1"/>
                <c:pt idx="0">
                  <c:v>Rural development and fishing</c:v>
                </c:pt>
              </c:strCache>
            </c:strRef>
          </c:tx>
          <c:spPr>
            <a:solidFill>
              <a:srgbClr val="0071BC"/>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2'!$B$42:$N$42</c:f>
              <c:numCache>
                <c:formatCode>#,##0.0</c:formatCode>
                <c:ptCount val="13"/>
                <c:pt idx="0">
                  <c:v>4.3391509744000007</c:v>
                </c:pt>
                <c:pt idx="1">
                  <c:v>4.9818796020600047</c:v>
                </c:pt>
                <c:pt idx="2">
                  <c:v>8.5034302857945008</c:v>
                </c:pt>
                <c:pt idx="3">
                  <c:v>5.3506080876543676</c:v>
                </c:pt>
                <c:pt idx="4">
                  <c:v>9.6977976768652567</c:v>
                </c:pt>
                <c:pt idx="5">
                  <c:v>11.243359999999999</c:v>
                </c:pt>
                <c:pt idx="6">
                  <c:v>9.9614397561765475</c:v>
                </c:pt>
                <c:pt idx="7">
                  <c:v>10.65403796237409</c:v>
                </c:pt>
                <c:pt idx="8">
                  <c:v>9.5903583937878505</c:v>
                </c:pt>
                <c:pt idx="9">
                  <c:v>7.7010185247794691</c:v>
                </c:pt>
                <c:pt idx="10">
                  <c:v>6.5632254156874108</c:v>
                </c:pt>
                <c:pt idx="11">
                  <c:v>9.3056681374391967</c:v>
                </c:pt>
                <c:pt idx="12">
                  <c:v>6.8198793311826993</c:v>
                </c:pt>
              </c:numCache>
            </c:numRef>
          </c:val>
        </c:ser>
        <c:ser>
          <c:idx val="4"/>
          <c:order val="4"/>
          <c:tx>
            <c:strRef>
              <c:f>'Státní rozpočet 2'!$A$43</c:f>
              <c:strCache>
                <c:ptCount val="1"/>
                <c:pt idx="0">
                  <c:v>Other income</c:v>
                </c:pt>
              </c:strCache>
            </c:strRef>
          </c:tx>
          <c:spPr>
            <a:solidFill>
              <a:srgbClr val="BFBFBF"/>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2'!$B$43:$N$43</c:f>
              <c:numCache>
                <c:formatCode>#,##0.0</c:formatCode>
                <c:ptCount val="13"/>
                <c:pt idx="0">
                  <c:v>13.154089376000009</c:v>
                </c:pt>
                <c:pt idx="1">
                  <c:v>9.7590691246000016</c:v>
                </c:pt>
                <c:pt idx="2">
                  <c:v>2.122935653916</c:v>
                </c:pt>
                <c:pt idx="3">
                  <c:v>2.7450628739981382</c:v>
                </c:pt>
                <c:pt idx="4">
                  <c:v>3.0715704455996997</c:v>
                </c:pt>
                <c:pt idx="5">
                  <c:v>3.2068081292307964</c:v>
                </c:pt>
                <c:pt idx="6">
                  <c:v>2.592752925820077</c:v>
                </c:pt>
                <c:pt idx="7">
                  <c:v>1.9634601788174999</c:v>
                </c:pt>
                <c:pt idx="8">
                  <c:v>2.714947194695243</c:v>
                </c:pt>
                <c:pt idx="9">
                  <c:v>5.3475363946925221</c:v>
                </c:pt>
                <c:pt idx="10">
                  <c:v>3.4961593460097227</c:v>
                </c:pt>
                <c:pt idx="11">
                  <c:v>4.5246595533158755</c:v>
                </c:pt>
                <c:pt idx="12">
                  <c:v>4.4069946376209455</c:v>
                </c:pt>
              </c:numCache>
            </c:numRef>
          </c:val>
        </c:ser>
        <c:gapWidth val="39"/>
        <c:overlap val="100"/>
        <c:axId val="197117824"/>
        <c:axId val="197119360"/>
      </c:barChart>
      <c:lineChart>
        <c:grouping val="standard"/>
        <c:ser>
          <c:idx val="5"/>
          <c:order val="5"/>
          <c:tx>
            <c:strRef>
              <c:f>'Státní rozpočet 2'!$A$44</c:f>
              <c:strCache>
                <c:ptCount val="1"/>
                <c:pt idx="0">
                  <c:v>Net position towards EU budget</c:v>
                </c:pt>
              </c:strCache>
            </c:strRef>
          </c:tx>
          <c:spPr>
            <a:ln w="19050">
              <a:solidFill>
                <a:schemeClr val="tx1">
                  <a:lumMod val="95000"/>
                  <a:lumOff val="5000"/>
                </a:schemeClr>
              </a:solidFill>
            </a:ln>
          </c:spPr>
          <c:marker>
            <c:symbol val="none"/>
          </c:marke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2'!$B$44:$N$44</c:f>
              <c:numCache>
                <c:formatCode>#,##0.0</c:formatCode>
                <c:ptCount val="13"/>
                <c:pt idx="0">
                  <c:v>1.9779110718699995</c:v>
                </c:pt>
                <c:pt idx="1">
                  <c:v>6.908048532141998</c:v>
                </c:pt>
                <c:pt idx="2">
                  <c:v>15.192764407369573</c:v>
                </c:pt>
                <c:pt idx="3">
                  <c:v>23.773366851605584</c:v>
                </c:pt>
                <c:pt idx="4">
                  <c:v>42.317715011673563</c:v>
                </c:pt>
                <c:pt idx="5">
                  <c:v>47.917408129230751</c:v>
                </c:pt>
                <c:pt idx="6">
                  <c:v>30.770247147433022</c:v>
                </c:pt>
                <c:pt idx="7">
                  <c:v>73.129787229670654</c:v>
                </c:pt>
                <c:pt idx="8">
                  <c:v>84.753656527119333</c:v>
                </c:pt>
                <c:pt idx="9">
                  <c:v>75.317574780102987</c:v>
                </c:pt>
                <c:pt idx="10">
                  <c:v>150.02804750760345</c:v>
                </c:pt>
                <c:pt idx="11">
                  <c:v>80.627095328612668</c:v>
                </c:pt>
                <c:pt idx="12">
                  <c:v>55.443297501582798</c:v>
                </c:pt>
              </c:numCache>
            </c:numRef>
          </c:val>
        </c:ser>
        <c:marker val="1"/>
        <c:axId val="197117824"/>
        <c:axId val="197119360"/>
      </c:lineChart>
      <c:catAx>
        <c:axId val="197117824"/>
        <c:scaling>
          <c:orientation val="minMax"/>
        </c:scaling>
        <c:axPos val="b"/>
        <c:numFmt formatCode="General" sourceLinked="1"/>
        <c:tickLblPos val="nextTo"/>
        <c:txPr>
          <a:bodyPr/>
          <a:lstStyle/>
          <a:p>
            <a:pPr>
              <a:defRPr sz="800">
                <a:latin typeface="Arial" pitchFamily="34" charset="0"/>
                <a:cs typeface="Arial" pitchFamily="34" charset="0"/>
              </a:defRPr>
            </a:pPr>
            <a:endParaRPr lang="cs-CZ"/>
          </a:p>
        </c:txPr>
        <c:crossAx val="197119360"/>
        <c:crosses val="autoZero"/>
        <c:auto val="1"/>
        <c:lblAlgn val="ctr"/>
        <c:lblOffset val="20"/>
      </c:catAx>
      <c:valAx>
        <c:axId val="197119360"/>
        <c:scaling>
          <c:orientation val="minMax"/>
          <c:max val="200"/>
          <c:min val="0"/>
        </c:scaling>
        <c:axPos val="l"/>
        <c:majorGridlines>
          <c:spPr>
            <a:ln w="6350">
              <a:solidFill>
                <a:srgbClr val="BFBFBF"/>
              </a:solidFill>
            </a:ln>
          </c:spPr>
        </c:majorGridlines>
        <c:numFmt formatCode="#,##0" sourceLinked="0"/>
        <c:tickLblPos val="nextTo"/>
        <c:txPr>
          <a:bodyPr/>
          <a:lstStyle/>
          <a:p>
            <a:pPr>
              <a:defRPr sz="800">
                <a:latin typeface="Arial" pitchFamily="34" charset="0"/>
                <a:cs typeface="Arial" pitchFamily="34" charset="0"/>
              </a:defRPr>
            </a:pPr>
            <a:endParaRPr lang="cs-CZ"/>
          </a:p>
        </c:txPr>
        <c:crossAx val="197117824"/>
        <c:crosses val="autoZero"/>
        <c:crossBetween val="between"/>
        <c:majorUnit val="10"/>
      </c:valAx>
      <c:spPr>
        <a:ln>
          <a:solidFill>
            <a:schemeClr val="tx1">
              <a:lumMod val="95000"/>
              <a:lumOff val="5000"/>
            </a:schemeClr>
          </a:solidFill>
        </a:ln>
      </c:spPr>
    </c:plotArea>
    <c:legend>
      <c:legendPos val="r"/>
      <c:layout>
        <c:manualLayout>
          <c:xMode val="edge"/>
          <c:yMode val="edge"/>
          <c:x val="6.3517658206840313E-2"/>
          <c:y val="0.86898582766440891"/>
          <c:w val="0.92018571517242886"/>
          <c:h val="0.12237414965986392"/>
        </c:manualLayout>
      </c:layout>
      <c:spPr>
        <a:ln>
          <a:solidFill>
            <a:schemeClr val="tx1">
              <a:lumMod val="95000"/>
              <a:lumOff val="5000"/>
            </a:schemeClr>
          </a:solidFill>
        </a:ln>
      </c:spPr>
      <c:txPr>
        <a:bodyPr/>
        <a:lstStyle/>
        <a:p>
          <a:pPr>
            <a:defRPr sz="800">
              <a:latin typeface="Arial" pitchFamily="34" charset="0"/>
              <a:cs typeface="Arial" pitchFamily="34" charset="0"/>
            </a:defRPr>
          </a:pPr>
          <a:endParaRPr lang="cs-CZ"/>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6.1857900718404552E-2"/>
          <c:y val="1.544165056508486E-2"/>
          <c:w val="0.86053409090909083"/>
          <c:h val="0.788921201814059"/>
        </c:manualLayout>
      </c:layout>
      <c:barChart>
        <c:barDir val="col"/>
        <c:grouping val="clustered"/>
        <c:ser>
          <c:idx val="4"/>
          <c:order val="4"/>
          <c:tx>
            <c:strRef>
              <c:f>'Státní rozpočet 4'!$F$22</c:f>
              <c:strCache>
                <c:ptCount val="1"/>
                <c:pt idx="0">
                  <c:v>Balance of incomes and expenditures (right axis)</c:v>
                </c:pt>
              </c:strCache>
            </c:strRef>
          </c:tx>
          <c:spPr>
            <a:solidFill>
              <a:srgbClr val="BFBFBF"/>
            </a:solidFill>
            <a:ln>
              <a:noFill/>
            </a:ln>
          </c:spP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4'!$F$23:$F$35</c:f>
              <c:numCache>
                <c:formatCode>0.0</c:formatCode>
                <c:ptCount val="13"/>
                <c:pt idx="0">
                  <c:v>10.890000000000002</c:v>
                </c:pt>
                <c:pt idx="1">
                  <c:v>3.9490000000000132</c:v>
                </c:pt>
                <c:pt idx="2">
                  <c:v>15.005000000000004</c:v>
                </c:pt>
                <c:pt idx="3">
                  <c:v>7.4180000000000064</c:v>
                </c:pt>
                <c:pt idx="4">
                  <c:v>-29.578000000000028</c:v>
                </c:pt>
                <c:pt idx="5">
                  <c:v>-28.443000000000026</c:v>
                </c:pt>
                <c:pt idx="6">
                  <c:v>-40.189000000000021</c:v>
                </c:pt>
                <c:pt idx="7">
                  <c:v>-50.061</c:v>
                </c:pt>
                <c:pt idx="8">
                  <c:v>-50.313000000000045</c:v>
                </c:pt>
                <c:pt idx="9">
                  <c:v>-43.919999999999959</c:v>
                </c:pt>
                <c:pt idx="10">
                  <c:v>-33.78000000000003</c:v>
                </c:pt>
                <c:pt idx="11">
                  <c:v>-15.840000000000032</c:v>
                </c:pt>
                <c:pt idx="12">
                  <c:v>6.9999999999993276E-2</c:v>
                </c:pt>
              </c:numCache>
            </c:numRef>
          </c:val>
        </c:ser>
        <c:gapWidth val="43"/>
        <c:axId val="198817280"/>
        <c:axId val="197716992"/>
      </c:barChart>
      <c:lineChart>
        <c:grouping val="standard"/>
        <c:ser>
          <c:idx val="2"/>
          <c:order val="0"/>
          <c:tx>
            <c:strRef>
              <c:f>'Státní rozpočet 4'!$D$22</c:f>
              <c:strCache>
                <c:ptCount val="1"/>
                <c:pt idx="0">
                  <c:v>Incomes on pensions</c:v>
                </c:pt>
              </c:strCache>
            </c:strRef>
          </c:tx>
          <c:spPr>
            <a:ln w="22225">
              <a:solidFill>
                <a:srgbClr val="0071BC"/>
              </a:solidFill>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4'!$D$23:$D$35</c:f>
              <c:numCache>
                <c:formatCode>0.0</c:formatCode>
                <c:ptCount val="13"/>
                <c:pt idx="0">
                  <c:v>6.1875591004399082</c:v>
                </c:pt>
                <c:pt idx="1">
                  <c:v>7.1937432244076414</c:v>
                </c:pt>
                <c:pt idx="2">
                  <c:v>10.1134147222423</c:v>
                </c:pt>
                <c:pt idx="3">
                  <c:v>4.9498130289312883</c:v>
                </c:pt>
                <c:pt idx="4">
                  <c:v>-3.0442256602594142</c:v>
                </c:pt>
                <c:pt idx="5">
                  <c:v>2.4370587666419552</c:v>
                </c:pt>
                <c:pt idx="6">
                  <c:v>3.1815464014853632</c:v>
                </c:pt>
                <c:pt idx="7">
                  <c:v>1.2474075881420106</c:v>
                </c:pt>
                <c:pt idx="8">
                  <c:v>0.14760369912943375</c:v>
                </c:pt>
                <c:pt idx="9">
                  <c:v>2.8454550923419504</c:v>
                </c:pt>
                <c:pt idx="10">
                  <c:v>5.7089377632194482</c:v>
                </c:pt>
                <c:pt idx="11">
                  <c:v>6.0009960159362379</c:v>
                </c:pt>
                <c:pt idx="12">
                  <c:v>8.1721608853391814</c:v>
                </c:pt>
              </c:numCache>
            </c:numRef>
          </c:val>
        </c:ser>
        <c:ser>
          <c:idx val="3"/>
          <c:order val="1"/>
          <c:tx>
            <c:strRef>
              <c:f>'Státní rozpočet 4'!$E$22</c:f>
              <c:strCache>
                <c:ptCount val="1"/>
                <c:pt idx="0">
                  <c:v>Expenditures on pensions</c:v>
                </c:pt>
              </c:strCache>
            </c:strRef>
          </c:tx>
          <c:spPr>
            <a:ln w="22225">
              <a:solidFill>
                <a:srgbClr val="BD1B21"/>
              </a:solidFill>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4'!$E$23:$E$35</c:f>
              <c:numCache>
                <c:formatCode>0.0</c:formatCode>
                <c:ptCount val="13"/>
                <c:pt idx="0">
                  <c:v>7.1430118191228047</c:v>
                </c:pt>
                <c:pt idx="1">
                  <c:v>10.316100084886227</c:v>
                </c:pt>
                <c:pt idx="2">
                  <c:v>6.2086174613702099</c:v>
                </c:pt>
                <c:pt idx="3">
                  <c:v>7.8235669558917209</c:v>
                </c:pt>
                <c:pt idx="4">
                  <c:v>8.7210269668385987</c:v>
                </c:pt>
                <c:pt idx="5">
                  <c:v>1.8908849047052751</c:v>
                </c:pt>
                <c:pt idx="6">
                  <c:v>6.3128767550611826</c:v>
                </c:pt>
                <c:pt idx="7">
                  <c:v>3.7933104934129198</c:v>
                </c:pt>
                <c:pt idx="8">
                  <c:v>0.19422507597550967</c:v>
                </c:pt>
                <c:pt idx="9">
                  <c:v>0.80125818696718909</c:v>
                </c:pt>
                <c:pt idx="10">
                  <c:v>2.4310595065312128</c:v>
                </c:pt>
                <c:pt idx="11">
                  <c:v>0.9488386215272584</c:v>
                </c:pt>
                <c:pt idx="12">
                  <c:v>3.8599393438103111</c:v>
                </c:pt>
              </c:numCache>
            </c:numRef>
          </c:val>
        </c:ser>
        <c:ser>
          <c:idx val="0"/>
          <c:order val="2"/>
          <c:tx>
            <c:strRef>
              <c:f>'Státní rozpočet 4'!$B$22</c:f>
              <c:strCache>
                <c:ptCount val="1"/>
                <c:pt idx="0">
                  <c:v>Total number of pension recipients</c:v>
                </c:pt>
              </c:strCache>
            </c:strRef>
          </c:tx>
          <c:spPr>
            <a:ln w="19050">
              <a:solidFill>
                <a:srgbClr val="7DBB2D"/>
              </a:solidFill>
              <a:prstDash val="solid"/>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4'!$B$23:$B$35</c:f>
              <c:numCache>
                <c:formatCode>0.0</c:formatCode>
                <c:ptCount val="13"/>
                <c:pt idx="0">
                  <c:v>0.73942609261963865</c:v>
                </c:pt>
                <c:pt idx="1">
                  <c:v>1.462477789119518</c:v>
                </c:pt>
                <c:pt idx="2">
                  <c:v>1.3181761274379653</c:v>
                </c:pt>
                <c:pt idx="3">
                  <c:v>1.281645331041446</c:v>
                </c:pt>
                <c:pt idx="4">
                  <c:v>1.3209823780660355</c:v>
                </c:pt>
                <c:pt idx="5">
                  <c:v>1.0286013680520079</c:v>
                </c:pt>
                <c:pt idx="6">
                  <c:v>1.9123526609444923</c:v>
                </c:pt>
                <c:pt idx="7">
                  <c:v>-0.24183746350509264</c:v>
                </c:pt>
                <c:pt idx="8">
                  <c:v>-0.28610745917036695</c:v>
                </c:pt>
                <c:pt idx="9">
                  <c:v>0.18699332646569669</c:v>
                </c:pt>
                <c:pt idx="10">
                  <c:v>0.37555881531155022</c:v>
                </c:pt>
                <c:pt idx="11">
                  <c:v>0.64426940872033367</c:v>
                </c:pt>
                <c:pt idx="12">
                  <c:v>0.12207563849430868</c:v>
                </c:pt>
              </c:numCache>
            </c:numRef>
          </c:val>
        </c:ser>
        <c:ser>
          <c:idx val="1"/>
          <c:order val="3"/>
          <c:tx>
            <c:strRef>
              <c:f>'Státní rozpočet 4'!$C$22</c:f>
              <c:strCache>
                <c:ptCount val="1"/>
                <c:pt idx="0">
                  <c:v>In that old age pensions at early retirement*</c:v>
                </c:pt>
              </c:strCache>
            </c:strRef>
          </c:tx>
          <c:spPr>
            <a:ln w="19050">
              <a:noFill/>
            </a:ln>
          </c:spPr>
          <c:marker>
            <c:symbol val="diamond"/>
            <c:size val="6"/>
            <c:spPr>
              <a:solidFill>
                <a:srgbClr val="7DBB2D"/>
              </a:solidFill>
              <a:ln>
                <a:noFill/>
              </a:ln>
            </c:spPr>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4'!$C$23:$C$35</c:f>
              <c:numCache>
                <c:formatCode>0.0</c:formatCode>
                <c:ptCount val="13"/>
                <c:pt idx="0">
                  <c:v>3.68435403828326</c:v>
                </c:pt>
                <c:pt idx="1">
                  <c:v>8.3719919071212505</c:v>
                </c:pt>
                <c:pt idx="2">
                  <c:v>8.0300260463009465</c:v>
                </c:pt>
                <c:pt idx="3">
                  <c:v>7.4636923712797794</c:v>
                </c:pt>
                <c:pt idx="4">
                  <c:v>10.14595753101284</c:v>
                </c:pt>
                <c:pt idx="5">
                  <c:v>8.3976245360026613</c:v>
                </c:pt>
                <c:pt idx="6">
                  <c:v>17.132319471515753</c:v>
                </c:pt>
                <c:pt idx="7">
                  <c:v>4.4036437626173548</c:v>
                </c:pt>
                <c:pt idx="8">
                  <c:v>3.7164573972200117</c:v>
                </c:pt>
                <c:pt idx="9">
                  <c:v>4.1538144420968948</c:v>
                </c:pt>
                <c:pt idx="10">
                  <c:v>3.5486971794898921</c:v>
                </c:pt>
                <c:pt idx="11">
                  <c:v>2.9849370914098614</c:v>
                </c:pt>
                <c:pt idx="12">
                  <c:v>2.5681813286142039</c:v>
                </c:pt>
              </c:numCache>
            </c:numRef>
          </c:val>
        </c:ser>
        <c:marker val="1"/>
        <c:axId val="197639168"/>
        <c:axId val="197715456"/>
      </c:lineChart>
      <c:catAx>
        <c:axId val="197639168"/>
        <c:scaling>
          <c:orientation val="minMax"/>
        </c:scaling>
        <c:axPos val="b"/>
        <c:numFmt formatCode="General" sourceLinked="1"/>
        <c:tickLblPos val="low"/>
        <c:spPr>
          <a:ln>
            <a:solidFill>
              <a:sysClr val="window" lastClr="FFFFFF">
                <a:lumMod val="50000"/>
              </a:sysClr>
            </a:solidFill>
          </a:ln>
        </c:spPr>
        <c:crossAx val="197715456"/>
        <c:crossesAt val="0"/>
        <c:auto val="1"/>
        <c:lblAlgn val="ctr"/>
        <c:lblOffset val="0"/>
      </c:catAx>
      <c:valAx>
        <c:axId val="197715456"/>
        <c:scaling>
          <c:orientation val="minMax"/>
          <c:max val="18"/>
          <c:min val="-18"/>
        </c:scaling>
        <c:axPos val="l"/>
        <c:majorGridlines>
          <c:spPr>
            <a:ln w="6350">
              <a:solidFill>
                <a:schemeClr val="bg1">
                  <a:lumMod val="75000"/>
                </a:schemeClr>
              </a:solidFill>
            </a:ln>
          </c:spPr>
        </c:majorGridlines>
        <c:numFmt formatCode="0" sourceLinked="0"/>
        <c:tickLblPos val="nextTo"/>
        <c:spPr>
          <a:ln>
            <a:solidFill>
              <a:schemeClr val="tx1"/>
            </a:solidFill>
          </a:ln>
        </c:spPr>
        <c:crossAx val="197639168"/>
        <c:crosses val="autoZero"/>
        <c:crossBetween val="between"/>
        <c:majorUnit val="3"/>
      </c:valAx>
      <c:valAx>
        <c:axId val="197716992"/>
        <c:scaling>
          <c:orientation val="minMax"/>
          <c:max val="60"/>
          <c:min val="-60"/>
        </c:scaling>
        <c:axPos val="r"/>
        <c:numFmt formatCode="0" sourceLinked="0"/>
        <c:tickLblPos val="nextTo"/>
        <c:spPr>
          <a:ln>
            <a:solidFill>
              <a:schemeClr val="tx1"/>
            </a:solidFill>
          </a:ln>
        </c:spPr>
        <c:crossAx val="198817280"/>
        <c:crosses val="max"/>
        <c:crossBetween val="between"/>
        <c:majorUnit val="10"/>
      </c:valAx>
      <c:catAx>
        <c:axId val="198817280"/>
        <c:scaling>
          <c:orientation val="minMax"/>
        </c:scaling>
        <c:delete val="1"/>
        <c:axPos val="b"/>
        <c:numFmt formatCode="General" sourceLinked="1"/>
        <c:tickLblPos val="none"/>
        <c:crossAx val="197716992"/>
        <c:crosses val="autoZero"/>
        <c:auto val="1"/>
        <c:lblAlgn val="ctr"/>
        <c:lblOffset val="100"/>
      </c:catAx>
      <c:spPr>
        <a:ln>
          <a:solidFill>
            <a:schemeClr val="tx1"/>
          </a:solidFill>
        </a:ln>
      </c:spPr>
    </c:plotArea>
    <c:legend>
      <c:legendPos val="b"/>
      <c:layout>
        <c:manualLayout>
          <c:xMode val="edge"/>
          <c:yMode val="edge"/>
          <c:x val="6.0377514358176322E-2"/>
          <c:y val="0.84715221088435377"/>
          <c:w val="0.85780583250584186"/>
          <c:h val="0.14239512471655327"/>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3654503640965086E-2"/>
          <c:y val="1.7112323287741892E-2"/>
          <c:w val="0.88571919735113291"/>
          <c:h val="0.76067747074773961"/>
        </c:manualLayout>
      </c:layout>
      <c:barChart>
        <c:barDir val="col"/>
        <c:grouping val="clustered"/>
        <c:ser>
          <c:idx val="0"/>
          <c:order val="0"/>
          <c:tx>
            <c:strRef>
              <c:f>'Státní rozpočet 3'!$B$31</c:f>
              <c:strCache>
                <c:ptCount val="1"/>
                <c:pt idx="0">
                  <c:v>Current expenditures (right axis)</c:v>
                </c:pt>
              </c:strCache>
            </c:strRef>
          </c:tx>
          <c:spPr>
            <a:solidFill>
              <a:schemeClr val="bg1">
                <a:lumMod val="75000"/>
              </a:schemeClr>
            </a:solidFill>
            <a:ln>
              <a:noFill/>
            </a:ln>
          </c:spP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3'!$B$32:$B$44</c:f>
              <c:numCache>
                <c:formatCode>0.0</c:formatCode>
                <c:ptCount val="13"/>
                <c:pt idx="0">
                  <c:v>840.85999999999945</c:v>
                </c:pt>
                <c:pt idx="1">
                  <c:v>912.08</c:v>
                </c:pt>
                <c:pt idx="2">
                  <c:v>973.84999999999945</c:v>
                </c:pt>
                <c:pt idx="3">
                  <c:v>975.85999999999945</c:v>
                </c:pt>
                <c:pt idx="4">
                  <c:v>1032.78</c:v>
                </c:pt>
                <c:pt idx="5">
                  <c:v>1021.89</c:v>
                </c:pt>
                <c:pt idx="6">
                  <c:v>1031.83</c:v>
                </c:pt>
                <c:pt idx="7">
                  <c:v>1038.76</c:v>
                </c:pt>
                <c:pt idx="8">
                  <c:v>1070.8129999999999</c:v>
                </c:pt>
                <c:pt idx="9">
                  <c:v>1100.1019999999999</c:v>
                </c:pt>
                <c:pt idx="10">
                  <c:v>1121.6599999999999</c:v>
                </c:pt>
                <c:pt idx="11">
                  <c:v>1135.57</c:v>
                </c:pt>
                <c:pt idx="12">
                  <c:v>1198.1499999999999</c:v>
                </c:pt>
              </c:numCache>
            </c:numRef>
          </c:val>
        </c:ser>
        <c:gapWidth val="70"/>
        <c:axId val="201750400"/>
        <c:axId val="201748864"/>
      </c:barChart>
      <c:lineChart>
        <c:grouping val="standard"/>
        <c:ser>
          <c:idx val="1"/>
          <c:order val="1"/>
          <c:tx>
            <c:strRef>
              <c:f>'Státní rozpočet 3'!$C$31</c:f>
              <c:strCache>
                <c:ptCount val="1"/>
                <c:pt idx="0">
                  <c:v>Wages of public sector employees</c:v>
                </c:pt>
              </c:strCache>
            </c:strRef>
          </c:tx>
          <c:spPr>
            <a:ln w="19050">
              <a:solidFill>
                <a:srgbClr val="984807"/>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3'!$C$32:$C$44</c:f>
              <c:numCache>
                <c:formatCode>0.0</c:formatCode>
                <c:ptCount val="13"/>
                <c:pt idx="0">
                  <c:v>88.07</c:v>
                </c:pt>
                <c:pt idx="1">
                  <c:v>89.990000000000023</c:v>
                </c:pt>
                <c:pt idx="2">
                  <c:v>95.76</c:v>
                </c:pt>
                <c:pt idx="3">
                  <c:v>97.33</c:v>
                </c:pt>
                <c:pt idx="4">
                  <c:v>100.19</c:v>
                </c:pt>
                <c:pt idx="5">
                  <c:v>97.669999999999987</c:v>
                </c:pt>
                <c:pt idx="6">
                  <c:v>89.6</c:v>
                </c:pt>
                <c:pt idx="7">
                  <c:v>90.45</c:v>
                </c:pt>
                <c:pt idx="8">
                  <c:v>92.374999999999986</c:v>
                </c:pt>
                <c:pt idx="9">
                  <c:v>96.582999999999998</c:v>
                </c:pt>
                <c:pt idx="10">
                  <c:v>104.19</c:v>
                </c:pt>
                <c:pt idx="11">
                  <c:v>109.86</c:v>
                </c:pt>
                <c:pt idx="12">
                  <c:v>119.92</c:v>
                </c:pt>
              </c:numCache>
            </c:numRef>
          </c:val>
        </c:ser>
        <c:ser>
          <c:idx val="6"/>
          <c:order val="2"/>
          <c:tx>
            <c:strRef>
              <c:f>'Státní rozpočet 3'!$H$31</c:f>
              <c:strCache>
                <c:ptCount val="1"/>
                <c:pt idx="0">
                  <c:v>Non-investment purchases*</c:v>
                </c:pt>
              </c:strCache>
            </c:strRef>
          </c:tx>
          <c:spPr>
            <a:ln w="19050">
              <a:solidFill>
                <a:srgbClr val="F8A124"/>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3'!$H$32:$H$44</c:f>
              <c:numCache>
                <c:formatCode>0.0</c:formatCode>
                <c:ptCount val="13"/>
                <c:pt idx="0">
                  <c:v>73.387999999999991</c:v>
                </c:pt>
                <c:pt idx="1">
                  <c:v>82.167000000000002</c:v>
                </c:pt>
                <c:pt idx="2">
                  <c:v>68.822999999999979</c:v>
                </c:pt>
                <c:pt idx="3">
                  <c:v>74.822999999999979</c:v>
                </c:pt>
                <c:pt idx="4">
                  <c:v>72.738</c:v>
                </c:pt>
                <c:pt idx="5">
                  <c:v>69.86</c:v>
                </c:pt>
                <c:pt idx="6">
                  <c:v>67.708000000000013</c:v>
                </c:pt>
                <c:pt idx="7">
                  <c:v>55.810999999999993</c:v>
                </c:pt>
                <c:pt idx="8">
                  <c:v>56.384999999999998</c:v>
                </c:pt>
                <c:pt idx="9">
                  <c:v>56.800999999999995</c:v>
                </c:pt>
                <c:pt idx="10">
                  <c:v>63.75</c:v>
                </c:pt>
                <c:pt idx="11">
                  <c:v>59.14</c:v>
                </c:pt>
                <c:pt idx="12">
                  <c:v>63.68</c:v>
                </c:pt>
              </c:numCache>
            </c:numRef>
          </c:val>
        </c:ser>
        <c:ser>
          <c:idx val="7"/>
          <c:order val="3"/>
          <c:tx>
            <c:strRef>
              <c:f>'Státní rozpočet 3'!$I$31</c:f>
              <c:strCache>
                <c:ptCount val="1"/>
                <c:pt idx="0">
                  <c:v>State debt (net expenditures)</c:v>
                </c:pt>
              </c:strCache>
            </c:strRef>
          </c:tx>
          <c:spPr>
            <a:ln w="19050">
              <a:solidFill>
                <a:srgbClr val="BD1B21"/>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3'!$I$32:$I$44</c:f>
              <c:numCache>
                <c:formatCode>0.0</c:formatCode>
                <c:ptCount val="13"/>
                <c:pt idx="0">
                  <c:v>25.43</c:v>
                </c:pt>
                <c:pt idx="1">
                  <c:v>31.610000000000017</c:v>
                </c:pt>
                <c:pt idx="2">
                  <c:v>34.130000000000003</c:v>
                </c:pt>
                <c:pt idx="3">
                  <c:v>37.64</c:v>
                </c:pt>
                <c:pt idx="4">
                  <c:v>44.46</c:v>
                </c:pt>
                <c:pt idx="5">
                  <c:v>35.839999999999996</c:v>
                </c:pt>
                <c:pt idx="6">
                  <c:v>45.120000000000012</c:v>
                </c:pt>
                <c:pt idx="7">
                  <c:v>41.400000000000006</c:v>
                </c:pt>
                <c:pt idx="8">
                  <c:v>50.89</c:v>
                </c:pt>
                <c:pt idx="9">
                  <c:v>48.49</c:v>
                </c:pt>
                <c:pt idx="10">
                  <c:v>45.28</c:v>
                </c:pt>
                <c:pt idx="11">
                  <c:v>40.65</c:v>
                </c:pt>
                <c:pt idx="12">
                  <c:v>39.77000000000001</c:v>
                </c:pt>
              </c:numCache>
            </c:numRef>
          </c:val>
        </c:ser>
        <c:ser>
          <c:idx val="2"/>
          <c:order val="4"/>
          <c:tx>
            <c:strRef>
              <c:f>'Státní rozpočet 3'!$D$31</c:f>
              <c:strCache>
                <c:ptCount val="1"/>
                <c:pt idx="0">
                  <c:v>Unemployment benefits</c:v>
                </c:pt>
              </c:strCache>
            </c:strRef>
          </c:tx>
          <c:spPr>
            <a:ln w="19050">
              <a:solidFill>
                <a:srgbClr val="0071BC"/>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3'!$D$32:$D$44</c:f>
              <c:numCache>
                <c:formatCode>0.0</c:formatCode>
                <c:ptCount val="13"/>
                <c:pt idx="0">
                  <c:v>7.1099999999999985</c:v>
                </c:pt>
                <c:pt idx="1">
                  <c:v>7.3599999999999985</c:v>
                </c:pt>
                <c:pt idx="2">
                  <c:v>7.24</c:v>
                </c:pt>
                <c:pt idx="3">
                  <c:v>7.1099999999999985</c:v>
                </c:pt>
                <c:pt idx="4">
                  <c:v>15.078000000000001</c:v>
                </c:pt>
                <c:pt idx="5">
                  <c:v>13.355000000000011</c:v>
                </c:pt>
                <c:pt idx="6">
                  <c:v>10.349</c:v>
                </c:pt>
                <c:pt idx="7">
                  <c:v>8.76</c:v>
                </c:pt>
                <c:pt idx="8">
                  <c:v>9.65</c:v>
                </c:pt>
                <c:pt idx="9">
                  <c:v>9.2620000000000005</c:v>
                </c:pt>
                <c:pt idx="10">
                  <c:v>8.2760000000000016</c:v>
                </c:pt>
                <c:pt idx="11">
                  <c:v>8.2200000000000024</c:v>
                </c:pt>
                <c:pt idx="12">
                  <c:v>7.8199999999999985</c:v>
                </c:pt>
              </c:numCache>
            </c:numRef>
          </c:val>
        </c:ser>
        <c:ser>
          <c:idx val="3"/>
          <c:order val="5"/>
          <c:tx>
            <c:strRef>
              <c:f>'Státní rozpočet 3'!$E$31</c:f>
              <c:strCache>
                <c:ptCount val="1"/>
                <c:pt idx="0">
                  <c:v>State social support benefits**</c:v>
                </c:pt>
              </c:strCache>
            </c:strRef>
          </c:tx>
          <c:spPr>
            <a:ln w="19050">
              <a:solidFill>
                <a:srgbClr val="7030A0"/>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3'!$E$32:$E$44</c:f>
              <c:numCache>
                <c:formatCode>General</c:formatCode>
                <c:ptCount val="13"/>
                <c:pt idx="0">
                  <c:v>33.14</c:v>
                </c:pt>
                <c:pt idx="1">
                  <c:v>34.349999999999994</c:v>
                </c:pt>
                <c:pt idx="2">
                  <c:v>49.47</c:v>
                </c:pt>
                <c:pt idx="3">
                  <c:v>41.97</c:v>
                </c:pt>
                <c:pt idx="4">
                  <c:v>41.168000000000013</c:v>
                </c:pt>
                <c:pt idx="5">
                  <c:v>40.880999999999993</c:v>
                </c:pt>
                <c:pt idx="6">
                  <c:v>36.094000000000001</c:v>
                </c:pt>
                <c:pt idx="7">
                  <c:v>35.553999999999995</c:v>
                </c:pt>
                <c:pt idx="8">
                  <c:v>37.423000000000002</c:v>
                </c:pt>
                <c:pt idx="9">
                  <c:v>37.544000000000004</c:v>
                </c:pt>
                <c:pt idx="10">
                  <c:v>37.65</c:v>
                </c:pt>
                <c:pt idx="11">
                  <c:v>37.78</c:v>
                </c:pt>
                <c:pt idx="12">
                  <c:v>37.290000000000013</c:v>
                </c:pt>
              </c:numCache>
            </c:numRef>
          </c:val>
        </c:ser>
        <c:ser>
          <c:idx val="4"/>
          <c:order val="6"/>
          <c:tx>
            <c:strRef>
              <c:f>'Státní rozpočet 3'!$F$31</c:f>
              <c:strCache>
                <c:ptCount val="1"/>
                <c:pt idx="0">
                  <c:v>Sickness benefits</c:v>
                </c:pt>
              </c:strCache>
            </c:strRef>
          </c:tx>
          <c:spPr>
            <a:ln w="19050">
              <a:solidFill>
                <a:srgbClr val="7DBB2D"/>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3'!$F$32:$F$44</c:f>
              <c:numCache>
                <c:formatCode>0.00</c:formatCode>
                <c:ptCount val="13"/>
                <c:pt idx="0">
                  <c:v>31.66</c:v>
                </c:pt>
                <c:pt idx="1">
                  <c:v>32.773000000000003</c:v>
                </c:pt>
                <c:pt idx="2">
                  <c:v>34.671000000000006</c:v>
                </c:pt>
                <c:pt idx="3">
                  <c:v>31.881999999999987</c:v>
                </c:pt>
                <c:pt idx="4">
                  <c:v>26.233000000000001</c:v>
                </c:pt>
                <c:pt idx="5">
                  <c:v>22.995999999999977</c:v>
                </c:pt>
                <c:pt idx="6">
                  <c:v>21.734000000000005</c:v>
                </c:pt>
                <c:pt idx="7">
                  <c:v>19.602</c:v>
                </c:pt>
                <c:pt idx="8">
                  <c:v>20.350000000000001</c:v>
                </c:pt>
                <c:pt idx="9">
                  <c:v>22.282999999999976</c:v>
                </c:pt>
                <c:pt idx="10">
                  <c:v>24.310000000000016</c:v>
                </c:pt>
                <c:pt idx="11">
                  <c:v>26.5</c:v>
                </c:pt>
                <c:pt idx="12">
                  <c:v>28.57</c:v>
                </c:pt>
              </c:numCache>
            </c:numRef>
          </c:val>
        </c:ser>
        <c:ser>
          <c:idx val="5"/>
          <c:order val="7"/>
          <c:tx>
            <c:strRef>
              <c:f>'Státní rozpočet 3'!$G$31</c:f>
              <c:strCache>
                <c:ptCount val="1"/>
                <c:pt idx="0">
                  <c:v>Social care benefits***</c:v>
                </c:pt>
              </c:strCache>
            </c:strRef>
          </c:tx>
          <c:spPr>
            <a:ln w="19050">
              <a:solidFill>
                <a:srgbClr val="48AEE7"/>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3'!$G$32:$G$44</c:f>
              <c:numCache>
                <c:formatCode>General</c:formatCode>
                <c:ptCount val="13"/>
                <c:pt idx="2" formatCode="0.00">
                  <c:v>20.811000000000018</c:v>
                </c:pt>
                <c:pt idx="3" formatCode="0.00">
                  <c:v>23.542000000000002</c:v>
                </c:pt>
                <c:pt idx="4" formatCode="0.00">
                  <c:v>24.256</c:v>
                </c:pt>
                <c:pt idx="5" formatCode="0.00">
                  <c:v>25.292000000000002</c:v>
                </c:pt>
                <c:pt idx="6" formatCode="0.00">
                  <c:v>24.966999999999977</c:v>
                </c:pt>
                <c:pt idx="7" formatCode="0.00">
                  <c:v>27.695499999999981</c:v>
                </c:pt>
                <c:pt idx="8" formatCode="0.00">
                  <c:v>31.978999999999989</c:v>
                </c:pt>
                <c:pt idx="9" formatCode="0.00">
                  <c:v>33.622000000000035</c:v>
                </c:pt>
                <c:pt idx="10" formatCode="0.00">
                  <c:v>33.621000000000002</c:v>
                </c:pt>
                <c:pt idx="11" formatCode="0.00">
                  <c:v>34.295000000000037</c:v>
                </c:pt>
                <c:pt idx="12" formatCode="0.00">
                  <c:v>34.439</c:v>
                </c:pt>
              </c:numCache>
            </c:numRef>
          </c:val>
        </c:ser>
        <c:ser>
          <c:idx val="8"/>
          <c:order val="8"/>
          <c:tx>
            <c:strRef>
              <c:f>'Státní rozpočet 3'!$J$31</c:f>
              <c:strCache>
                <c:ptCount val="1"/>
                <c:pt idx="0">
                  <c:v>Capital expenditures</c:v>
                </c:pt>
              </c:strCache>
            </c:strRef>
          </c:tx>
          <c:spPr>
            <a:ln w="19050">
              <a:solidFill>
                <a:schemeClr val="tx1">
                  <a:lumMod val="95000"/>
                  <a:lumOff val="5000"/>
                </a:schemeClr>
              </a:solidFill>
              <a:prstDash val="sysDash"/>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3'!$J$32:$J$44</c:f>
              <c:numCache>
                <c:formatCode>0.0</c:formatCode>
                <c:ptCount val="13"/>
                <c:pt idx="0">
                  <c:v>81.990000000000023</c:v>
                </c:pt>
                <c:pt idx="1">
                  <c:v>108.54</c:v>
                </c:pt>
                <c:pt idx="2">
                  <c:v>118.42</c:v>
                </c:pt>
                <c:pt idx="3">
                  <c:v>108.08</c:v>
                </c:pt>
                <c:pt idx="4">
                  <c:v>134.22999999999999</c:v>
                </c:pt>
                <c:pt idx="5">
                  <c:v>134.91</c:v>
                </c:pt>
                <c:pt idx="6">
                  <c:v>123.69</c:v>
                </c:pt>
                <c:pt idx="7">
                  <c:v>113.61999999999999</c:v>
                </c:pt>
                <c:pt idx="8">
                  <c:v>102.315</c:v>
                </c:pt>
                <c:pt idx="9">
                  <c:v>111.50700000000002</c:v>
                </c:pt>
                <c:pt idx="10">
                  <c:v>175.66</c:v>
                </c:pt>
                <c:pt idx="11">
                  <c:v>84.27</c:v>
                </c:pt>
                <c:pt idx="12">
                  <c:v>81.64</c:v>
                </c:pt>
              </c:numCache>
            </c:numRef>
          </c:val>
        </c:ser>
        <c:marker val="1"/>
        <c:axId val="201718400"/>
        <c:axId val="201738880"/>
      </c:lineChart>
      <c:catAx>
        <c:axId val="201718400"/>
        <c:scaling>
          <c:orientation val="minMax"/>
        </c:scaling>
        <c:axPos val="b"/>
        <c:numFmt formatCode="General" sourceLinked="1"/>
        <c:tickLblPos val="low"/>
        <c:spPr>
          <a:ln>
            <a:solidFill>
              <a:schemeClr val="bg1">
                <a:lumMod val="50000"/>
              </a:schemeClr>
            </a:solidFill>
          </a:ln>
        </c:spPr>
        <c:crossAx val="201738880"/>
        <c:crosses val="autoZero"/>
        <c:auto val="1"/>
        <c:lblAlgn val="ctr"/>
        <c:lblOffset val="20"/>
      </c:catAx>
      <c:valAx>
        <c:axId val="201738880"/>
        <c:scaling>
          <c:orientation val="minMax"/>
          <c:max val="180"/>
          <c:min val="0"/>
        </c:scaling>
        <c:axPos val="l"/>
        <c:majorGridlines>
          <c:spPr>
            <a:ln w="6350">
              <a:solidFill>
                <a:schemeClr val="bg1">
                  <a:lumMod val="75000"/>
                </a:schemeClr>
              </a:solidFill>
            </a:ln>
          </c:spPr>
        </c:majorGridlines>
        <c:numFmt formatCode="0" sourceLinked="0"/>
        <c:tickLblPos val="nextTo"/>
        <c:spPr>
          <a:ln>
            <a:solidFill>
              <a:schemeClr val="tx1"/>
            </a:solidFill>
          </a:ln>
        </c:spPr>
        <c:crossAx val="201718400"/>
        <c:crosses val="autoZero"/>
        <c:crossBetween val="between"/>
        <c:majorUnit val="10"/>
      </c:valAx>
      <c:valAx>
        <c:axId val="201748864"/>
        <c:scaling>
          <c:orientation val="minMax"/>
          <c:max val="1300"/>
          <c:min val="0"/>
        </c:scaling>
        <c:axPos val="r"/>
        <c:numFmt formatCode="0" sourceLinked="0"/>
        <c:tickLblPos val="nextTo"/>
        <c:spPr>
          <a:ln>
            <a:solidFill>
              <a:schemeClr val="tx1"/>
            </a:solidFill>
          </a:ln>
        </c:spPr>
        <c:crossAx val="201750400"/>
        <c:crosses val="max"/>
        <c:crossBetween val="between"/>
        <c:majorUnit val="100"/>
      </c:valAx>
      <c:catAx>
        <c:axId val="201750400"/>
        <c:scaling>
          <c:orientation val="minMax"/>
        </c:scaling>
        <c:delete val="1"/>
        <c:axPos val="b"/>
        <c:numFmt formatCode="General" sourceLinked="1"/>
        <c:tickLblPos val="none"/>
        <c:crossAx val="201748864"/>
        <c:crosses val="autoZero"/>
        <c:auto val="1"/>
        <c:lblAlgn val="ctr"/>
        <c:lblOffset val="100"/>
      </c:catAx>
      <c:spPr>
        <a:ln>
          <a:solidFill>
            <a:schemeClr val="tx1"/>
          </a:solidFill>
        </a:ln>
      </c:spPr>
    </c:plotArea>
    <c:legend>
      <c:legendPos val="b"/>
      <c:layout>
        <c:manualLayout>
          <c:xMode val="edge"/>
          <c:yMode val="edge"/>
          <c:x val="5.5741128971108313E-2"/>
          <c:y val="0.82679736838094697"/>
          <c:w val="0.87022442515825205"/>
          <c:h val="0.16426429436431694"/>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94EA0-C52B-47AF-B482-6DDA897E0A9C}">
  <ds:schemaRefs>
    <ds:schemaRef ds:uri="http://schemas.openxmlformats.org/officeDocument/2006/bibliography"/>
  </ds:schemaRefs>
</ds:datastoreItem>
</file>

<file path=customXml/itemProps2.xml><?xml version="1.0" encoding="utf-8"?>
<ds:datastoreItem xmlns:ds="http://schemas.openxmlformats.org/officeDocument/2006/customXml" ds:itemID="{1277ED32-FF09-4030-A562-607DA0F6CBFC}">
  <ds:schemaRefs>
    <ds:schemaRef ds:uri="http://schemas.openxmlformats.org/officeDocument/2006/bibliography"/>
  </ds:schemaRefs>
</ds:datastoreItem>
</file>

<file path=customXml/itemProps3.xml><?xml version="1.0" encoding="utf-8"?>
<ds:datastoreItem xmlns:ds="http://schemas.openxmlformats.org/officeDocument/2006/customXml" ds:itemID="{906EF3E7-5167-4850-A6EA-9FDC8670377D}">
  <ds:schemaRefs>
    <ds:schemaRef ds:uri="http://schemas.openxmlformats.org/officeDocument/2006/bibliography"/>
  </ds:schemaRefs>
</ds:datastoreItem>
</file>

<file path=customXml/itemProps4.xml><?xml version="1.0" encoding="utf-8"?>
<ds:datastoreItem xmlns:ds="http://schemas.openxmlformats.org/officeDocument/2006/customXml" ds:itemID="{6BFA1B1D-C0F8-4090-974E-25480A30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TotalTime>
  <Pages>6</Pages>
  <Words>2752</Words>
  <Characters>16238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18953</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2018-03-14T17:02:00Z</cp:lastPrinted>
  <dcterms:created xsi:type="dcterms:W3CDTF">2018-04-23T12:19:00Z</dcterms:created>
  <dcterms:modified xsi:type="dcterms:W3CDTF">2018-04-23T12:20:00Z</dcterms:modified>
</cp:coreProperties>
</file>