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38A" w:rsidRDefault="0011338A" w:rsidP="0011338A">
      <w:pPr>
        <w:jc w:val="center"/>
        <w:rPr>
          <w:rFonts w:ascii="Arial" w:hAnsi="Arial"/>
          <w:b/>
          <w:bCs/>
          <w:sz w:val="22"/>
          <w:vertAlign w:val="superscript"/>
        </w:rPr>
      </w:pPr>
      <w:r>
        <w:rPr>
          <w:rFonts w:ascii="Arial" w:hAnsi="Arial"/>
          <w:b/>
          <w:bCs/>
          <w:sz w:val="22"/>
        </w:rPr>
        <w:t xml:space="preserve">Souhrnné indikátory důvěry (CZ-NACE) </w:t>
      </w:r>
      <w:r>
        <w:rPr>
          <w:rFonts w:ascii="Arial" w:hAnsi="Arial"/>
          <w:b/>
          <w:bCs/>
          <w:sz w:val="22"/>
          <w:vertAlign w:val="superscript"/>
        </w:rPr>
        <w:t>1)</w:t>
      </w:r>
    </w:p>
    <w:p w:rsidR="0011338A" w:rsidRDefault="0011338A" w:rsidP="0011338A">
      <w:pPr>
        <w:jc w:val="center"/>
        <w:rPr>
          <w:rFonts w:ascii="Arial" w:hAnsi="Arial"/>
          <w:b/>
          <w:bCs/>
          <w:i/>
          <w:iCs/>
          <w:sz w:val="22"/>
          <w:vertAlign w:val="superscript"/>
          <w:lang w:val="en-US"/>
        </w:rPr>
      </w:pPr>
      <w:r>
        <w:rPr>
          <w:rFonts w:ascii="Arial" w:hAnsi="Arial"/>
          <w:b/>
          <w:bCs/>
          <w:i/>
          <w:iCs/>
          <w:sz w:val="22"/>
          <w:lang w:val="en-US"/>
        </w:rPr>
        <w:t xml:space="preserve">Composite confidence indicator </w:t>
      </w:r>
      <w:r>
        <w:rPr>
          <w:rFonts w:ascii="Arial" w:hAnsi="Arial"/>
          <w:b/>
          <w:bCs/>
          <w:sz w:val="22"/>
        </w:rPr>
        <w:t>(CZ-NACE)</w:t>
      </w:r>
      <w:r>
        <w:rPr>
          <w:rFonts w:ascii="Arial" w:hAnsi="Arial"/>
          <w:b/>
          <w:bCs/>
          <w:i/>
          <w:iCs/>
          <w:sz w:val="22"/>
          <w:lang w:val="en-US"/>
        </w:rPr>
        <w:t xml:space="preserve"> </w:t>
      </w:r>
      <w:r>
        <w:rPr>
          <w:rFonts w:ascii="Arial" w:hAnsi="Arial"/>
          <w:b/>
          <w:bCs/>
          <w:i/>
          <w:iCs/>
          <w:sz w:val="22"/>
          <w:vertAlign w:val="superscript"/>
          <w:lang w:val="en-US"/>
        </w:rPr>
        <w:t>1)</w:t>
      </w:r>
    </w:p>
    <w:p w:rsidR="0011338A" w:rsidRDefault="0011338A" w:rsidP="0011338A">
      <w:pPr>
        <w:jc w:val="center"/>
        <w:rPr>
          <w:rFonts w:ascii="Arial" w:hAnsi="Arial"/>
          <w:b/>
          <w:bCs/>
          <w:i/>
          <w:iCs/>
          <w:sz w:val="22"/>
        </w:rPr>
      </w:pPr>
      <w:r>
        <w:rPr>
          <w:rFonts w:ascii="Arial" w:hAnsi="Arial"/>
          <w:b/>
          <w:bCs/>
          <w:i/>
          <w:iCs/>
          <w:sz w:val="22"/>
        </w:rPr>
        <w:t xml:space="preserve">                                                                                                                                                                 </w:t>
      </w:r>
    </w:p>
    <w:tbl>
      <w:tblPr>
        <w:tblW w:w="9220" w:type="dxa"/>
        <w:tblCellMar>
          <w:left w:w="0" w:type="dxa"/>
          <w:right w:w="0" w:type="dxa"/>
        </w:tblCellMar>
        <w:tblLook w:val="0000" w:firstRow="0" w:lastRow="0" w:firstColumn="0" w:lastColumn="0" w:noHBand="0" w:noVBand="0"/>
      </w:tblPr>
      <w:tblGrid>
        <w:gridCol w:w="480"/>
        <w:gridCol w:w="880"/>
        <w:gridCol w:w="800"/>
        <w:gridCol w:w="1180"/>
        <w:gridCol w:w="720"/>
        <w:gridCol w:w="820"/>
        <w:gridCol w:w="1120"/>
        <w:gridCol w:w="1080"/>
        <w:gridCol w:w="135"/>
        <w:gridCol w:w="985"/>
        <w:gridCol w:w="1020"/>
      </w:tblGrid>
      <w:tr w:rsidR="0011338A" w:rsidTr="00B52388">
        <w:trPr>
          <w:trHeight w:val="466"/>
        </w:trPr>
        <w:tc>
          <w:tcPr>
            <w:tcW w:w="480" w:type="dxa"/>
            <w:tcBorders>
              <w:top w:val="single" w:sz="12" w:space="0" w:color="auto"/>
              <w:left w:val="single" w:sz="12" w:space="0" w:color="auto"/>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p>
        </w:tc>
        <w:tc>
          <w:tcPr>
            <w:tcW w:w="880" w:type="dxa"/>
            <w:tcBorders>
              <w:top w:val="single" w:sz="12" w:space="0" w:color="auto"/>
              <w:left w:val="nil"/>
              <w:bottom w:val="nil"/>
              <w:right w:val="nil"/>
            </w:tcBorders>
            <w:noWrap/>
            <w:tcMar>
              <w:top w:w="15" w:type="dxa"/>
              <w:left w:w="180" w:type="dxa"/>
              <w:bottom w:w="0" w:type="dxa"/>
              <w:right w:w="15" w:type="dxa"/>
            </w:tcMar>
            <w:vAlign w:val="bottom"/>
          </w:tcPr>
          <w:p w:rsidR="0011338A" w:rsidRDefault="0011338A" w:rsidP="00522705">
            <w:pPr>
              <w:ind w:firstLineChars="100" w:firstLine="160"/>
              <w:rPr>
                <w:rFonts w:ascii="Arial" w:eastAsia="Arial Unicode MS" w:hAnsi="Arial" w:cs="Arial Unicode MS"/>
                <w:b/>
                <w:bCs/>
                <w:sz w:val="16"/>
                <w:szCs w:val="16"/>
              </w:rPr>
            </w:pPr>
          </w:p>
        </w:tc>
        <w:tc>
          <w:tcPr>
            <w:tcW w:w="4640" w:type="dxa"/>
            <w:gridSpan w:val="5"/>
            <w:tcBorders>
              <w:top w:val="single" w:sz="12" w:space="0" w:color="auto"/>
              <w:left w:val="single" w:sz="8" w:space="0" w:color="auto"/>
              <w:bottom w:val="single" w:sz="4" w:space="0" w:color="auto"/>
              <w:right w:val="single" w:sz="8" w:space="0" w:color="000000"/>
            </w:tcBorders>
            <w:noWrap/>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cs="Arial"/>
                <w:b/>
                <w:bCs/>
                <w:sz w:val="16"/>
                <w:szCs w:val="16"/>
              </w:rPr>
              <w:t xml:space="preserve">Salda indikátorů důvěry za </w:t>
            </w:r>
            <w:r>
              <w:rPr>
                <w:rFonts w:ascii="Arial" w:hAnsi="Arial" w:cs="Arial"/>
                <w:sz w:val="16"/>
                <w:szCs w:val="16"/>
              </w:rPr>
              <w:t>(všechny hodnoty jsou počítány ze sezónně očištěných sald)</w:t>
            </w:r>
          </w:p>
        </w:tc>
        <w:tc>
          <w:tcPr>
            <w:tcW w:w="3220" w:type="dxa"/>
            <w:gridSpan w:val="4"/>
            <w:tcBorders>
              <w:top w:val="single" w:sz="12" w:space="0" w:color="auto"/>
              <w:left w:val="nil"/>
              <w:bottom w:val="single" w:sz="4" w:space="0" w:color="auto"/>
              <w:right w:val="single" w:sz="12"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xml:space="preserve">Bazické indexy k průměru roku 2005 </w:t>
            </w:r>
          </w:p>
        </w:tc>
      </w:tr>
      <w:tr w:rsidR="0011338A" w:rsidTr="00522705">
        <w:trPr>
          <w:trHeight w:val="452"/>
        </w:trPr>
        <w:tc>
          <w:tcPr>
            <w:tcW w:w="0" w:type="auto"/>
            <w:tcBorders>
              <w:top w:val="nil"/>
              <w:left w:val="single" w:sz="12" w:space="0" w:color="auto"/>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p>
        </w:tc>
        <w:tc>
          <w:tcPr>
            <w:tcW w:w="0" w:type="auto"/>
            <w:tcBorders>
              <w:top w:val="nil"/>
              <w:left w:val="nil"/>
              <w:bottom w:val="nil"/>
              <w:right w:val="nil"/>
            </w:tcBorders>
            <w:noWrap/>
            <w:tcMar>
              <w:top w:w="15" w:type="dxa"/>
              <w:left w:w="180" w:type="dxa"/>
              <w:bottom w:w="0" w:type="dxa"/>
              <w:right w:w="15" w:type="dxa"/>
            </w:tcMar>
            <w:vAlign w:val="bottom"/>
          </w:tcPr>
          <w:p w:rsidR="0011338A" w:rsidRDefault="0011338A" w:rsidP="00522705">
            <w:pPr>
              <w:ind w:firstLineChars="100" w:firstLine="160"/>
              <w:rPr>
                <w:rFonts w:ascii="Arial" w:eastAsia="Arial Unicode MS" w:hAnsi="Arial" w:cs="Arial Unicode MS"/>
                <w:b/>
                <w:bCs/>
                <w:sz w:val="16"/>
                <w:szCs w:val="16"/>
              </w:rPr>
            </w:pPr>
          </w:p>
        </w:tc>
        <w:tc>
          <w:tcPr>
            <w:tcW w:w="4640" w:type="dxa"/>
            <w:gridSpan w:val="5"/>
            <w:tcBorders>
              <w:top w:val="single" w:sz="4" w:space="0" w:color="auto"/>
              <w:left w:val="single" w:sz="8" w:space="0" w:color="auto"/>
              <w:bottom w:val="single" w:sz="4" w:space="0" w:color="auto"/>
              <w:right w:val="single" w:sz="8" w:space="0" w:color="000000"/>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cs="Arial"/>
                <w:b/>
                <w:bCs/>
                <w:sz w:val="16"/>
                <w:szCs w:val="16"/>
                <w:lang w:val="en-US"/>
              </w:rPr>
              <w:t xml:space="preserve">Balances of confidence indicators for </w:t>
            </w:r>
            <w:r>
              <w:rPr>
                <w:rFonts w:ascii="Arial" w:hAnsi="Arial" w:cs="Arial"/>
                <w:sz w:val="16"/>
                <w:szCs w:val="16"/>
                <w:lang w:val="en-US"/>
              </w:rPr>
              <w:t>(all the data are calculated from seasonally adjusted balances)</w:t>
            </w:r>
          </w:p>
        </w:tc>
        <w:tc>
          <w:tcPr>
            <w:tcW w:w="3220" w:type="dxa"/>
            <w:gridSpan w:val="4"/>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 xml:space="preserve">Basic indices to the average of 2005 </w:t>
            </w:r>
          </w:p>
        </w:tc>
      </w:tr>
      <w:tr w:rsidR="0011338A" w:rsidTr="00522705">
        <w:trPr>
          <w:cantSplit/>
          <w:trHeight w:val="214"/>
        </w:trPr>
        <w:tc>
          <w:tcPr>
            <w:tcW w:w="480" w:type="dxa"/>
            <w:vMerge w:val="restart"/>
            <w:tcBorders>
              <w:top w:val="single" w:sz="8" w:space="0" w:color="auto"/>
              <w:left w:val="single" w:sz="12" w:space="0" w:color="auto"/>
              <w:bottom w:val="single" w:sz="8" w:space="0" w:color="000000"/>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lang w:val="en-US"/>
              </w:rPr>
            </w:pPr>
            <w:r>
              <w:rPr>
                <w:rFonts w:ascii="Arial" w:hAnsi="Arial"/>
                <w:b/>
                <w:bCs/>
                <w:sz w:val="16"/>
                <w:szCs w:val="16"/>
              </w:rPr>
              <w:t>Rok</w:t>
            </w:r>
            <w:r>
              <w:rPr>
                <w:rFonts w:ascii="Arial" w:hAnsi="Arial"/>
                <w:b/>
                <w:bCs/>
                <w:sz w:val="16"/>
                <w:szCs w:val="16"/>
                <w:lang w:val="en-US"/>
              </w:rPr>
              <w:t xml:space="preserve"> Year</w:t>
            </w:r>
          </w:p>
        </w:tc>
        <w:tc>
          <w:tcPr>
            <w:tcW w:w="880" w:type="dxa"/>
            <w:vMerge w:val="restart"/>
            <w:tcBorders>
              <w:top w:val="single" w:sz="8" w:space="0" w:color="auto"/>
              <w:left w:val="single" w:sz="4" w:space="0" w:color="auto"/>
              <w:bottom w:val="single" w:sz="8" w:space="0" w:color="000000"/>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lang w:val="en-US"/>
              </w:rPr>
            </w:pPr>
            <w:r>
              <w:rPr>
                <w:rFonts w:ascii="Arial" w:hAnsi="Arial"/>
                <w:b/>
                <w:bCs/>
                <w:sz w:val="16"/>
                <w:szCs w:val="16"/>
              </w:rPr>
              <w:t xml:space="preserve">Měsíc </w:t>
            </w:r>
            <w:r>
              <w:rPr>
                <w:rFonts w:ascii="Arial" w:hAnsi="Arial"/>
                <w:b/>
                <w:bCs/>
                <w:i/>
                <w:iCs/>
                <w:sz w:val="16"/>
                <w:szCs w:val="16"/>
                <w:lang w:val="en-US"/>
              </w:rPr>
              <w:t>Month</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průmysl</w:t>
            </w:r>
          </w:p>
        </w:tc>
        <w:tc>
          <w:tcPr>
            <w:tcW w:w="1180" w:type="dxa"/>
            <w:tcBorders>
              <w:top w:val="nil"/>
              <w:left w:val="nil"/>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stavebnictví</w:t>
            </w:r>
          </w:p>
        </w:tc>
        <w:tc>
          <w:tcPr>
            <w:tcW w:w="720" w:type="dxa"/>
            <w:tcBorders>
              <w:top w:val="nil"/>
              <w:left w:val="nil"/>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obchod</w:t>
            </w:r>
          </w:p>
        </w:tc>
        <w:tc>
          <w:tcPr>
            <w:tcW w:w="820" w:type="dxa"/>
            <w:tcBorders>
              <w:top w:val="nil"/>
              <w:left w:val="nil"/>
              <w:bottom w:val="single" w:sz="4" w:space="0" w:color="auto"/>
              <w:right w:val="nil"/>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služby</w:t>
            </w:r>
          </w:p>
        </w:tc>
        <w:tc>
          <w:tcPr>
            <w:tcW w:w="11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spotřebitele</w:t>
            </w:r>
          </w:p>
        </w:tc>
        <w:tc>
          <w:tcPr>
            <w:tcW w:w="1215" w:type="dxa"/>
            <w:gridSpan w:val="2"/>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podnikatele celkem</w:t>
            </w:r>
          </w:p>
        </w:tc>
        <w:tc>
          <w:tcPr>
            <w:tcW w:w="985" w:type="dxa"/>
            <w:tcBorders>
              <w:top w:val="nil"/>
              <w:left w:val="nil"/>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spotřebitele</w:t>
            </w:r>
          </w:p>
        </w:tc>
        <w:tc>
          <w:tcPr>
            <w:tcW w:w="1020" w:type="dxa"/>
            <w:tcBorders>
              <w:top w:val="nil"/>
              <w:left w:val="nil"/>
              <w:bottom w:val="single" w:sz="4" w:space="0" w:color="auto"/>
              <w:right w:val="single" w:sz="12"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souhrnný indikátor</w:t>
            </w:r>
          </w:p>
        </w:tc>
      </w:tr>
      <w:tr w:rsidR="0011338A" w:rsidTr="00522705">
        <w:trPr>
          <w:cantSplit/>
          <w:trHeight w:val="363"/>
        </w:trPr>
        <w:tc>
          <w:tcPr>
            <w:tcW w:w="0" w:type="auto"/>
            <w:vMerge/>
            <w:tcBorders>
              <w:top w:val="single" w:sz="8" w:space="0" w:color="auto"/>
              <w:left w:val="single" w:sz="12" w:space="0" w:color="auto"/>
              <w:bottom w:val="single" w:sz="12" w:space="0" w:color="auto"/>
              <w:right w:val="single" w:sz="4" w:space="0" w:color="auto"/>
            </w:tcBorders>
            <w:vAlign w:val="center"/>
          </w:tcPr>
          <w:p w:rsidR="0011338A" w:rsidRDefault="0011338A" w:rsidP="00522705">
            <w:pPr>
              <w:rPr>
                <w:rFonts w:ascii="Arial" w:eastAsia="Arial Unicode MS" w:hAnsi="Arial" w:cs="Arial Unicode MS"/>
                <w:b/>
                <w:bCs/>
                <w:sz w:val="16"/>
                <w:szCs w:val="16"/>
              </w:rPr>
            </w:pPr>
          </w:p>
        </w:tc>
        <w:tc>
          <w:tcPr>
            <w:tcW w:w="0" w:type="auto"/>
            <w:vMerge/>
            <w:tcBorders>
              <w:top w:val="single" w:sz="8" w:space="0" w:color="auto"/>
              <w:left w:val="single" w:sz="4" w:space="0" w:color="auto"/>
              <w:bottom w:val="single" w:sz="12" w:space="0" w:color="auto"/>
              <w:right w:val="single" w:sz="4" w:space="0" w:color="auto"/>
            </w:tcBorders>
            <w:vAlign w:val="center"/>
          </w:tcPr>
          <w:p w:rsidR="0011338A" w:rsidRDefault="0011338A" w:rsidP="00522705">
            <w:pPr>
              <w:rPr>
                <w:rFonts w:ascii="Arial" w:eastAsia="Arial Unicode MS" w:hAnsi="Arial" w:cs="Arial Unicode MS"/>
                <w:b/>
                <w:bCs/>
                <w:sz w:val="16"/>
                <w:szCs w:val="16"/>
              </w:rPr>
            </w:pPr>
          </w:p>
        </w:tc>
        <w:tc>
          <w:tcPr>
            <w:tcW w:w="800" w:type="dxa"/>
            <w:tcBorders>
              <w:top w:val="nil"/>
              <w:left w:val="nil"/>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Industry</w:t>
            </w:r>
          </w:p>
        </w:tc>
        <w:tc>
          <w:tcPr>
            <w:tcW w:w="1180" w:type="dxa"/>
            <w:tcBorders>
              <w:top w:val="nil"/>
              <w:left w:val="nil"/>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Construction</w:t>
            </w:r>
          </w:p>
        </w:tc>
        <w:tc>
          <w:tcPr>
            <w:tcW w:w="720" w:type="dxa"/>
            <w:tcBorders>
              <w:top w:val="nil"/>
              <w:left w:val="nil"/>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Trade</w:t>
            </w:r>
          </w:p>
        </w:tc>
        <w:tc>
          <w:tcPr>
            <w:tcW w:w="820" w:type="dxa"/>
            <w:tcBorders>
              <w:top w:val="nil"/>
              <w:left w:val="nil"/>
              <w:bottom w:val="single" w:sz="12" w:space="0" w:color="auto"/>
              <w:right w:val="nil"/>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Services</w:t>
            </w:r>
          </w:p>
        </w:tc>
        <w:tc>
          <w:tcPr>
            <w:tcW w:w="1120" w:type="dxa"/>
            <w:tcBorders>
              <w:top w:val="nil"/>
              <w:left w:val="single" w:sz="4" w:space="0" w:color="auto"/>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Consumers</w:t>
            </w:r>
          </w:p>
        </w:tc>
        <w:tc>
          <w:tcPr>
            <w:tcW w:w="1215" w:type="dxa"/>
            <w:gridSpan w:val="2"/>
            <w:tcBorders>
              <w:top w:val="nil"/>
              <w:left w:val="single" w:sz="8" w:space="0" w:color="auto"/>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Business indicator</w:t>
            </w:r>
          </w:p>
        </w:tc>
        <w:tc>
          <w:tcPr>
            <w:tcW w:w="985" w:type="dxa"/>
            <w:tcBorders>
              <w:top w:val="nil"/>
              <w:left w:val="nil"/>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Consumers</w:t>
            </w:r>
          </w:p>
        </w:tc>
        <w:tc>
          <w:tcPr>
            <w:tcW w:w="1020" w:type="dxa"/>
            <w:tcBorders>
              <w:top w:val="nil"/>
              <w:left w:val="nil"/>
              <w:bottom w:val="single" w:sz="12" w:space="0" w:color="auto"/>
              <w:right w:val="single" w:sz="12"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Composite indicator</w:t>
            </w:r>
          </w:p>
        </w:tc>
      </w:tr>
      <w:tr w:rsidR="0011338A" w:rsidTr="00522705">
        <w:trPr>
          <w:trHeight w:val="225"/>
        </w:trPr>
        <w:tc>
          <w:tcPr>
            <w:tcW w:w="0" w:type="auto"/>
            <w:tcBorders>
              <w:top w:val="single" w:sz="12" w:space="0" w:color="auto"/>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2004</w:t>
            </w:r>
          </w:p>
        </w:tc>
        <w:tc>
          <w:tcPr>
            <w:tcW w:w="0" w:type="auto"/>
            <w:tcBorders>
              <w:top w:val="single" w:sz="12" w:space="0" w:color="auto"/>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1</w:t>
            </w:r>
          </w:p>
        </w:tc>
        <w:tc>
          <w:tcPr>
            <w:tcW w:w="0" w:type="auto"/>
            <w:tcBorders>
              <w:top w:val="single" w:sz="12" w:space="0" w:color="auto"/>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2,7</w:t>
            </w:r>
          </w:p>
        </w:tc>
        <w:tc>
          <w:tcPr>
            <w:tcW w:w="0" w:type="auto"/>
            <w:tcBorders>
              <w:top w:val="single" w:sz="12" w:space="0" w:color="auto"/>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-3,5</w:t>
            </w:r>
          </w:p>
        </w:tc>
        <w:tc>
          <w:tcPr>
            <w:tcW w:w="0" w:type="auto"/>
            <w:tcBorders>
              <w:top w:val="single" w:sz="12" w:space="0" w:color="auto"/>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17,0</w:t>
            </w:r>
          </w:p>
        </w:tc>
        <w:tc>
          <w:tcPr>
            <w:tcW w:w="0" w:type="auto"/>
            <w:tcBorders>
              <w:top w:val="single" w:sz="12" w:space="0" w:color="auto"/>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44,7</w:t>
            </w:r>
          </w:p>
        </w:tc>
        <w:tc>
          <w:tcPr>
            <w:tcW w:w="0" w:type="auto"/>
            <w:tcBorders>
              <w:top w:val="single" w:sz="12"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-21,0</w:t>
            </w:r>
          </w:p>
        </w:tc>
        <w:tc>
          <w:tcPr>
            <w:tcW w:w="1215" w:type="dxa"/>
            <w:gridSpan w:val="2"/>
            <w:tcBorders>
              <w:top w:val="single" w:sz="12" w:space="0" w:color="auto"/>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99,0</w:t>
            </w:r>
          </w:p>
        </w:tc>
        <w:tc>
          <w:tcPr>
            <w:tcW w:w="985" w:type="dxa"/>
            <w:tcBorders>
              <w:top w:val="single" w:sz="12" w:space="0" w:color="auto"/>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80,8</w:t>
            </w:r>
          </w:p>
        </w:tc>
        <w:tc>
          <w:tcPr>
            <w:tcW w:w="1020" w:type="dxa"/>
            <w:tcBorders>
              <w:top w:val="single" w:sz="12" w:space="0" w:color="auto"/>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95,9</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-5,5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44,3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-26,3</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100,4</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75,4</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96,2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17,3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38,7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-23,5</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99,4</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78,2</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95,8</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4</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-6,5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17,0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43,7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-20,8</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101,7</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81,1</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98,2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42,7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-14,3</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100,9</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87,7</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98,7</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6</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14,3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14,3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44,3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-12,0</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103,9</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90,0</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101,5</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7</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-5,5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16,7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43,7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101,5</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91,8</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99,9</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15,0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46,7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-10,8</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102,9</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91,3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101,0</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9</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25,3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44,0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-12,0</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103,3</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90,0</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101,1</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10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14,3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25,3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42,3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-10,8</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103,3</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91,3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101,3</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xml:space="preserve">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11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21,0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37,7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101,4</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92,1</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99,8</w:t>
            </w:r>
          </w:p>
        </w:tc>
      </w:tr>
      <w:tr w:rsidR="0011338A" w:rsidTr="00522705">
        <w:trPr>
          <w:trHeight w:val="225"/>
        </w:trPr>
        <w:tc>
          <w:tcPr>
            <w:tcW w:w="0" w:type="auto"/>
            <w:tcBorders>
              <w:top w:val="nil"/>
              <w:left w:val="single" w:sz="12"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12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17,0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38,3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-5,8</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100,9</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96,4</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2005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19,7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38,3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-3,8</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99,4</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98,4</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99,3</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-5,5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22,7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35,7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-4,5</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99,6</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97,7</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99,3</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-6,0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19,0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42,0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-2,0</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100,0</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100,2</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100,0</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4</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-6,5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39,3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-6,3</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98,0</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95,9</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97,6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16,0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42,3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-2,3</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100,0</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100,0</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100,0</w:t>
            </w:r>
          </w:p>
        </w:tc>
      </w:tr>
      <w:tr w:rsidR="0011338A" w:rsidTr="00522705">
        <w:trPr>
          <w:trHeight w:val="6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6</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6,0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19,0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38,0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-2,3</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98,2</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100,0</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98,5</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7</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18,3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39,3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-1,5</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100,2</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100,7</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100,3</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18,3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43,0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-4,0</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100,3</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98,2</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100,0</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9</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5,7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0,5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19,7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47,3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-0,3</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101,4</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102,0</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101,5</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10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20,7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43,3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102,6</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101,0</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102,3</w:t>
            </w:r>
          </w:p>
        </w:tc>
      </w:tr>
      <w:tr w:rsidR="0011338A" w:rsidTr="00522705">
        <w:trPr>
          <w:trHeight w:val="6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11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22,7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39,3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2,0</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99,8</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100,5</w:t>
            </w:r>
          </w:p>
        </w:tc>
      </w:tr>
      <w:tr w:rsidR="0011338A" w:rsidTr="00522705">
        <w:trPr>
          <w:trHeight w:val="225"/>
        </w:trPr>
        <w:tc>
          <w:tcPr>
            <w:tcW w:w="0" w:type="auto"/>
            <w:tcBorders>
              <w:top w:val="nil"/>
              <w:left w:val="single" w:sz="12"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12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6,7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-6,5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24,7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43,3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-0,8</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100,5</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101,5</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100,7</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2006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6,0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18,3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45,3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3,0</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100,4</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105,3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101,3</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-5,5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22,7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48,3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2,8</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102,4</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105,1</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102,9</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-6,5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17,7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47,0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3,8</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102,4</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106,1</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103,0</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4</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18,7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42,7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100,8</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-6,5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18,7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45,3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0,3</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101,9</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102,5</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102,0</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6</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-6,5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19,3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48,3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102,9</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102,6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7</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21,7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43,3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2,3</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102,7</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104,6</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103,0</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21,3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46,0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2,5</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104,5</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104,8</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9</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20,0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46,0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103,7</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12,7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20,0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46,0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4,5</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104,1</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106,9</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14,3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21,0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46,3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104,8</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104,2</w:t>
            </w:r>
          </w:p>
        </w:tc>
      </w:tr>
      <w:tr w:rsidR="0011338A" w:rsidTr="00522705">
        <w:trPr>
          <w:trHeight w:val="225"/>
        </w:trPr>
        <w:tc>
          <w:tcPr>
            <w:tcW w:w="0" w:type="auto"/>
            <w:tcBorders>
              <w:top w:val="nil"/>
              <w:left w:val="single" w:sz="12"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14,7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0,5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17,7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46,0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2,5</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104,7</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104,8</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104,7</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2007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23,7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50,0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0,8</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105,4</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103,0</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105,0</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20,3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54,0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4,5</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106,6</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106,9</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106,7</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15,3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-0,5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23,7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49,0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4,5</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106,1</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106,9</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106,3</w:t>
            </w:r>
          </w:p>
        </w:tc>
      </w:tr>
      <w:tr w:rsidR="0011338A" w:rsidTr="00522705">
        <w:trPr>
          <w:trHeight w:val="6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4</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14,7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 xml:space="preserve"> 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24,3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46,3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-0,5</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105,1</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101,8</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104,5</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15,7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23,3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45,3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-4,3</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104,9</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97,9</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103,7</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6</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25,0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43,7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-3,8</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104,2</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98,4</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7</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16,3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24,3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42,7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-3,3</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104,6</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99,0</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17,0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26,0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43,0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-2,0</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104,9</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100,2</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104,1</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9</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16,0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28,0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46,0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-0,3</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105,6</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102,0</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105,0</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15,7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28,0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46,3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-1,8</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105,5</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100,5</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29,3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46,7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-8,5</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105,0</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93,6</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103,1</w:t>
            </w:r>
          </w:p>
        </w:tc>
      </w:tr>
      <w:tr w:rsidR="0011338A" w:rsidTr="00522705">
        <w:trPr>
          <w:trHeight w:val="225"/>
        </w:trPr>
        <w:tc>
          <w:tcPr>
            <w:tcW w:w="0" w:type="auto"/>
            <w:tcBorders>
              <w:top w:val="nil"/>
              <w:left w:val="single" w:sz="12" w:space="0" w:color="auto"/>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12</w:t>
            </w:r>
          </w:p>
        </w:tc>
        <w:tc>
          <w:tcPr>
            <w:tcW w:w="0" w:type="auto"/>
            <w:tcBorders>
              <w:top w:val="nil"/>
              <w:left w:val="single" w:sz="8" w:space="0" w:color="auto"/>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14,7</w:t>
            </w:r>
          </w:p>
        </w:tc>
        <w:tc>
          <w:tcPr>
            <w:tcW w:w="0" w:type="auto"/>
            <w:tcBorders>
              <w:top w:val="nil"/>
              <w:left w:val="nil"/>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4,5</w:t>
            </w:r>
          </w:p>
        </w:tc>
        <w:tc>
          <w:tcPr>
            <w:tcW w:w="0" w:type="auto"/>
            <w:tcBorders>
              <w:top w:val="nil"/>
              <w:left w:val="nil"/>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28,3</w:t>
            </w:r>
          </w:p>
        </w:tc>
        <w:tc>
          <w:tcPr>
            <w:tcW w:w="0" w:type="auto"/>
            <w:tcBorders>
              <w:top w:val="nil"/>
              <w:left w:val="nil"/>
              <w:bottom w:val="single" w:sz="12"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41,7</w:t>
            </w:r>
          </w:p>
        </w:tc>
        <w:tc>
          <w:tcPr>
            <w:tcW w:w="0" w:type="auto"/>
            <w:tcBorders>
              <w:top w:val="nil"/>
              <w:left w:val="single" w:sz="4" w:space="0" w:color="auto"/>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-12,5</w:t>
            </w:r>
          </w:p>
        </w:tc>
        <w:tc>
          <w:tcPr>
            <w:tcW w:w="1215" w:type="dxa"/>
            <w:gridSpan w:val="2"/>
            <w:tcBorders>
              <w:top w:val="nil"/>
              <w:left w:val="single" w:sz="8" w:space="0" w:color="auto"/>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104,1</w:t>
            </w:r>
          </w:p>
        </w:tc>
        <w:tc>
          <w:tcPr>
            <w:tcW w:w="985" w:type="dxa"/>
            <w:tcBorders>
              <w:top w:val="nil"/>
              <w:left w:val="nil"/>
              <w:bottom w:val="single" w:sz="12"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89,5</w:t>
            </w:r>
          </w:p>
        </w:tc>
        <w:tc>
          <w:tcPr>
            <w:tcW w:w="1020" w:type="dxa"/>
            <w:tcBorders>
              <w:top w:val="nil"/>
              <w:left w:val="single" w:sz="4" w:space="0" w:color="auto"/>
              <w:bottom w:val="single" w:sz="12"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101,6</w:t>
            </w:r>
          </w:p>
        </w:tc>
      </w:tr>
      <w:tr w:rsidR="0011338A" w:rsidTr="00522705">
        <w:trPr>
          <w:trHeight w:val="466"/>
        </w:trPr>
        <w:tc>
          <w:tcPr>
            <w:tcW w:w="480" w:type="dxa"/>
            <w:tcBorders>
              <w:top w:val="single" w:sz="12" w:space="0" w:color="auto"/>
              <w:left w:val="single" w:sz="12" w:space="0" w:color="auto"/>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p>
        </w:tc>
        <w:tc>
          <w:tcPr>
            <w:tcW w:w="880" w:type="dxa"/>
            <w:tcBorders>
              <w:top w:val="single" w:sz="12" w:space="0" w:color="auto"/>
              <w:left w:val="nil"/>
              <w:bottom w:val="nil"/>
              <w:right w:val="nil"/>
            </w:tcBorders>
            <w:noWrap/>
            <w:tcMar>
              <w:top w:w="15" w:type="dxa"/>
              <w:left w:w="180" w:type="dxa"/>
              <w:bottom w:w="0" w:type="dxa"/>
              <w:right w:w="15" w:type="dxa"/>
            </w:tcMar>
            <w:vAlign w:val="bottom"/>
          </w:tcPr>
          <w:p w:rsidR="0011338A" w:rsidRDefault="0011338A" w:rsidP="00522705">
            <w:pPr>
              <w:ind w:firstLineChars="100" w:firstLine="160"/>
              <w:rPr>
                <w:rFonts w:ascii="Arial" w:eastAsia="Arial Unicode MS" w:hAnsi="Arial" w:cs="Arial Unicode MS"/>
                <w:b/>
                <w:bCs/>
                <w:sz w:val="16"/>
                <w:szCs w:val="16"/>
              </w:rPr>
            </w:pPr>
          </w:p>
        </w:tc>
        <w:tc>
          <w:tcPr>
            <w:tcW w:w="4640" w:type="dxa"/>
            <w:gridSpan w:val="5"/>
            <w:tcBorders>
              <w:top w:val="single" w:sz="12" w:space="0" w:color="auto"/>
              <w:left w:val="single" w:sz="8" w:space="0" w:color="auto"/>
              <w:bottom w:val="single" w:sz="4" w:space="0" w:color="auto"/>
              <w:right w:val="single" w:sz="8" w:space="0" w:color="000000"/>
            </w:tcBorders>
            <w:noWrap/>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cs="Arial"/>
                <w:b/>
                <w:bCs/>
                <w:sz w:val="16"/>
                <w:szCs w:val="16"/>
              </w:rPr>
              <w:t xml:space="preserve">Salda indikátorů důvěry za </w:t>
            </w:r>
            <w:r>
              <w:rPr>
                <w:rFonts w:ascii="Arial" w:hAnsi="Arial" w:cs="Arial"/>
                <w:sz w:val="16"/>
                <w:szCs w:val="16"/>
              </w:rPr>
              <w:t>(všechny hodnoty jsou počítány ze sezónně očištěných sald)</w:t>
            </w:r>
          </w:p>
        </w:tc>
        <w:tc>
          <w:tcPr>
            <w:tcW w:w="3220" w:type="dxa"/>
            <w:gridSpan w:val="4"/>
            <w:tcBorders>
              <w:top w:val="single" w:sz="12" w:space="0" w:color="auto"/>
              <w:left w:val="nil"/>
              <w:bottom w:val="single" w:sz="4" w:space="0" w:color="auto"/>
              <w:right w:val="single" w:sz="12"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xml:space="preserve">Bazické indexy k průměru roku 2005 </w:t>
            </w:r>
          </w:p>
        </w:tc>
      </w:tr>
      <w:tr w:rsidR="0011338A" w:rsidTr="00522705">
        <w:trPr>
          <w:trHeight w:val="452"/>
        </w:trPr>
        <w:tc>
          <w:tcPr>
            <w:tcW w:w="0" w:type="auto"/>
            <w:tcBorders>
              <w:top w:val="nil"/>
              <w:left w:val="single" w:sz="12" w:space="0" w:color="auto"/>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p>
        </w:tc>
        <w:tc>
          <w:tcPr>
            <w:tcW w:w="0" w:type="auto"/>
            <w:tcBorders>
              <w:top w:val="nil"/>
              <w:left w:val="nil"/>
              <w:bottom w:val="nil"/>
              <w:right w:val="nil"/>
            </w:tcBorders>
            <w:noWrap/>
            <w:tcMar>
              <w:top w:w="15" w:type="dxa"/>
              <w:left w:w="180" w:type="dxa"/>
              <w:bottom w:w="0" w:type="dxa"/>
              <w:right w:w="15" w:type="dxa"/>
            </w:tcMar>
            <w:vAlign w:val="bottom"/>
          </w:tcPr>
          <w:p w:rsidR="0011338A" w:rsidRDefault="0011338A" w:rsidP="00522705">
            <w:pPr>
              <w:ind w:firstLineChars="100" w:firstLine="160"/>
              <w:rPr>
                <w:rFonts w:ascii="Arial" w:eastAsia="Arial Unicode MS" w:hAnsi="Arial" w:cs="Arial Unicode MS"/>
                <w:b/>
                <w:bCs/>
                <w:sz w:val="16"/>
                <w:szCs w:val="16"/>
              </w:rPr>
            </w:pPr>
          </w:p>
        </w:tc>
        <w:tc>
          <w:tcPr>
            <w:tcW w:w="4640" w:type="dxa"/>
            <w:gridSpan w:val="5"/>
            <w:tcBorders>
              <w:top w:val="single" w:sz="4" w:space="0" w:color="auto"/>
              <w:left w:val="single" w:sz="8" w:space="0" w:color="auto"/>
              <w:bottom w:val="single" w:sz="4" w:space="0" w:color="auto"/>
              <w:right w:val="single" w:sz="8" w:space="0" w:color="000000"/>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cs="Arial"/>
                <w:b/>
                <w:bCs/>
                <w:sz w:val="16"/>
                <w:szCs w:val="16"/>
                <w:lang w:val="en-US"/>
              </w:rPr>
              <w:t xml:space="preserve">Balances of confidence indicators for </w:t>
            </w:r>
            <w:r>
              <w:rPr>
                <w:rFonts w:ascii="Arial" w:hAnsi="Arial" w:cs="Arial"/>
                <w:sz w:val="16"/>
                <w:szCs w:val="16"/>
                <w:lang w:val="en-US"/>
              </w:rPr>
              <w:t>(all the data are calculated from seasonally adjusted balances)</w:t>
            </w:r>
          </w:p>
        </w:tc>
        <w:tc>
          <w:tcPr>
            <w:tcW w:w="3220" w:type="dxa"/>
            <w:gridSpan w:val="4"/>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 xml:space="preserve">Basic indices to the average of 2005 </w:t>
            </w:r>
          </w:p>
        </w:tc>
      </w:tr>
      <w:tr w:rsidR="0011338A" w:rsidTr="00522705">
        <w:trPr>
          <w:cantSplit/>
          <w:trHeight w:val="214"/>
        </w:trPr>
        <w:tc>
          <w:tcPr>
            <w:tcW w:w="480" w:type="dxa"/>
            <w:vMerge w:val="restart"/>
            <w:tcBorders>
              <w:top w:val="single" w:sz="8" w:space="0" w:color="auto"/>
              <w:left w:val="single" w:sz="12" w:space="0" w:color="auto"/>
              <w:bottom w:val="single" w:sz="8" w:space="0" w:color="000000"/>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xml:space="preserve">Rok </w:t>
            </w:r>
            <w:r>
              <w:rPr>
                <w:rFonts w:ascii="Arial" w:hAnsi="Arial"/>
                <w:b/>
                <w:bCs/>
                <w:sz w:val="16"/>
                <w:szCs w:val="16"/>
                <w:lang w:val="en-US"/>
              </w:rPr>
              <w:t>Year</w:t>
            </w:r>
          </w:p>
        </w:tc>
        <w:tc>
          <w:tcPr>
            <w:tcW w:w="880" w:type="dxa"/>
            <w:vMerge w:val="restart"/>
            <w:tcBorders>
              <w:top w:val="single" w:sz="8" w:space="0" w:color="auto"/>
              <w:left w:val="single" w:sz="4" w:space="0" w:color="auto"/>
              <w:bottom w:val="single" w:sz="8" w:space="0" w:color="000000"/>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xml:space="preserve">Měsíc </w:t>
            </w:r>
            <w:r>
              <w:rPr>
                <w:rFonts w:ascii="Arial" w:hAnsi="Arial"/>
                <w:b/>
                <w:bCs/>
                <w:i/>
                <w:iCs/>
                <w:sz w:val="16"/>
                <w:szCs w:val="16"/>
                <w:lang w:val="en-US"/>
              </w:rPr>
              <w:t>Month</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průmysl</w:t>
            </w:r>
          </w:p>
        </w:tc>
        <w:tc>
          <w:tcPr>
            <w:tcW w:w="1180" w:type="dxa"/>
            <w:tcBorders>
              <w:top w:val="nil"/>
              <w:left w:val="nil"/>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stavebnictví</w:t>
            </w:r>
          </w:p>
        </w:tc>
        <w:tc>
          <w:tcPr>
            <w:tcW w:w="720" w:type="dxa"/>
            <w:tcBorders>
              <w:top w:val="nil"/>
              <w:left w:val="nil"/>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obchod</w:t>
            </w:r>
          </w:p>
        </w:tc>
        <w:tc>
          <w:tcPr>
            <w:tcW w:w="820" w:type="dxa"/>
            <w:tcBorders>
              <w:top w:val="nil"/>
              <w:left w:val="nil"/>
              <w:bottom w:val="single" w:sz="4" w:space="0" w:color="auto"/>
              <w:right w:val="nil"/>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služby</w:t>
            </w:r>
          </w:p>
        </w:tc>
        <w:tc>
          <w:tcPr>
            <w:tcW w:w="11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spotřebitele</w:t>
            </w:r>
          </w:p>
        </w:tc>
        <w:tc>
          <w:tcPr>
            <w:tcW w:w="1080"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podnikatele celkem</w:t>
            </w:r>
          </w:p>
        </w:tc>
        <w:tc>
          <w:tcPr>
            <w:tcW w:w="1120"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spotřebitele</w:t>
            </w:r>
          </w:p>
        </w:tc>
        <w:tc>
          <w:tcPr>
            <w:tcW w:w="1020" w:type="dxa"/>
            <w:tcBorders>
              <w:top w:val="nil"/>
              <w:left w:val="nil"/>
              <w:bottom w:val="single" w:sz="4" w:space="0" w:color="auto"/>
              <w:right w:val="single" w:sz="12"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souhrnný indikátor</w:t>
            </w:r>
          </w:p>
        </w:tc>
      </w:tr>
      <w:tr w:rsidR="0011338A" w:rsidTr="00522705">
        <w:trPr>
          <w:cantSplit/>
          <w:trHeight w:val="363"/>
        </w:trPr>
        <w:tc>
          <w:tcPr>
            <w:tcW w:w="0" w:type="auto"/>
            <w:vMerge/>
            <w:tcBorders>
              <w:top w:val="single" w:sz="8" w:space="0" w:color="auto"/>
              <w:left w:val="single" w:sz="12" w:space="0" w:color="auto"/>
              <w:bottom w:val="single" w:sz="12" w:space="0" w:color="auto"/>
              <w:right w:val="single" w:sz="4" w:space="0" w:color="auto"/>
            </w:tcBorders>
            <w:vAlign w:val="center"/>
          </w:tcPr>
          <w:p w:rsidR="0011338A" w:rsidRDefault="0011338A" w:rsidP="00522705">
            <w:pPr>
              <w:rPr>
                <w:rFonts w:ascii="Arial" w:eastAsia="Arial Unicode MS" w:hAnsi="Arial" w:cs="Arial Unicode MS"/>
                <w:b/>
                <w:bCs/>
                <w:sz w:val="16"/>
                <w:szCs w:val="16"/>
              </w:rPr>
            </w:pPr>
          </w:p>
        </w:tc>
        <w:tc>
          <w:tcPr>
            <w:tcW w:w="0" w:type="auto"/>
            <w:vMerge/>
            <w:tcBorders>
              <w:top w:val="single" w:sz="8" w:space="0" w:color="auto"/>
              <w:left w:val="single" w:sz="4" w:space="0" w:color="auto"/>
              <w:bottom w:val="single" w:sz="12" w:space="0" w:color="auto"/>
              <w:right w:val="single" w:sz="4" w:space="0" w:color="auto"/>
            </w:tcBorders>
            <w:vAlign w:val="center"/>
          </w:tcPr>
          <w:p w:rsidR="0011338A" w:rsidRDefault="0011338A" w:rsidP="00522705">
            <w:pPr>
              <w:rPr>
                <w:rFonts w:ascii="Arial" w:eastAsia="Arial Unicode MS" w:hAnsi="Arial" w:cs="Arial Unicode MS"/>
                <w:b/>
                <w:bCs/>
                <w:sz w:val="16"/>
                <w:szCs w:val="16"/>
              </w:rPr>
            </w:pPr>
          </w:p>
        </w:tc>
        <w:tc>
          <w:tcPr>
            <w:tcW w:w="800" w:type="dxa"/>
            <w:tcBorders>
              <w:top w:val="nil"/>
              <w:left w:val="nil"/>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Industry</w:t>
            </w:r>
          </w:p>
        </w:tc>
        <w:tc>
          <w:tcPr>
            <w:tcW w:w="1180" w:type="dxa"/>
            <w:tcBorders>
              <w:top w:val="nil"/>
              <w:left w:val="nil"/>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Construction</w:t>
            </w:r>
          </w:p>
        </w:tc>
        <w:tc>
          <w:tcPr>
            <w:tcW w:w="720" w:type="dxa"/>
            <w:tcBorders>
              <w:top w:val="nil"/>
              <w:left w:val="nil"/>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Trade</w:t>
            </w:r>
          </w:p>
        </w:tc>
        <w:tc>
          <w:tcPr>
            <w:tcW w:w="820" w:type="dxa"/>
            <w:tcBorders>
              <w:top w:val="nil"/>
              <w:left w:val="nil"/>
              <w:bottom w:val="single" w:sz="12" w:space="0" w:color="auto"/>
              <w:right w:val="nil"/>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Services</w:t>
            </w:r>
          </w:p>
        </w:tc>
        <w:tc>
          <w:tcPr>
            <w:tcW w:w="1120" w:type="dxa"/>
            <w:tcBorders>
              <w:top w:val="nil"/>
              <w:left w:val="single" w:sz="4" w:space="0" w:color="auto"/>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Consumers</w:t>
            </w:r>
          </w:p>
        </w:tc>
        <w:tc>
          <w:tcPr>
            <w:tcW w:w="1080" w:type="dxa"/>
            <w:tcBorders>
              <w:top w:val="nil"/>
              <w:left w:val="single" w:sz="8" w:space="0" w:color="auto"/>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Business indicator</w:t>
            </w:r>
          </w:p>
        </w:tc>
        <w:tc>
          <w:tcPr>
            <w:tcW w:w="1120" w:type="dxa"/>
            <w:gridSpan w:val="2"/>
            <w:tcBorders>
              <w:top w:val="nil"/>
              <w:left w:val="nil"/>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Consumers</w:t>
            </w:r>
          </w:p>
        </w:tc>
        <w:tc>
          <w:tcPr>
            <w:tcW w:w="1020" w:type="dxa"/>
            <w:tcBorders>
              <w:top w:val="nil"/>
              <w:left w:val="nil"/>
              <w:bottom w:val="single" w:sz="12" w:space="0" w:color="auto"/>
              <w:right w:val="single" w:sz="12"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Composite indicator</w:t>
            </w:r>
          </w:p>
        </w:tc>
      </w:tr>
      <w:tr w:rsidR="0011338A" w:rsidTr="00522705">
        <w:trPr>
          <w:trHeight w:val="225"/>
        </w:trPr>
        <w:tc>
          <w:tcPr>
            <w:tcW w:w="0" w:type="auto"/>
            <w:tcBorders>
              <w:top w:val="single" w:sz="12" w:space="0" w:color="auto"/>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2008</w:t>
            </w:r>
          </w:p>
        </w:tc>
        <w:tc>
          <w:tcPr>
            <w:tcW w:w="0" w:type="auto"/>
            <w:tcBorders>
              <w:top w:val="single" w:sz="12" w:space="0" w:color="auto"/>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w:t>
            </w:r>
          </w:p>
        </w:tc>
        <w:tc>
          <w:tcPr>
            <w:tcW w:w="0" w:type="auto"/>
            <w:tcBorders>
              <w:top w:val="single" w:sz="12" w:space="0" w:color="auto"/>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14,7</w:t>
            </w:r>
          </w:p>
        </w:tc>
        <w:tc>
          <w:tcPr>
            <w:tcW w:w="0" w:type="auto"/>
            <w:tcBorders>
              <w:top w:val="single" w:sz="12" w:space="0" w:color="auto"/>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4,5</w:t>
            </w:r>
          </w:p>
        </w:tc>
        <w:tc>
          <w:tcPr>
            <w:tcW w:w="0" w:type="auto"/>
            <w:tcBorders>
              <w:top w:val="single" w:sz="12" w:space="0" w:color="auto"/>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27,3</w:t>
            </w:r>
          </w:p>
        </w:tc>
        <w:tc>
          <w:tcPr>
            <w:tcW w:w="0" w:type="auto"/>
            <w:tcBorders>
              <w:top w:val="single" w:sz="12" w:space="0" w:color="auto"/>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45,3</w:t>
            </w:r>
          </w:p>
        </w:tc>
        <w:tc>
          <w:tcPr>
            <w:tcW w:w="0" w:type="auto"/>
            <w:tcBorders>
              <w:top w:val="single" w:sz="12"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-10,8</w:t>
            </w:r>
          </w:p>
        </w:tc>
        <w:tc>
          <w:tcPr>
            <w:tcW w:w="0" w:type="auto"/>
            <w:tcBorders>
              <w:top w:val="single" w:sz="12" w:space="0" w:color="auto"/>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105,2</w:t>
            </w:r>
          </w:p>
        </w:tc>
        <w:tc>
          <w:tcPr>
            <w:tcW w:w="0" w:type="auto"/>
            <w:gridSpan w:val="2"/>
            <w:tcBorders>
              <w:top w:val="single" w:sz="12" w:space="0" w:color="auto"/>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91,3</w:t>
            </w:r>
          </w:p>
        </w:tc>
        <w:tc>
          <w:tcPr>
            <w:tcW w:w="1020" w:type="dxa"/>
            <w:tcBorders>
              <w:top w:val="single" w:sz="12" w:space="0" w:color="auto"/>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102,8</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28,7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48,3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105,5</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100,5</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104,7</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28,0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46,0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104,7</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101,0</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104,1</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4</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28,3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45,0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104,4</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100,5</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103,8</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26,7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37,0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-5,8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100,9</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96,4</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6</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24,3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37,0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99,8</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93,1</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98,7</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7</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24,0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36,7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99,1</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94,1</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98,2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23,0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33,7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-6,5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97,0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95,6</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96,8</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9</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24,7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32,7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-5,3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94,0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96,9</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94,5</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22,0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35,0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-14,5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91,3</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87,4</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90,7</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-14,3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19,3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27,3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84,9</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88,5</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87,1</w:t>
            </w:r>
          </w:p>
        </w:tc>
      </w:tr>
      <w:tr w:rsidR="0011338A" w:rsidTr="00522705">
        <w:trPr>
          <w:trHeight w:val="225"/>
        </w:trPr>
        <w:tc>
          <w:tcPr>
            <w:tcW w:w="0" w:type="auto"/>
            <w:tcBorders>
              <w:top w:val="nil"/>
              <w:left w:val="single" w:sz="12"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-27,3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15,0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26,0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-21,0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80,3</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80,8</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80,4</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2009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-27,7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19,3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-25,8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77,7</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75,9</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77,4</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-34,3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-17,5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12,0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-27,5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72,2</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74,2</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72,6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-28,7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12,3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11,0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-23,8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74,3</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77,9</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74,9</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4</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-22,7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15,7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-20,5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78,1</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81,3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78,7</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-22,3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-29,0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11,0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-16,0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76,6</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85,9</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78,2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6</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-18,0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-17,0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77,0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84,9</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78,3</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7</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-17,0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-32,5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14,7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-19,0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79,4</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82,8</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80,0</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-16,3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-33,5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5,7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-18,3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77,4</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83,6</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78,4</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9</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6,0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77,9</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89,0</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79,8</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-16,7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-0,3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-14,3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77,3</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87,7</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79,0</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-14,7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-36,5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5,7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15,0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80,2</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94,1</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82,6</w:t>
            </w:r>
          </w:p>
        </w:tc>
      </w:tr>
      <w:tr w:rsidR="0011338A" w:rsidTr="00522705">
        <w:trPr>
          <w:trHeight w:val="225"/>
        </w:trPr>
        <w:tc>
          <w:tcPr>
            <w:tcW w:w="0" w:type="auto"/>
            <w:tcBorders>
              <w:top w:val="nil"/>
              <w:left w:val="single" w:sz="12"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0,7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16,3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-6,8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81,8</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95,3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84,1</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2010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-30,5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19,3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-11,5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84,5</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90,5</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85,5</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6,7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18,7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86,2</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92,3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87,3</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20,0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-11,0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86,2</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91,0</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87,0</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4</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22,3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-5,8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89,3</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96,3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90,5</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23,0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-11,0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90,6</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91,0</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90,6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6</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3,3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-32,0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22,3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-7,5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90,4</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94,6</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91,1</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7</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5,7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-34,0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7,3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27,7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-7,3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92,9</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94,8</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93,2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6,0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-35,0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13,3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26,7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-11,8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93,0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90,2</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92,5</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9</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-42,0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12,0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27,0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-12,8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92,2</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89,2</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91,7</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6,0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-40,5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10,0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26,0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-14,0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92,3</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88,0</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91,6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-43,0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11,3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25,0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-11,8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93,2</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90,2</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92,7</w:t>
            </w:r>
          </w:p>
        </w:tc>
      </w:tr>
      <w:tr w:rsidR="0011338A" w:rsidTr="00522705">
        <w:trPr>
          <w:trHeight w:val="225"/>
        </w:trPr>
        <w:tc>
          <w:tcPr>
            <w:tcW w:w="0" w:type="auto"/>
            <w:tcBorders>
              <w:top w:val="nil"/>
              <w:left w:val="single" w:sz="12"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15,0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-44,0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10,7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27,7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96,4</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92,8</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95,8</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2011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-38,0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11,7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26,0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96,2</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92,3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95,6</w:t>
            </w:r>
          </w:p>
        </w:tc>
      </w:tr>
      <w:tr w:rsidR="0011338A" w:rsidTr="00522705">
        <w:trPr>
          <w:trHeight w:val="25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12,3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15,0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25,3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-11,5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90,5</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94,2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11,7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29,0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-19,0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94,6</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82,8</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92,6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4</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14,3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25,7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-18,0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93,1</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83,9</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91,6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13,3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29,3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93,2</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81,3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91,2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6</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16,3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30,7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-21,8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93,5</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80,0</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91,2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7</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15,3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29,0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92,7</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81,5</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90,8</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19,0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28,0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-23,0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91,9</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78,8</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89,6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9</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-37,5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11,0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23,3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-24,0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89,6</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77,7</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87,6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-36,5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15,7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27,3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-21,3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92,4</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80,5</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90,4</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-37,5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11,7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22,0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-29,0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89,5</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72,6</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86,6</w:t>
            </w:r>
          </w:p>
        </w:tc>
      </w:tr>
      <w:tr w:rsidR="0011338A" w:rsidTr="00522705">
        <w:trPr>
          <w:trHeight w:val="225"/>
        </w:trPr>
        <w:tc>
          <w:tcPr>
            <w:tcW w:w="0" w:type="auto"/>
            <w:tcBorders>
              <w:top w:val="nil"/>
              <w:left w:val="single" w:sz="12" w:space="0" w:color="auto"/>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12</w:t>
            </w:r>
          </w:p>
        </w:tc>
        <w:tc>
          <w:tcPr>
            <w:tcW w:w="0" w:type="auto"/>
            <w:tcBorders>
              <w:top w:val="nil"/>
              <w:left w:val="single" w:sz="8" w:space="0" w:color="auto"/>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-0,3</w:t>
            </w:r>
          </w:p>
        </w:tc>
        <w:tc>
          <w:tcPr>
            <w:tcW w:w="0" w:type="auto"/>
            <w:tcBorders>
              <w:top w:val="nil"/>
              <w:left w:val="nil"/>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-44,0</w:t>
            </w:r>
          </w:p>
        </w:tc>
        <w:tc>
          <w:tcPr>
            <w:tcW w:w="0" w:type="auto"/>
            <w:tcBorders>
              <w:top w:val="nil"/>
              <w:left w:val="nil"/>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w:t>
            </w:r>
          </w:p>
        </w:tc>
        <w:tc>
          <w:tcPr>
            <w:tcW w:w="0" w:type="auto"/>
            <w:tcBorders>
              <w:top w:val="nil"/>
              <w:left w:val="nil"/>
              <w:bottom w:val="single" w:sz="12"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20,3</w:t>
            </w:r>
          </w:p>
        </w:tc>
        <w:tc>
          <w:tcPr>
            <w:tcW w:w="0" w:type="auto"/>
            <w:tcBorders>
              <w:top w:val="nil"/>
              <w:left w:val="single" w:sz="4" w:space="0" w:color="auto"/>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-29,8</w:t>
            </w:r>
          </w:p>
        </w:tc>
        <w:tc>
          <w:tcPr>
            <w:tcW w:w="0" w:type="auto"/>
            <w:tcBorders>
              <w:top w:val="nil"/>
              <w:left w:val="single" w:sz="8" w:space="0" w:color="auto"/>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87,7</w:t>
            </w:r>
          </w:p>
        </w:tc>
        <w:tc>
          <w:tcPr>
            <w:tcW w:w="0" w:type="auto"/>
            <w:gridSpan w:val="2"/>
            <w:tcBorders>
              <w:top w:val="nil"/>
              <w:left w:val="nil"/>
              <w:bottom w:val="single" w:sz="12"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71,8</w:t>
            </w:r>
          </w:p>
        </w:tc>
        <w:tc>
          <w:tcPr>
            <w:tcW w:w="1020" w:type="dxa"/>
            <w:tcBorders>
              <w:top w:val="nil"/>
              <w:left w:val="single" w:sz="4" w:space="0" w:color="auto"/>
              <w:bottom w:val="single" w:sz="12"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85,0</w:t>
            </w:r>
          </w:p>
        </w:tc>
      </w:tr>
      <w:tr w:rsidR="0011338A" w:rsidTr="00522705">
        <w:trPr>
          <w:trHeight w:val="225"/>
        </w:trPr>
        <w:tc>
          <w:tcPr>
            <w:tcW w:w="0" w:type="auto"/>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sz w:val="16"/>
                <w:szCs w:val="16"/>
              </w:rPr>
            </w:pPr>
          </w:p>
        </w:tc>
        <w:tc>
          <w:tcPr>
            <w:tcW w:w="0" w:type="auto"/>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sz w:val="16"/>
                <w:szCs w:val="16"/>
              </w:rPr>
            </w:pPr>
          </w:p>
        </w:tc>
        <w:tc>
          <w:tcPr>
            <w:tcW w:w="0" w:type="auto"/>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sz w:val="16"/>
                <w:szCs w:val="16"/>
              </w:rPr>
            </w:pPr>
          </w:p>
        </w:tc>
        <w:tc>
          <w:tcPr>
            <w:tcW w:w="0" w:type="auto"/>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sz w:val="16"/>
                <w:szCs w:val="16"/>
              </w:rPr>
            </w:pPr>
          </w:p>
        </w:tc>
        <w:tc>
          <w:tcPr>
            <w:tcW w:w="0" w:type="auto"/>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sz w:val="16"/>
                <w:szCs w:val="16"/>
              </w:rPr>
            </w:pPr>
          </w:p>
        </w:tc>
        <w:tc>
          <w:tcPr>
            <w:tcW w:w="0" w:type="auto"/>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sz w:val="16"/>
                <w:szCs w:val="16"/>
              </w:rPr>
            </w:pPr>
          </w:p>
        </w:tc>
        <w:tc>
          <w:tcPr>
            <w:tcW w:w="0" w:type="auto"/>
            <w:gridSpan w:val="2"/>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sz w:val="16"/>
                <w:szCs w:val="16"/>
              </w:rPr>
            </w:pPr>
          </w:p>
        </w:tc>
        <w:tc>
          <w:tcPr>
            <w:tcW w:w="1020" w:type="dxa"/>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sz w:val="16"/>
                <w:szCs w:val="16"/>
              </w:rPr>
            </w:pPr>
          </w:p>
        </w:tc>
      </w:tr>
      <w:tr w:rsidR="0011338A" w:rsidTr="00522705">
        <w:trPr>
          <w:trHeight w:val="466"/>
        </w:trPr>
        <w:tc>
          <w:tcPr>
            <w:tcW w:w="480" w:type="dxa"/>
            <w:tcBorders>
              <w:top w:val="single" w:sz="12" w:space="0" w:color="auto"/>
              <w:left w:val="single" w:sz="12" w:space="0" w:color="auto"/>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p>
        </w:tc>
        <w:tc>
          <w:tcPr>
            <w:tcW w:w="880" w:type="dxa"/>
            <w:tcBorders>
              <w:top w:val="single" w:sz="12" w:space="0" w:color="auto"/>
              <w:left w:val="nil"/>
              <w:bottom w:val="nil"/>
              <w:right w:val="nil"/>
            </w:tcBorders>
            <w:noWrap/>
            <w:tcMar>
              <w:top w:w="15" w:type="dxa"/>
              <w:left w:w="180" w:type="dxa"/>
              <w:bottom w:w="0" w:type="dxa"/>
              <w:right w:w="15" w:type="dxa"/>
            </w:tcMar>
            <w:vAlign w:val="bottom"/>
          </w:tcPr>
          <w:p w:rsidR="0011338A" w:rsidRDefault="0011338A" w:rsidP="00522705">
            <w:pPr>
              <w:ind w:firstLineChars="100" w:firstLine="160"/>
              <w:rPr>
                <w:rFonts w:ascii="Arial" w:eastAsia="Arial Unicode MS" w:hAnsi="Arial" w:cs="Arial Unicode MS"/>
                <w:b/>
                <w:bCs/>
                <w:sz w:val="16"/>
                <w:szCs w:val="16"/>
              </w:rPr>
            </w:pPr>
          </w:p>
        </w:tc>
        <w:tc>
          <w:tcPr>
            <w:tcW w:w="4640" w:type="dxa"/>
            <w:gridSpan w:val="5"/>
            <w:tcBorders>
              <w:top w:val="single" w:sz="12" w:space="0" w:color="auto"/>
              <w:left w:val="single" w:sz="8" w:space="0" w:color="auto"/>
              <w:bottom w:val="single" w:sz="4" w:space="0" w:color="auto"/>
              <w:right w:val="single" w:sz="8" w:space="0" w:color="000000"/>
            </w:tcBorders>
            <w:noWrap/>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cs="Arial"/>
                <w:b/>
                <w:bCs/>
                <w:sz w:val="16"/>
                <w:szCs w:val="16"/>
              </w:rPr>
              <w:t xml:space="preserve">Salda indikátorů důvěry za </w:t>
            </w:r>
            <w:r>
              <w:rPr>
                <w:rFonts w:ascii="Arial" w:hAnsi="Arial" w:cs="Arial"/>
                <w:sz w:val="16"/>
                <w:szCs w:val="16"/>
              </w:rPr>
              <w:t>(všechny hodnoty jsou počítány ze sezónně očištěných sald)</w:t>
            </w:r>
          </w:p>
        </w:tc>
        <w:tc>
          <w:tcPr>
            <w:tcW w:w="3220" w:type="dxa"/>
            <w:gridSpan w:val="4"/>
            <w:tcBorders>
              <w:top w:val="single" w:sz="12" w:space="0" w:color="auto"/>
              <w:left w:val="nil"/>
              <w:bottom w:val="single" w:sz="4" w:space="0" w:color="auto"/>
              <w:right w:val="single" w:sz="12"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xml:space="preserve">Bazické indexy k průměru roku 2005 </w:t>
            </w:r>
          </w:p>
        </w:tc>
      </w:tr>
      <w:tr w:rsidR="0011338A" w:rsidTr="00522705">
        <w:trPr>
          <w:trHeight w:val="452"/>
        </w:trPr>
        <w:tc>
          <w:tcPr>
            <w:tcW w:w="0" w:type="auto"/>
            <w:tcBorders>
              <w:top w:val="nil"/>
              <w:left w:val="single" w:sz="12" w:space="0" w:color="auto"/>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p>
        </w:tc>
        <w:tc>
          <w:tcPr>
            <w:tcW w:w="0" w:type="auto"/>
            <w:tcBorders>
              <w:top w:val="nil"/>
              <w:left w:val="nil"/>
              <w:bottom w:val="nil"/>
              <w:right w:val="nil"/>
            </w:tcBorders>
            <w:noWrap/>
            <w:tcMar>
              <w:top w:w="15" w:type="dxa"/>
              <w:left w:w="180" w:type="dxa"/>
              <w:bottom w:w="0" w:type="dxa"/>
              <w:right w:w="15" w:type="dxa"/>
            </w:tcMar>
            <w:vAlign w:val="bottom"/>
          </w:tcPr>
          <w:p w:rsidR="0011338A" w:rsidRDefault="0011338A" w:rsidP="00522705">
            <w:pPr>
              <w:ind w:firstLineChars="100" w:firstLine="160"/>
              <w:rPr>
                <w:rFonts w:ascii="Arial" w:eastAsia="Arial Unicode MS" w:hAnsi="Arial" w:cs="Arial Unicode MS"/>
                <w:b/>
                <w:bCs/>
                <w:sz w:val="16"/>
                <w:szCs w:val="16"/>
              </w:rPr>
            </w:pPr>
          </w:p>
        </w:tc>
        <w:tc>
          <w:tcPr>
            <w:tcW w:w="4640" w:type="dxa"/>
            <w:gridSpan w:val="5"/>
            <w:tcBorders>
              <w:top w:val="single" w:sz="4" w:space="0" w:color="auto"/>
              <w:left w:val="single" w:sz="8" w:space="0" w:color="auto"/>
              <w:bottom w:val="single" w:sz="4" w:space="0" w:color="auto"/>
              <w:right w:val="single" w:sz="8" w:space="0" w:color="000000"/>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cs="Arial"/>
                <w:b/>
                <w:bCs/>
                <w:sz w:val="16"/>
                <w:szCs w:val="16"/>
                <w:lang w:val="en-US"/>
              </w:rPr>
              <w:t xml:space="preserve">Balances of confidence indicators for </w:t>
            </w:r>
            <w:r>
              <w:rPr>
                <w:rFonts w:ascii="Arial" w:hAnsi="Arial" w:cs="Arial"/>
                <w:sz w:val="16"/>
                <w:szCs w:val="16"/>
                <w:lang w:val="en-US"/>
              </w:rPr>
              <w:t>(all the data are calculated from seasonally adjusted balances)</w:t>
            </w:r>
          </w:p>
        </w:tc>
        <w:tc>
          <w:tcPr>
            <w:tcW w:w="3220" w:type="dxa"/>
            <w:gridSpan w:val="4"/>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 xml:space="preserve">Basic indices to the average of 2005 </w:t>
            </w:r>
          </w:p>
        </w:tc>
      </w:tr>
      <w:tr w:rsidR="0011338A" w:rsidTr="00522705">
        <w:trPr>
          <w:cantSplit/>
          <w:trHeight w:val="214"/>
        </w:trPr>
        <w:tc>
          <w:tcPr>
            <w:tcW w:w="480" w:type="dxa"/>
            <w:vMerge w:val="restart"/>
            <w:tcBorders>
              <w:top w:val="single" w:sz="8" w:space="0" w:color="auto"/>
              <w:left w:val="single" w:sz="12" w:space="0" w:color="auto"/>
              <w:bottom w:val="single" w:sz="8" w:space="0" w:color="000000"/>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xml:space="preserve">Rok </w:t>
            </w:r>
            <w:r>
              <w:rPr>
                <w:rFonts w:ascii="Arial" w:hAnsi="Arial"/>
                <w:b/>
                <w:bCs/>
                <w:sz w:val="16"/>
                <w:szCs w:val="16"/>
                <w:lang w:val="en-US"/>
              </w:rPr>
              <w:t>Year</w:t>
            </w:r>
          </w:p>
        </w:tc>
        <w:tc>
          <w:tcPr>
            <w:tcW w:w="880" w:type="dxa"/>
            <w:vMerge w:val="restart"/>
            <w:tcBorders>
              <w:top w:val="single" w:sz="8" w:space="0" w:color="auto"/>
              <w:left w:val="single" w:sz="4" w:space="0" w:color="auto"/>
              <w:bottom w:val="single" w:sz="8" w:space="0" w:color="000000"/>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xml:space="preserve">Měsíc </w:t>
            </w:r>
            <w:r>
              <w:rPr>
                <w:rFonts w:ascii="Arial" w:hAnsi="Arial"/>
                <w:b/>
                <w:bCs/>
                <w:i/>
                <w:iCs/>
                <w:sz w:val="16"/>
                <w:szCs w:val="16"/>
                <w:lang w:val="en-US"/>
              </w:rPr>
              <w:t>Month</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průmysl</w:t>
            </w:r>
          </w:p>
        </w:tc>
        <w:tc>
          <w:tcPr>
            <w:tcW w:w="1180" w:type="dxa"/>
            <w:tcBorders>
              <w:top w:val="nil"/>
              <w:left w:val="nil"/>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stavebnictví</w:t>
            </w:r>
          </w:p>
        </w:tc>
        <w:tc>
          <w:tcPr>
            <w:tcW w:w="720" w:type="dxa"/>
            <w:tcBorders>
              <w:top w:val="nil"/>
              <w:left w:val="nil"/>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obchod</w:t>
            </w:r>
          </w:p>
        </w:tc>
        <w:tc>
          <w:tcPr>
            <w:tcW w:w="820" w:type="dxa"/>
            <w:tcBorders>
              <w:top w:val="nil"/>
              <w:left w:val="nil"/>
              <w:bottom w:val="single" w:sz="4" w:space="0" w:color="auto"/>
              <w:right w:val="nil"/>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služby</w:t>
            </w:r>
          </w:p>
        </w:tc>
        <w:tc>
          <w:tcPr>
            <w:tcW w:w="11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spotřebitele</w:t>
            </w:r>
          </w:p>
        </w:tc>
        <w:tc>
          <w:tcPr>
            <w:tcW w:w="1080"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podnikatele celkem</w:t>
            </w:r>
          </w:p>
        </w:tc>
        <w:tc>
          <w:tcPr>
            <w:tcW w:w="1120"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spotřebitele</w:t>
            </w:r>
          </w:p>
        </w:tc>
        <w:tc>
          <w:tcPr>
            <w:tcW w:w="1020" w:type="dxa"/>
            <w:tcBorders>
              <w:top w:val="nil"/>
              <w:left w:val="nil"/>
              <w:bottom w:val="single" w:sz="4" w:space="0" w:color="auto"/>
              <w:right w:val="single" w:sz="12"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souhrnný indikátor</w:t>
            </w:r>
          </w:p>
        </w:tc>
      </w:tr>
      <w:tr w:rsidR="0011338A" w:rsidTr="00522705">
        <w:trPr>
          <w:cantSplit/>
          <w:trHeight w:val="363"/>
        </w:trPr>
        <w:tc>
          <w:tcPr>
            <w:tcW w:w="0" w:type="auto"/>
            <w:vMerge/>
            <w:tcBorders>
              <w:top w:val="single" w:sz="8" w:space="0" w:color="auto"/>
              <w:left w:val="single" w:sz="12" w:space="0" w:color="auto"/>
              <w:bottom w:val="single" w:sz="12" w:space="0" w:color="auto"/>
              <w:right w:val="single" w:sz="4" w:space="0" w:color="auto"/>
            </w:tcBorders>
            <w:vAlign w:val="center"/>
          </w:tcPr>
          <w:p w:rsidR="0011338A" w:rsidRDefault="0011338A" w:rsidP="00522705">
            <w:pPr>
              <w:rPr>
                <w:rFonts w:ascii="Arial" w:eastAsia="Arial Unicode MS" w:hAnsi="Arial" w:cs="Arial Unicode MS"/>
                <w:b/>
                <w:bCs/>
                <w:sz w:val="16"/>
                <w:szCs w:val="16"/>
              </w:rPr>
            </w:pPr>
          </w:p>
        </w:tc>
        <w:tc>
          <w:tcPr>
            <w:tcW w:w="0" w:type="auto"/>
            <w:vMerge/>
            <w:tcBorders>
              <w:top w:val="single" w:sz="8" w:space="0" w:color="auto"/>
              <w:left w:val="single" w:sz="4" w:space="0" w:color="auto"/>
              <w:bottom w:val="single" w:sz="12" w:space="0" w:color="auto"/>
              <w:right w:val="single" w:sz="4" w:space="0" w:color="auto"/>
            </w:tcBorders>
            <w:vAlign w:val="center"/>
          </w:tcPr>
          <w:p w:rsidR="0011338A" w:rsidRDefault="0011338A" w:rsidP="00522705">
            <w:pPr>
              <w:rPr>
                <w:rFonts w:ascii="Arial" w:eastAsia="Arial Unicode MS" w:hAnsi="Arial" w:cs="Arial Unicode MS"/>
                <w:b/>
                <w:bCs/>
                <w:sz w:val="16"/>
                <w:szCs w:val="16"/>
              </w:rPr>
            </w:pPr>
          </w:p>
        </w:tc>
        <w:tc>
          <w:tcPr>
            <w:tcW w:w="800" w:type="dxa"/>
            <w:tcBorders>
              <w:top w:val="nil"/>
              <w:left w:val="nil"/>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Industry</w:t>
            </w:r>
          </w:p>
        </w:tc>
        <w:tc>
          <w:tcPr>
            <w:tcW w:w="1180" w:type="dxa"/>
            <w:tcBorders>
              <w:top w:val="nil"/>
              <w:left w:val="nil"/>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Construction</w:t>
            </w:r>
          </w:p>
        </w:tc>
        <w:tc>
          <w:tcPr>
            <w:tcW w:w="720" w:type="dxa"/>
            <w:tcBorders>
              <w:top w:val="nil"/>
              <w:left w:val="nil"/>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Trade</w:t>
            </w:r>
          </w:p>
        </w:tc>
        <w:tc>
          <w:tcPr>
            <w:tcW w:w="820" w:type="dxa"/>
            <w:tcBorders>
              <w:top w:val="nil"/>
              <w:left w:val="nil"/>
              <w:bottom w:val="single" w:sz="12" w:space="0" w:color="auto"/>
              <w:right w:val="nil"/>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Services</w:t>
            </w:r>
          </w:p>
        </w:tc>
        <w:tc>
          <w:tcPr>
            <w:tcW w:w="1120" w:type="dxa"/>
            <w:tcBorders>
              <w:top w:val="nil"/>
              <w:left w:val="single" w:sz="4" w:space="0" w:color="auto"/>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Consumers</w:t>
            </w:r>
          </w:p>
        </w:tc>
        <w:tc>
          <w:tcPr>
            <w:tcW w:w="1080" w:type="dxa"/>
            <w:tcBorders>
              <w:top w:val="nil"/>
              <w:left w:val="single" w:sz="8" w:space="0" w:color="auto"/>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Business indicator</w:t>
            </w:r>
          </w:p>
        </w:tc>
        <w:tc>
          <w:tcPr>
            <w:tcW w:w="1120" w:type="dxa"/>
            <w:gridSpan w:val="2"/>
            <w:tcBorders>
              <w:top w:val="nil"/>
              <w:left w:val="nil"/>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Consumers</w:t>
            </w:r>
          </w:p>
        </w:tc>
        <w:tc>
          <w:tcPr>
            <w:tcW w:w="1020" w:type="dxa"/>
            <w:tcBorders>
              <w:top w:val="nil"/>
              <w:left w:val="nil"/>
              <w:bottom w:val="single" w:sz="12" w:space="0" w:color="auto"/>
              <w:right w:val="single" w:sz="12"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Composite indicator</w:t>
            </w:r>
          </w:p>
        </w:tc>
      </w:tr>
      <w:tr w:rsidR="0011338A" w:rsidTr="00522705">
        <w:trPr>
          <w:trHeight w:val="225"/>
        </w:trPr>
        <w:tc>
          <w:tcPr>
            <w:tcW w:w="0" w:type="auto"/>
            <w:tcBorders>
              <w:top w:val="single" w:sz="12" w:space="0" w:color="auto"/>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2012</w:t>
            </w:r>
          </w:p>
        </w:tc>
        <w:tc>
          <w:tcPr>
            <w:tcW w:w="0" w:type="auto"/>
            <w:tcBorders>
              <w:top w:val="single" w:sz="12" w:space="0" w:color="auto"/>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w:t>
            </w:r>
          </w:p>
        </w:tc>
        <w:tc>
          <w:tcPr>
            <w:tcW w:w="0" w:type="auto"/>
            <w:tcBorders>
              <w:top w:val="single" w:sz="12" w:space="0" w:color="auto"/>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1,3</w:t>
            </w:r>
          </w:p>
        </w:tc>
        <w:tc>
          <w:tcPr>
            <w:tcW w:w="0" w:type="auto"/>
            <w:tcBorders>
              <w:top w:val="single" w:sz="12" w:space="0" w:color="auto"/>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-46,5</w:t>
            </w:r>
          </w:p>
        </w:tc>
        <w:tc>
          <w:tcPr>
            <w:tcW w:w="0" w:type="auto"/>
            <w:tcBorders>
              <w:top w:val="single" w:sz="12" w:space="0" w:color="auto"/>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10,0</w:t>
            </w:r>
          </w:p>
        </w:tc>
        <w:tc>
          <w:tcPr>
            <w:tcW w:w="0" w:type="auto"/>
            <w:tcBorders>
              <w:top w:val="single" w:sz="12" w:space="0" w:color="auto"/>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24,0</w:t>
            </w:r>
          </w:p>
        </w:tc>
        <w:tc>
          <w:tcPr>
            <w:tcW w:w="0" w:type="auto"/>
            <w:tcBorders>
              <w:top w:val="single" w:sz="12"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-25,3</w:t>
            </w:r>
          </w:p>
        </w:tc>
        <w:tc>
          <w:tcPr>
            <w:tcW w:w="0" w:type="auto"/>
            <w:tcBorders>
              <w:top w:val="single" w:sz="12" w:space="0" w:color="auto"/>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89,4</w:t>
            </w:r>
          </w:p>
        </w:tc>
        <w:tc>
          <w:tcPr>
            <w:tcW w:w="0" w:type="auto"/>
            <w:gridSpan w:val="2"/>
            <w:tcBorders>
              <w:top w:val="single" w:sz="12" w:space="0" w:color="auto"/>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76,4</w:t>
            </w:r>
          </w:p>
        </w:tc>
        <w:tc>
          <w:tcPr>
            <w:tcW w:w="1020" w:type="dxa"/>
            <w:tcBorders>
              <w:top w:val="single" w:sz="12" w:space="0" w:color="auto"/>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87,2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-46,5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26,3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-25,5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90,3</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76,2</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87,9</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 xml:space="preserve">-45,0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12,0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28,7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-29,5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91,2</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72,1</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88,0</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4</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-0,7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27,0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-29,3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89,5</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72,3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86,6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 xml:space="preserve">5 </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-45,5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25,3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-31,0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88,3</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70,6</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85,3</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6</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-46,5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24,7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-29,3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87,0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72,3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84,6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7</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22,3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-28,3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85,2</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73,3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83,2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24,0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-27,3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85,2</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74,4</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83,4</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9</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13,7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25,3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-29,8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85,5</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71,8</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83,2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11,7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23,0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-27,0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85,5</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74,7</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83,6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-47,5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23,3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-26,3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83,5</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75,4</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82,2</w:t>
            </w:r>
          </w:p>
        </w:tc>
      </w:tr>
      <w:tr w:rsidR="0011338A" w:rsidTr="00522705">
        <w:trPr>
          <w:trHeight w:val="225"/>
        </w:trPr>
        <w:tc>
          <w:tcPr>
            <w:tcW w:w="0" w:type="auto"/>
            <w:tcBorders>
              <w:top w:val="nil"/>
              <w:left w:val="single" w:sz="12"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-45,5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12,3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23,6</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-26,0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84,6</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75,7</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83,1</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2013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-45,5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24,6</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-27,8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84,6</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73,8</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82,8</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-49,0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23,7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-22,3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85,2</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79,5</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84,2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-43,5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22,7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85,0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81,0</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84,4</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4</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-53,5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0,0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21,7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-23,8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82,7</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77,9</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81,9</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21,7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-19,8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83,6</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82,0</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83,3</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6</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-53,5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23,3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-19,0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84,0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82,8</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83,8</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 xml:space="preserve">7 </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-48,0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6,0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19,7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84,0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81,3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83,6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6,3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22,7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-17,0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84,8</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84,9</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84,8</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9</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-48,5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24,7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-14,3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87,5</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87,7</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87,5</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-0,3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-48,0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26,0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-13,5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89,0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88,5</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88,9</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25,3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Pr="00B55D50" w:rsidRDefault="0011338A" w:rsidP="00522705">
            <w:pPr>
              <w:pStyle w:val="Nadpis4"/>
              <w:rPr>
                <w:rFonts w:eastAsia="Arial Unicode MS"/>
                <w:b w:val="0"/>
                <w:sz w:val="16"/>
                <w:szCs w:val="16"/>
              </w:rPr>
            </w:pPr>
            <w:r w:rsidRPr="00B55D50">
              <w:rPr>
                <w:rFonts w:eastAsia="Arial Unicode MS"/>
                <w:b w:val="0"/>
                <w:sz w:val="16"/>
                <w:szCs w:val="16"/>
              </w:rPr>
              <w:t>-9,3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89,9</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92,8</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90,4</w:t>
            </w:r>
          </w:p>
        </w:tc>
      </w:tr>
      <w:tr w:rsidR="0011338A" w:rsidTr="00522705">
        <w:trPr>
          <w:trHeight w:val="225"/>
        </w:trPr>
        <w:tc>
          <w:tcPr>
            <w:tcW w:w="0" w:type="auto"/>
            <w:tcBorders>
              <w:top w:val="nil"/>
              <w:left w:val="single" w:sz="12"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-52,5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12,0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27,7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90,9</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92,6</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91,2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2014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-48,0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26,7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90,1</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96,9</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91,3</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-43,5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12,0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26,0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90,9</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93,1</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91,2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12,0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28,0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91,6</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96,7</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92,4</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4</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-39,0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14,3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26,0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91,5</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98,4</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92,6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-39,0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12,7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25,0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91,5</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98,2</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92,6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6</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-3 7,0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13,7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29,0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92,5</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99,4</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7</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-36,5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15,3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27,7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91,6</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99,9</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93,0</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11,7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30,0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92,5</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97,9</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93,4</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9</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-27,5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12,3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30,0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93,2</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96,3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93,7</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15,7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29,0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92,8</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100,2</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94,1</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11,0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32,3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93,5</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103,6</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95,2</w:t>
            </w:r>
          </w:p>
        </w:tc>
      </w:tr>
      <w:tr w:rsidR="0011338A" w:rsidTr="00522705">
        <w:trPr>
          <w:trHeight w:val="225"/>
        </w:trPr>
        <w:tc>
          <w:tcPr>
            <w:tcW w:w="0" w:type="auto"/>
            <w:tcBorders>
              <w:top w:val="nil"/>
              <w:left w:val="single" w:sz="12"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16,3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33,7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94,8</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105,1</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96,5</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2015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19,0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32,0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94,3</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106,7</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96,4</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29,7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93,4</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105,7</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95,5</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15,0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26,7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92,9</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105,7</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95,1</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4</w:t>
            </w:r>
          </w:p>
        </w:tc>
        <w:tc>
          <w:tcPr>
            <w:tcW w:w="0" w:type="auto"/>
            <w:tcBorders>
              <w:top w:val="nil"/>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3,0</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-16,0</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21,0</w:t>
            </w:r>
          </w:p>
        </w:tc>
        <w:tc>
          <w:tcPr>
            <w:tcW w:w="0" w:type="auto"/>
            <w:tcBorders>
              <w:top w:val="nil"/>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27,0</w:t>
            </w:r>
          </w:p>
        </w:tc>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w:t>
            </w:r>
          </w:p>
        </w:tc>
        <w:tc>
          <w:tcPr>
            <w:tcW w:w="0" w:type="auto"/>
            <w:tcBorders>
              <w:top w:val="nil"/>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93,2</w:t>
            </w:r>
          </w:p>
        </w:tc>
        <w:tc>
          <w:tcPr>
            <w:tcW w:w="0" w:type="auto"/>
            <w:gridSpan w:val="2"/>
            <w:tcBorders>
              <w:top w:val="nil"/>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104,3</w:t>
            </w:r>
          </w:p>
        </w:tc>
        <w:tc>
          <w:tcPr>
            <w:tcW w:w="1020" w:type="dxa"/>
            <w:tcBorders>
              <w:top w:val="nil"/>
              <w:left w:val="single" w:sz="4" w:space="0" w:color="auto"/>
              <w:bottom w:val="nil"/>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95,1</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5</w:t>
            </w:r>
          </w:p>
        </w:tc>
        <w:tc>
          <w:tcPr>
            <w:tcW w:w="0" w:type="auto"/>
            <w:tcBorders>
              <w:top w:val="single" w:sz="4" w:space="0" w:color="auto"/>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3,3</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-16,0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20,7</w:t>
            </w:r>
          </w:p>
        </w:tc>
        <w:tc>
          <w:tcPr>
            <w:tcW w:w="0" w:type="auto"/>
            <w:tcBorders>
              <w:top w:val="single" w:sz="4" w:space="0" w:color="auto"/>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28,7</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1,3</w:t>
            </w:r>
          </w:p>
        </w:tc>
        <w:tc>
          <w:tcPr>
            <w:tcW w:w="0" w:type="auto"/>
            <w:tcBorders>
              <w:top w:val="single" w:sz="4" w:space="0" w:color="auto"/>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93,8</w:t>
            </w:r>
          </w:p>
        </w:tc>
        <w:tc>
          <w:tcPr>
            <w:tcW w:w="0" w:type="auto"/>
            <w:gridSpan w:val="2"/>
            <w:tcBorders>
              <w:top w:val="single" w:sz="4" w:space="0" w:color="auto"/>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103,6</w:t>
            </w:r>
          </w:p>
        </w:tc>
        <w:tc>
          <w:tcPr>
            <w:tcW w:w="1020" w:type="dxa"/>
            <w:tcBorders>
              <w:top w:val="single" w:sz="4" w:space="0" w:color="auto"/>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95,5</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6</w:t>
            </w:r>
          </w:p>
        </w:tc>
        <w:tc>
          <w:tcPr>
            <w:tcW w:w="0" w:type="auto"/>
            <w:tcBorders>
              <w:top w:val="nil"/>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5,0</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-17,0</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21,3</w:t>
            </w:r>
          </w:p>
        </w:tc>
        <w:tc>
          <w:tcPr>
            <w:tcW w:w="0" w:type="auto"/>
            <w:tcBorders>
              <w:top w:val="nil"/>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31,7</w:t>
            </w:r>
          </w:p>
        </w:tc>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w:t>
            </w:r>
          </w:p>
        </w:tc>
        <w:tc>
          <w:tcPr>
            <w:tcW w:w="0" w:type="auto"/>
            <w:tcBorders>
              <w:top w:val="nil"/>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95,5</w:t>
            </w:r>
          </w:p>
        </w:tc>
        <w:tc>
          <w:tcPr>
            <w:tcW w:w="0" w:type="auto"/>
            <w:gridSpan w:val="2"/>
            <w:tcBorders>
              <w:top w:val="nil"/>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104,3</w:t>
            </w:r>
          </w:p>
        </w:tc>
        <w:tc>
          <w:tcPr>
            <w:tcW w:w="1020" w:type="dxa"/>
            <w:tcBorders>
              <w:top w:val="nil"/>
              <w:left w:val="single" w:sz="4" w:space="0" w:color="auto"/>
              <w:bottom w:val="nil"/>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 xml:space="preserve">97,0 </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7</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5,3</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-20,0</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19,3</w:t>
            </w:r>
          </w:p>
        </w:tc>
        <w:tc>
          <w:tcPr>
            <w:tcW w:w="0" w:type="auto"/>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29,3</w:t>
            </w:r>
          </w:p>
        </w:tc>
        <w:tc>
          <w:tcPr>
            <w:tcW w:w="0" w:type="auto"/>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1,3</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94,6</w:t>
            </w:r>
          </w:p>
        </w:tc>
        <w:tc>
          <w:tcPr>
            <w:tcW w:w="0" w:type="auto"/>
            <w:gridSpan w:val="2"/>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103,6</w:t>
            </w:r>
          </w:p>
        </w:tc>
        <w:tc>
          <w:tcPr>
            <w:tcW w:w="1020" w:type="dxa"/>
            <w:tcBorders>
              <w:top w:val="single" w:sz="4" w:space="0" w:color="auto"/>
              <w:left w:val="single" w:sz="4" w:space="0" w:color="auto"/>
              <w:bottom w:val="nil"/>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96,1</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8</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3,0</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-20,0</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17,6</w:t>
            </w:r>
          </w:p>
        </w:tc>
        <w:tc>
          <w:tcPr>
            <w:tcW w:w="0" w:type="auto"/>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31,3</w:t>
            </w:r>
          </w:p>
        </w:tc>
        <w:tc>
          <w:tcPr>
            <w:tcW w:w="0" w:type="auto"/>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1,3</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94,2</w:t>
            </w:r>
          </w:p>
        </w:tc>
        <w:tc>
          <w:tcPr>
            <w:tcW w:w="0" w:type="auto"/>
            <w:gridSpan w:val="2"/>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103,6</w:t>
            </w:r>
          </w:p>
        </w:tc>
        <w:tc>
          <w:tcPr>
            <w:tcW w:w="1020" w:type="dxa"/>
            <w:tcBorders>
              <w:top w:val="single" w:sz="4" w:space="0" w:color="auto"/>
              <w:left w:val="single" w:sz="4" w:space="0" w:color="auto"/>
              <w:bottom w:val="nil"/>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95,7</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9</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3,0</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-16,0</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17,7</w:t>
            </w:r>
          </w:p>
        </w:tc>
        <w:tc>
          <w:tcPr>
            <w:tcW w:w="0" w:type="auto"/>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31,3</w:t>
            </w:r>
          </w:p>
        </w:tc>
        <w:tc>
          <w:tcPr>
            <w:tcW w:w="0" w:type="auto"/>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94,4</w:t>
            </w:r>
          </w:p>
        </w:tc>
        <w:tc>
          <w:tcPr>
            <w:tcW w:w="0" w:type="auto"/>
            <w:gridSpan w:val="2"/>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103,3</w:t>
            </w:r>
          </w:p>
        </w:tc>
        <w:tc>
          <w:tcPr>
            <w:tcW w:w="1020" w:type="dxa"/>
            <w:tcBorders>
              <w:top w:val="single" w:sz="4" w:space="0" w:color="auto"/>
              <w:left w:val="single" w:sz="4" w:space="0" w:color="auto"/>
              <w:bottom w:val="nil"/>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95,9</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10</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0,3</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-16,0</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18,3</w:t>
            </w:r>
          </w:p>
        </w:tc>
        <w:tc>
          <w:tcPr>
            <w:tcW w:w="0" w:type="auto"/>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31,0</w:t>
            </w:r>
          </w:p>
        </w:tc>
        <w:tc>
          <w:tcPr>
            <w:tcW w:w="0" w:type="auto"/>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2,5</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93,2</w:t>
            </w:r>
          </w:p>
        </w:tc>
        <w:tc>
          <w:tcPr>
            <w:tcW w:w="0" w:type="auto"/>
            <w:gridSpan w:val="2"/>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104,8</w:t>
            </w:r>
          </w:p>
        </w:tc>
        <w:tc>
          <w:tcPr>
            <w:tcW w:w="1020" w:type="dxa"/>
            <w:tcBorders>
              <w:top w:val="single" w:sz="4" w:space="0" w:color="auto"/>
              <w:left w:val="single" w:sz="4" w:space="0" w:color="auto"/>
              <w:bottom w:val="nil"/>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95,1</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11</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-14,5</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19,7</w:t>
            </w:r>
          </w:p>
        </w:tc>
        <w:tc>
          <w:tcPr>
            <w:tcW w:w="0" w:type="auto"/>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32,7</w:t>
            </w:r>
          </w:p>
        </w:tc>
        <w:tc>
          <w:tcPr>
            <w:tcW w:w="0" w:type="auto"/>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3,0</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94,2</w:t>
            </w:r>
          </w:p>
        </w:tc>
        <w:tc>
          <w:tcPr>
            <w:tcW w:w="0" w:type="auto"/>
            <w:gridSpan w:val="2"/>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105,3</w:t>
            </w:r>
          </w:p>
        </w:tc>
        <w:tc>
          <w:tcPr>
            <w:tcW w:w="1020" w:type="dxa"/>
            <w:tcBorders>
              <w:top w:val="single" w:sz="4" w:space="0" w:color="auto"/>
              <w:left w:val="single" w:sz="4" w:space="0" w:color="auto"/>
              <w:bottom w:val="nil"/>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96,0</w:t>
            </w:r>
          </w:p>
        </w:tc>
      </w:tr>
      <w:tr w:rsidR="0011338A" w:rsidTr="00522705">
        <w:trPr>
          <w:trHeight w:val="225"/>
        </w:trPr>
        <w:tc>
          <w:tcPr>
            <w:tcW w:w="0" w:type="auto"/>
            <w:tcBorders>
              <w:top w:val="nil"/>
              <w:left w:val="single" w:sz="12" w:space="0" w:color="auto"/>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12</w:t>
            </w:r>
          </w:p>
        </w:tc>
        <w:tc>
          <w:tcPr>
            <w:tcW w:w="0" w:type="auto"/>
            <w:tcBorders>
              <w:top w:val="single" w:sz="4" w:space="0" w:color="auto"/>
              <w:left w:val="single" w:sz="8" w:space="0" w:color="auto"/>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w:t>
            </w:r>
          </w:p>
        </w:tc>
        <w:tc>
          <w:tcPr>
            <w:tcW w:w="0" w:type="auto"/>
            <w:tcBorders>
              <w:top w:val="single" w:sz="4" w:space="0" w:color="auto"/>
              <w:left w:val="nil"/>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-16,5</w:t>
            </w:r>
          </w:p>
        </w:tc>
        <w:tc>
          <w:tcPr>
            <w:tcW w:w="0" w:type="auto"/>
            <w:tcBorders>
              <w:top w:val="single" w:sz="4" w:space="0" w:color="auto"/>
              <w:left w:val="nil"/>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19,3</w:t>
            </w:r>
          </w:p>
        </w:tc>
        <w:tc>
          <w:tcPr>
            <w:tcW w:w="0" w:type="auto"/>
            <w:tcBorders>
              <w:top w:val="single" w:sz="4" w:space="0" w:color="auto"/>
              <w:left w:val="nil"/>
              <w:bottom w:val="single" w:sz="12"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33,7</w:t>
            </w:r>
          </w:p>
        </w:tc>
        <w:tc>
          <w:tcPr>
            <w:tcW w:w="0" w:type="auto"/>
            <w:tcBorders>
              <w:top w:val="single" w:sz="4" w:space="0" w:color="auto"/>
              <w:left w:val="single" w:sz="4" w:space="0" w:color="auto"/>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5,0</w:t>
            </w:r>
          </w:p>
        </w:tc>
        <w:tc>
          <w:tcPr>
            <w:tcW w:w="0" w:type="auto"/>
            <w:tcBorders>
              <w:top w:val="single" w:sz="4" w:space="0" w:color="auto"/>
              <w:left w:val="single" w:sz="8" w:space="0" w:color="auto"/>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94,3</w:t>
            </w:r>
          </w:p>
        </w:tc>
        <w:tc>
          <w:tcPr>
            <w:tcW w:w="0" w:type="auto"/>
            <w:gridSpan w:val="2"/>
            <w:tcBorders>
              <w:top w:val="single" w:sz="4" w:space="0" w:color="auto"/>
              <w:left w:val="nil"/>
              <w:bottom w:val="single" w:sz="12"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107,4</w:t>
            </w:r>
          </w:p>
        </w:tc>
        <w:tc>
          <w:tcPr>
            <w:tcW w:w="1020" w:type="dxa"/>
            <w:tcBorders>
              <w:top w:val="single" w:sz="4" w:space="0" w:color="auto"/>
              <w:left w:val="single" w:sz="4" w:space="0" w:color="auto"/>
              <w:bottom w:val="single" w:sz="12"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96,5</w:t>
            </w:r>
          </w:p>
        </w:tc>
      </w:tr>
      <w:tr w:rsidR="0011338A" w:rsidTr="00522705">
        <w:trPr>
          <w:trHeight w:val="225"/>
        </w:trPr>
        <w:tc>
          <w:tcPr>
            <w:tcW w:w="0" w:type="auto"/>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sz w:val="16"/>
                <w:szCs w:val="16"/>
              </w:rPr>
            </w:pPr>
          </w:p>
        </w:tc>
        <w:tc>
          <w:tcPr>
            <w:tcW w:w="0" w:type="auto"/>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sz w:val="16"/>
                <w:szCs w:val="16"/>
              </w:rPr>
            </w:pPr>
          </w:p>
        </w:tc>
        <w:tc>
          <w:tcPr>
            <w:tcW w:w="0" w:type="auto"/>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sz w:val="16"/>
                <w:szCs w:val="16"/>
              </w:rPr>
            </w:pPr>
          </w:p>
        </w:tc>
        <w:tc>
          <w:tcPr>
            <w:tcW w:w="0" w:type="auto"/>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sz w:val="16"/>
                <w:szCs w:val="16"/>
              </w:rPr>
            </w:pPr>
          </w:p>
        </w:tc>
        <w:tc>
          <w:tcPr>
            <w:tcW w:w="0" w:type="auto"/>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sz w:val="16"/>
                <w:szCs w:val="16"/>
              </w:rPr>
            </w:pPr>
          </w:p>
        </w:tc>
        <w:tc>
          <w:tcPr>
            <w:tcW w:w="0" w:type="auto"/>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sz w:val="16"/>
                <w:szCs w:val="16"/>
              </w:rPr>
            </w:pPr>
          </w:p>
        </w:tc>
        <w:tc>
          <w:tcPr>
            <w:tcW w:w="0" w:type="auto"/>
            <w:gridSpan w:val="2"/>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sz w:val="16"/>
                <w:szCs w:val="16"/>
              </w:rPr>
            </w:pPr>
          </w:p>
        </w:tc>
        <w:tc>
          <w:tcPr>
            <w:tcW w:w="1020" w:type="dxa"/>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sz w:val="16"/>
                <w:szCs w:val="16"/>
              </w:rPr>
            </w:pPr>
          </w:p>
        </w:tc>
      </w:tr>
      <w:tr w:rsidR="0011338A" w:rsidTr="00522705">
        <w:trPr>
          <w:trHeight w:val="466"/>
        </w:trPr>
        <w:tc>
          <w:tcPr>
            <w:tcW w:w="480" w:type="dxa"/>
            <w:tcBorders>
              <w:top w:val="single" w:sz="12" w:space="0" w:color="auto"/>
              <w:left w:val="single" w:sz="12" w:space="0" w:color="auto"/>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p>
        </w:tc>
        <w:tc>
          <w:tcPr>
            <w:tcW w:w="880" w:type="dxa"/>
            <w:tcBorders>
              <w:top w:val="single" w:sz="12" w:space="0" w:color="auto"/>
              <w:left w:val="nil"/>
              <w:bottom w:val="nil"/>
              <w:right w:val="nil"/>
            </w:tcBorders>
            <w:noWrap/>
            <w:tcMar>
              <w:top w:w="15" w:type="dxa"/>
              <w:left w:w="180" w:type="dxa"/>
              <w:bottom w:w="0" w:type="dxa"/>
              <w:right w:w="15" w:type="dxa"/>
            </w:tcMar>
            <w:vAlign w:val="bottom"/>
          </w:tcPr>
          <w:p w:rsidR="0011338A" w:rsidRDefault="0011338A" w:rsidP="00522705">
            <w:pPr>
              <w:ind w:firstLineChars="100" w:firstLine="160"/>
              <w:rPr>
                <w:rFonts w:ascii="Arial" w:eastAsia="Arial Unicode MS" w:hAnsi="Arial" w:cs="Arial Unicode MS"/>
                <w:b/>
                <w:bCs/>
                <w:sz w:val="16"/>
                <w:szCs w:val="16"/>
              </w:rPr>
            </w:pPr>
          </w:p>
        </w:tc>
        <w:tc>
          <w:tcPr>
            <w:tcW w:w="4640" w:type="dxa"/>
            <w:gridSpan w:val="5"/>
            <w:tcBorders>
              <w:top w:val="single" w:sz="12" w:space="0" w:color="auto"/>
              <w:left w:val="single" w:sz="8" w:space="0" w:color="auto"/>
              <w:bottom w:val="single" w:sz="4" w:space="0" w:color="auto"/>
              <w:right w:val="single" w:sz="8" w:space="0" w:color="000000"/>
            </w:tcBorders>
            <w:noWrap/>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cs="Arial"/>
                <w:b/>
                <w:bCs/>
                <w:sz w:val="16"/>
                <w:szCs w:val="16"/>
              </w:rPr>
              <w:t xml:space="preserve">Salda indikátorů důvěry za </w:t>
            </w:r>
            <w:r>
              <w:rPr>
                <w:rFonts w:ascii="Arial" w:hAnsi="Arial" w:cs="Arial"/>
                <w:sz w:val="16"/>
                <w:szCs w:val="16"/>
              </w:rPr>
              <w:t>(všechny hodnoty jsou počítány ze sezónně očištěných sald)</w:t>
            </w:r>
          </w:p>
        </w:tc>
        <w:tc>
          <w:tcPr>
            <w:tcW w:w="3220" w:type="dxa"/>
            <w:gridSpan w:val="4"/>
            <w:tcBorders>
              <w:top w:val="single" w:sz="12" w:space="0" w:color="auto"/>
              <w:left w:val="nil"/>
              <w:bottom w:val="single" w:sz="4" w:space="0" w:color="auto"/>
              <w:right w:val="single" w:sz="12"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xml:space="preserve">Bazické indexy k průměru roku 2005 </w:t>
            </w:r>
          </w:p>
        </w:tc>
      </w:tr>
      <w:tr w:rsidR="0011338A" w:rsidTr="00522705">
        <w:trPr>
          <w:trHeight w:val="452"/>
        </w:trPr>
        <w:tc>
          <w:tcPr>
            <w:tcW w:w="0" w:type="auto"/>
            <w:tcBorders>
              <w:top w:val="nil"/>
              <w:left w:val="single" w:sz="12" w:space="0" w:color="auto"/>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p>
        </w:tc>
        <w:tc>
          <w:tcPr>
            <w:tcW w:w="0" w:type="auto"/>
            <w:tcBorders>
              <w:top w:val="nil"/>
              <w:left w:val="nil"/>
              <w:bottom w:val="nil"/>
              <w:right w:val="nil"/>
            </w:tcBorders>
            <w:noWrap/>
            <w:tcMar>
              <w:top w:w="15" w:type="dxa"/>
              <w:left w:w="180" w:type="dxa"/>
              <w:bottom w:w="0" w:type="dxa"/>
              <w:right w:w="15" w:type="dxa"/>
            </w:tcMar>
            <w:vAlign w:val="bottom"/>
          </w:tcPr>
          <w:p w:rsidR="0011338A" w:rsidRDefault="0011338A" w:rsidP="00522705">
            <w:pPr>
              <w:ind w:firstLineChars="100" w:firstLine="160"/>
              <w:rPr>
                <w:rFonts w:ascii="Arial" w:eastAsia="Arial Unicode MS" w:hAnsi="Arial" w:cs="Arial Unicode MS"/>
                <w:b/>
                <w:bCs/>
                <w:sz w:val="16"/>
                <w:szCs w:val="16"/>
              </w:rPr>
            </w:pPr>
          </w:p>
        </w:tc>
        <w:tc>
          <w:tcPr>
            <w:tcW w:w="4640" w:type="dxa"/>
            <w:gridSpan w:val="5"/>
            <w:tcBorders>
              <w:top w:val="single" w:sz="4" w:space="0" w:color="auto"/>
              <w:left w:val="single" w:sz="8" w:space="0" w:color="auto"/>
              <w:bottom w:val="single" w:sz="4" w:space="0" w:color="auto"/>
              <w:right w:val="single" w:sz="8" w:space="0" w:color="000000"/>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cs="Arial"/>
                <w:b/>
                <w:bCs/>
                <w:sz w:val="16"/>
                <w:szCs w:val="16"/>
                <w:lang w:val="en-US"/>
              </w:rPr>
              <w:t xml:space="preserve">Balances of confidence indicators for </w:t>
            </w:r>
            <w:r>
              <w:rPr>
                <w:rFonts w:ascii="Arial" w:hAnsi="Arial" w:cs="Arial"/>
                <w:sz w:val="16"/>
                <w:szCs w:val="16"/>
                <w:lang w:val="en-US"/>
              </w:rPr>
              <w:t>(all the data are calculated from seasonally adjusted balances)</w:t>
            </w:r>
          </w:p>
        </w:tc>
        <w:tc>
          <w:tcPr>
            <w:tcW w:w="3220" w:type="dxa"/>
            <w:gridSpan w:val="4"/>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 xml:space="preserve">Basic indices to the average of 2005 </w:t>
            </w:r>
          </w:p>
        </w:tc>
      </w:tr>
      <w:tr w:rsidR="0011338A" w:rsidTr="00522705">
        <w:trPr>
          <w:cantSplit/>
          <w:trHeight w:val="214"/>
        </w:trPr>
        <w:tc>
          <w:tcPr>
            <w:tcW w:w="480" w:type="dxa"/>
            <w:vMerge w:val="restart"/>
            <w:tcBorders>
              <w:top w:val="single" w:sz="8" w:space="0" w:color="auto"/>
              <w:left w:val="single" w:sz="12" w:space="0" w:color="auto"/>
              <w:bottom w:val="single" w:sz="8" w:space="0" w:color="000000"/>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xml:space="preserve">Rok </w:t>
            </w:r>
            <w:r>
              <w:rPr>
                <w:rFonts w:ascii="Arial" w:hAnsi="Arial"/>
                <w:b/>
                <w:bCs/>
                <w:sz w:val="16"/>
                <w:szCs w:val="16"/>
                <w:lang w:val="en-US"/>
              </w:rPr>
              <w:t>Year</w:t>
            </w:r>
          </w:p>
        </w:tc>
        <w:tc>
          <w:tcPr>
            <w:tcW w:w="880" w:type="dxa"/>
            <w:vMerge w:val="restart"/>
            <w:tcBorders>
              <w:top w:val="single" w:sz="8" w:space="0" w:color="auto"/>
              <w:left w:val="single" w:sz="4" w:space="0" w:color="auto"/>
              <w:bottom w:val="single" w:sz="8" w:space="0" w:color="000000"/>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xml:space="preserve">Měsíc </w:t>
            </w:r>
            <w:r>
              <w:rPr>
                <w:rFonts w:ascii="Arial" w:hAnsi="Arial"/>
                <w:b/>
                <w:bCs/>
                <w:i/>
                <w:iCs/>
                <w:sz w:val="16"/>
                <w:szCs w:val="16"/>
                <w:lang w:val="en-US"/>
              </w:rPr>
              <w:t>Month</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průmysl</w:t>
            </w:r>
          </w:p>
        </w:tc>
        <w:tc>
          <w:tcPr>
            <w:tcW w:w="1180" w:type="dxa"/>
            <w:tcBorders>
              <w:top w:val="nil"/>
              <w:left w:val="nil"/>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stavebnictví</w:t>
            </w:r>
          </w:p>
        </w:tc>
        <w:tc>
          <w:tcPr>
            <w:tcW w:w="720" w:type="dxa"/>
            <w:tcBorders>
              <w:top w:val="nil"/>
              <w:left w:val="nil"/>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obchod</w:t>
            </w:r>
          </w:p>
        </w:tc>
        <w:tc>
          <w:tcPr>
            <w:tcW w:w="820" w:type="dxa"/>
            <w:tcBorders>
              <w:top w:val="nil"/>
              <w:left w:val="nil"/>
              <w:bottom w:val="single" w:sz="4" w:space="0" w:color="auto"/>
              <w:right w:val="nil"/>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služby</w:t>
            </w:r>
          </w:p>
        </w:tc>
        <w:tc>
          <w:tcPr>
            <w:tcW w:w="11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spotřebitele</w:t>
            </w:r>
          </w:p>
        </w:tc>
        <w:tc>
          <w:tcPr>
            <w:tcW w:w="1080"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podnikatele celkem</w:t>
            </w:r>
          </w:p>
        </w:tc>
        <w:tc>
          <w:tcPr>
            <w:tcW w:w="1120"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spotřebitele</w:t>
            </w:r>
          </w:p>
        </w:tc>
        <w:tc>
          <w:tcPr>
            <w:tcW w:w="1020" w:type="dxa"/>
            <w:tcBorders>
              <w:top w:val="nil"/>
              <w:left w:val="nil"/>
              <w:bottom w:val="single" w:sz="4" w:space="0" w:color="auto"/>
              <w:right w:val="single" w:sz="12"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souhrnný indikátor</w:t>
            </w:r>
          </w:p>
        </w:tc>
      </w:tr>
      <w:tr w:rsidR="0011338A" w:rsidTr="00522705">
        <w:trPr>
          <w:cantSplit/>
          <w:trHeight w:val="363"/>
        </w:trPr>
        <w:tc>
          <w:tcPr>
            <w:tcW w:w="0" w:type="auto"/>
            <w:vMerge/>
            <w:tcBorders>
              <w:top w:val="single" w:sz="8" w:space="0" w:color="auto"/>
              <w:left w:val="single" w:sz="12" w:space="0" w:color="auto"/>
              <w:bottom w:val="single" w:sz="12" w:space="0" w:color="auto"/>
              <w:right w:val="single" w:sz="4" w:space="0" w:color="auto"/>
            </w:tcBorders>
            <w:vAlign w:val="center"/>
          </w:tcPr>
          <w:p w:rsidR="0011338A" w:rsidRDefault="0011338A" w:rsidP="00522705">
            <w:pPr>
              <w:rPr>
                <w:rFonts w:ascii="Arial" w:eastAsia="Arial Unicode MS" w:hAnsi="Arial" w:cs="Arial Unicode MS"/>
                <w:b/>
                <w:bCs/>
                <w:sz w:val="16"/>
                <w:szCs w:val="16"/>
              </w:rPr>
            </w:pPr>
          </w:p>
        </w:tc>
        <w:tc>
          <w:tcPr>
            <w:tcW w:w="0" w:type="auto"/>
            <w:vMerge/>
            <w:tcBorders>
              <w:top w:val="single" w:sz="8" w:space="0" w:color="auto"/>
              <w:left w:val="single" w:sz="4" w:space="0" w:color="auto"/>
              <w:bottom w:val="single" w:sz="12" w:space="0" w:color="auto"/>
              <w:right w:val="single" w:sz="4" w:space="0" w:color="auto"/>
            </w:tcBorders>
            <w:vAlign w:val="center"/>
          </w:tcPr>
          <w:p w:rsidR="0011338A" w:rsidRDefault="0011338A" w:rsidP="00522705">
            <w:pPr>
              <w:rPr>
                <w:rFonts w:ascii="Arial" w:eastAsia="Arial Unicode MS" w:hAnsi="Arial" w:cs="Arial Unicode MS"/>
                <w:b/>
                <w:bCs/>
                <w:sz w:val="16"/>
                <w:szCs w:val="16"/>
              </w:rPr>
            </w:pPr>
          </w:p>
        </w:tc>
        <w:tc>
          <w:tcPr>
            <w:tcW w:w="800" w:type="dxa"/>
            <w:tcBorders>
              <w:top w:val="nil"/>
              <w:left w:val="nil"/>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Industry</w:t>
            </w:r>
          </w:p>
        </w:tc>
        <w:tc>
          <w:tcPr>
            <w:tcW w:w="1180" w:type="dxa"/>
            <w:tcBorders>
              <w:top w:val="nil"/>
              <w:left w:val="nil"/>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Construction</w:t>
            </w:r>
          </w:p>
        </w:tc>
        <w:tc>
          <w:tcPr>
            <w:tcW w:w="720" w:type="dxa"/>
            <w:tcBorders>
              <w:top w:val="nil"/>
              <w:left w:val="nil"/>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Trade</w:t>
            </w:r>
          </w:p>
        </w:tc>
        <w:tc>
          <w:tcPr>
            <w:tcW w:w="820" w:type="dxa"/>
            <w:tcBorders>
              <w:top w:val="nil"/>
              <w:left w:val="nil"/>
              <w:bottom w:val="single" w:sz="12" w:space="0" w:color="auto"/>
              <w:right w:val="nil"/>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Services</w:t>
            </w:r>
          </w:p>
        </w:tc>
        <w:tc>
          <w:tcPr>
            <w:tcW w:w="1120" w:type="dxa"/>
            <w:tcBorders>
              <w:top w:val="nil"/>
              <w:left w:val="single" w:sz="4" w:space="0" w:color="auto"/>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Consumers</w:t>
            </w:r>
          </w:p>
        </w:tc>
        <w:tc>
          <w:tcPr>
            <w:tcW w:w="1080" w:type="dxa"/>
            <w:tcBorders>
              <w:top w:val="nil"/>
              <w:left w:val="single" w:sz="8" w:space="0" w:color="auto"/>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Business indicator</w:t>
            </w:r>
          </w:p>
        </w:tc>
        <w:tc>
          <w:tcPr>
            <w:tcW w:w="1120" w:type="dxa"/>
            <w:gridSpan w:val="2"/>
            <w:tcBorders>
              <w:top w:val="nil"/>
              <w:left w:val="nil"/>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Consumers</w:t>
            </w:r>
          </w:p>
        </w:tc>
        <w:tc>
          <w:tcPr>
            <w:tcW w:w="1020" w:type="dxa"/>
            <w:tcBorders>
              <w:top w:val="nil"/>
              <w:left w:val="nil"/>
              <w:bottom w:val="single" w:sz="12" w:space="0" w:color="auto"/>
              <w:right w:val="single" w:sz="12"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Composite indicator</w:t>
            </w:r>
          </w:p>
        </w:tc>
      </w:tr>
      <w:tr w:rsidR="0011338A" w:rsidTr="00522705">
        <w:trPr>
          <w:trHeight w:val="225"/>
        </w:trPr>
        <w:tc>
          <w:tcPr>
            <w:tcW w:w="0" w:type="auto"/>
            <w:tcBorders>
              <w:top w:val="single" w:sz="12" w:space="0" w:color="auto"/>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2016</w:t>
            </w:r>
          </w:p>
        </w:tc>
        <w:tc>
          <w:tcPr>
            <w:tcW w:w="0" w:type="auto"/>
            <w:tcBorders>
              <w:top w:val="single" w:sz="12" w:space="0" w:color="auto"/>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w:t>
            </w:r>
          </w:p>
        </w:tc>
        <w:tc>
          <w:tcPr>
            <w:tcW w:w="0" w:type="auto"/>
            <w:tcBorders>
              <w:top w:val="single" w:sz="12"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3,7</w:t>
            </w:r>
          </w:p>
        </w:tc>
        <w:tc>
          <w:tcPr>
            <w:tcW w:w="0" w:type="auto"/>
            <w:tcBorders>
              <w:top w:val="single" w:sz="12"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-14,5</w:t>
            </w:r>
          </w:p>
        </w:tc>
        <w:tc>
          <w:tcPr>
            <w:tcW w:w="0" w:type="auto"/>
            <w:tcBorders>
              <w:top w:val="single" w:sz="12"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22,0</w:t>
            </w:r>
          </w:p>
        </w:tc>
        <w:tc>
          <w:tcPr>
            <w:tcW w:w="0" w:type="auto"/>
            <w:tcBorders>
              <w:top w:val="single" w:sz="12"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34,7</w:t>
            </w:r>
          </w:p>
        </w:tc>
        <w:tc>
          <w:tcPr>
            <w:tcW w:w="0" w:type="auto"/>
            <w:tcBorders>
              <w:top w:val="single" w:sz="12" w:space="0" w:color="auto"/>
              <w:left w:val="single" w:sz="4"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7,5</w:t>
            </w:r>
          </w:p>
        </w:tc>
        <w:tc>
          <w:tcPr>
            <w:tcW w:w="0" w:type="auto"/>
            <w:tcBorders>
              <w:top w:val="single" w:sz="12"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96,0</w:t>
            </w:r>
          </w:p>
        </w:tc>
        <w:tc>
          <w:tcPr>
            <w:tcW w:w="0" w:type="auto"/>
            <w:gridSpan w:val="2"/>
            <w:tcBorders>
              <w:top w:val="single" w:sz="12"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110,0</w:t>
            </w:r>
          </w:p>
        </w:tc>
        <w:tc>
          <w:tcPr>
            <w:tcW w:w="1020" w:type="dxa"/>
            <w:tcBorders>
              <w:top w:val="single" w:sz="12" w:space="0" w:color="auto"/>
              <w:left w:val="single" w:sz="4" w:space="0" w:color="auto"/>
              <w:bottom w:val="nil"/>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98,4</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2</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3,7</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-14,5</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22,7</w:t>
            </w:r>
          </w:p>
        </w:tc>
        <w:tc>
          <w:tcPr>
            <w:tcW w:w="0" w:type="auto"/>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32,3</w:t>
            </w:r>
          </w:p>
        </w:tc>
        <w:tc>
          <w:tcPr>
            <w:tcW w:w="0" w:type="auto"/>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3,8</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95,3</w:t>
            </w:r>
          </w:p>
        </w:tc>
        <w:tc>
          <w:tcPr>
            <w:tcW w:w="0" w:type="auto"/>
            <w:gridSpan w:val="2"/>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106,2</w:t>
            </w:r>
          </w:p>
        </w:tc>
        <w:tc>
          <w:tcPr>
            <w:tcW w:w="1020" w:type="dxa"/>
            <w:tcBorders>
              <w:top w:val="single" w:sz="4" w:space="0" w:color="auto"/>
              <w:left w:val="single" w:sz="4" w:space="0" w:color="auto"/>
              <w:bottom w:val="nil"/>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97,1</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3</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3,3</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-22,5</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21,0</w:t>
            </w:r>
          </w:p>
        </w:tc>
        <w:tc>
          <w:tcPr>
            <w:tcW w:w="0" w:type="auto"/>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33,7</w:t>
            </w:r>
          </w:p>
        </w:tc>
        <w:tc>
          <w:tcPr>
            <w:tcW w:w="0" w:type="auto"/>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2,5</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95,1</w:t>
            </w:r>
          </w:p>
        </w:tc>
        <w:tc>
          <w:tcPr>
            <w:tcW w:w="0" w:type="auto"/>
            <w:gridSpan w:val="2"/>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104,8</w:t>
            </w:r>
          </w:p>
        </w:tc>
        <w:tc>
          <w:tcPr>
            <w:tcW w:w="1020" w:type="dxa"/>
            <w:tcBorders>
              <w:top w:val="single" w:sz="4" w:space="0" w:color="auto"/>
              <w:left w:val="single" w:sz="4" w:space="0" w:color="auto"/>
              <w:bottom w:val="nil"/>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96,7</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4</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1,7</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-21,5</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18,3</w:t>
            </w:r>
          </w:p>
        </w:tc>
        <w:tc>
          <w:tcPr>
            <w:tcW w:w="0" w:type="auto"/>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32,0</w:t>
            </w:r>
          </w:p>
        </w:tc>
        <w:tc>
          <w:tcPr>
            <w:tcW w:w="0" w:type="auto"/>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93,8</w:t>
            </w:r>
          </w:p>
        </w:tc>
        <w:tc>
          <w:tcPr>
            <w:tcW w:w="0" w:type="auto"/>
            <w:gridSpan w:val="2"/>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104,3</w:t>
            </w:r>
          </w:p>
        </w:tc>
        <w:tc>
          <w:tcPr>
            <w:tcW w:w="1020" w:type="dxa"/>
            <w:tcBorders>
              <w:top w:val="single" w:sz="4" w:space="0" w:color="auto"/>
              <w:left w:val="single" w:sz="4" w:space="0" w:color="auto"/>
              <w:bottom w:val="nil"/>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5</w:t>
            </w:r>
          </w:p>
        </w:tc>
        <w:tc>
          <w:tcPr>
            <w:tcW w:w="0" w:type="auto"/>
            <w:tcBorders>
              <w:top w:val="single" w:sz="4" w:space="0" w:color="auto"/>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2,7</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-25,5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17,7</w:t>
            </w:r>
          </w:p>
        </w:tc>
        <w:tc>
          <w:tcPr>
            <w:tcW w:w="0" w:type="auto"/>
            <w:tcBorders>
              <w:top w:val="single" w:sz="4" w:space="0" w:color="auto"/>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33,0</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w:t>
            </w:r>
          </w:p>
        </w:tc>
        <w:tc>
          <w:tcPr>
            <w:tcW w:w="0" w:type="auto"/>
            <w:tcBorders>
              <w:top w:val="single" w:sz="4" w:space="0" w:color="auto"/>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94,3</w:t>
            </w:r>
          </w:p>
        </w:tc>
        <w:tc>
          <w:tcPr>
            <w:tcW w:w="0" w:type="auto"/>
            <w:gridSpan w:val="2"/>
            <w:tcBorders>
              <w:top w:val="single" w:sz="4" w:space="0" w:color="auto"/>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104,3</w:t>
            </w:r>
          </w:p>
        </w:tc>
        <w:tc>
          <w:tcPr>
            <w:tcW w:w="1020" w:type="dxa"/>
            <w:tcBorders>
              <w:top w:val="single" w:sz="4" w:space="0" w:color="auto"/>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96,0</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6</w:t>
            </w:r>
          </w:p>
        </w:tc>
        <w:tc>
          <w:tcPr>
            <w:tcW w:w="0" w:type="auto"/>
            <w:tcBorders>
              <w:top w:val="nil"/>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1,3</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-25,0</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18,0</w:t>
            </w:r>
          </w:p>
        </w:tc>
        <w:tc>
          <w:tcPr>
            <w:tcW w:w="0" w:type="auto"/>
            <w:tcBorders>
              <w:top w:val="nil"/>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32,3</w:t>
            </w:r>
          </w:p>
        </w:tc>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1,5</w:t>
            </w:r>
          </w:p>
        </w:tc>
        <w:tc>
          <w:tcPr>
            <w:tcW w:w="0" w:type="auto"/>
            <w:tcBorders>
              <w:top w:val="nil"/>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93,5</w:t>
            </w:r>
          </w:p>
        </w:tc>
        <w:tc>
          <w:tcPr>
            <w:tcW w:w="0" w:type="auto"/>
            <w:gridSpan w:val="2"/>
            <w:tcBorders>
              <w:top w:val="nil"/>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103,8</w:t>
            </w:r>
          </w:p>
        </w:tc>
        <w:tc>
          <w:tcPr>
            <w:tcW w:w="1020" w:type="dxa"/>
            <w:tcBorders>
              <w:top w:val="nil"/>
              <w:left w:val="single" w:sz="4" w:space="0" w:color="auto"/>
              <w:bottom w:val="nil"/>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95,3</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7</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-26,0</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17,0</w:t>
            </w:r>
          </w:p>
        </w:tc>
        <w:tc>
          <w:tcPr>
            <w:tcW w:w="0" w:type="auto"/>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33,3</w:t>
            </w:r>
          </w:p>
        </w:tc>
        <w:tc>
          <w:tcPr>
            <w:tcW w:w="0" w:type="auto"/>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0,0</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94,0</w:t>
            </w:r>
          </w:p>
        </w:tc>
        <w:tc>
          <w:tcPr>
            <w:tcW w:w="0" w:type="auto"/>
            <w:gridSpan w:val="2"/>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102,3</w:t>
            </w:r>
          </w:p>
        </w:tc>
        <w:tc>
          <w:tcPr>
            <w:tcW w:w="1020" w:type="dxa"/>
            <w:tcBorders>
              <w:top w:val="single" w:sz="4" w:space="0" w:color="auto"/>
              <w:left w:val="single" w:sz="4" w:space="0" w:color="auto"/>
              <w:bottom w:val="nil"/>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95,4</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8</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5,0</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-24,5</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17,7</w:t>
            </w:r>
          </w:p>
        </w:tc>
        <w:tc>
          <w:tcPr>
            <w:tcW w:w="0" w:type="auto"/>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33,0</w:t>
            </w:r>
          </w:p>
        </w:tc>
        <w:tc>
          <w:tcPr>
            <w:tcW w:w="0" w:type="auto"/>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95,3</w:t>
            </w:r>
          </w:p>
        </w:tc>
        <w:tc>
          <w:tcPr>
            <w:tcW w:w="0" w:type="auto"/>
            <w:gridSpan w:val="2"/>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104,3</w:t>
            </w:r>
          </w:p>
        </w:tc>
        <w:tc>
          <w:tcPr>
            <w:tcW w:w="1020" w:type="dxa"/>
            <w:tcBorders>
              <w:top w:val="single" w:sz="4" w:space="0" w:color="auto"/>
              <w:left w:val="single" w:sz="4" w:space="0" w:color="auto"/>
              <w:bottom w:val="nil"/>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96,8</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9</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4,3</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-29,5</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16,3</w:t>
            </w:r>
          </w:p>
        </w:tc>
        <w:tc>
          <w:tcPr>
            <w:tcW w:w="0" w:type="auto"/>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34,7</w:t>
            </w:r>
          </w:p>
        </w:tc>
        <w:tc>
          <w:tcPr>
            <w:tcW w:w="0" w:type="auto"/>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4,0</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95,2</w:t>
            </w:r>
          </w:p>
        </w:tc>
        <w:tc>
          <w:tcPr>
            <w:tcW w:w="0" w:type="auto"/>
            <w:gridSpan w:val="2"/>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106,4</w:t>
            </w:r>
          </w:p>
        </w:tc>
        <w:tc>
          <w:tcPr>
            <w:tcW w:w="1020" w:type="dxa"/>
            <w:tcBorders>
              <w:top w:val="single" w:sz="4" w:space="0" w:color="auto"/>
              <w:left w:val="single" w:sz="4" w:space="0" w:color="auto"/>
              <w:bottom w:val="nil"/>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97,1</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10</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3,7</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-27,5</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19,0</w:t>
            </w:r>
          </w:p>
        </w:tc>
        <w:tc>
          <w:tcPr>
            <w:tcW w:w="0" w:type="auto"/>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34,7</w:t>
            </w:r>
          </w:p>
        </w:tc>
        <w:tc>
          <w:tcPr>
            <w:tcW w:w="0" w:type="auto"/>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6,5</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95,2</w:t>
            </w:r>
          </w:p>
        </w:tc>
        <w:tc>
          <w:tcPr>
            <w:tcW w:w="0" w:type="auto"/>
            <w:gridSpan w:val="2"/>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108,9</w:t>
            </w:r>
          </w:p>
        </w:tc>
        <w:tc>
          <w:tcPr>
            <w:tcW w:w="1020" w:type="dxa"/>
            <w:tcBorders>
              <w:top w:val="single" w:sz="4" w:space="0" w:color="auto"/>
              <w:left w:val="single" w:sz="4" w:space="0" w:color="auto"/>
              <w:bottom w:val="nil"/>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97,5</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11</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6,3</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-23,0</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21,0</w:t>
            </w:r>
          </w:p>
        </w:tc>
        <w:tc>
          <w:tcPr>
            <w:tcW w:w="0" w:type="auto"/>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37,7</w:t>
            </w:r>
          </w:p>
        </w:tc>
        <w:tc>
          <w:tcPr>
            <w:tcW w:w="0" w:type="auto"/>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5,5</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97,5</w:t>
            </w:r>
          </w:p>
        </w:tc>
        <w:tc>
          <w:tcPr>
            <w:tcW w:w="0" w:type="auto"/>
            <w:gridSpan w:val="2"/>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107,9</w:t>
            </w:r>
          </w:p>
        </w:tc>
        <w:tc>
          <w:tcPr>
            <w:tcW w:w="1020" w:type="dxa"/>
            <w:tcBorders>
              <w:top w:val="single" w:sz="4" w:space="0" w:color="auto"/>
              <w:left w:val="single" w:sz="4" w:space="0" w:color="auto"/>
              <w:bottom w:val="nil"/>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99,3</w:t>
            </w:r>
          </w:p>
        </w:tc>
      </w:tr>
      <w:tr w:rsidR="0011338A" w:rsidTr="00895F51">
        <w:trPr>
          <w:trHeight w:val="225"/>
        </w:trPr>
        <w:tc>
          <w:tcPr>
            <w:tcW w:w="0" w:type="auto"/>
            <w:tcBorders>
              <w:top w:val="nil"/>
              <w:left w:val="single" w:sz="12" w:space="0" w:color="auto"/>
              <w:bottom w:val="single" w:sz="8"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12</w:t>
            </w:r>
          </w:p>
        </w:tc>
        <w:tc>
          <w:tcPr>
            <w:tcW w:w="0" w:type="auto"/>
            <w:tcBorders>
              <w:top w:val="single" w:sz="4" w:space="0" w:color="auto"/>
              <w:left w:val="single" w:sz="8" w:space="0" w:color="auto"/>
              <w:bottom w:val="single" w:sz="8"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6,0</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-27,0</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19,7</w:t>
            </w:r>
          </w:p>
        </w:tc>
        <w:tc>
          <w:tcPr>
            <w:tcW w:w="0" w:type="auto"/>
            <w:tcBorders>
              <w:top w:val="single" w:sz="4" w:space="0" w:color="auto"/>
              <w:left w:val="nil"/>
              <w:bottom w:val="single" w:sz="8"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37,7</w:t>
            </w:r>
          </w:p>
        </w:tc>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6,3</w:t>
            </w:r>
          </w:p>
        </w:tc>
        <w:tc>
          <w:tcPr>
            <w:tcW w:w="0" w:type="auto"/>
            <w:tcBorders>
              <w:top w:val="single" w:sz="4" w:space="0" w:color="auto"/>
              <w:left w:val="single" w:sz="8" w:space="0" w:color="auto"/>
              <w:bottom w:val="single" w:sz="8"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97,1</w:t>
            </w:r>
          </w:p>
        </w:tc>
        <w:tc>
          <w:tcPr>
            <w:tcW w:w="0" w:type="auto"/>
            <w:gridSpan w:val="2"/>
            <w:tcBorders>
              <w:top w:val="single" w:sz="4" w:space="0" w:color="auto"/>
              <w:left w:val="nil"/>
              <w:bottom w:val="single" w:sz="8"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108,7</w:t>
            </w:r>
          </w:p>
        </w:tc>
        <w:tc>
          <w:tcPr>
            <w:tcW w:w="1020" w:type="dxa"/>
            <w:tcBorders>
              <w:top w:val="single" w:sz="4" w:space="0" w:color="auto"/>
              <w:left w:val="single" w:sz="4" w:space="0" w:color="auto"/>
              <w:bottom w:val="single" w:sz="8"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99,1</w:t>
            </w:r>
          </w:p>
        </w:tc>
      </w:tr>
      <w:tr w:rsidR="00895F51" w:rsidTr="00895F51">
        <w:trPr>
          <w:trHeight w:val="225"/>
        </w:trPr>
        <w:tc>
          <w:tcPr>
            <w:tcW w:w="0" w:type="auto"/>
            <w:tcBorders>
              <w:top w:val="single" w:sz="8" w:space="0" w:color="auto"/>
              <w:left w:val="single" w:sz="12" w:space="0" w:color="auto"/>
              <w:right w:val="single" w:sz="12" w:space="0" w:color="auto"/>
            </w:tcBorders>
            <w:noWrap/>
            <w:tcMar>
              <w:top w:w="15" w:type="dxa"/>
              <w:left w:w="15" w:type="dxa"/>
              <w:bottom w:w="0" w:type="dxa"/>
              <w:right w:w="15" w:type="dxa"/>
            </w:tcMar>
            <w:vAlign w:val="bottom"/>
          </w:tcPr>
          <w:p w:rsidR="00895F51" w:rsidRPr="00895F51" w:rsidRDefault="00895F51" w:rsidP="002366CB">
            <w:pPr>
              <w:jc w:val="center"/>
              <w:rPr>
                <w:rFonts w:ascii="Arial" w:hAnsi="Arial"/>
                <w:b/>
                <w:bCs/>
                <w:sz w:val="16"/>
                <w:szCs w:val="16"/>
              </w:rPr>
            </w:pPr>
            <w:r w:rsidRPr="00895F51">
              <w:rPr>
                <w:rFonts w:ascii="Arial" w:hAnsi="Arial"/>
                <w:b/>
                <w:bCs/>
                <w:sz w:val="16"/>
                <w:szCs w:val="16"/>
              </w:rPr>
              <w:t>2017</w:t>
            </w:r>
          </w:p>
        </w:tc>
        <w:tc>
          <w:tcPr>
            <w:tcW w:w="0" w:type="auto"/>
            <w:tcBorders>
              <w:top w:val="single" w:sz="8" w:space="0" w:color="auto"/>
              <w:left w:val="single" w:sz="12" w:space="0" w:color="auto"/>
              <w:bottom w:val="single" w:sz="8" w:space="0" w:color="auto"/>
              <w:right w:val="single" w:sz="4" w:space="0" w:color="auto"/>
            </w:tcBorders>
            <w:noWrap/>
            <w:tcMar>
              <w:top w:w="15" w:type="dxa"/>
              <w:left w:w="15" w:type="dxa"/>
              <w:bottom w:w="0" w:type="dxa"/>
              <w:right w:w="15" w:type="dxa"/>
            </w:tcMar>
            <w:vAlign w:val="bottom"/>
          </w:tcPr>
          <w:p w:rsidR="00895F51" w:rsidRDefault="00895F51" w:rsidP="002366CB">
            <w:pPr>
              <w:jc w:val="center"/>
              <w:rPr>
                <w:rFonts w:ascii="Arial" w:hAnsi="Arial"/>
                <w:b/>
                <w:bCs/>
                <w:sz w:val="16"/>
                <w:szCs w:val="16"/>
              </w:rPr>
            </w:pPr>
            <w:r>
              <w:rPr>
                <w:rFonts w:ascii="Arial" w:hAnsi="Arial"/>
                <w:b/>
                <w:bCs/>
                <w:sz w:val="16"/>
                <w:szCs w:val="16"/>
              </w:rPr>
              <w:t>1</w:t>
            </w:r>
          </w:p>
        </w:tc>
        <w:tc>
          <w:tcPr>
            <w:tcW w:w="0" w:type="auto"/>
            <w:tcBorders>
              <w:top w:val="single" w:sz="8" w:space="0" w:color="auto"/>
              <w:left w:val="single" w:sz="8" w:space="0" w:color="auto"/>
              <w:bottom w:val="single" w:sz="8" w:space="0" w:color="auto"/>
              <w:right w:val="single" w:sz="4" w:space="0" w:color="auto"/>
            </w:tcBorders>
            <w:noWrap/>
            <w:tcMar>
              <w:top w:w="15" w:type="dxa"/>
              <w:left w:w="15" w:type="dxa"/>
              <w:bottom w:w="0" w:type="dxa"/>
              <w:right w:w="15" w:type="dxa"/>
            </w:tcMar>
            <w:vAlign w:val="bottom"/>
          </w:tcPr>
          <w:p w:rsidR="00895F51" w:rsidRDefault="00895F51" w:rsidP="002366CB">
            <w:pPr>
              <w:jc w:val="center"/>
              <w:rPr>
                <w:rFonts w:ascii="Arial" w:eastAsia="Arial Unicode MS" w:hAnsi="Arial" w:cs="Arial"/>
                <w:sz w:val="16"/>
                <w:szCs w:val="16"/>
              </w:rPr>
            </w:pPr>
            <w:r>
              <w:rPr>
                <w:rFonts w:ascii="Arial" w:eastAsia="Arial Unicode MS" w:hAnsi="Arial" w:cs="Arial"/>
                <w:sz w:val="16"/>
                <w:szCs w:val="16"/>
              </w:rPr>
              <w:t>5,3</w:t>
            </w:r>
          </w:p>
        </w:tc>
        <w:tc>
          <w:tcPr>
            <w:tcW w:w="0" w:type="auto"/>
            <w:tcBorders>
              <w:top w:val="single" w:sz="8" w:space="0" w:color="auto"/>
              <w:left w:val="nil"/>
              <w:bottom w:val="single" w:sz="8" w:space="0" w:color="auto"/>
              <w:right w:val="single" w:sz="4" w:space="0" w:color="auto"/>
            </w:tcBorders>
            <w:noWrap/>
            <w:tcMar>
              <w:top w:w="15" w:type="dxa"/>
              <w:left w:w="15" w:type="dxa"/>
              <w:bottom w:w="0" w:type="dxa"/>
              <w:right w:w="15" w:type="dxa"/>
            </w:tcMar>
            <w:vAlign w:val="bottom"/>
          </w:tcPr>
          <w:p w:rsidR="00895F51" w:rsidRDefault="00895F51" w:rsidP="002366CB">
            <w:pPr>
              <w:jc w:val="center"/>
              <w:rPr>
                <w:rFonts w:ascii="Arial" w:eastAsia="Arial Unicode MS" w:hAnsi="Arial" w:cs="Arial"/>
                <w:sz w:val="16"/>
                <w:szCs w:val="16"/>
              </w:rPr>
            </w:pPr>
            <w:r>
              <w:rPr>
                <w:rFonts w:ascii="Arial" w:eastAsia="Arial Unicode MS" w:hAnsi="Arial" w:cs="Arial"/>
                <w:sz w:val="16"/>
                <w:szCs w:val="16"/>
              </w:rPr>
              <w:t>-27,0</w:t>
            </w:r>
          </w:p>
        </w:tc>
        <w:tc>
          <w:tcPr>
            <w:tcW w:w="0" w:type="auto"/>
            <w:tcBorders>
              <w:top w:val="single" w:sz="8" w:space="0" w:color="auto"/>
              <w:left w:val="nil"/>
              <w:bottom w:val="single" w:sz="8" w:space="0" w:color="auto"/>
              <w:right w:val="single" w:sz="4" w:space="0" w:color="auto"/>
            </w:tcBorders>
            <w:noWrap/>
            <w:tcMar>
              <w:top w:w="15" w:type="dxa"/>
              <w:left w:w="15" w:type="dxa"/>
              <w:bottom w:w="0" w:type="dxa"/>
              <w:right w:w="15" w:type="dxa"/>
            </w:tcMar>
            <w:vAlign w:val="bottom"/>
          </w:tcPr>
          <w:p w:rsidR="00895F51" w:rsidRDefault="00895F51" w:rsidP="002366CB">
            <w:pPr>
              <w:jc w:val="center"/>
              <w:rPr>
                <w:rFonts w:ascii="Arial" w:eastAsia="Arial Unicode MS" w:hAnsi="Arial" w:cs="Arial"/>
                <w:sz w:val="16"/>
                <w:szCs w:val="16"/>
              </w:rPr>
            </w:pPr>
            <w:r>
              <w:rPr>
                <w:rFonts w:ascii="Arial" w:eastAsia="Arial Unicode MS" w:hAnsi="Arial" w:cs="Arial"/>
                <w:sz w:val="16"/>
                <w:szCs w:val="16"/>
              </w:rPr>
              <w:t>24,7</w:t>
            </w:r>
          </w:p>
        </w:tc>
        <w:tc>
          <w:tcPr>
            <w:tcW w:w="0" w:type="auto"/>
            <w:tcBorders>
              <w:top w:val="single" w:sz="8" w:space="0" w:color="auto"/>
              <w:left w:val="nil"/>
              <w:bottom w:val="single" w:sz="8" w:space="0" w:color="auto"/>
              <w:right w:val="nil"/>
            </w:tcBorders>
            <w:noWrap/>
            <w:tcMar>
              <w:top w:w="15" w:type="dxa"/>
              <w:left w:w="15" w:type="dxa"/>
              <w:bottom w:w="0" w:type="dxa"/>
              <w:right w:w="15" w:type="dxa"/>
            </w:tcMar>
            <w:vAlign w:val="bottom"/>
          </w:tcPr>
          <w:p w:rsidR="00895F51" w:rsidRDefault="00895F51" w:rsidP="002366CB">
            <w:pPr>
              <w:jc w:val="center"/>
              <w:rPr>
                <w:rFonts w:ascii="Arial" w:eastAsia="Arial Unicode MS" w:hAnsi="Arial" w:cs="Arial"/>
                <w:sz w:val="16"/>
                <w:szCs w:val="16"/>
              </w:rPr>
            </w:pPr>
            <w:r>
              <w:rPr>
                <w:rFonts w:ascii="Arial" w:eastAsia="Arial Unicode MS" w:hAnsi="Arial" w:cs="Arial"/>
                <w:sz w:val="16"/>
                <w:szCs w:val="16"/>
              </w:rPr>
              <w:t>37,3</w:t>
            </w:r>
          </w:p>
        </w:tc>
        <w:tc>
          <w:tcPr>
            <w:tcW w:w="0" w:type="auto"/>
            <w:tcBorders>
              <w:top w:val="single" w:sz="8"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rsidR="00895F51" w:rsidRDefault="00895F51" w:rsidP="002366CB">
            <w:pPr>
              <w:jc w:val="center"/>
              <w:rPr>
                <w:rFonts w:ascii="Arial" w:eastAsia="Arial Unicode MS" w:hAnsi="Arial" w:cs="Arial"/>
                <w:sz w:val="16"/>
                <w:szCs w:val="16"/>
              </w:rPr>
            </w:pPr>
            <w:r>
              <w:rPr>
                <w:rFonts w:ascii="Arial" w:eastAsia="Arial Unicode MS" w:hAnsi="Arial" w:cs="Arial"/>
                <w:sz w:val="16"/>
                <w:szCs w:val="16"/>
              </w:rPr>
              <w:t>7,5</w:t>
            </w:r>
          </w:p>
        </w:tc>
        <w:tc>
          <w:tcPr>
            <w:tcW w:w="0" w:type="auto"/>
            <w:tcBorders>
              <w:top w:val="single" w:sz="8" w:space="0" w:color="auto"/>
              <w:left w:val="single" w:sz="8" w:space="0" w:color="auto"/>
              <w:bottom w:val="single" w:sz="8" w:space="0" w:color="auto"/>
              <w:right w:val="single" w:sz="4" w:space="0" w:color="auto"/>
            </w:tcBorders>
            <w:noWrap/>
            <w:tcMar>
              <w:top w:w="15" w:type="dxa"/>
              <w:left w:w="15" w:type="dxa"/>
              <w:bottom w:w="0" w:type="dxa"/>
              <w:right w:w="15" w:type="dxa"/>
            </w:tcMar>
            <w:vAlign w:val="bottom"/>
          </w:tcPr>
          <w:p w:rsidR="00895F51" w:rsidRDefault="00895F51" w:rsidP="002366CB">
            <w:pPr>
              <w:jc w:val="center"/>
              <w:rPr>
                <w:rFonts w:ascii="Arial" w:eastAsia="Arial Unicode MS" w:hAnsi="Arial" w:cs="Arial"/>
                <w:sz w:val="16"/>
                <w:szCs w:val="16"/>
              </w:rPr>
            </w:pPr>
            <w:r>
              <w:rPr>
                <w:rFonts w:ascii="Arial" w:eastAsia="Arial Unicode MS" w:hAnsi="Arial" w:cs="Arial"/>
                <w:sz w:val="16"/>
                <w:szCs w:val="16"/>
              </w:rPr>
              <w:t>97,0</w:t>
            </w:r>
          </w:p>
        </w:tc>
        <w:tc>
          <w:tcPr>
            <w:tcW w:w="0" w:type="auto"/>
            <w:gridSpan w:val="2"/>
            <w:tcBorders>
              <w:top w:val="single" w:sz="8" w:space="0" w:color="auto"/>
              <w:left w:val="nil"/>
              <w:bottom w:val="single" w:sz="8" w:space="0" w:color="auto"/>
              <w:right w:val="nil"/>
            </w:tcBorders>
            <w:noWrap/>
            <w:tcMar>
              <w:top w:w="15" w:type="dxa"/>
              <w:left w:w="15" w:type="dxa"/>
              <w:bottom w:w="0" w:type="dxa"/>
              <w:right w:w="15" w:type="dxa"/>
            </w:tcMar>
            <w:vAlign w:val="bottom"/>
          </w:tcPr>
          <w:p w:rsidR="00895F51" w:rsidRDefault="00895F51" w:rsidP="002366CB">
            <w:pPr>
              <w:jc w:val="center"/>
              <w:rPr>
                <w:rFonts w:ascii="Arial" w:eastAsia="Arial Unicode MS" w:hAnsi="Arial" w:cs="Arial"/>
                <w:sz w:val="16"/>
                <w:szCs w:val="16"/>
              </w:rPr>
            </w:pPr>
            <w:r>
              <w:rPr>
                <w:rFonts w:ascii="Arial" w:eastAsia="Arial Unicode MS" w:hAnsi="Arial" w:cs="Arial"/>
                <w:sz w:val="16"/>
                <w:szCs w:val="16"/>
              </w:rPr>
              <w:t>110,0</w:t>
            </w:r>
          </w:p>
        </w:tc>
        <w:tc>
          <w:tcPr>
            <w:tcW w:w="1020" w:type="dxa"/>
            <w:tcBorders>
              <w:top w:val="single" w:sz="8" w:space="0" w:color="auto"/>
              <w:left w:val="single" w:sz="4" w:space="0" w:color="auto"/>
              <w:bottom w:val="single" w:sz="8" w:space="0" w:color="auto"/>
              <w:right w:val="single" w:sz="12" w:space="0" w:color="auto"/>
            </w:tcBorders>
            <w:noWrap/>
            <w:tcMar>
              <w:top w:w="15" w:type="dxa"/>
              <w:left w:w="15" w:type="dxa"/>
              <w:bottom w:w="0" w:type="dxa"/>
              <w:right w:w="15" w:type="dxa"/>
            </w:tcMar>
            <w:vAlign w:val="bottom"/>
          </w:tcPr>
          <w:p w:rsidR="00895F51" w:rsidRDefault="00895F51" w:rsidP="002366CB">
            <w:pPr>
              <w:jc w:val="center"/>
              <w:rPr>
                <w:rFonts w:ascii="Arial" w:eastAsia="Arial Unicode MS" w:hAnsi="Arial" w:cs="Arial"/>
                <w:sz w:val="16"/>
                <w:szCs w:val="16"/>
              </w:rPr>
            </w:pPr>
            <w:r>
              <w:rPr>
                <w:rFonts w:ascii="Arial" w:eastAsia="Arial Unicode MS" w:hAnsi="Arial" w:cs="Arial"/>
                <w:sz w:val="16"/>
                <w:szCs w:val="16"/>
              </w:rPr>
              <w:t>99,2</w:t>
            </w:r>
          </w:p>
        </w:tc>
      </w:tr>
      <w:tr w:rsidR="00895F51" w:rsidTr="00F928BA">
        <w:trPr>
          <w:trHeight w:val="225"/>
        </w:trPr>
        <w:tc>
          <w:tcPr>
            <w:tcW w:w="0" w:type="auto"/>
            <w:tcBorders>
              <w:left w:val="single" w:sz="12" w:space="0" w:color="auto"/>
              <w:right w:val="single" w:sz="12" w:space="0" w:color="auto"/>
            </w:tcBorders>
            <w:noWrap/>
            <w:tcMar>
              <w:top w:w="15" w:type="dxa"/>
              <w:left w:w="15" w:type="dxa"/>
              <w:bottom w:w="0" w:type="dxa"/>
              <w:right w:w="15" w:type="dxa"/>
            </w:tcMar>
            <w:vAlign w:val="bottom"/>
          </w:tcPr>
          <w:p w:rsidR="00895F51" w:rsidRDefault="00895F51" w:rsidP="002366CB">
            <w:pPr>
              <w:jc w:val="center"/>
              <w:rPr>
                <w:rFonts w:ascii="Arial" w:hAnsi="Arial"/>
                <w:b/>
                <w:bCs/>
                <w:sz w:val="16"/>
                <w:szCs w:val="16"/>
              </w:rPr>
            </w:pPr>
          </w:p>
        </w:tc>
        <w:tc>
          <w:tcPr>
            <w:tcW w:w="0" w:type="auto"/>
            <w:tcBorders>
              <w:top w:val="single" w:sz="8" w:space="0" w:color="auto"/>
              <w:left w:val="single" w:sz="12" w:space="0" w:color="auto"/>
              <w:bottom w:val="single" w:sz="8" w:space="0" w:color="auto"/>
              <w:right w:val="single" w:sz="4" w:space="0" w:color="auto"/>
            </w:tcBorders>
            <w:noWrap/>
            <w:tcMar>
              <w:top w:w="15" w:type="dxa"/>
              <w:left w:w="15" w:type="dxa"/>
              <w:bottom w:w="0" w:type="dxa"/>
              <w:right w:w="15" w:type="dxa"/>
            </w:tcMar>
            <w:vAlign w:val="bottom"/>
          </w:tcPr>
          <w:p w:rsidR="00895F51" w:rsidRDefault="00895F51" w:rsidP="002366CB">
            <w:pPr>
              <w:jc w:val="center"/>
              <w:rPr>
                <w:rFonts w:ascii="Arial" w:hAnsi="Arial"/>
                <w:b/>
                <w:bCs/>
                <w:sz w:val="16"/>
                <w:szCs w:val="16"/>
              </w:rPr>
            </w:pPr>
            <w:r>
              <w:rPr>
                <w:rFonts w:ascii="Arial" w:hAnsi="Arial"/>
                <w:b/>
                <w:bCs/>
                <w:sz w:val="16"/>
                <w:szCs w:val="16"/>
              </w:rPr>
              <w:t>2</w:t>
            </w:r>
          </w:p>
        </w:tc>
        <w:tc>
          <w:tcPr>
            <w:tcW w:w="0" w:type="auto"/>
            <w:tcBorders>
              <w:top w:val="single" w:sz="8" w:space="0" w:color="auto"/>
              <w:left w:val="single" w:sz="8" w:space="0" w:color="auto"/>
              <w:bottom w:val="single" w:sz="8" w:space="0" w:color="auto"/>
              <w:right w:val="single" w:sz="4" w:space="0" w:color="auto"/>
            </w:tcBorders>
            <w:noWrap/>
            <w:tcMar>
              <w:top w:w="15" w:type="dxa"/>
              <w:left w:w="15" w:type="dxa"/>
              <w:bottom w:w="0" w:type="dxa"/>
              <w:right w:w="15" w:type="dxa"/>
            </w:tcMar>
            <w:vAlign w:val="bottom"/>
          </w:tcPr>
          <w:p w:rsidR="00895F51" w:rsidRDefault="00895F51" w:rsidP="002366CB">
            <w:pPr>
              <w:jc w:val="center"/>
              <w:rPr>
                <w:rFonts w:ascii="Arial" w:eastAsia="Arial Unicode MS" w:hAnsi="Arial" w:cs="Arial"/>
                <w:sz w:val="16"/>
                <w:szCs w:val="16"/>
              </w:rPr>
            </w:pPr>
            <w:r>
              <w:rPr>
                <w:rFonts w:ascii="Arial" w:eastAsia="Arial Unicode MS" w:hAnsi="Arial" w:cs="Arial"/>
                <w:sz w:val="16"/>
                <w:szCs w:val="16"/>
              </w:rPr>
              <w:t>3,7</w:t>
            </w:r>
          </w:p>
        </w:tc>
        <w:tc>
          <w:tcPr>
            <w:tcW w:w="0" w:type="auto"/>
            <w:tcBorders>
              <w:top w:val="single" w:sz="8" w:space="0" w:color="auto"/>
              <w:left w:val="nil"/>
              <w:bottom w:val="single" w:sz="8" w:space="0" w:color="auto"/>
              <w:right w:val="single" w:sz="4" w:space="0" w:color="auto"/>
            </w:tcBorders>
            <w:noWrap/>
            <w:tcMar>
              <w:top w:w="15" w:type="dxa"/>
              <w:left w:w="15" w:type="dxa"/>
              <w:bottom w:w="0" w:type="dxa"/>
              <w:right w:w="15" w:type="dxa"/>
            </w:tcMar>
            <w:vAlign w:val="bottom"/>
          </w:tcPr>
          <w:p w:rsidR="00895F51" w:rsidRDefault="00895F51" w:rsidP="002366CB">
            <w:pPr>
              <w:jc w:val="center"/>
              <w:rPr>
                <w:rFonts w:ascii="Arial" w:eastAsia="Arial Unicode MS" w:hAnsi="Arial" w:cs="Arial"/>
                <w:sz w:val="16"/>
                <w:szCs w:val="16"/>
              </w:rPr>
            </w:pPr>
            <w:r>
              <w:rPr>
                <w:rFonts w:ascii="Arial" w:eastAsia="Arial Unicode MS" w:hAnsi="Arial" w:cs="Arial"/>
                <w:sz w:val="16"/>
                <w:szCs w:val="16"/>
              </w:rPr>
              <w:t>-22,5</w:t>
            </w:r>
          </w:p>
        </w:tc>
        <w:tc>
          <w:tcPr>
            <w:tcW w:w="0" w:type="auto"/>
            <w:tcBorders>
              <w:top w:val="single" w:sz="8" w:space="0" w:color="auto"/>
              <w:left w:val="nil"/>
              <w:bottom w:val="single" w:sz="8" w:space="0" w:color="auto"/>
              <w:right w:val="single" w:sz="4" w:space="0" w:color="auto"/>
            </w:tcBorders>
            <w:noWrap/>
            <w:tcMar>
              <w:top w:w="15" w:type="dxa"/>
              <w:left w:w="15" w:type="dxa"/>
              <w:bottom w:w="0" w:type="dxa"/>
              <w:right w:w="15" w:type="dxa"/>
            </w:tcMar>
            <w:vAlign w:val="bottom"/>
          </w:tcPr>
          <w:p w:rsidR="00895F51" w:rsidRDefault="00895F51" w:rsidP="002366CB">
            <w:pPr>
              <w:jc w:val="center"/>
              <w:rPr>
                <w:rFonts w:ascii="Arial" w:eastAsia="Arial Unicode MS" w:hAnsi="Arial" w:cs="Arial"/>
                <w:sz w:val="16"/>
                <w:szCs w:val="16"/>
              </w:rPr>
            </w:pPr>
            <w:r>
              <w:rPr>
                <w:rFonts w:ascii="Arial" w:eastAsia="Arial Unicode MS" w:hAnsi="Arial" w:cs="Arial"/>
                <w:sz w:val="16"/>
                <w:szCs w:val="16"/>
              </w:rPr>
              <w:t>24,3</w:t>
            </w:r>
          </w:p>
        </w:tc>
        <w:tc>
          <w:tcPr>
            <w:tcW w:w="0" w:type="auto"/>
            <w:tcBorders>
              <w:top w:val="single" w:sz="8" w:space="0" w:color="auto"/>
              <w:left w:val="nil"/>
              <w:bottom w:val="single" w:sz="8" w:space="0" w:color="auto"/>
              <w:right w:val="nil"/>
            </w:tcBorders>
            <w:noWrap/>
            <w:tcMar>
              <w:top w:w="15" w:type="dxa"/>
              <w:left w:w="15" w:type="dxa"/>
              <w:bottom w:w="0" w:type="dxa"/>
              <w:right w:w="15" w:type="dxa"/>
            </w:tcMar>
            <w:vAlign w:val="bottom"/>
          </w:tcPr>
          <w:p w:rsidR="00895F51" w:rsidRDefault="00895F51" w:rsidP="002366CB">
            <w:pPr>
              <w:jc w:val="center"/>
              <w:rPr>
                <w:rFonts w:ascii="Arial" w:eastAsia="Arial Unicode MS" w:hAnsi="Arial" w:cs="Arial"/>
                <w:sz w:val="16"/>
                <w:szCs w:val="16"/>
              </w:rPr>
            </w:pPr>
            <w:r>
              <w:rPr>
                <w:rFonts w:ascii="Arial" w:eastAsia="Arial Unicode MS" w:hAnsi="Arial" w:cs="Arial"/>
                <w:sz w:val="16"/>
                <w:szCs w:val="16"/>
              </w:rPr>
              <w:t>35,3</w:t>
            </w:r>
          </w:p>
        </w:tc>
        <w:tc>
          <w:tcPr>
            <w:tcW w:w="0" w:type="auto"/>
            <w:tcBorders>
              <w:top w:val="single" w:sz="8"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rsidR="00895F51" w:rsidRDefault="00895F51" w:rsidP="002366CB">
            <w:pPr>
              <w:jc w:val="center"/>
              <w:rPr>
                <w:rFonts w:ascii="Arial" w:eastAsia="Arial Unicode MS" w:hAnsi="Arial" w:cs="Arial"/>
                <w:sz w:val="16"/>
                <w:szCs w:val="16"/>
              </w:rPr>
            </w:pPr>
            <w:r>
              <w:rPr>
                <w:rFonts w:ascii="Arial" w:eastAsia="Arial Unicode MS" w:hAnsi="Arial" w:cs="Arial"/>
                <w:sz w:val="16"/>
                <w:szCs w:val="16"/>
              </w:rPr>
              <w:t>5,8</w:t>
            </w:r>
          </w:p>
        </w:tc>
        <w:tc>
          <w:tcPr>
            <w:tcW w:w="0" w:type="auto"/>
            <w:tcBorders>
              <w:top w:val="single" w:sz="8" w:space="0" w:color="auto"/>
              <w:left w:val="single" w:sz="8" w:space="0" w:color="auto"/>
              <w:bottom w:val="single" w:sz="8" w:space="0" w:color="auto"/>
              <w:right w:val="single" w:sz="4" w:space="0" w:color="auto"/>
            </w:tcBorders>
            <w:noWrap/>
            <w:tcMar>
              <w:top w:w="15" w:type="dxa"/>
              <w:left w:w="15" w:type="dxa"/>
              <w:bottom w:w="0" w:type="dxa"/>
              <w:right w:w="15" w:type="dxa"/>
            </w:tcMar>
            <w:vAlign w:val="bottom"/>
          </w:tcPr>
          <w:p w:rsidR="00895F51" w:rsidRDefault="00895F51" w:rsidP="002366CB">
            <w:pPr>
              <w:jc w:val="center"/>
              <w:rPr>
                <w:rFonts w:ascii="Arial" w:eastAsia="Arial Unicode MS" w:hAnsi="Arial" w:cs="Arial"/>
                <w:sz w:val="16"/>
                <w:szCs w:val="16"/>
              </w:rPr>
            </w:pPr>
            <w:r>
              <w:rPr>
                <w:rFonts w:ascii="Arial" w:eastAsia="Arial Unicode MS" w:hAnsi="Arial" w:cs="Arial"/>
                <w:sz w:val="16"/>
                <w:szCs w:val="16"/>
              </w:rPr>
              <w:t>95,9</w:t>
            </w:r>
          </w:p>
        </w:tc>
        <w:tc>
          <w:tcPr>
            <w:tcW w:w="0" w:type="auto"/>
            <w:gridSpan w:val="2"/>
            <w:tcBorders>
              <w:top w:val="single" w:sz="8" w:space="0" w:color="auto"/>
              <w:left w:val="nil"/>
              <w:bottom w:val="single" w:sz="8" w:space="0" w:color="auto"/>
              <w:right w:val="nil"/>
            </w:tcBorders>
            <w:noWrap/>
            <w:tcMar>
              <w:top w:w="15" w:type="dxa"/>
              <w:left w:w="15" w:type="dxa"/>
              <w:bottom w:w="0" w:type="dxa"/>
              <w:right w:w="15" w:type="dxa"/>
            </w:tcMar>
            <w:vAlign w:val="bottom"/>
          </w:tcPr>
          <w:p w:rsidR="00895F51" w:rsidRDefault="00895F51" w:rsidP="002366CB">
            <w:pPr>
              <w:jc w:val="center"/>
              <w:rPr>
                <w:rFonts w:ascii="Arial" w:eastAsia="Arial Unicode MS" w:hAnsi="Arial" w:cs="Arial"/>
                <w:sz w:val="16"/>
                <w:szCs w:val="16"/>
              </w:rPr>
            </w:pPr>
            <w:r>
              <w:rPr>
                <w:rFonts w:ascii="Arial" w:eastAsia="Arial Unicode MS" w:hAnsi="Arial" w:cs="Arial"/>
                <w:sz w:val="16"/>
                <w:szCs w:val="16"/>
              </w:rPr>
              <w:t>108,2</w:t>
            </w:r>
          </w:p>
        </w:tc>
        <w:tc>
          <w:tcPr>
            <w:tcW w:w="1020" w:type="dxa"/>
            <w:tcBorders>
              <w:top w:val="single" w:sz="8" w:space="0" w:color="auto"/>
              <w:left w:val="single" w:sz="4" w:space="0" w:color="auto"/>
              <w:bottom w:val="single" w:sz="8" w:space="0" w:color="auto"/>
              <w:right w:val="single" w:sz="12" w:space="0" w:color="auto"/>
            </w:tcBorders>
            <w:noWrap/>
            <w:tcMar>
              <w:top w:w="15" w:type="dxa"/>
              <w:left w:w="15" w:type="dxa"/>
              <w:bottom w:w="0" w:type="dxa"/>
              <w:right w:w="15" w:type="dxa"/>
            </w:tcMar>
            <w:vAlign w:val="bottom"/>
          </w:tcPr>
          <w:p w:rsidR="00895F51" w:rsidRDefault="00895F51" w:rsidP="002366CB">
            <w:pPr>
              <w:jc w:val="center"/>
              <w:rPr>
                <w:rFonts w:ascii="Arial" w:eastAsia="Arial Unicode MS" w:hAnsi="Arial" w:cs="Arial"/>
                <w:sz w:val="16"/>
                <w:szCs w:val="16"/>
              </w:rPr>
            </w:pPr>
            <w:r>
              <w:rPr>
                <w:rFonts w:ascii="Arial" w:eastAsia="Arial Unicode MS" w:hAnsi="Arial" w:cs="Arial"/>
                <w:sz w:val="16"/>
                <w:szCs w:val="16"/>
              </w:rPr>
              <w:t>98,0</w:t>
            </w:r>
          </w:p>
        </w:tc>
      </w:tr>
      <w:tr w:rsidR="00F928BA" w:rsidTr="00E34BE6">
        <w:trPr>
          <w:trHeight w:val="225"/>
        </w:trPr>
        <w:tc>
          <w:tcPr>
            <w:tcW w:w="0" w:type="auto"/>
            <w:tcBorders>
              <w:left w:val="single" w:sz="12" w:space="0" w:color="auto"/>
              <w:right w:val="single" w:sz="12" w:space="0" w:color="auto"/>
            </w:tcBorders>
            <w:noWrap/>
            <w:tcMar>
              <w:top w:w="15" w:type="dxa"/>
              <w:left w:w="15" w:type="dxa"/>
              <w:bottom w:w="0" w:type="dxa"/>
              <w:right w:w="15" w:type="dxa"/>
            </w:tcMar>
            <w:vAlign w:val="bottom"/>
          </w:tcPr>
          <w:p w:rsidR="00F928BA" w:rsidRDefault="00F928BA" w:rsidP="002366CB">
            <w:pPr>
              <w:jc w:val="center"/>
              <w:rPr>
                <w:rFonts w:ascii="Arial" w:hAnsi="Arial"/>
                <w:b/>
                <w:bCs/>
                <w:sz w:val="16"/>
                <w:szCs w:val="16"/>
              </w:rPr>
            </w:pPr>
          </w:p>
        </w:tc>
        <w:tc>
          <w:tcPr>
            <w:tcW w:w="0" w:type="auto"/>
            <w:tcBorders>
              <w:top w:val="single" w:sz="8" w:space="0" w:color="auto"/>
              <w:left w:val="single" w:sz="12" w:space="0" w:color="auto"/>
              <w:bottom w:val="single" w:sz="8" w:space="0" w:color="auto"/>
              <w:right w:val="single" w:sz="4" w:space="0" w:color="auto"/>
            </w:tcBorders>
            <w:noWrap/>
            <w:tcMar>
              <w:top w:w="15" w:type="dxa"/>
              <w:left w:w="15" w:type="dxa"/>
              <w:bottom w:w="0" w:type="dxa"/>
              <w:right w:w="15" w:type="dxa"/>
            </w:tcMar>
            <w:vAlign w:val="bottom"/>
          </w:tcPr>
          <w:p w:rsidR="00F928BA" w:rsidRDefault="00F928BA" w:rsidP="000050D7">
            <w:pPr>
              <w:jc w:val="center"/>
              <w:rPr>
                <w:rFonts w:ascii="Arial" w:hAnsi="Arial"/>
                <w:b/>
                <w:bCs/>
                <w:sz w:val="16"/>
                <w:szCs w:val="16"/>
              </w:rPr>
            </w:pPr>
            <w:r>
              <w:rPr>
                <w:rFonts w:ascii="Arial" w:hAnsi="Arial"/>
                <w:b/>
                <w:bCs/>
                <w:sz w:val="16"/>
                <w:szCs w:val="16"/>
              </w:rPr>
              <w:t>3</w:t>
            </w:r>
          </w:p>
        </w:tc>
        <w:tc>
          <w:tcPr>
            <w:tcW w:w="0" w:type="auto"/>
            <w:tcBorders>
              <w:top w:val="single" w:sz="8" w:space="0" w:color="auto"/>
              <w:left w:val="single" w:sz="8" w:space="0" w:color="auto"/>
              <w:bottom w:val="single" w:sz="8" w:space="0" w:color="auto"/>
              <w:right w:val="single" w:sz="4" w:space="0" w:color="auto"/>
            </w:tcBorders>
            <w:noWrap/>
            <w:tcMar>
              <w:top w:w="15" w:type="dxa"/>
              <w:left w:w="15" w:type="dxa"/>
              <w:bottom w:w="0" w:type="dxa"/>
              <w:right w:w="15" w:type="dxa"/>
            </w:tcMar>
            <w:vAlign w:val="bottom"/>
          </w:tcPr>
          <w:p w:rsidR="00F928BA" w:rsidRDefault="00F928BA" w:rsidP="000050D7">
            <w:pPr>
              <w:jc w:val="center"/>
              <w:rPr>
                <w:rFonts w:ascii="Arial" w:eastAsia="Arial Unicode MS" w:hAnsi="Arial" w:cs="Arial"/>
                <w:sz w:val="16"/>
                <w:szCs w:val="16"/>
              </w:rPr>
            </w:pPr>
            <w:r>
              <w:rPr>
                <w:rFonts w:ascii="Arial" w:eastAsia="Arial Unicode MS" w:hAnsi="Arial" w:cs="Arial"/>
                <w:sz w:val="16"/>
                <w:szCs w:val="16"/>
              </w:rPr>
              <w:t>1,0</w:t>
            </w:r>
          </w:p>
        </w:tc>
        <w:tc>
          <w:tcPr>
            <w:tcW w:w="0" w:type="auto"/>
            <w:tcBorders>
              <w:top w:val="single" w:sz="8" w:space="0" w:color="auto"/>
              <w:left w:val="nil"/>
              <w:bottom w:val="single" w:sz="8" w:space="0" w:color="auto"/>
              <w:right w:val="single" w:sz="4" w:space="0" w:color="auto"/>
            </w:tcBorders>
            <w:noWrap/>
            <w:tcMar>
              <w:top w:w="15" w:type="dxa"/>
              <w:left w:w="15" w:type="dxa"/>
              <w:bottom w:w="0" w:type="dxa"/>
              <w:right w:w="15" w:type="dxa"/>
            </w:tcMar>
            <w:vAlign w:val="bottom"/>
          </w:tcPr>
          <w:p w:rsidR="00F928BA" w:rsidRDefault="00F928BA" w:rsidP="000050D7">
            <w:pPr>
              <w:jc w:val="center"/>
              <w:rPr>
                <w:rFonts w:ascii="Arial" w:eastAsia="Arial Unicode MS" w:hAnsi="Arial" w:cs="Arial"/>
                <w:sz w:val="16"/>
                <w:szCs w:val="16"/>
              </w:rPr>
            </w:pPr>
            <w:r>
              <w:rPr>
                <w:rFonts w:ascii="Arial" w:eastAsia="Arial Unicode MS" w:hAnsi="Arial" w:cs="Arial"/>
                <w:sz w:val="16"/>
                <w:szCs w:val="16"/>
              </w:rPr>
              <w:t>-24,0</w:t>
            </w:r>
          </w:p>
        </w:tc>
        <w:tc>
          <w:tcPr>
            <w:tcW w:w="0" w:type="auto"/>
            <w:tcBorders>
              <w:top w:val="single" w:sz="8" w:space="0" w:color="auto"/>
              <w:left w:val="nil"/>
              <w:bottom w:val="single" w:sz="8" w:space="0" w:color="auto"/>
              <w:right w:val="single" w:sz="4" w:space="0" w:color="auto"/>
            </w:tcBorders>
            <w:noWrap/>
            <w:tcMar>
              <w:top w:w="15" w:type="dxa"/>
              <w:left w:w="15" w:type="dxa"/>
              <w:bottom w:w="0" w:type="dxa"/>
              <w:right w:w="15" w:type="dxa"/>
            </w:tcMar>
            <w:vAlign w:val="bottom"/>
          </w:tcPr>
          <w:p w:rsidR="00F928BA" w:rsidRDefault="00F928BA" w:rsidP="000050D7">
            <w:pPr>
              <w:jc w:val="center"/>
              <w:rPr>
                <w:rFonts w:ascii="Arial" w:eastAsia="Arial Unicode MS" w:hAnsi="Arial" w:cs="Arial"/>
                <w:sz w:val="16"/>
                <w:szCs w:val="16"/>
              </w:rPr>
            </w:pPr>
            <w:r>
              <w:rPr>
                <w:rFonts w:ascii="Arial" w:eastAsia="Arial Unicode MS" w:hAnsi="Arial" w:cs="Arial"/>
                <w:sz w:val="16"/>
                <w:szCs w:val="16"/>
              </w:rPr>
              <w:t>25,0</w:t>
            </w:r>
          </w:p>
        </w:tc>
        <w:tc>
          <w:tcPr>
            <w:tcW w:w="0" w:type="auto"/>
            <w:tcBorders>
              <w:top w:val="single" w:sz="8" w:space="0" w:color="auto"/>
              <w:left w:val="nil"/>
              <w:bottom w:val="single" w:sz="8" w:space="0" w:color="auto"/>
              <w:right w:val="nil"/>
            </w:tcBorders>
            <w:noWrap/>
            <w:tcMar>
              <w:top w:w="15" w:type="dxa"/>
              <w:left w:w="15" w:type="dxa"/>
              <w:bottom w:w="0" w:type="dxa"/>
              <w:right w:w="15" w:type="dxa"/>
            </w:tcMar>
            <w:vAlign w:val="bottom"/>
          </w:tcPr>
          <w:p w:rsidR="00F928BA" w:rsidRDefault="00F928BA" w:rsidP="000050D7">
            <w:pPr>
              <w:jc w:val="center"/>
              <w:rPr>
                <w:rFonts w:ascii="Arial" w:eastAsia="Arial Unicode MS" w:hAnsi="Arial" w:cs="Arial"/>
                <w:sz w:val="16"/>
                <w:szCs w:val="16"/>
              </w:rPr>
            </w:pPr>
            <w:r>
              <w:rPr>
                <w:rFonts w:ascii="Arial" w:eastAsia="Arial Unicode MS" w:hAnsi="Arial" w:cs="Arial"/>
                <w:sz w:val="16"/>
                <w:szCs w:val="16"/>
              </w:rPr>
              <w:t>33,3</w:t>
            </w:r>
          </w:p>
        </w:tc>
        <w:tc>
          <w:tcPr>
            <w:tcW w:w="0" w:type="auto"/>
            <w:tcBorders>
              <w:top w:val="single" w:sz="8"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rsidR="00F928BA" w:rsidRDefault="00F928BA" w:rsidP="000050D7">
            <w:pPr>
              <w:jc w:val="center"/>
              <w:rPr>
                <w:rFonts w:ascii="Arial" w:eastAsia="Arial Unicode MS" w:hAnsi="Arial" w:cs="Arial"/>
                <w:sz w:val="16"/>
                <w:szCs w:val="16"/>
              </w:rPr>
            </w:pPr>
            <w:r>
              <w:rPr>
                <w:rFonts w:ascii="Arial" w:eastAsia="Arial Unicode MS" w:hAnsi="Arial" w:cs="Arial"/>
                <w:sz w:val="16"/>
                <w:szCs w:val="16"/>
              </w:rPr>
              <w:t>6,3</w:t>
            </w:r>
          </w:p>
        </w:tc>
        <w:tc>
          <w:tcPr>
            <w:tcW w:w="0" w:type="auto"/>
            <w:tcBorders>
              <w:top w:val="single" w:sz="8" w:space="0" w:color="auto"/>
              <w:left w:val="single" w:sz="8" w:space="0" w:color="auto"/>
              <w:bottom w:val="single" w:sz="8" w:space="0" w:color="auto"/>
              <w:right w:val="single" w:sz="4" w:space="0" w:color="auto"/>
            </w:tcBorders>
            <w:noWrap/>
            <w:tcMar>
              <w:top w:w="15" w:type="dxa"/>
              <w:left w:w="15" w:type="dxa"/>
              <w:bottom w:w="0" w:type="dxa"/>
              <w:right w:w="15" w:type="dxa"/>
            </w:tcMar>
            <w:vAlign w:val="bottom"/>
          </w:tcPr>
          <w:p w:rsidR="00F928BA" w:rsidRDefault="00F928BA" w:rsidP="000050D7">
            <w:pPr>
              <w:jc w:val="center"/>
              <w:rPr>
                <w:rFonts w:ascii="Arial" w:eastAsia="Arial Unicode MS" w:hAnsi="Arial" w:cs="Arial"/>
                <w:sz w:val="16"/>
                <w:szCs w:val="16"/>
              </w:rPr>
            </w:pPr>
            <w:r>
              <w:rPr>
                <w:rFonts w:ascii="Arial" w:eastAsia="Arial Unicode MS" w:hAnsi="Arial" w:cs="Arial"/>
                <w:sz w:val="16"/>
                <w:szCs w:val="16"/>
              </w:rPr>
              <w:t>94,1</w:t>
            </w:r>
          </w:p>
        </w:tc>
        <w:tc>
          <w:tcPr>
            <w:tcW w:w="0" w:type="auto"/>
            <w:gridSpan w:val="2"/>
            <w:tcBorders>
              <w:top w:val="single" w:sz="8" w:space="0" w:color="auto"/>
              <w:left w:val="nil"/>
              <w:bottom w:val="single" w:sz="8" w:space="0" w:color="auto"/>
              <w:right w:val="nil"/>
            </w:tcBorders>
            <w:noWrap/>
            <w:tcMar>
              <w:top w:w="15" w:type="dxa"/>
              <w:left w:w="15" w:type="dxa"/>
              <w:bottom w:w="0" w:type="dxa"/>
              <w:right w:w="15" w:type="dxa"/>
            </w:tcMar>
            <w:vAlign w:val="bottom"/>
          </w:tcPr>
          <w:p w:rsidR="00F928BA" w:rsidRDefault="00F928BA" w:rsidP="000050D7">
            <w:pPr>
              <w:jc w:val="center"/>
              <w:rPr>
                <w:rFonts w:ascii="Arial" w:eastAsia="Arial Unicode MS" w:hAnsi="Arial" w:cs="Arial"/>
                <w:sz w:val="16"/>
                <w:szCs w:val="16"/>
              </w:rPr>
            </w:pPr>
            <w:r>
              <w:rPr>
                <w:rFonts w:ascii="Arial" w:eastAsia="Arial Unicode MS" w:hAnsi="Arial" w:cs="Arial"/>
                <w:sz w:val="16"/>
                <w:szCs w:val="16"/>
              </w:rPr>
              <w:t>108,7</w:t>
            </w:r>
          </w:p>
        </w:tc>
        <w:tc>
          <w:tcPr>
            <w:tcW w:w="1020" w:type="dxa"/>
            <w:tcBorders>
              <w:top w:val="single" w:sz="8" w:space="0" w:color="auto"/>
              <w:left w:val="single" w:sz="4" w:space="0" w:color="auto"/>
              <w:bottom w:val="single" w:sz="8" w:space="0" w:color="auto"/>
              <w:right w:val="single" w:sz="12" w:space="0" w:color="auto"/>
            </w:tcBorders>
            <w:noWrap/>
            <w:tcMar>
              <w:top w:w="15" w:type="dxa"/>
              <w:left w:w="15" w:type="dxa"/>
              <w:bottom w:w="0" w:type="dxa"/>
              <w:right w:w="15" w:type="dxa"/>
            </w:tcMar>
            <w:vAlign w:val="bottom"/>
          </w:tcPr>
          <w:p w:rsidR="00F928BA" w:rsidRDefault="00F928BA" w:rsidP="000050D7">
            <w:pPr>
              <w:jc w:val="center"/>
              <w:rPr>
                <w:rFonts w:ascii="Arial" w:eastAsia="Arial Unicode MS" w:hAnsi="Arial" w:cs="Arial"/>
                <w:sz w:val="16"/>
                <w:szCs w:val="16"/>
              </w:rPr>
            </w:pPr>
            <w:r>
              <w:rPr>
                <w:rFonts w:ascii="Arial" w:eastAsia="Arial Unicode MS" w:hAnsi="Arial" w:cs="Arial"/>
                <w:sz w:val="16"/>
                <w:szCs w:val="16"/>
              </w:rPr>
              <w:t>96,6</w:t>
            </w:r>
          </w:p>
        </w:tc>
      </w:tr>
      <w:tr w:rsidR="00E34BE6" w:rsidTr="00B17EE2">
        <w:trPr>
          <w:trHeight w:val="225"/>
        </w:trPr>
        <w:tc>
          <w:tcPr>
            <w:tcW w:w="0" w:type="auto"/>
            <w:tcBorders>
              <w:left w:val="single" w:sz="12" w:space="0" w:color="auto"/>
              <w:right w:val="single" w:sz="12" w:space="0" w:color="auto"/>
            </w:tcBorders>
            <w:noWrap/>
            <w:tcMar>
              <w:top w:w="15" w:type="dxa"/>
              <w:left w:w="15" w:type="dxa"/>
              <w:bottom w:w="0" w:type="dxa"/>
              <w:right w:w="15" w:type="dxa"/>
            </w:tcMar>
            <w:vAlign w:val="bottom"/>
          </w:tcPr>
          <w:p w:rsidR="00E34BE6" w:rsidRDefault="00E34BE6" w:rsidP="002366CB">
            <w:pPr>
              <w:jc w:val="center"/>
              <w:rPr>
                <w:rFonts w:ascii="Arial" w:hAnsi="Arial"/>
                <w:b/>
                <w:bCs/>
                <w:sz w:val="16"/>
                <w:szCs w:val="16"/>
              </w:rPr>
            </w:pPr>
          </w:p>
        </w:tc>
        <w:tc>
          <w:tcPr>
            <w:tcW w:w="0" w:type="auto"/>
            <w:tcBorders>
              <w:top w:val="single" w:sz="8" w:space="0" w:color="auto"/>
              <w:left w:val="single" w:sz="12" w:space="0" w:color="auto"/>
              <w:bottom w:val="single" w:sz="8" w:space="0" w:color="auto"/>
              <w:right w:val="single" w:sz="4" w:space="0" w:color="auto"/>
            </w:tcBorders>
            <w:noWrap/>
            <w:tcMar>
              <w:top w:w="15" w:type="dxa"/>
              <w:left w:w="15" w:type="dxa"/>
              <w:bottom w:w="0" w:type="dxa"/>
              <w:right w:w="15" w:type="dxa"/>
            </w:tcMar>
            <w:vAlign w:val="bottom"/>
          </w:tcPr>
          <w:p w:rsidR="00E34BE6" w:rsidRDefault="00E34BE6" w:rsidP="003A5110">
            <w:pPr>
              <w:jc w:val="center"/>
              <w:rPr>
                <w:rFonts w:ascii="Arial" w:hAnsi="Arial"/>
                <w:b/>
                <w:bCs/>
                <w:sz w:val="16"/>
                <w:szCs w:val="16"/>
              </w:rPr>
            </w:pPr>
            <w:r>
              <w:rPr>
                <w:rFonts w:ascii="Arial" w:hAnsi="Arial"/>
                <w:b/>
                <w:bCs/>
                <w:sz w:val="16"/>
                <w:szCs w:val="16"/>
              </w:rPr>
              <w:t>4</w:t>
            </w:r>
          </w:p>
        </w:tc>
        <w:tc>
          <w:tcPr>
            <w:tcW w:w="0" w:type="auto"/>
            <w:tcBorders>
              <w:top w:val="single" w:sz="8" w:space="0" w:color="auto"/>
              <w:left w:val="single" w:sz="8" w:space="0" w:color="auto"/>
              <w:bottom w:val="single" w:sz="8" w:space="0" w:color="auto"/>
              <w:right w:val="single" w:sz="4" w:space="0" w:color="auto"/>
            </w:tcBorders>
            <w:noWrap/>
            <w:tcMar>
              <w:top w:w="15" w:type="dxa"/>
              <w:left w:w="15" w:type="dxa"/>
              <w:bottom w:w="0" w:type="dxa"/>
              <w:right w:w="15" w:type="dxa"/>
            </w:tcMar>
            <w:vAlign w:val="bottom"/>
          </w:tcPr>
          <w:p w:rsidR="00E34BE6" w:rsidRDefault="00E34BE6" w:rsidP="003A5110">
            <w:pPr>
              <w:jc w:val="center"/>
              <w:rPr>
                <w:rFonts w:ascii="Arial" w:eastAsia="Arial Unicode MS" w:hAnsi="Arial" w:cs="Arial"/>
                <w:sz w:val="16"/>
                <w:szCs w:val="16"/>
              </w:rPr>
            </w:pPr>
            <w:r>
              <w:rPr>
                <w:rFonts w:ascii="Arial" w:eastAsia="Arial Unicode MS" w:hAnsi="Arial" w:cs="Arial"/>
                <w:sz w:val="16"/>
                <w:szCs w:val="16"/>
              </w:rPr>
              <w:t>0,7</w:t>
            </w:r>
          </w:p>
        </w:tc>
        <w:tc>
          <w:tcPr>
            <w:tcW w:w="0" w:type="auto"/>
            <w:tcBorders>
              <w:top w:val="single" w:sz="8" w:space="0" w:color="auto"/>
              <w:left w:val="nil"/>
              <w:bottom w:val="single" w:sz="8" w:space="0" w:color="auto"/>
              <w:right w:val="single" w:sz="4" w:space="0" w:color="auto"/>
            </w:tcBorders>
            <w:noWrap/>
            <w:tcMar>
              <w:top w:w="15" w:type="dxa"/>
              <w:left w:w="15" w:type="dxa"/>
              <w:bottom w:w="0" w:type="dxa"/>
              <w:right w:w="15" w:type="dxa"/>
            </w:tcMar>
            <w:vAlign w:val="bottom"/>
          </w:tcPr>
          <w:p w:rsidR="00E34BE6" w:rsidRDefault="00E34BE6" w:rsidP="003A5110">
            <w:pPr>
              <w:jc w:val="center"/>
              <w:rPr>
                <w:rFonts w:ascii="Arial" w:eastAsia="Arial Unicode MS" w:hAnsi="Arial" w:cs="Arial"/>
                <w:sz w:val="16"/>
                <w:szCs w:val="16"/>
              </w:rPr>
            </w:pPr>
            <w:r>
              <w:rPr>
                <w:rFonts w:ascii="Arial" w:eastAsia="Arial Unicode MS" w:hAnsi="Arial" w:cs="Arial"/>
                <w:sz w:val="16"/>
                <w:szCs w:val="16"/>
              </w:rPr>
              <w:t>-23,0</w:t>
            </w:r>
          </w:p>
        </w:tc>
        <w:tc>
          <w:tcPr>
            <w:tcW w:w="0" w:type="auto"/>
            <w:tcBorders>
              <w:top w:val="single" w:sz="8" w:space="0" w:color="auto"/>
              <w:left w:val="nil"/>
              <w:bottom w:val="single" w:sz="8" w:space="0" w:color="auto"/>
              <w:right w:val="single" w:sz="4" w:space="0" w:color="auto"/>
            </w:tcBorders>
            <w:noWrap/>
            <w:tcMar>
              <w:top w:w="15" w:type="dxa"/>
              <w:left w:w="15" w:type="dxa"/>
              <w:bottom w:w="0" w:type="dxa"/>
              <w:right w:w="15" w:type="dxa"/>
            </w:tcMar>
            <w:vAlign w:val="bottom"/>
          </w:tcPr>
          <w:p w:rsidR="00E34BE6" w:rsidRDefault="00E34BE6" w:rsidP="003A5110">
            <w:pPr>
              <w:jc w:val="center"/>
              <w:rPr>
                <w:rFonts w:ascii="Arial" w:eastAsia="Arial Unicode MS" w:hAnsi="Arial" w:cs="Arial"/>
                <w:sz w:val="16"/>
                <w:szCs w:val="16"/>
              </w:rPr>
            </w:pPr>
            <w:r>
              <w:rPr>
                <w:rFonts w:ascii="Arial" w:eastAsia="Arial Unicode MS" w:hAnsi="Arial" w:cs="Arial"/>
                <w:sz w:val="16"/>
                <w:szCs w:val="16"/>
              </w:rPr>
              <w:t>19,7</w:t>
            </w:r>
          </w:p>
        </w:tc>
        <w:tc>
          <w:tcPr>
            <w:tcW w:w="0" w:type="auto"/>
            <w:tcBorders>
              <w:top w:val="single" w:sz="8" w:space="0" w:color="auto"/>
              <w:left w:val="nil"/>
              <w:bottom w:val="single" w:sz="8" w:space="0" w:color="auto"/>
              <w:right w:val="nil"/>
            </w:tcBorders>
            <w:noWrap/>
            <w:tcMar>
              <w:top w:w="15" w:type="dxa"/>
              <w:left w:w="15" w:type="dxa"/>
              <w:bottom w:w="0" w:type="dxa"/>
              <w:right w:w="15" w:type="dxa"/>
            </w:tcMar>
            <w:vAlign w:val="bottom"/>
          </w:tcPr>
          <w:p w:rsidR="00E34BE6" w:rsidRDefault="00E34BE6" w:rsidP="003A5110">
            <w:pPr>
              <w:jc w:val="center"/>
              <w:rPr>
                <w:rFonts w:ascii="Arial" w:eastAsia="Arial Unicode MS" w:hAnsi="Arial" w:cs="Arial"/>
                <w:sz w:val="16"/>
                <w:szCs w:val="16"/>
              </w:rPr>
            </w:pPr>
            <w:r>
              <w:rPr>
                <w:rFonts w:ascii="Arial" w:eastAsia="Arial Unicode MS" w:hAnsi="Arial" w:cs="Arial"/>
                <w:sz w:val="16"/>
                <w:szCs w:val="16"/>
              </w:rPr>
              <w:t>37,7</w:t>
            </w:r>
          </w:p>
        </w:tc>
        <w:tc>
          <w:tcPr>
            <w:tcW w:w="0" w:type="auto"/>
            <w:tcBorders>
              <w:top w:val="single" w:sz="8"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rsidR="00E34BE6" w:rsidRDefault="009B2E8E" w:rsidP="003A5110">
            <w:pPr>
              <w:jc w:val="center"/>
              <w:rPr>
                <w:rFonts w:ascii="Arial" w:eastAsia="Arial Unicode MS" w:hAnsi="Arial" w:cs="Arial"/>
                <w:sz w:val="16"/>
                <w:szCs w:val="16"/>
              </w:rPr>
            </w:pPr>
            <w:r>
              <w:rPr>
                <w:rFonts w:ascii="Arial" w:eastAsia="Arial Unicode MS" w:hAnsi="Arial" w:cs="Arial"/>
                <w:sz w:val="16"/>
                <w:szCs w:val="16"/>
              </w:rPr>
              <w:t>6,0</w:t>
            </w:r>
          </w:p>
        </w:tc>
        <w:tc>
          <w:tcPr>
            <w:tcW w:w="0" w:type="auto"/>
            <w:tcBorders>
              <w:top w:val="single" w:sz="8" w:space="0" w:color="auto"/>
              <w:left w:val="single" w:sz="8" w:space="0" w:color="auto"/>
              <w:bottom w:val="single" w:sz="8" w:space="0" w:color="auto"/>
              <w:right w:val="single" w:sz="4" w:space="0" w:color="auto"/>
            </w:tcBorders>
            <w:noWrap/>
            <w:tcMar>
              <w:top w:w="15" w:type="dxa"/>
              <w:left w:w="15" w:type="dxa"/>
              <w:bottom w:w="0" w:type="dxa"/>
              <w:right w:w="15" w:type="dxa"/>
            </w:tcMar>
            <w:vAlign w:val="bottom"/>
          </w:tcPr>
          <w:p w:rsidR="00E34BE6" w:rsidRDefault="00E34BE6" w:rsidP="003A5110">
            <w:pPr>
              <w:jc w:val="center"/>
              <w:rPr>
                <w:rFonts w:ascii="Arial" w:eastAsia="Arial Unicode MS" w:hAnsi="Arial" w:cs="Arial"/>
                <w:sz w:val="16"/>
                <w:szCs w:val="16"/>
              </w:rPr>
            </w:pPr>
            <w:r>
              <w:rPr>
                <w:rFonts w:ascii="Arial" w:eastAsia="Arial Unicode MS" w:hAnsi="Arial" w:cs="Arial"/>
                <w:sz w:val="16"/>
                <w:szCs w:val="16"/>
              </w:rPr>
              <w:t>95,1</w:t>
            </w:r>
          </w:p>
        </w:tc>
        <w:tc>
          <w:tcPr>
            <w:tcW w:w="0" w:type="auto"/>
            <w:gridSpan w:val="2"/>
            <w:tcBorders>
              <w:top w:val="single" w:sz="8" w:space="0" w:color="auto"/>
              <w:left w:val="nil"/>
              <w:bottom w:val="single" w:sz="8" w:space="0" w:color="auto"/>
              <w:right w:val="nil"/>
            </w:tcBorders>
            <w:noWrap/>
            <w:tcMar>
              <w:top w:w="15" w:type="dxa"/>
              <w:left w:w="15" w:type="dxa"/>
              <w:bottom w:w="0" w:type="dxa"/>
              <w:right w:w="15" w:type="dxa"/>
            </w:tcMar>
            <w:vAlign w:val="bottom"/>
          </w:tcPr>
          <w:p w:rsidR="00E34BE6" w:rsidRDefault="00E34BE6" w:rsidP="003A5110">
            <w:pPr>
              <w:jc w:val="center"/>
              <w:rPr>
                <w:rFonts w:ascii="Arial" w:eastAsia="Arial Unicode MS" w:hAnsi="Arial" w:cs="Arial"/>
                <w:sz w:val="16"/>
                <w:szCs w:val="16"/>
              </w:rPr>
            </w:pPr>
            <w:r>
              <w:rPr>
                <w:rFonts w:ascii="Arial" w:eastAsia="Arial Unicode MS" w:hAnsi="Arial" w:cs="Arial"/>
                <w:sz w:val="16"/>
                <w:szCs w:val="16"/>
              </w:rPr>
              <w:t>108,4</w:t>
            </w:r>
          </w:p>
        </w:tc>
        <w:tc>
          <w:tcPr>
            <w:tcW w:w="1020" w:type="dxa"/>
            <w:tcBorders>
              <w:top w:val="single" w:sz="8" w:space="0" w:color="auto"/>
              <w:left w:val="single" w:sz="4" w:space="0" w:color="auto"/>
              <w:bottom w:val="single" w:sz="8" w:space="0" w:color="auto"/>
              <w:right w:val="single" w:sz="12" w:space="0" w:color="auto"/>
            </w:tcBorders>
            <w:noWrap/>
            <w:tcMar>
              <w:top w:w="15" w:type="dxa"/>
              <w:left w:w="15" w:type="dxa"/>
              <w:bottom w:w="0" w:type="dxa"/>
              <w:right w:w="15" w:type="dxa"/>
            </w:tcMar>
            <w:vAlign w:val="bottom"/>
          </w:tcPr>
          <w:p w:rsidR="00E34BE6" w:rsidRDefault="00E34BE6" w:rsidP="003A5110">
            <w:pPr>
              <w:jc w:val="center"/>
              <w:rPr>
                <w:rFonts w:ascii="Arial" w:eastAsia="Arial Unicode MS" w:hAnsi="Arial" w:cs="Arial"/>
                <w:sz w:val="16"/>
                <w:szCs w:val="16"/>
              </w:rPr>
            </w:pPr>
            <w:r>
              <w:rPr>
                <w:rFonts w:ascii="Arial" w:eastAsia="Arial Unicode MS" w:hAnsi="Arial" w:cs="Arial"/>
                <w:sz w:val="16"/>
                <w:szCs w:val="16"/>
              </w:rPr>
              <w:t>97,4</w:t>
            </w:r>
          </w:p>
        </w:tc>
      </w:tr>
      <w:tr w:rsidR="00B17EE2" w:rsidTr="009872F3">
        <w:trPr>
          <w:trHeight w:val="225"/>
        </w:trPr>
        <w:tc>
          <w:tcPr>
            <w:tcW w:w="0" w:type="auto"/>
            <w:tcBorders>
              <w:left w:val="single" w:sz="12" w:space="0" w:color="auto"/>
              <w:right w:val="single" w:sz="12" w:space="0" w:color="auto"/>
            </w:tcBorders>
            <w:noWrap/>
            <w:tcMar>
              <w:top w:w="15" w:type="dxa"/>
              <w:left w:w="15" w:type="dxa"/>
              <w:bottom w:w="0" w:type="dxa"/>
              <w:right w:w="15" w:type="dxa"/>
            </w:tcMar>
            <w:vAlign w:val="bottom"/>
          </w:tcPr>
          <w:p w:rsidR="00B17EE2" w:rsidRDefault="00B17EE2" w:rsidP="002366CB">
            <w:pPr>
              <w:jc w:val="center"/>
              <w:rPr>
                <w:rFonts w:ascii="Arial" w:hAnsi="Arial"/>
                <w:b/>
                <w:bCs/>
                <w:sz w:val="16"/>
                <w:szCs w:val="16"/>
              </w:rPr>
            </w:pPr>
          </w:p>
        </w:tc>
        <w:tc>
          <w:tcPr>
            <w:tcW w:w="0" w:type="auto"/>
            <w:tcBorders>
              <w:top w:val="single" w:sz="8" w:space="0" w:color="auto"/>
              <w:left w:val="single" w:sz="12" w:space="0" w:color="auto"/>
              <w:bottom w:val="single" w:sz="8" w:space="0" w:color="auto"/>
              <w:right w:val="single" w:sz="4" w:space="0" w:color="auto"/>
            </w:tcBorders>
            <w:noWrap/>
            <w:tcMar>
              <w:top w:w="15" w:type="dxa"/>
              <w:left w:w="15" w:type="dxa"/>
              <w:bottom w:w="0" w:type="dxa"/>
              <w:right w:w="15" w:type="dxa"/>
            </w:tcMar>
            <w:vAlign w:val="bottom"/>
          </w:tcPr>
          <w:p w:rsidR="00B17EE2" w:rsidRDefault="00B17EE2" w:rsidP="00482C1F">
            <w:pPr>
              <w:jc w:val="center"/>
              <w:rPr>
                <w:rFonts w:ascii="Arial" w:hAnsi="Arial"/>
                <w:b/>
                <w:bCs/>
                <w:sz w:val="16"/>
                <w:szCs w:val="16"/>
              </w:rPr>
            </w:pPr>
            <w:r>
              <w:rPr>
                <w:rFonts w:ascii="Arial" w:hAnsi="Arial"/>
                <w:b/>
                <w:bCs/>
                <w:sz w:val="16"/>
                <w:szCs w:val="16"/>
              </w:rPr>
              <w:t>5.</w:t>
            </w:r>
          </w:p>
        </w:tc>
        <w:tc>
          <w:tcPr>
            <w:tcW w:w="0" w:type="auto"/>
            <w:tcBorders>
              <w:top w:val="single" w:sz="8" w:space="0" w:color="auto"/>
              <w:left w:val="single" w:sz="8" w:space="0" w:color="auto"/>
              <w:bottom w:val="single" w:sz="8" w:space="0" w:color="auto"/>
              <w:right w:val="single" w:sz="4" w:space="0" w:color="auto"/>
            </w:tcBorders>
            <w:noWrap/>
            <w:tcMar>
              <w:top w:w="15" w:type="dxa"/>
              <w:left w:w="15" w:type="dxa"/>
              <w:bottom w:w="0" w:type="dxa"/>
              <w:right w:w="15" w:type="dxa"/>
            </w:tcMar>
            <w:vAlign w:val="bottom"/>
          </w:tcPr>
          <w:p w:rsidR="00B17EE2" w:rsidRDefault="00B17EE2" w:rsidP="00482C1F">
            <w:pPr>
              <w:jc w:val="center"/>
              <w:rPr>
                <w:rFonts w:ascii="Arial" w:eastAsia="Arial Unicode MS" w:hAnsi="Arial" w:cs="Arial"/>
                <w:sz w:val="16"/>
                <w:szCs w:val="16"/>
              </w:rPr>
            </w:pPr>
            <w:r>
              <w:rPr>
                <w:rFonts w:ascii="Arial" w:eastAsia="Arial Unicode MS" w:hAnsi="Arial" w:cs="Arial"/>
                <w:sz w:val="16"/>
                <w:szCs w:val="16"/>
              </w:rPr>
              <w:t>0,5</w:t>
            </w:r>
          </w:p>
        </w:tc>
        <w:tc>
          <w:tcPr>
            <w:tcW w:w="0" w:type="auto"/>
            <w:tcBorders>
              <w:top w:val="single" w:sz="8" w:space="0" w:color="auto"/>
              <w:left w:val="nil"/>
              <w:bottom w:val="single" w:sz="8" w:space="0" w:color="auto"/>
              <w:right w:val="single" w:sz="4" w:space="0" w:color="auto"/>
            </w:tcBorders>
            <w:noWrap/>
            <w:tcMar>
              <w:top w:w="15" w:type="dxa"/>
              <w:left w:w="15" w:type="dxa"/>
              <w:bottom w:w="0" w:type="dxa"/>
              <w:right w:w="15" w:type="dxa"/>
            </w:tcMar>
            <w:vAlign w:val="bottom"/>
          </w:tcPr>
          <w:p w:rsidR="00B17EE2" w:rsidRDefault="00B17EE2" w:rsidP="00482C1F">
            <w:pPr>
              <w:jc w:val="center"/>
              <w:rPr>
                <w:rFonts w:ascii="Arial" w:eastAsia="Arial Unicode MS" w:hAnsi="Arial" w:cs="Arial"/>
                <w:sz w:val="16"/>
                <w:szCs w:val="16"/>
              </w:rPr>
            </w:pPr>
            <w:r>
              <w:rPr>
                <w:rFonts w:ascii="Arial" w:eastAsia="Arial Unicode MS" w:hAnsi="Arial" w:cs="Arial"/>
                <w:sz w:val="16"/>
                <w:szCs w:val="16"/>
              </w:rPr>
              <w:t>-24,5</w:t>
            </w:r>
          </w:p>
        </w:tc>
        <w:tc>
          <w:tcPr>
            <w:tcW w:w="0" w:type="auto"/>
            <w:tcBorders>
              <w:top w:val="single" w:sz="8" w:space="0" w:color="auto"/>
              <w:left w:val="nil"/>
              <w:bottom w:val="single" w:sz="8" w:space="0" w:color="auto"/>
              <w:right w:val="single" w:sz="4" w:space="0" w:color="auto"/>
            </w:tcBorders>
            <w:noWrap/>
            <w:tcMar>
              <w:top w:w="15" w:type="dxa"/>
              <w:left w:w="15" w:type="dxa"/>
              <w:bottom w:w="0" w:type="dxa"/>
              <w:right w:w="15" w:type="dxa"/>
            </w:tcMar>
            <w:vAlign w:val="bottom"/>
          </w:tcPr>
          <w:p w:rsidR="00B17EE2" w:rsidRDefault="00B17EE2" w:rsidP="00482C1F">
            <w:pPr>
              <w:jc w:val="center"/>
              <w:rPr>
                <w:rFonts w:ascii="Arial" w:eastAsia="Arial Unicode MS" w:hAnsi="Arial" w:cs="Arial"/>
                <w:sz w:val="16"/>
                <w:szCs w:val="16"/>
              </w:rPr>
            </w:pPr>
            <w:r>
              <w:rPr>
                <w:rFonts w:ascii="Arial" w:eastAsia="Arial Unicode MS" w:hAnsi="Arial" w:cs="Arial"/>
                <w:sz w:val="16"/>
                <w:szCs w:val="16"/>
              </w:rPr>
              <w:t>17,3</w:t>
            </w:r>
          </w:p>
        </w:tc>
        <w:tc>
          <w:tcPr>
            <w:tcW w:w="0" w:type="auto"/>
            <w:tcBorders>
              <w:top w:val="single" w:sz="8" w:space="0" w:color="auto"/>
              <w:left w:val="nil"/>
              <w:bottom w:val="single" w:sz="8" w:space="0" w:color="auto"/>
              <w:right w:val="nil"/>
            </w:tcBorders>
            <w:noWrap/>
            <w:tcMar>
              <w:top w:w="15" w:type="dxa"/>
              <w:left w:w="15" w:type="dxa"/>
              <w:bottom w:w="0" w:type="dxa"/>
              <w:right w:w="15" w:type="dxa"/>
            </w:tcMar>
            <w:vAlign w:val="bottom"/>
          </w:tcPr>
          <w:p w:rsidR="00B17EE2" w:rsidRDefault="00B17EE2" w:rsidP="00482C1F">
            <w:pPr>
              <w:jc w:val="center"/>
              <w:rPr>
                <w:rFonts w:ascii="Arial" w:eastAsia="Arial Unicode MS" w:hAnsi="Arial" w:cs="Arial"/>
                <w:sz w:val="16"/>
                <w:szCs w:val="16"/>
              </w:rPr>
            </w:pPr>
            <w:r>
              <w:rPr>
                <w:rFonts w:ascii="Arial" w:eastAsia="Arial Unicode MS" w:hAnsi="Arial" w:cs="Arial"/>
                <w:sz w:val="16"/>
                <w:szCs w:val="16"/>
              </w:rPr>
              <w:t>37,7</w:t>
            </w:r>
          </w:p>
        </w:tc>
        <w:tc>
          <w:tcPr>
            <w:tcW w:w="0" w:type="auto"/>
            <w:tcBorders>
              <w:top w:val="single" w:sz="8"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rsidR="00B17EE2" w:rsidRDefault="00B17EE2" w:rsidP="00482C1F">
            <w:pPr>
              <w:jc w:val="center"/>
              <w:rPr>
                <w:rFonts w:ascii="Arial" w:eastAsia="Arial Unicode MS" w:hAnsi="Arial" w:cs="Arial"/>
                <w:sz w:val="16"/>
                <w:szCs w:val="16"/>
              </w:rPr>
            </w:pPr>
            <w:r>
              <w:rPr>
                <w:rFonts w:ascii="Arial" w:eastAsia="Arial Unicode MS" w:hAnsi="Arial" w:cs="Arial"/>
                <w:sz w:val="16"/>
                <w:szCs w:val="16"/>
              </w:rPr>
              <w:t>6,0</w:t>
            </w:r>
          </w:p>
        </w:tc>
        <w:tc>
          <w:tcPr>
            <w:tcW w:w="0" w:type="auto"/>
            <w:tcBorders>
              <w:top w:val="single" w:sz="8" w:space="0" w:color="auto"/>
              <w:left w:val="single" w:sz="8" w:space="0" w:color="auto"/>
              <w:bottom w:val="single" w:sz="8" w:space="0" w:color="auto"/>
              <w:right w:val="single" w:sz="4" w:space="0" w:color="auto"/>
            </w:tcBorders>
            <w:noWrap/>
            <w:tcMar>
              <w:top w:w="15" w:type="dxa"/>
              <w:left w:w="15" w:type="dxa"/>
              <w:bottom w:w="0" w:type="dxa"/>
              <w:right w:w="15" w:type="dxa"/>
            </w:tcMar>
            <w:vAlign w:val="bottom"/>
          </w:tcPr>
          <w:p w:rsidR="00B17EE2" w:rsidRDefault="00B17EE2" w:rsidP="00482C1F">
            <w:pPr>
              <w:jc w:val="center"/>
              <w:rPr>
                <w:rFonts w:ascii="Arial" w:eastAsia="Arial Unicode MS" w:hAnsi="Arial" w:cs="Arial"/>
                <w:sz w:val="16"/>
                <w:szCs w:val="16"/>
              </w:rPr>
            </w:pPr>
            <w:r>
              <w:rPr>
                <w:rFonts w:ascii="Arial" w:eastAsia="Arial Unicode MS" w:hAnsi="Arial" w:cs="Arial"/>
                <w:sz w:val="16"/>
                <w:szCs w:val="16"/>
              </w:rPr>
              <w:t>94,9</w:t>
            </w:r>
          </w:p>
        </w:tc>
        <w:tc>
          <w:tcPr>
            <w:tcW w:w="0" w:type="auto"/>
            <w:gridSpan w:val="2"/>
            <w:tcBorders>
              <w:top w:val="single" w:sz="8" w:space="0" w:color="auto"/>
              <w:left w:val="nil"/>
              <w:bottom w:val="single" w:sz="8" w:space="0" w:color="auto"/>
              <w:right w:val="nil"/>
            </w:tcBorders>
            <w:noWrap/>
            <w:tcMar>
              <w:top w:w="15" w:type="dxa"/>
              <w:left w:w="15" w:type="dxa"/>
              <w:bottom w:w="0" w:type="dxa"/>
              <w:right w:w="15" w:type="dxa"/>
            </w:tcMar>
            <w:vAlign w:val="bottom"/>
          </w:tcPr>
          <w:p w:rsidR="00B17EE2" w:rsidRDefault="00B17EE2" w:rsidP="00482C1F">
            <w:pPr>
              <w:jc w:val="center"/>
              <w:rPr>
                <w:rFonts w:ascii="Arial" w:eastAsia="Arial Unicode MS" w:hAnsi="Arial" w:cs="Arial"/>
                <w:sz w:val="16"/>
                <w:szCs w:val="16"/>
              </w:rPr>
            </w:pPr>
            <w:r>
              <w:rPr>
                <w:rFonts w:ascii="Arial" w:eastAsia="Arial Unicode MS" w:hAnsi="Arial" w:cs="Arial"/>
                <w:sz w:val="16"/>
                <w:szCs w:val="16"/>
              </w:rPr>
              <w:t>108,4</w:t>
            </w:r>
          </w:p>
        </w:tc>
        <w:tc>
          <w:tcPr>
            <w:tcW w:w="1020" w:type="dxa"/>
            <w:tcBorders>
              <w:top w:val="single" w:sz="8" w:space="0" w:color="auto"/>
              <w:left w:val="single" w:sz="4" w:space="0" w:color="auto"/>
              <w:bottom w:val="single" w:sz="8" w:space="0" w:color="auto"/>
              <w:right w:val="single" w:sz="12" w:space="0" w:color="auto"/>
            </w:tcBorders>
            <w:noWrap/>
            <w:tcMar>
              <w:top w:w="15" w:type="dxa"/>
              <w:left w:w="15" w:type="dxa"/>
              <w:bottom w:w="0" w:type="dxa"/>
              <w:right w:w="15" w:type="dxa"/>
            </w:tcMar>
            <w:vAlign w:val="bottom"/>
          </w:tcPr>
          <w:p w:rsidR="00B17EE2" w:rsidRDefault="00B17EE2" w:rsidP="00482C1F">
            <w:pPr>
              <w:jc w:val="center"/>
              <w:rPr>
                <w:rFonts w:ascii="Arial" w:eastAsia="Arial Unicode MS" w:hAnsi="Arial" w:cs="Arial"/>
                <w:sz w:val="16"/>
                <w:szCs w:val="16"/>
              </w:rPr>
            </w:pPr>
            <w:r>
              <w:rPr>
                <w:rFonts w:ascii="Arial" w:eastAsia="Arial Unicode MS" w:hAnsi="Arial" w:cs="Arial"/>
                <w:sz w:val="16"/>
                <w:szCs w:val="16"/>
              </w:rPr>
              <w:t>97,2</w:t>
            </w:r>
          </w:p>
        </w:tc>
      </w:tr>
      <w:tr w:rsidR="009872F3" w:rsidTr="00F928BA">
        <w:trPr>
          <w:trHeight w:val="225"/>
        </w:trPr>
        <w:tc>
          <w:tcPr>
            <w:tcW w:w="0" w:type="auto"/>
            <w:tcBorders>
              <w:left w:val="single" w:sz="12" w:space="0" w:color="auto"/>
              <w:bottom w:val="single" w:sz="12" w:space="0" w:color="auto"/>
              <w:right w:val="single" w:sz="12" w:space="0" w:color="auto"/>
            </w:tcBorders>
            <w:noWrap/>
            <w:tcMar>
              <w:top w:w="15" w:type="dxa"/>
              <w:left w:w="15" w:type="dxa"/>
              <w:bottom w:w="0" w:type="dxa"/>
              <w:right w:w="15" w:type="dxa"/>
            </w:tcMar>
            <w:vAlign w:val="bottom"/>
          </w:tcPr>
          <w:p w:rsidR="009872F3" w:rsidRDefault="009872F3" w:rsidP="002366CB">
            <w:pPr>
              <w:jc w:val="center"/>
              <w:rPr>
                <w:rFonts w:ascii="Arial" w:hAnsi="Arial"/>
                <w:b/>
                <w:bCs/>
                <w:sz w:val="16"/>
                <w:szCs w:val="16"/>
              </w:rPr>
            </w:pPr>
            <w:bookmarkStart w:id="0" w:name="_GoBack" w:colFirst="1" w:colLast="1"/>
          </w:p>
        </w:tc>
        <w:tc>
          <w:tcPr>
            <w:tcW w:w="0" w:type="auto"/>
            <w:tcBorders>
              <w:top w:val="single" w:sz="8" w:space="0" w:color="auto"/>
              <w:left w:val="single" w:sz="12" w:space="0" w:color="auto"/>
              <w:bottom w:val="single" w:sz="12" w:space="0" w:color="auto"/>
              <w:right w:val="single" w:sz="4" w:space="0" w:color="auto"/>
            </w:tcBorders>
            <w:noWrap/>
            <w:tcMar>
              <w:top w:w="15" w:type="dxa"/>
              <w:left w:w="15" w:type="dxa"/>
              <w:bottom w:w="0" w:type="dxa"/>
              <w:right w:w="15" w:type="dxa"/>
            </w:tcMar>
            <w:vAlign w:val="bottom"/>
          </w:tcPr>
          <w:p w:rsidR="009872F3" w:rsidRDefault="009872F3" w:rsidP="0066187C">
            <w:pPr>
              <w:jc w:val="center"/>
              <w:rPr>
                <w:rFonts w:ascii="Arial" w:hAnsi="Arial"/>
                <w:b/>
                <w:bCs/>
                <w:sz w:val="16"/>
                <w:szCs w:val="16"/>
              </w:rPr>
            </w:pPr>
            <w:r>
              <w:rPr>
                <w:rFonts w:ascii="Arial" w:hAnsi="Arial"/>
                <w:b/>
                <w:bCs/>
                <w:sz w:val="16"/>
                <w:szCs w:val="16"/>
              </w:rPr>
              <w:t>6.</w:t>
            </w:r>
          </w:p>
        </w:tc>
        <w:tc>
          <w:tcPr>
            <w:tcW w:w="0" w:type="auto"/>
            <w:tcBorders>
              <w:top w:val="single" w:sz="8" w:space="0" w:color="auto"/>
              <w:left w:val="single" w:sz="8" w:space="0" w:color="auto"/>
              <w:bottom w:val="single" w:sz="12" w:space="0" w:color="auto"/>
              <w:right w:val="single" w:sz="4" w:space="0" w:color="auto"/>
            </w:tcBorders>
            <w:noWrap/>
            <w:tcMar>
              <w:top w:w="15" w:type="dxa"/>
              <w:left w:w="15" w:type="dxa"/>
              <w:bottom w:w="0" w:type="dxa"/>
              <w:right w:w="15" w:type="dxa"/>
            </w:tcMar>
            <w:vAlign w:val="bottom"/>
          </w:tcPr>
          <w:p w:rsidR="009872F3" w:rsidRDefault="009872F3" w:rsidP="0066187C">
            <w:pPr>
              <w:jc w:val="center"/>
              <w:rPr>
                <w:rFonts w:ascii="Arial" w:eastAsia="Arial Unicode MS" w:hAnsi="Arial" w:cs="Arial"/>
                <w:sz w:val="16"/>
                <w:szCs w:val="16"/>
              </w:rPr>
            </w:pPr>
            <w:r>
              <w:rPr>
                <w:rFonts w:ascii="Arial" w:eastAsia="Arial Unicode MS" w:hAnsi="Arial" w:cs="Arial"/>
                <w:sz w:val="16"/>
                <w:szCs w:val="16"/>
              </w:rPr>
              <w:t>1,3</w:t>
            </w:r>
          </w:p>
        </w:tc>
        <w:tc>
          <w:tcPr>
            <w:tcW w:w="0" w:type="auto"/>
            <w:tcBorders>
              <w:top w:val="single" w:sz="8" w:space="0" w:color="auto"/>
              <w:left w:val="nil"/>
              <w:bottom w:val="single" w:sz="12" w:space="0" w:color="auto"/>
              <w:right w:val="single" w:sz="4" w:space="0" w:color="auto"/>
            </w:tcBorders>
            <w:noWrap/>
            <w:tcMar>
              <w:top w:w="15" w:type="dxa"/>
              <w:left w:w="15" w:type="dxa"/>
              <w:bottom w:w="0" w:type="dxa"/>
              <w:right w:w="15" w:type="dxa"/>
            </w:tcMar>
            <w:vAlign w:val="bottom"/>
          </w:tcPr>
          <w:p w:rsidR="009872F3" w:rsidRDefault="009872F3" w:rsidP="0066187C">
            <w:pPr>
              <w:jc w:val="center"/>
              <w:rPr>
                <w:rFonts w:ascii="Arial" w:eastAsia="Arial Unicode MS" w:hAnsi="Arial" w:cs="Arial"/>
                <w:sz w:val="16"/>
                <w:szCs w:val="16"/>
              </w:rPr>
            </w:pPr>
            <w:r>
              <w:rPr>
                <w:rFonts w:ascii="Arial" w:eastAsia="Arial Unicode MS" w:hAnsi="Arial" w:cs="Arial"/>
                <w:sz w:val="16"/>
                <w:szCs w:val="16"/>
              </w:rPr>
              <w:t>-20,5</w:t>
            </w:r>
          </w:p>
        </w:tc>
        <w:tc>
          <w:tcPr>
            <w:tcW w:w="0" w:type="auto"/>
            <w:tcBorders>
              <w:top w:val="single" w:sz="8" w:space="0" w:color="auto"/>
              <w:left w:val="nil"/>
              <w:bottom w:val="single" w:sz="12" w:space="0" w:color="auto"/>
              <w:right w:val="single" w:sz="4" w:space="0" w:color="auto"/>
            </w:tcBorders>
            <w:noWrap/>
            <w:tcMar>
              <w:top w:w="15" w:type="dxa"/>
              <w:left w:w="15" w:type="dxa"/>
              <w:bottom w:w="0" w:type="dxa"/>
              <w:right w:w="15" w:type="dxa"/>
            </w:tcMar>
            <w:vAlign w:val="bottom"/>
          </w:tcPr>
          <w:p w:rsidR="009872F3" w:rsidRDefault="009872F3" w:rsidP="0066187C">
            <w:pPr>
              <w:jc w:val="center"/>
              <w:rPr>
                <w:rFonts w:ascii="Arial" w:eastAsia="Arial Unicode MS" w:hAnsi="Arial" w:cs="Arial"/>
                <w:sz w:val="16"/>
                <w:szCs w:val="16"/>
              </w:rPr>
            </w:pPr>
            <w:r>
              <w:rPr>
                <w:rFonts w:ascii="Arial" w:eastAsia="Arial Unicode MS" w:hAnsi="Arial" w:cs="Arial"/>
                <w:sz w:val="16"/>
                <w:szCs w:val="16"/>
              </w:rPr>
              <w:t>19,7</w:t>
            </w:r>
          </w:p>
        </w:tc>
        <w:tc>
          <w:tcPr>
            <w:tcW w:w="0" w:type="auto"/>
            <w:tcBorders>
              <w:top w:val="single" w:sz="8" w:space="0" w:color="auto"/>
              <w:left w:val="nil"/>
              <w:bottom w:val="single" w:sz="12" w:space="0" w:color="auto"/>
              <w:right w:val="nil"/>
            </w:tcBorders>
            <w:noWrap/>
            <w:tcMar>
              <w:top w:w="15" w:type="dxa"/>
              <w:left w:w="15" w:type="dxa"/>
              <w:bottom w:w="0" w:type="dxa"/>
              <w:right w:w="15" w:type="dxa"/>
            </w:tcMar>
            <w:vAlign w:val="bottom"/>
          </w:tcPr>
          <w:p w:rsidR="009872F3" w:rsidRDefault="009872F3" w:rsidP="0066187C">
            <w:pPr>
              <w:jc w:val="center"/>
              <w:rPr>
                <w:rFonts w:ascii="Arial" w:eastAsia="Arial Unicode MS" w:hAnsi="Arial" w:cs="Arial"/>
                <w:sz w:val="16"/>
                <w:szCs w:val="16"/>
              </w:rPr>
            </w:pPr>
            <w:r>
              <w:rPr>
                <w:rFonts w:ascii="Arial" w:eastAsia="Arial Unicode MS" w:hAnsi="Arial" w:cs="Arial"/>
                <w:sz w:val="16"/>
                <w:szCs w:val="16"/>
              </w:rPr>
              <w:t>36,7</w:t>
            </w:r>
          </w:p>
        </w:tc>
        <w:tc>
          <w:tcPr>
            <w:tcW w:w="0" w:type="auto"/>
            <w:tcBorders>
              <w:top w:val="single" w:sz="8" w:space="0" w:color="auto"/>
              <w:left w:val="single" w:sz="4" w:space="0" w:color="auto"/>
              <w:bottom w:val="single" w:sz="12" w:space="0" w:color="auto"/>
              <w:right w:val="single" w:sz="4" w:space="0" w:color="auto"/>
            </w:tcBorders>
            <w:noWrap/>
            <w:tcMar>
              <w:top w:w="15" w:type="dxa"/>
              <w:left w:w="15" w:type="dxa"/>
              <w:bottom w:w="0" w:type="dxa"/>
              <w:right w:w="15" w:type="dxa"/>
            </w:tcMar>
            <w:vAlign w:val="bottom"/>
          </w:tcPr>
          <w:p w:rsidR="009872F3" w:rsidRDefault="009872F3" w:rsidP="0066187C">
            <w:pPr>
              <w:jc w:val="center"/>
              <w:rPr>
                <w:rFonts w:ascii="Arial" w:eastAsia="Arial Unicode MS" w:hAnsi="Arial" w:cs="Arial"/>
                <w:sz w:val="16"/>
                <w:szCs w:val="16"/>
              </w:rPr>
            </w:pPr>
            <w:r>
              <w:rPr>
                <w:rFonts w:ascii="Arial" w:eastAsia="Arial Unicode MS" w:hAnsi="Arial" w:cs="Arial"/>
                <w:sz w:val="16"/>
                <w:szCs w:val="16"/>
              </w:rPr>
              <w:t>3,8</w:t>
            </w:r>
          </w:p>
        </w:tc>
        <w:tc>
          <w:tcPr>
            <w:tcW w:w="0" w:type="auto"/>
            <w:tcBorders>
              <w:top w:val="single" w:sz="8" w:space="0" w:color="auto"/>
              <w:left w:val="single" w:sz="8" w:space="0" w:color="auto"/>
              <w:bottom w:val="single" w:sz="12" w:space="0" w:color="auto"/>
              <w:right w:val="single" w:sz="4" w:space="0" w:color="auto"/>
            </w:tcBorders>
            <w:noWrap/>
            <w:tcMar>
              <w:top w:w="15" w:type="dxa"/>
              <w:left w:w="15" w:type="dxa"/>
              <w:bottom w:w="0" w:type="dxa"/>
              <w:right w:w="15" w:type="dxa"/>
            </w:tcMar>
            <w:vAlign w:val="bottom"/>
          </w:tcPr>
          <w:p w:rsidR="009872F3" w:rsidRDefault="009872F3" w:rsidP="0066187C">
            <w:pPr>
              <w:jc w:val="center"/>
              <w:rPr>
                <w:rFonts w:ascii="Arial" w:eastAsia="Arial Unicode MS" w:hAnsi="Arial" w:cs="Arial"/>
                <w:sz w:val="16"/>
                <w:szCs w:val="16"/>
              </w:rPr>
            </w:pPr>
            <w:r>
              <w:rPr>
                <w:rFonts w:ascii="Arial" w:eastAsia="Arial Unicode MS" w:hAnsi="Arial" w:cs="Arial"/>
                <w:sz w:val="16"/>
                <w:szCs w:val="16"/>
              </w:rPr>
              <w:t>95,2</w:t>
            </w:r>
          </w:p>
        </w:tc>
        <w:tc>
          <w:tcPr>
            <w:tcW w:w="0" w:type="auto"/>
            <w:gridSpan w:val="2"/>
            <w:tcBorders>
              <w:top w:val="single" w:sz="8" w:space="0" w:color="auto"/>
              <w:left w:val="nil"/>
              <w:bottom w:val="single" w:sz="12" w:space="0" w:color="auto"/>
              <w:right w:val="nil"/>
            </w:tcBorders>
            <w:noWrap/>
            <w:tcMar>
              <w:top w:w="15" w:type="dxa"/>
              <w:left w:w="15" w:type="dxa"/>
              <w:bottom w:w="0" w:type="dxa"/>
              <w:right w:w="15" w:type="dxa"/>
            </w:tcMar>
            <w:vAlign w:val="bottom"/>
          </w:tcPr>
          <w:p w:rsidR="009872F3" w:rsidRDefault="009872F3" w:rsidP="0066187C">
            <w:pPr>
              <w:jc w:val="center"/>
              <w:rPr>
                <w:rFonts w:ascii="Arial" w:eastAsia="Arial Unicode MS" w:hAnsi="Arial" w:cs="Arial"/>
                <w:sz w:val="16"/>
                <w:szCs w:val="16"/>
              </w:rPr>
            </w:pPr>
            <w:r>
              <w:rPr>
                <w:rFonts w:ascii="Arial" w:eastAsia="Arial Unicode MS" w:hAnsi="Arial" w:cs="Arial"/>
                <w:sz w:val="16"/>
                <w:szCs w:val="16"/>
              </w:rPr>
              <w:t>106,2</w:t>
            </w:r>
          </w:p>
        </w:tc>
        <w:tc>
          <w:tcPr>
            <w:tcW w:w="1020" w:type="dxa"/>
            <w:tcBorders>
              <w:top w:val="single" w:sz="8" w:space="0" w:color="auto"/>
              <w:left w:val="single" w:sz="4" w:space="0" w:color="auto"/>
              <w:bottom w:val="single" w:sz="12" w:space="0" w:color="auto"/>
              <w:right w:val="single" w:sz="12" w:space="0" w:color="auto"/>
            </w:tcBorders>
            <w:noWrap/>
            <w:tcMar>
              <w:top w:w="15" w:type="dxa"/>
              <w:left w:w="15" w:type="dxa"/>
              <w:bottom w:w="0" w:type="dxa"/>
              <w:right w:w="15" w:type="dxa"/>
            </w:tcMar>
            <w:vAlign w:val="bottom"/>
          </w:tcPr>
          <w:p w:rsidR="009872F3" w:rsidRDefault="009872F3" w:rsidP="0066187C">
            <w:pPr>
              <w:jc w:val="center"/>
              <w:rPr>
                <w:rFonts w:ascii="Arial" w:eastAsia="Arial Unicode MS" w:hAnsi="Arial" w:cs="Arial"/>
                <w:sz w:val="16"/>
                <w:szCs w:val="16"/>
              </w:rPr>
            </w:pPr>
            <w:r>
              <w:rPr>
                <w:rFonts w:ascii="Arial" w:eastAsia="Arial Unicode MS" w:hAnsi="Arial" w:cs="Arial"/>
                <w:sz w:val="16"/>
                <w:szCs w:val="16"/>
              </w:rPr>
              <w:t>97,1</w:t>
            </w:r>
          </w:p>
        </w:tc>
      </w:tr>
      <w:bookmarkEnd w:id="0"/>
    </w:tbl>
    <w:p w:rsidR="0011338A" w:rsidRDefault="0011338A" w:rsidP="0011338A">
      <w:pPr>
        <w:pBdr>
          <w:top w:val="single" w:sz="4" w:space="1" w:color="auto"/>
        </w:pBdr>
        <w:jc w:val="both"/>
        <w:rPr>
          <w:rFonts w:ascii="Arial" w:hAnsi="Arial"/>
          <w:b/>
          <w:bCs/>
          <w:i/>
          <w:iCs/>
          <w:sz w:val="16"/>
          <w:szCs w:val="16"/>
          <w:vertAlign w:val="superscript"/>
        </w:rPr>
      </w:pPr>
    </w:p>
    <w:p w:rsidR="0011338A" w:rsidRDefault="0011338A" w:rsidP="0011338A">
      <w:pPr>
        <w:pBdr>
          <w:top w:val="single" w:sz="4" w:space="1" w:color="auto"/>
        </w:pBdr>
        <w:jc w:val="both"/>
        <w:rPr>
          <w:rFonts w:ascii="Arial" w:hAnsi="Arial"/>
          <w:b/>
          <w:bCs/>
          <w:i/>
          <w:iCs/>
          <w:sz w:val="16"/>
          <w:szCs w:val="16"/>
          <w:vertAlign w:val="superscript"/>
        </w:rPr>
      </w:pPr>
    </w:p>
    <w:p w:rsidR="0011338A" w:rsidRPr="00AB291D" w:rsidRDefault="0011338A" w:rsidP="0011338A">
      <w:pPr>
        <w:pBdr>
          <w:top w:val="single" w:sz="4" w:space="1" w:color="auto"/>
        </w:pBdr>
        <w:jc w:val="both"/>
        <w:rPr>
          <w:rFonts w:ascii="Arial" w:hAnsi="Arial"/>
          <w:i/>
          <w:iCs/>
          <w:sz w:val="16"/>
          <w:szCs w:val="16"/>
        </w:rPr>
      </w:pPr>
      <w:r>
        <w:rPr>
          <w:rFonts w:ascii="Arial" w:hAnsi="Arial"/>
          <w:b/>
          <w:bCs/>
          <w:i/>
          <w:iCs/>
          <w:sz w:val="16"/>
          <w:szCs w:val="16"/>
          <w:vertAlign w:val="superscript"/>
        </w:rPr>
        <w:t>1</w:t>
      </w:r>
      <w:r w:rsidRPr="00AB291D">
        <w:rPr>
          <w:rFonts w:ascii="Arial" w:hAnsi="Arial"/>
          <w:b/>
          <w:bCs/>
          <w:i/>
          <w:iCs/>
          <w:sz w:val="16"/>
          <w:szCs w:val="16"/>
          <w:vertAlign w:val="superscript"/>
        </w:rPr>
        <w:t xml:space="preserve">) </w:t>
      </w:r>
      <w:r w:rsidRPr="00AB291D">
        <w:rPr>
          <w:rFonts w:ascii="Arial" w:hAnsi="Arial"/>
          <w:i/>
          <w:iCs/>
          <w:sz w:val="16"/>
          <w:szCs w:val="16"/>
        </w:rPr>
        <w:t xml:space="preserve">Od května 2010 jsou výsledky v souladu s programem konjunkturálních průzkumů v EU zpracovávány a publikovány podle nové </w:t>
      </w:r>
      <w:r w:rsidRPr="00AB291D">
        <w:rPr>
          <w:rFonts w:ascii="Arial" w:hAnsi="Arial"/>
          <w:b/>
          <w:bCs/>
          <w:i/>
          <w:iCs/>
          <w:sz w:val="16"/>
          <w:szCs w:val="16"/>
        </w:rPr>
        <w:t>Klasifikace ekonomických činností CZ-NACE</w:t>
      </w:r>
      <w:r w:rsidRPr="00AB291D">
        <w:rPr>
          <w:rFonts w:ascii="Arial" w:hAnsi="Arial"/>
          <w:i/>
          <w:iCs/>
          <w:sz w:val="16"/>
          <w:szCs w:val="16"/>
        </w:rPr>
        <w:t xml:space="preserve"> (národní verze NACE Rev.2), která nahradila dříve používanou klasifikaci OKEČ (národní verze NACE Rev.1.1). Změny se týkají všech časových řad s výjimkou indikátoru spotřebitelské důvěry. Vyčerpávající informace o zavedení této klasifikace včetně převodníků jsou k dispozici na </w:t>
      </w:r>
      <w:hyperlink r:id="rId9" w:history="1">
        <w:hyperlink r:id="rId10" w:history="1">
          <w:r w:rsidRPr="00AB291D">
            <w:rPr>
              <w:rStyle w:val="Hypertextovodkaz"/>
              <w:i/>
              <w:iCs/>
              <w:sz w:val="16"/>
              <w:szCs w:val="16"/>
            </w:rPr>
            <w:t>http://www.czso.cz/csu/klasifik.nsf/i/klasifikace_ekonomickych_cinnosti_(cz_nace)</w:t>
          </w:r>
        </w:hyperlink>
        <w:r w:rsidRPr="00AB291D">
          <w:rPr>
            <w:rFonts w:ascii="Arial" w:hAnsi="Arial"/>
            <w:i/>
            <w:iCs/>
            <w:sz w:val="16"/>
            <w:szCs w:val="16"/>
          </w:rPr>
          <w:t xml:space="preserve">. </w:t>
        </w:r>
      </w:hyperlink>
      <w:r w:rsidRPr="00AB291D">
        <w:rPr>
          <w:rFonts w:ascii="Arial" w:hAnsi="Arial"/>
          <w:i/>
          <w:iCs/>
          <w:sz w:val="16"/>
          <w:szCs w:val="16"/>
        </w:rPr>
        <w:t xml:space="preserve">Celé časové řady jsou zpětně přepočítány, údaje jsou srovnatelné a jsou k dispozici na </w:t>
      </w:r>
      <w:hyperlink r:id="rId11" w:history="1">
        <w:r w:rsidRPr="00AB291D">
          <w:rPr>
            <w:rStyle w:val="Hypertextovodkaz"/>
            <w:i/>
            <w:iCs/>
            <w:sz w:val="16"/>
            <w:szCs w:val="16"/>
          </w:rPr>
          <w:t>http://czso.cz/csu/redakce.nsf/i/kpr_cr</w:t>
        </w:r>
      </w:hyperlink>
      <w:r w:rsidRPr="00AB291D">
        <w:rPr>
          <w:rFonts w:ascii="Arial" w:hAnsi="Arial"/>
          <w:i/>
          <w:iCs/>
          <w:sz w:val="16"/>
          <w:szCs w:val="16"/>
        </w:rPr>
        <w:t>.</w:t>
      </w:r>
    </w:p>
    <w:p w:rsidR="0011338A" w:rsidRPr="00AB291D" w:rsidRDefault="0011338A" w:rsidP="0011338A">
      <w:pPr>
        <w:pBdr>
          <w:top w:val="single" w:sz="4" w:space="1" w:color="auto"/>
        </w:pBdr>
        <w:jc w:val="both"/>
        <w:rPr>
          <w:rFonts w:ascii="Arial" w:hAnsi="Arial"/>
          <w:i/>
          <w:iCs/>
          <w:sz w:val="16"/>
          <w:szCs w:val="16"/>
        </w:rPr>
      </w:pPr>
      <w:r w:rsidRPr="00AB291D">
        <w:rPr>
          <w:rFonts w:ascii="Arial" w:hAnsi="Arial"/>
          <w:i/>
          <w:iCs/>
          <w:sz w:val="16"/>
          <w:szCs w:val="16"/>
        </w:rPr>
        <w:t xml:space="preserve">Od ledna 2009 je </w:t>
      </w:r>
      <w:r w:rsidRPr="00AB291D">
        <w:rPr>
          <w:rFonts w:ascii="Arial" w:hAnsi="Arial"/>
          <w:b/>
          <w:bCs/>
          <w:i/>
          <w:iCs/>
          <w:sz w:val="16"/>
          <w:szCs w:val="16"/>
        </w:rPr>
        <w:t>souhrnný indikátor důvěry</w:t>
      </w:r>
      <w:r w:rsidRPr="00AB291D">
        <w:rPr>
          <w:rFonts w:ascii="Arial" w:hAnsi="Arial"/>
          <w:i/>
          <w:iCs/>
          <w:sz w:val="16"/>
          <w:szCs w:val="16"/>
        </w:rPr>
        <w:t xml:space="preserve"> (indikátor ekonomického sentimentu) prezentován v souladu s metodiku EU jako vážený průměr sezónně očištěných indikátorů důvěry v průmyslu, stavebnictví, obchodě, ve vybraných odvětvích služeb a sezonně očištěného</w:t>
      </w:r>
      <w:r w:rsidRPr="00AB291D">
        <w:rPr>
          <w:rFonts w:ascii="Arial" w:hAnsi="Arial"/>
          <w:b/>
          <w:bCs/>
          <w:i/>
          <w:iCs/>
          <w:sz w:val="16"/>
          <w:szCs w:val="16"/>
        </w:rPr>
        <w:t xml:space="preserve"> indikátoru spotřebitelské důvěry</w:t>
      </w:r>
      <w:r w:rsidRPr="00AB291D">
        <w:rPr>
          <w:rFonts w:ascii="Arial" w:hAnsi="Arial"/>
          <w:i/>
          <w:iCs/>
          <w:sz w:val="16"/>
          <w:szCs w:val="16"/>
        </w:rPr>
        <w:t xml:space="preserve">. </w:t>
      </w:r>
      <w:r w:rsidRPr="00AB291D">
        <w:rPr>
          <w:rFonts w:ascii="Arial" w:hAnsi="Arial"/>
          <w:b/>
          <w:bCs/>
          <w:i/>
          <w:iCs/>
          <w:sz w:val="16"/>
          <w:szCs w:val="16"/>
        </w:rPr>
        <w:t>Souhrnný podnikatelský indikátor důvěry</w:t>
      </w:r>
      <w:r w:rsidRPr="00AB291D">
        <w:rPr>
          <w:rFonts w:ascii="Arial" w:hAnsi="Arial"/>
          <w:i/>
          <w:iCs/>
          <w:sz w:val="16"/>
          <w:szCs w:val="16"/>
        </w:rPr>
        <w:t xml:space="preserve"> je vážený průměr sezonně očištěných indikátorů důvěry v průmyslu, stavebnictví, obchodě a ve vybraných službách.</w:t>
      </w:r>
    </w:p>
    <w:p w:rsidR="0011338A" w:rsidRPr="00AB291D" w:rsidRDefault="0011338A" w:rsidP="0011338A">
      <w:pPr>
        <w:pBdr>
          <w:top w:val="single" w:sz="4" w:space="1" w:color="auto"/>
        </w:pBdr>
        <w:jc w:val="both"/>
        <w:rPr>
          <w:rFonts w:ascii="Arial" w:hAnsi="Arial"/>
          <w:i/>
          <w:iCs/>
          <w:sz w:val="16"/>
          <w:szCs w:val="16"/>
        </w:rPr>
      </w:pPr>
      <w:r w:rsidRPr="00AB291D">
        <w:rPr>
          <w:rFonts w:ascii="Arial" w:hAnsi="Arial"/>
          <w:i/>
          <w:iCs/>
          <w:sz w:val="16"/>
          <w:szCs w:val="16"/>
        </w:rPr>
        <w:t>Od ledna 2006 je</w:t>
      </w:r>
      <w:r w:rsidRPr="00AB291D">
        <w:rPr>
          <w:rFonts w:ascii="Arial" w:hAnsi="Arial"/>
          <w:b/>
          <w:bCs/>
          <w:i/>
          <w:iCs/>
          <w:sz w:val="16"/>
          <w:szCs w:val="16"/>
        </w:rPr>
        <w:t xml:space="preserve"> vzhledem k zahrnutí indikátoru důvěry ve vybraných odvětvích služeb používán nový váhový systém</w:t>
      </w:r>
      <w:r w:rsidRPr="00AB291D">
        <w:rPr>
          <w:rFonts w:ascii="Arial" w:hAnsi="Arial"/>
          <w:i/>
          <w:iCs/>
          <w:sz w:val="16"/>
          <w:szCs w:val="16"/>
        </w:rPr>
        <w:t>: indikátoru důvěry v průmyslu je přiřazena váha 40 %, ve stavebnictví a obchodě po 5  %, ve službách 30 % a spotřebitelskému indikátoru důvěry je přiřazena 20% váha. Indikátory jsou zobrazovány jako bazické indexy, bázi tvoří průměr roku 2005. Časové řady souhrnného a podnikatelského indikátoru jsou přepočítány novým váhovým systémem, a to zpětně až do května 2002 (počátek konjunkturálního šetření ve vybraných odvětvích služeb). Celé časové řady bazických indexů jsou pak přepočteny na průměr roku 2005; údaje jsou srovnatelné.</w:t>
      </w:r>
    </w:p>
    <w:p w:rsidR="0011338A" w:rsidRPr="00AB291D" w:rsidRDefault="0011338A" w:rsidP="0011338A">
      <w:pPr>
        <w:jc w:val="both"/>
        <w:rPr>
          <w:rFonts w:ascii="Arial" w:hAnsi="Arial"/>
          <w:b/>
          <w:bCs/>
          <w:i/>
          <w:iCs/>
          <w:sz w:val="16"/>
          <w:szCs w:val="16"/>
          <w:vertAlign w:val="superscript"/>
        </w:rPr>
      </w:pPr>
    </w:p>
    <w:p w:rsidR="0011338A" w:rsidRPr="00AB291D" w:rsidRDefault="0011338A" w:rsidP="0011338A">
      <w:pPr>
        <w:jc w:val="both"/>
        <w:rPr>
          <w:rFonts w:ascii="Arial" w:hAnsi="Arial"/>
          <w:i/>
          <w:iCs/>
          <w:sz w:val="16"/>
          <w:szCs w:val="16"/>
          <w:lang w:val="en-GB"/>
        </w:rPr>
      </w:pPr>
      <w:r w:rsidRPr="00AB291D">
        <w:rPr>
          <w:rFonts w:ascii="Arial" w:hAnsi="Arial"/>
          <w:b/>
          <w:bCs/>
          <w:i/>
          <w:iCs/>
          <w:sz w:val="16"/>
          <w:szCs w:val="16"/>
          <w:vertAlign w:val="superscript"/>
        </w:rPr>
        <w:t xml:space="preserve">1)  </w:t>
      </w:r>
      <w:r w:rsidRPr="00AB291D">
        <w:rPr>
          <w:rFonts w:ascii="Arial" w:hAnsi="Arial"/>
          <w:i/>
          <w:iCs/>
          <w:sz w:val="16"/>
          <w:szCs w:val="16"/>
          <w:lang w:val="en-GB"/>
        </w:rPr>
        <w:t xml:space="preserve">Since May 2010, the results are in compliance with the programme of business   and consumer surveys in the EU processed according to the new </w:t>
      </w:r>
      <w:r w:rsidRPr="00AB291D">
        <w:rPr>
          <w:rFonts w:ascii="Arial" w:hAnsi="Arial"/>
          <w:b/>
          <w:bCs/>
          <w:i/>
          <w:iCs/>
          <w:sz w:val="16"/>
          <w:szCs w:val="16"/>
          <w:lang w:val="en-GB"/>
        </w:rPr>
        <w:t>CZ-NACE classification</w:t>
      </w:r>
      <w:r w:rsidRPr="00AB291D">
        <w:rPr>
          <w:rFonts w:ascii="Arial" w:hAnsi="Arial"/>
          <w:i/>
          <w:iCs/>
          <w:sz w:val="16"/>
          <w:szCs w:val="16"/>
          <w:lang w:val="en-GB"/>
        </w:rPr>
        <w:t xml:space="preserve"> (national version of NACE Rev. 2), which replaced the former classification CZ-NACE (OKEČ, the national version of NACE Rev. 1.1). The changes apply to all data except the consumer confidence indicator. Exhaustive information on the introduction of this classification is available at: </w:t>
      </w:r>
      <w:hyperlink r:id="rId12" w:history="1">
        <w:r w:rsidRPr="00AB291D">
          <w:rPr>
            <w:rStyle w:val="Hypertextovodkaz"/>
            <w:i/>
            <w:iCs/>
            <w:sz w:val="16"/>
            <w:szCs w:val="16"/>
            <w:lang w:val="en-GB"/>
          </w:rPr>
          <w:t>http://www.czso.cz/csu/klasifik.nsf/i/klasifikace_ekonomickych_cinnosti_(cz_nace)</w:t>
        </w:r>
      </w:hyperlink>
      <w:r w:rsidRPr="00AB291D">
        <w:rPr>
          <w:rFonts w:ascii="Arial" w:hAnsi="Arial"/>
          <w:i/>
          <w:iCs/>
          <w:sz w:val="16"/>
          <w:szCs w:val="16"/>
          <w:lang w:val="en-GB"/>
        </w:rPr>
        <w:t xml:space="preserve">. The whole time series are recalculated back, data are comparable and available at </w:t>
      </w:r>
      <w:hyperlink r:id="rId13" w:history="1">
        <w:r w:rsidRPr="00AB291D">
          <w:rPr>
            <w:rStyle w:val="Hypertextovodkaz"/>
            <w:i/>
            <w:iCs/>
            <w:sz w:val="16"/>
            <w:szCs w:val="16"/>
            <w:lang w:val="en-GB"/>
          </w:rPr>
          <w:t>http://czso.cz/eng/redakce.nsf/i/kpr_ts</w:t>
        </w:r>
      </w:hyperlink>
      <w:r w:rsidRPr="00AB291D">
        <w:rPr>
          <w:rFonts w:ascii="Arial" w:hAnsi="Arial"/>
          <w:i/>
          <w:iCs/>
          <w:sz w:val="16"/>
          <w:szCs w:val="16"/>
          <w:lang w:val="en-GB"/>
        </w:rPr>
        <w:t>.</w:t>
      </w:r>
    </w:p>
    <w:p w:rsidR="0011338A" w:rsidRPr="00AB291D" w:rsidRDefault="0011338A" w:rsidP="0011338A">
      <w:pPr>
        <w:jc w:val="both"/>
        <w:rPr>
          <w:rFonts w:ascii="Arial" w:hAnsi="Arial"/>
          <w:i/>
          <w:iCs/>
          <w:sz w:val="16"/>
          <w:szCs w:val="16"/>
          <w:lang w:val="en-GB"/>
        </w:rPr>
      </w:pPr>
      <w:r w:rsidRPr="00AB291D">
        <w:rPr>
          <w:rFonts w:ascii="Arial" w:hAnsi="Arial"/>
          <w:i/>
          <w:iCs/>
          <w:sz w:val="16"/>
          <w:szCs w:val="16"/>
          <w:lang w:val="en-GB"/>
        </w:rPr>
        <w:t xml:space="preserve">Since January 2009, the </w:t>
      </w:r>
      <w:r w:rsidRPr="00AB291D">
        <w:rPr>
          <w:rFonts w:ascii="Arial" w:hAnsi="Arial"/>
          <w:b/>
          <w:bCs/>
          <w:i/>
          <w:iCs/>
          <w:sz w:val="16"/>
          <w:szCs w:val="16"/>
          <w:lang w:val="en-GB"/>
        </w:rPr>
        <w:t>composite confidence indicator</w:t>
      </w:r>
      <w:r w:rsidRPr="00AB291D">
        <w:rPr>
          <w:rFonts w:ascii="Arial" w:hAnsi="Arial"/>
          <w:i/>
          <w:iCs/>
          <w:sz w:val="16"/>
          <w:szCs w:val="16"/>
          <w:lang w:val="en-GB"/>
        </w:rPr>
        <w:t xml:space="preserve"> (economic sentiment indicator) is in compliance with the EU methodology presented as a weighted average of seasonally adjusted confidence indicators in industry, construction, trade, selected services and seasonally adjusted </w:t>
      </w:r>
      <w:r w:rsidRPr="00AB291D">
        <w:rPr>
          <w:rFonts w:ascii="Arial" w:hAnsi="Arial"/>
          <w:b/>
          <w:bCs/>
          <w:i/>
          <w:iCs/>
          <w:sz w:val="16"/>
          <w:szCs w:val="16"/>
          <w:lang w:val="en-GB"/>
        </w:rPr>
        <w:t>consumer confidence indicator</w:t>
      </w:r>
      <w:r w:rsidRPr="00AB291D">
        <w:rPr>
          <w:rFonts w:ascii="Arial" w:hAnsi="Arial"/>
          <w:i/>
          <w:iCs/>
          <w:sz w:val="16"/>
          <w:szCs w:val="16"/>
          <w:lang w:val="en-GB"/>
        </w:rPr>
        <w:t xml:space="preserve">. </w:t>
      </w:r>
      <w:r w:rsidRPr="00AB291D">
        <w:rPr>
          <w:rFonts w:ascii="Arial" w:hAnsi="Arial"/>
          <w:b/>
          <w:bCs/>
          <w:i/>
          <w:iCs/>
          <w:sz w:val="16"/>
          <w:szCs w:val="16"/>
          <w:lang w:val="en-GB"/>
        </w:rPr>
        <w:t>Composite business confidence indicator</w:t>
      </w:r>
      <w:r w:rsidRPr="00AB291D">
        <w:rPr>
          <w:rFonts w:ascii="Arial" w:hAnsi="Arial"/>
          <w:i/>
          <w:iCs/>
          <w:sz w:val="16"/>
          <w:szCs w:val="16"/>
          <w:lang w:val="en-GB"/>
        </w:rPr>
        <w:t xml:space="preserve"> is a weighted average of seasonally adjusted confidence indicators in industry, construction, trade and selected services. </w:t>
      </w:r>
    </w:p>
    <w:p w:rsidR="0011338A" w:rsidRPr="00AB291D" w:rsidRDefault="0011338A" w:rsidP="0011338A">
      <w:pPr>
        <w:jc w:val="both"/>
        <w:rPr>
          <w:rFonts w:ascii="Arial" w:hAnsi="Arial" w:cs="Arial"/>
          <w:sz w:val="16"/>
          <w:szCs w:val="16"/>
          <w:lang w:val="en-GB"/>
        </w:rPr>
      </w:pPr>
      <w:r w:rsidRPr="00AB291D">
        <w:rPr>
          <w:rFonts w:ascii="Arial" w:hAnsi="Arial" w:cs="Arial"/>
          <w:sz w:val="16"/>
          <w:szCs w:val="16"/>
          <w:lang w:val="en-GB"/>
        </w:rPr>
        <w:t>Since January 2006,</w:t>
      </w:r>
      <w:r w:rsidRPr="00AB291D">
        <w:rPr>
          <w:rFonts w:ascii="Arial" w:hAnsi="Arial" w:cs="Arial"/>
          <w:b/>
          <w:bCs/>
          <w:sz w:val="16"/>
          <w:szCs w:val="16"/>
          <w:lang w:val="en-GB"/>
        </w:rPr>
        <w:t xml:space="preserve"> due to the inclusion of confidence indicator in selected services, a new weighting system has been used</w:t>
      </w:r>
      <w:r w:rsidRPr="00AB291D">
        <w:rPr>
          <w:rFonts w:ascii="Arial" w:hAnsi="Arial" w:cs="Arial"/>
          <w:sz w:val="16"/>
          <w:szCs w:val="16"/>
          <w:lang w:val="en-GB"/>
        </w:rPr>
        <w:t>: confidence indicator in industry is assigned the weight of 40%, in construction and trade 5% each, in services 30%, and consumer confidence indicator is assigned the weight of 20%. Indicators are presented as basic indices, the base being the average of 2005. Time series of composite and business confidence indicator are recalculated, using the new weighting system – back to May 2002 (the beginning of the business cycle survey in selected services). The whole time series of base indices are then re-based to the average of 2005; the data are comparable.</w:t>
      </w:r>
    </w:p>
    <w:p w:rsidR="0011338A" w:rsidRDefault="0011338A" w:rsidP="0011338A">
      <w:pPr>
        <w:pStyle w:val="Podtitul"/>
        <w:tabs>
          <w:tab w:val="left" w:pos="600"/>
          <w:tab w:val="right" w:pos="9072"/>
        </w:tabs>
        <w:jc w:val="both"/>
        <w:rPr>
          <w:i w:val="0"/>
          <w:iCs w:val="0"/>
          <w:sz w:val="20"/>
          <w:szCs w:val="22"/>
        </w:rPr>
      </w:pPr>
    </w:p>
    <w:p w:rsidR="0011338A" w:rsidRPr="00F40984" w:rsidRDefault="0011338A" w:rsidP="0011338A">
      <w:pPr>
        <w:pStyle w:val="Podtitul"/>
        <w:tabs>
          <w:tab w:val="left" w:pos="600"/>
          <w:tab w:val="right" w:pos="9072"/>
        </w:tabs>
        <w:jc w:val="both"/>
        <w:rPr>
          <w:i w:val="0"/>
          <w:iCs w:val="0"/>
          <w:sz w:val="22"/>
          <w:szCs w:val="22"/>
        </w:rPr>
      </w:pPr>
      <w:r w:rsidRPr="00F40984">
        <w:rPr>
          <w:i w:val="0"/>
          <w:iCs w:val="0"/>
          <w:sz w:val="22"/>
          <w:szCs w:val="22"/>
        </w:rPr>
        <w:t>Navštivte také:  http://www.czso.cz/csu/produkty.nsf/podskupina?openform&amp;:</w:t>
      </w:r>
      <w:r>
        <w:rPr>
          <w:i w:val="0"/>
          <w:iCs w:val="0"/>
          <w:sz w:val="22"/>
          <w:szCs w:val="22"/>
        </w:rPr>
        <w:t>2017-</w:t>
      </w:r>
      <w:r w:rsidR="00A14CC4">
        <w:rPr>
          <w:i w:val="0"/>
          <w:iCs w:val="0"/>
          <w:sz w:val="22"/>
          <w:szCs w:val="22"/>
        </w:rPr>
        <w:t>03</w:t>
      </w:r>
    </w:p>
    <w:p w:rsidR="0011338A" w:rsidRPr="00913146" w:rsidRDefault="0011338A" w:rsidP="0011338A">
      <w:pPr>
        <w:pStyle w:val="Podtitul"/>
        <w:tabs>
          <w:tab w:val="left" w:pos="600"/>
          <w:tab w:val="right" w:pos="9072"/>
        </w:tabs>
        <w:jc w:val="both"/>
        <w:rPr>
          <w:i w:val="0"/>
          <w:iCs w:val="0"/>
          <w:sz w:val="20"/>
          <w:szCs w:val="22"/>
        </w:rPr>
      </w:pPr>
    </w:p>
    <w:p w:rsidR="00073B6C" w:rsidRPr="0011338A" w:rsidRDefault="0011338A" w:rsidP="0011338A">
      <w:pPr>
        <w:pStyle w:val="Podtitul"/>
        <w:tabs>
          <w:tab w:val="left" w:pos="600"/>
          <w:tab w:val="right" w:pos="9072"/>
        </w:tabs>
        <w:jc w:val="left"/>
      </w:pPr>
      <w:r w:rsidRPr="00672E7B">
        <w:rPr>
          <w:sz w:val="22"/>
          <w:szCs w:val="22"/>
          <w:lang w:val="en-US"/>
        </w:rPr>
        <w:t>See also:</w:t>
      </w:r>
      <w:r w:rsidRPr="00672E7B">
        <w:rPr>
          <w:sz w:val="22"/>
          <w:szCs w:val="22"/>
        </w:rPr>
        <w:t xml:space="preserve"> http://www.czso.cz/csu/produkty.nsf/engpodskupina?openform&amp;:201</w:t>
      </w:r>
      <w:r>
        <w:rPr>
          <w:sz w:val="22"/>
          <w:szCs w:val="22"/>
        </w:rPr>
        <w:t>7-</w:t>
      </w:r>
      <w:r w:rsidR="00A14CC4">
        <w:rPr>
          <w:sz w:val="22"/>
          <w:szCs w:val="22"/>
        </w:rPr>
        <w:t>03</w:t>
      </w:r>
    </w:p>
    <w:sectPr w:rsidR="00073B6C" w:rsidRPr="0011338A">
      <w:footerReference w:type="even" r:id="rId14"/>
      <w:footerReference w:type="default" r:id="rId15"/>
      <w:pgSz w:w="11906" w:h="16838"/>
      <w:pgMar w:top="1417" w:right="1417" w:bottom="1417" w:left="1417" w:header="708" w:footer="708" w:gutter="0"/>
      <w:pgNumType w:start="1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44A0" w:rsidRDefault="00BF44A0">
      <w:r>
        <w:separator/>
      </w:r>
    </w:p>
  </w:endnote>
  <w:endnote w:type="continuationSeparator" w:id="0">
    <w:p w:rsidR="00BF44A0" w:rsidRDefault="00BF4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E oby_ejné">
    <w:panose1 w:val="00000000000000000000"/>
    <w:charset w:val="EE"/>
    <w:family w:val="roman"/>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E6C" w:rsidRDefault="00F80E6C">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F80E6C" w:rsidRDefault="00F80E6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E6C" w:rsidRDefault="00F80E6C">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9872F3">
      <w:rPr>
        <w:rStyle w:val="slostrnky"/>
        <w:noProof/>
      </w:rPr>
      <w:t>14</w:t>
    </w:r>
    <w:r>
      <w:rPr>
        <w:rStyle w:val="slostrnky"/>
      </w:rPr>
      <w:fldChar w:fldCharType="end"/>
    </w:r>
  </w:p>
  <w:p w:rsidR="00F80E6C" w:rsidRDefault="00F80E6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44A0" w:rsidRDefault="00BF44A0">
      <w:r>
        <w:separator/>
      </w:r>
    </w:p>
  </w:footnote>
  <w:footnote w:type="continuationSeparator" w:id="0">
    <w:p w:rsidR="00BF44A0" w:rsidRDefault="00BF44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A7542"/>
    <w:multiLevelType w:val="hybridMultilevel"/>
    <w:tmpl w:val="6D689736"/>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0AD71082"/>
    <w:multiLevelType w:val="hybridMultilevel"/>
    <w:tmpl w:val="205606BA"/>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192D7CA7"/>
    <w:multiLevelType w:val="hybridMultilevel"/>
    <w:tmpl w:val="27A68B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1822A41"/>
    <w:multiLevelType w:val="hybridMultilevel"/>
    <w:tmpl w:val="57ACF064"/>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3008671B"/>
    <w:multiLevelType w:val="hybridMultilevel"/>
    <w:tmpl w:val="ACBE5F7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3BD941C9"/>
    <w:multiLevelType w:val="hybridMultilevel"/>
    <w:tmpl w:val="4920C1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3CD754EC"/>
    <w:multiLevelType w:val="hybridMultilevel"/>
    <w:tmpl w:val="66949704"/>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4DB72F9C"/>
    <w:multiLevelType w:val="hybridMultilevel"/>
    <w:tmpl w:val="3CF4C916"/>
    <w:lvl w:ilvl="0" w:tplc="04050001">
      <w:start w:val="1"/>
      <w:numFmt w:val="bullet"/>
      <w:lvlText w:val=""/>
      <w:lvlJc w:val="left"/>
      <w:pPr>
        <w:ind w:left="10346" w:hanging="360"/>
      </w:pPr>
      <w:rPr>
        <w:rFonts w:ascii="Symbol" w:hAnsi="Symbol" w:hint="default"/>
      </w:rPr>
    </w:lvl>
    <w:lvl w:ilvl="1" w:tplc="04050003" w:tentative="1">
      <w:start w:val="1"/>
      <w:numFmt w:val="bullet"/>
      <w:lvlText w:val="o"/>
      <w:lvlJc w:val="left"/>
      <w:pPr>
        <w:ind w:left="11066" w:hanging="360"/>
      </w:pPr>
      <w:rPr>
        <w:rFonts w:ascii="Courier New" w:hAnsi="Courier New" w:cs="Courier New" w:hint="default"/>
      </w:rPr>
    </w:lvl>
    <w:lvl w:ilvl="2" w:tplc="04050005" w:tentative="1">
      <w:start w:val="1"/>
      <w:numFmt w:val="bullet"/>
      <w:lvlText w:val=""/>
      <w:lvlJc w:val="left"/>
      <w:pPr>
        <w:ind w:left="11786" w:hanging="360"/>
      </w:pPr>
      <w:rPr>
        <w:rFonts w:ascii="Wingdings" w:hAnsi="Wingdings" w:hint="default"/>
      </w:rPr>
    </w:lvl>
    <w:lvl w:ilvl="3" w:tplc="04050001" w:tentative="1">
      <w:start w:val="1"/>
      <w:numFmt w:val="bullet"/>
      <w:lvlText w:val=""/>
      <w:lvlJc w:val="left"/>
      <w:pPr>
        <w:ind w:left="12506" w:hanging="360"/>
      </w:pPr>
      <w:rPr>
        <w:rFonts w:ascii="Symbol" w:hAnsi="Symbol" w:hint="default"/>
      </w:rPr>
    </w:lvl>
    <w:lvl w:ilvl="4" w:tplc="04050003" w:tentative="1">
      <w:start w:val="1"/>
      <w:numFmt w:val="bullet"/>
      <w:lvlText w:val="o"/>
      <w:lvlJc w:val="left"/>
      <w:pPr>
        <w:ind w:left="13226" w:hanging="360"/>
      </w:pPr>
      <w:rPr>
        <w:rFonts w:ascii="Courier New" w:hAnsi="Courier New" w:cs="Courier New" w:hint="default"/>
      </w:rPr>
    </w:lvl>
    <w:lvl w:ilvl="5" w:tplc="04050005" w:tentative="1">
      <w:start w:val="1"/>
      <w:numFmt w:val="bullet"/>
      <w:lvlText w:val=""/>
      <w:lvlJc w:val="left"/>
      <w:pPr>
        <w:ind w:left="13946" w:hanging="360"/>
      </w:pPr>
      <w:rPr>
        <w:rFonts w:ascii="Wingdings" w:hAnsi="Wingdings" w:hint="default"/>
      </w:rPr>
    </w:lvl>
    <w:lvl w:ilvl="6" w:tplc="04050001" w:tentative="1">
      <w:start w:val="1"/>
      <w:numFmt w:val="bullet"/>
      <w:lvlText w:val=""/>
      <w:lvlJc w:val="left"/>
      <w:pPr>
        <w:ind w:left="14666" w:hanging="360"/>
      </w:pPr>
      <w:rPr>
        <w:rFonts w:ascii="Symbol" w:hAnsi="Symbol" w:hint="default"/>
      </w:rPr>
    </w:lvl>
    <w:lvl w:ilvl="7" w:tplc="04050003" w:tentative="1">
      <w:start w:val="1"/>
      <w:numFmt w:val="bullet"/>
      <w:lvlText w:val="o"/>
      <w:lvlJc w:val="left"/>
      <w:pPr>
        <w:ind w:left="15386" w:hanging="360"/>
      </w:pPr>
      <w:rPr>
        <w:rFonts w:ascii="Courier New" w:hAnsi="Courier New" w:cs="Courier New" w:hint="default"/>
      </w:rPr>
    </w:lvl>
    <w:lvl w:ilvl="8" w:tplc="04050005" w:tentative="1">
      <w:start w:val="1"/>
      <w:numFmt w:val="bullet"/>
      <w:lvlText w:val=""/>
      <w:lvlJc w:val="left"/>
      <w:pPr>
        <w:ind w:left="16106" w:hanging="360"/>
      </w:pPr>
      <w:rPr>
        <w:rFonts w:ascii="Wingdings" w:hAnsi="Wingdings" w:hint="default"/>
      </w:rPr>
    </w:lvl>
  </w:abstractNum>
  <w:abstractNum w:abstractNumId="8">
    <w:nsid w:val="5AB17D57"/>
    <w:multiLevelType w:val="hybridMultilevel"/>
    <w:tmpl w:val="D112513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5D3B5B97"/>
    <w:multiLevelType w:val="hybridMultilevel"/>
    <w:tmpl w:val="C794EDE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11532BD"/>
    <w:multiLevelType w:val="hybridMultilevel"/>
    <w:tmpl w:val="6EC291C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63811461"/>
    <w:multiLevelType w:val="hybridMultilevel"/>
    <w:tmpl w:val="23A26AD6"/>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67C7788F"/>
    <w:multiLevelType w:val="hybridMultilevel"/>
    <w:tmpl w:val="C692734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6A9B027E"/>
    <w:multiLevelType w:val="hybridMultilevel"/>
    <w:tmpl w:val="5D96A41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6D07024C"/>
    <w:multiLevelType w:val="hybridMultilevel"/>
    <w:tmpl w:val="264EDA9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703905AB"/>
    <w:multiLevelType w:val="hybridMultilevel"/>
    <w:tmpl w:val="B628B3A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15"/>
  </w:num>
  <w:num w:numId="4">
    <w:abstractNumId w:val="10"/>
  </w:num>
  <w:num w:numId="5">
    <w:abstractNumId w:val="14"/>
  </w:num>
  <w:num w:numId="6">
    <w:abstractNumId w:val="8"/>
  </w:num>
  <w:num w:numId="7">
    <w:abstractNumId w:val="11"/>
  </w:num>
  <w:num w:numId="8">
    <w:abstractNumId w:val="0"/>
  </w:num>
  <w:num w:numId="9">
    <w:abstractNumId w:val="13"/>
  </w:num>
  <w:num w:numId="10">
    <w:abstractNumId w:val="1"/>
  </w:num>
  <w:num w:numId="11">
    <w:abstractNumId w:val="7"/>
  </w:num>
  <w:num w:numId="12">
    <w:abstractNumId w:val="9"/>
  </w:num>
  <w:num w:numId="13">
    <w:abstractNumId w:val="4"/>
  </w:num>
  <w:num w:numId="14">
    <w:abstractNumId w:val="12"/>
  </w:num>
  <w:num w:numId="15">
    <w:abstractNumId w:val="2"/>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63FB"/>
    <w:rsid w:val="000050D7"/>
    <w:rsid w:val="00064547"/>
    <w:rsid w:val="00066A97"/>
    <w:rsid w:val="00073B6C"/>
    <w:rsid w:val="00094BE1"/>
    <w:rsid w:val="000A4CA6"/>
    <w:rsid w:val="000B3F52"/>
    <w:rsid w:val="000D2AB6"/>
    <w:rsid w:val="000D520F"/>
    <w:rsid w:val="0011338A"/>
    <w:rsid w:val="001246CD"/>
    <w:rsid w:val="00127952"/>
    <w:rsid w:val="001A1DA1"/>
    <w:rsid w:val="001A2EC7"/>
    <w:rsid w:val="001D1447"/>
    <w:rsid w:val="001D3975"/>
    <w:rsid w:val="001F2684"/>
    <w:rsid w:val="00205168"/>
    <w:rsid w:val="00227C31"/>
    <w:rsid w:val="002366CB"/>
    <w:rsid w:val="002455D9"/>
    <w:rsid w:val="002D7669"/>
    <w:rsid w:val="002E7D22"/>
    <w:rsid w:val="002F00AA"/>
    <w:rsid w:val="002F2E1B"/>
    <w:rsid w:val="002F4F7D"/>
    <w:rsid w:val="00304780"/>
    <w:rsid w:val="00332B00"/>
    <w:rsid w:val="00333745"/>
    <w:rsid w:val="003506BB"/>
    <w:rsid w:val="0035390B"/>
    <w:rsid w:val="00371414"/>
    <w:rsid w:val="0037204E"/>
    <w:rsid w:val="00396D83"/>
    <w:rsid w:val="003B009C"/>
    <w:rsid w:val="003B7924"/>
    <w:rsid w:val="004225BA"/>
    <w:rsid w:val="00433A5E"/>
    <w:rsid w:val="00436811"/>
    <w:rsid w:val="004603F6"/>
    <w:rsid w:val="00462645"/>
    <w:rsid w:val="00466E92"/>
    <w:rsid w:val="00472978"/>
    <w:rsid w:val="00496969"/>
    <w:rsid w:val="00497C67"/>
    <w:rsid w:val="004A3167"/>
    <w:rsid w:val="00514A88"/>
    <w:rsid w:val="00515106"/>
    <w:rsid w:val="00522705"/>
    <w:rsid w:val="00522C36"/>
    <w:rsid w:val="0055096F"/>
    <w:rsid w:val="00566FCC"/>
    <w:rsid w:val="005C0D21"/>
    <w:rsid w:val="005C613B"/>
    <w:rsid w:val="006700A1"/>
    <w:rsid w:val="006D63B9"/>
    <w:rsid w:val="006E0C2C"/>
    <w:rsid w:val="007047FA"/>
    <w:rsid w:val="007E1653"/>
    <w:rsid w:val="008264FB"/>
    <w:rsid w:val="0083638C"/>
    <w:rsid w:val="00850C4E"/>
    <w:rsid w:val="00895F51"/>
    <w:rsid w:val="008F13B8"/>
    <w:rsid w:val="008F3BDE"/>
    <w:rsid w:val="008F633D"/>
    <w:rsid w:val="00962B5E"/>
    <w:rsid w:val="00963893"/>
    <w:rsid w:val="00963B6E"/>
    <w:rsid w:val="00963BF2"/>
    <w:rsid w:val="009650D3"/>
    <w:rsid w:val="009872F3"/>
    <w:rsid w:val="009B2E8E"/>
    <w:rsid w:val="009F0010"/>
    <w:rsid w:val="009F543C"/>
    <w:rsid w:val="00A0781B"/>
    <w:rsid w:val="00A14CC4"/>
    <w:rsid w:val="00A47517"/>
    <w:rsid w:val="00A636A5"/>
    <w:rsid w:val="00A701C9"/>
    <w:rsid w:val="00AA1CA8"/>
    <w:rsid w:val="00AD5DCE"/>
    <w:rsid w:val="00AD75A4"/>
    <w:rsid w:val="00AE49FC"/>
    <w:rsid w:val="00AF1C60"/>
    <w:rsid w:val="00AF2EFC"/>
    <w:rsid w:val="00AF5B72"/>
    <w:rsid w:val="00B04050"/>
    <w:rsid w:val="00B063DB"/>
    <w:rsid w:val="00B14592"/>
    <w:rsid w:val="00B17EE2"/>
    <w:rsid w:val="00B278FA"/>
    <w:rsid w:val="00B52388"/>
    <w:rsid w:val="00B536DF"/>
    <w:rsid w:val="00B758FB"/>
    <w:rsid w:val="00BD4E40"/>
    <w:rsid w:val="00BE09F6"/>
    <w:rsid w:val="00BF44A0"/>
    <w:rsid w:val="00BF72B4"/>
    <w:rsid w:val="00C2420F"/>
    <w:rsid w:val="00C263FB"/>
    <w:rsid w:val="00C679B5"/>
    <w:rsid w:val="00C81763"/>
    <w:rsid w:val="00CA6F03"/>
    <w:rsid w:val="00CB143F"/>
    <w:rsid w:val="00CB78A4"/>
    <w:rsid w:val="00CE2BB3"/>
    <w:rsid w:val="00D2715E"/>
    <w:rsid w:val="00D3533F"/>
    <w:rsid w:val="00D3763F"/>
    <w:rsid w:val="00D457A8"/>
    <w:rsid w:val="00D641D6"/>
    <w:rsid w:val="00DA6D7F"/>
    <w:rsid w:val="00DB6D08"/>
    <w:rsid w:val="00DC29C5"/>
    <w:rsid w:val="00DD722B"/>
    <w:rsid w:val="00DE1FD1"/>
    <w:rsid w:val="00E30AB5"/>
    <w:rsid w:val="00E34BE6"/>
    <w:rsid w:val="00E61479"/>
    <w:rsid w:val="00E73320"/>
    <w:rsid w:val="00E82CF0"/>
    <w:rsid w:val="00E867C2"/>
    <w:rsid w:val="00E91FD0"/>
    <w:rsid w:val="00E93CEF"/>
    <w:rsid w:val="00EF79EB"/>
    <w:rsid w:val="00F05A63"/>
    <w:rsid w:val="00F47669"/>
    <w:rsid w:val="00F532A2"/>
    <w:rsid w:val="00F80E6C"/>
    <w:rsid w:val="00F928BA"/>
    <w:rsid w:val="00F95642"/>
    <w:rsid w:val="00FB5D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HTML Top of Form" w:uiPriority="0"/>
    <w:lsdException w:name="HTML Bottom of Form"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1">
    <w:name w:val="heading 1"/>
    <w:basedOn w:val="Normln"/>
    <w:next w:val="Normln"/>
    <w:link w:val="Nadpis1Char"/>
    <w:qFormat/>
    <w:rsid w:val="00C263FB"/>
    <w:pPr>
      <w:keepNext/>
      <w:jc w:val="center"/>
      <w:outlineLvl w:val="0"/>
    </w:pPr>
    <w:rPr>
      <w:rFonts w:ascii="Arial" w:hAnsi="Arial"/>
      <w:i/>
      <w:iCs/>
      <w:sz w:val="20"/>
      <w:szCs w:val="20"/>
    </w:rPr>
  </w:style>
  <w:style w:type="paragraph" w:styleId="Nadpis2">
    <w:name w:val="heading 2"/>
    <w:basedOn w:val="Normln"/>
    <w:next w:val="Normln"/>
    <w:link w:val="Nadpis2Char"/>
    <w:qFormat/>
    <w:rsid w:val="00C263FB"/>
    <w:pPr>
      <w:keepNext/>
      <w:jc w:val="center"/>
      <w:outlineLvl w:val="1"/>
    </w:pPr>
    <w:rPr>
      <w:rFonts w:ascii="Arial" w:hAnsi="Arial"/>
      <w:b/>
      <w:bCs/>
      <w:sz w:val="22"/>
      <w:szCs w:val="20"/>
    </w:rPr>
  </w:style>
  <w:style w:type="paragraph" w:styleId="Nadpis3">
    <w:name w:val="heading 3"/>
    <w:basedOn w:val="Normln"/>
    <w:next w:val="Normln"/>
    <w:link w:val="Nadpis3Char"/>
    <w:qFormat/>
    <w:rsid w:val="00C263FB"/>
    <w:pPr>
      <w:keepNext/>
      <w:ind w:firstLine="240"/>
      <w:outlineLvl w:val="2"/>
    </w:pPr>
    <w:rPr>
      <w:rFonts w:ascii="Arial" w:hAnsi="Arial"/>
      <w:b/>
      <w:bCs/>
      <w:i/>
      <w:iCs/>
      <w:sz w:val="20"/>
      <w:szCs w:val="20"/>
    </w:rPr>
  </w:style>
  <w:style w:type="paragraph" w:styleId="Nadpis4">
    <w:name w:val="heading 4"/>
    <w:basedOn w:val="Normln"/>
    <w:next w:val="Normln"/>
    <w:link w:val="Nadpis4Char"/>
    <w:qFormat/>
    <w:rsid w:val="00C263FB"/>
    <w:pPr>
      <w:keepNext/>
      <w:jc w:val="center"/>
      <w:outlineLvl w:val="3"/>
    </w:pPr>
    <w:rPr>
      <w:rFonts w:ascii="Arial" w:hAnsi="Arial"/>
      <w:b/>
      <w:bCs/>
      <w:sz w:val="20"/>
      <w:szCs w:val="20"/>
    </w:rPr>
  </w:style>
  <w:style w:type="paragraph" w:styleId="Nadpis5">
    <w:name w:val="heading 5"/>
    <w:basedOn w:val="Normln"/>
    <w:next w:val="Normln"/>
    <w:link w:val="Nadpis5Char"/>
    <w:qFormat/>
    <w:rsid w:val="00C263FB"/>
    <w:pPr>
      <w:keepNext/>
      <w:outlineLvl w:val="4"/>
    </w:pPr>
    <w:rPr>
      <w:rFonts w:ascii="Arial" w:hAnsi="Arial"/>
      <w:b/>
      <w:bCs/>
      <w:sz w:val="20"/>
      <w:szCs w:val="20"/>
    </w:rPr>
  </w:style>
  <w:style w:type="paragraph" w:styleId="Nadpis6">
    <w:name w:val="heading 6"/>
    <w:basedOn w:val="Normln"/>
    <w:next w:val="Normln"/>
    <w:link w:val="Nadpis6Char"/>
    <w:qFormat/>
    <w:rsid w:val="00C263FB"/>
    <w:pPr>
      <w:keepNext/>
      <w:ind w:firstLine="525"/>
      <w:outlineLvl w:val="5"/>
    </w:pPr>
    <w:rPr>
      <w:rFonts w:ascii="Arial" w:hAnsi="Arial"/>
      <w:b/>
      <w:bCs/>
      <w:i/>
      <w:iCs/>
      <w:sz w:val="18"/>
      <w:szCs w:val="20"/>
    </w:rPr>
  </w:style>
  <w:style w:type="paragraph" w:styleId="Nadpis7">
    <w:name w:val="heading 7"/>
    <w:basedOn w:val="Normln"/>
    <w:next w:val="Normln"/>
    <w:link w:val="Nadpis7Char"/>
    <w:qFormat/>
    <w:rsid w:val="00C263FB"/>
    <w:pPr>
      <w:keepNext/>
      <w:tabs>
        <w:tab w:val="left" w:pos="345"/>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58"/>
      <w:ind w:left="345"/>
      <w:outlineLvl w:val="6"/>
    </w:pPr>
    <w:rPr>
      <w:rFonts w:ascii="Arial" w:hAnsi="Arial"/>
      <w:i/>
      <w:iCs/>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C263FB"/>
    <w:rPr>
      <w:rFonts w:ascii="Arial" w:hAnsi="Arial"/>
      <w:i/>
      <w:iCs/>
    </w:rPr>
  </w:style>
  <w:style w:type="character" w:customStyle="1" w:styleId="Nadpis2Char">
    <w:name w:val="Nadpis 2 Char"/>
    <w:link w:val="Nadpis2"/>
    <w:rsid w:val="00C263FB"/>
    <w:rPr>
      <w:rFonts w:ascii="Arial" w:hAnsi="Arial"/>
      <w:b/>
      <w:bCs/>
      <w:sz w:val="22"/>
    </w:rPr>
  </w:style>
  <w:style w:type="character" w:customStyle="1" w:styleId="Nadpis3Char">
    <w:name w:val="Nadpis 3 Char"/>
    <w:link w:val="Nadpis3"/>
    <w:rsid w:val="00C263FB"/>
    <w:rPr>
      <w:rFonts w:ascii="Arial" w:hAnsi="Arial"/>
      <w:b/>
      <w:bCs/>
      <w:i/>
      <w:iCs/>
    </w:rPr>
  </w:style>
  <w:style w:type="character" w:customStyle="1" w:styleId="Nadpis4Char">
    <w:name w:val="Nadpis 4 Char"/>
    <w:link w:val="Nadpis4"/>
    <w:rsid w:val="00C263FB"/>
    <w:rPr>
      <w:rFonts w:ascii="Arial" w:hAnsi="Arial"/>
      <w:b/>
      <w:bCs/>
    </w:rPr>
  </w:style>
  <w:style w:type="character" w:customStyle="1" w:styleId="Nadpis5Char">
    <w:name w:val="Nadpis 5 Char"/>
    <w:link w:val="Nadpis5"/>
    <w:rsid w:val="00C263FB"/>
    <w:rPr>
      <w:rFonts w:ascii="Arial" w:hAnsi="Arial"/>
      <w:b/>
      <w:bCs/>
    </w:rPr>
  </w:style>
  <w:style w:type="character" w:customStyle="1" w:styleId="Nadpis6Char">
    <w:name w:val="Nadpis 6 Char"/>
    <w:link w:val="Nadpis6"/>
    <w:rsid w:val="00C263FB"/>
    <w:rPr>
      <w:rFonts w:ascii="Arial" w:hAnsi="Arial"/>
      <w:b/>
      <w:bCs/>
      <w:i/>
      <w:iCs/>
      <w:sz w:val="18"/>
    </w:rPr>
  </w:style>
  <w:style w:type="character" w:customStyle="1" w:styleId="Nadpis7Char">
    <w:name w:val="Nadpis 7 Char"/>
    <w:link w:val="Nadpis7"/>
    <w:rsid w:val="00C263FB"/>
    <w:rPr>
      <w:rFonts w:ascii="Arial" w:hAnsi="Arial"/>
      <w:i/>
      <w:iCs/>
    </w:rPr>
  </w:style>
  <w:style w:type="paragraph" w:customStyle="1" w:styleId="xl39">
    <w:name w:val="xl39"/>
    <w:basedOn w:val="Normln"/>
    <w:pPr>
      <w:pBdr>
        <w:left w:val="single" w:sz="8" w:space="9" w:color="auto"/>
        <w:bottom w:val="single" w:sz="4" w:space="0" w:color="auto"/>
        <w:right w:val="single" w:sz="4" w:space="0" w:color="auto"/>
      </w:pBdr>
      <w:spacing w:before="100" w:beforeAutospacing="1" w:after="100" w:afterAutospacing="1"/>
      <w:ind w:firstLineChars="100" w:firstLine="100"/>
      <w:textAlignment w:val="center"/>
    </w:pPr>
    <w:rPr>
      <w:rFonts w:ascii="Arial" w:eastAsia="Arial Unicode MS" w:hAnsi="Arial" w:cs="Arial"/>
      <w:sz w:val="16"/>
      <w:szCs w:val="16"/>
    </w:rPr>
  </w:style>
  <w:style w:type="paragraph" w:styleId="Podtitul">
    <w:name w:val="Subtitle"/>
    <w:basedOn w:val="Normln"/>
    <w:qFormat/>
    <w:pPr>
      <w:jc w:val="center"/>
    </w:pPr>
    <w:rPr>
      <w:rFonts w:ascii="Arial" w:hAnsi="Arial"/>
      <w:b/>
      <w:bCs/>
      <w:i/>
      <w:iCs/>
      <w:sz w:val="28"/>
      <w:szCs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rPr>
      <w:szCs w:val="20"/>
    </w:rPr>
  </w:style>
  <w:style w:type="character" w:styleId="Hypertextovodkaz">
    <w:name w:val="Hyperlink"/>
    <w:semiHidden/>
    <w:rPr>
      <w:color w:val="0000FF"/>
      <w:u w:val="single"/>
    </w:rPr>
  </w:style>
  <w:style w:type="paragraph" w:styleId="Nzev">
    <w:name w:val="Title"/>
    <w:basedOn w:val="Normln"/>
    <w:link w:val="NzevChar"/>
    <w:qFormat/>
    <w:rsid w:val="00C263FB"/>
    <w:pPr>
      <w:jc w:val="center"/>
    </w:pPr>
    <w:rPr>
      <w:rFonts w:ascii="Arial" w:hAnsi="Arial"/>
      <w:b/>
      <w:bCs/>
      <w:sz w:val="28"/>
      <w:szCs w:val="20"/>
    </w:rPr>
  </w:style>
  <w:style w:type="character" w:customStyle="1" w:styleId="NzevChar">
    <w:name w:val="Název Char"/>
    <w:link w:val="Nzev"/>
    <w:rsid w:val="00C263FB"/>
    <w:rPr>
      <w:rFonts w:ascii="Arial" w:hAnsi="Arial"/>
      <w:b/>
      <w:bCs/>
      <w:sz w:val="28"/>
    </w:rPr>
  </w:style>
  <w:style w:type="character" w:customStyle="1" w:styleId="ZhlavChar">
    <w:name w:val="Záhlaví Char"/>
    <w:link w:val="Zhlav"/>
    <w:semiHidden/>
    <w:rsid w:val="00C263FB"/>
    <w:rPr>
      <w:sz w:val="24"/>
    </w:rPr>
  </w:style>
  <w:style w:type="paragraph" w:styleId="Zhlav">
    <w:name w:val="header"/>
    <w:basedOn w:val="Normln"/>
    <w:link w:val="ZhlavChar"/>
    <w:semiHidden/>
    <w:rsid w:val="00C263FB"/>
    <w:pPr>
      <w:tabs>
        <w:tab w:val="center" w:pos="4536"/>
        <w:tab w:val="right" w:pos="9072"/>
      </w:tabs>
    </w:pPr>
    <w:rPr>
      <w:szCs w:val="20"/>
    </w:rPr>
  </w:style>
  <w:style w:type="paragraph" w:styleId="Textpoznpodarou">
    <w:name w:val="footnote text"/>
    <w:basedOn w:val="Normln"/>
    <w:link w:val="TextpoznpodarouChar"/>
    <w:semiHidden/>
    <w:rsid w:val="00C263FB"/>
    <w:rPr>
      <w:sz w:val="20"/>
      <w:szCs w:val="20"/>
    </w:rPr>
  </w:style>
  <w:style w:type="character" w:customStyle="1" w:styleId="TextpoznpodarouChar">
    <w:name w:val="Text pozn. pod čarou Char"/>
    <w:basedOn w:val="Standardnpsmoodstavce"/>
    <w:link w:val="Textpoznpodarou"/>
    <w:semiHidden/>
    <w:rsid w:val="00C263FB"/>
  </w:style>
  <w:style w:type="character" w:customStyle="1" w:styleId="ZkladntextodsazenChar">
    <w:name w:val="Základní text odsazený Char"/>
    <w:link w:val="Zkladntextodsazen"/>
    <w:semiHidden/>
    <w:rsid w:val="00C263FB"/>
    <w:rPr>
      <w:szCs w:val="22"/>
    </w:rPr>
  </w:style>
  <w:style w:type="paragraph" w:styleId="Zkladntextodsazen">
    <w:name w:val="Body Text Indent"/>
    <w:basedOn w:val="Normln"/>
    <w:link w:val="ZkladntextodsazenChar"/>
    <w:semiHidden/>
    <w:rsid w:val="00C263FB"/>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ind w:firstLine="708"/>
      <w:jc w:val="both"/>
    </w:pPr>
    <w:rPr>
      <w:sz w:val="20"/>
      <w:szCs w:val="22"/>
    </w:rPr>
  </w:style>
  <w:style w:type="paragraph" w:styleId="Zkladntext">
    <w:name w:val="Body Text"/>
    <w:basedOn w:val="Normln"/>
    <w:link w:val="ZkladntextChar"/>
    <w:semiHidden/>
    <w:rsid w:val="00C263FB"/>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jc w:val="center"/>
    </w:pPr>
    <w:rPr>
      <w:rFonts w:ascii="Times New Roman CE oby_ejné" w:hAnsi="Times New Roman CE oby_ejné"/>
      <w:b/>
      <w:bCs/>
      <w:sz w:val="20"/>
      <w:szCs w:val="20"/>
      <w:u w:val="single"/>
    </w:rPr>
  </w:style>
  <w:style w:type="character" w:customStyle="1" w:styleId="ZkladntextChar">
    <w:name w:val="Základní text Char"/>
    <w:link w:val="Zkladntext"/>
    <w:semiHidden/>
    <w:rsid w:val="00C263FB"/>
    <w:rPr>
      <w:rFonts w:ascii="Times New Roman CE oby_ejné" w:hAnsi="Times New Roman CE oby_ejné"/>
      <w:b/>
      <w:bCs/>
      <w:u w:val="single"/>
    </w:rPr>
  </w:style>
  <w:style w:type="character" w:customStyle="1" w:styleId="Zkladntextodsazen3Char">
    <w:name w:val="Základní text odsazený 3 Char"/>
    <w:link w:val="Zkladntextodsazen3"/>
    <w:semiHidden/>
    <w:rsid w:val="00C263FB"/>
    <w:rPr>
      <w:rFonts w:ascii="Arial" w:hAnsi="Arial"/>
      <w:szCs w:val="22"/>
    </w:rPr>
  </w:style>
  <w:style w:type="paragraph" w:styleId="Zkladntextodsazen3">
    <w:name w:val="Body Text Indent 3"/>
    <w:basedOn w:val="Normln"/>
    <w:link w:val="Zkladntextodsazen3Char"/>
    <w:semiHidden/>
    <w:rsid w:val="00C263FB"/>
    <w:pPr>
      <w:ind w:firstLine="708"/>
      <w:jc w:val="both"/>
    </w:pPr>
    <w:rPr>
      <w:rFonts w:ascii="Arial" w:hAnsi="Arial"/>
      <w:sz w:val="20"/>
      <w:szCs w:val="22"/>
    </w:rPr>
  </w:style>
  <w:style w:type="character" w:customStyle="1" w:styleId="Zkladntext3Char">
    <w:name w:val="Základní text 3 Char"/>
    <w:link w:val="Zkladntext3"/>
    <w:semiHidden/>
    <w:rsid w:val="00C263FB"/>
    <w:rPr>
      <w:rFonts w:ascii="Arial" w:hAnsi="Arial"/>
      <w:szCs w:val="24"/>
    </w:rPr>
  </w:style>
  <w:style w:type="paragraph" w:styleId="Zkladntext3">
    <w:name w:val="Body Text 3"/>
    <w:basedOn w:val="Normln"/>
    <w:link w:val="Zkladntext3Char"/>
    <w:semiHidden/>
    <w:rsid w:val="00C263FB"/>
    <w:pPr>
      <w:jc w:val="both"/>
    </w:pPr>
    <w:rPr>
      <w:rFonts w:ascii="Arial" w:hAnsi="Arial"/>
      <w:sz w:val="20"/>
    </w:rPr>
  </w:style>
  <w:style w:type="paragraph" w:customStyle="1" w:styleId="xl24">
    <w:name w:val="xl24"/>
    <w:basedOn w:val="Normln"/>
    <w:rsid w:val="00C263FB"/>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25">
    <w:name w:val="xl25"/>
    <w:basedOn w:val="Normln"/>
    <w:rsid w:val="00C263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26">
    <w:name w:val="xl26"/>
    <w:basedOn w:val="Normln"/>
    <w:rsid w:val="00C263FB"/>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eastAsia="Arial Unicode MS" w:hAnsi="Arial" w:cs="Arial"/>
      <w:sz w:val="16"/>
      <w:szCs w:val="16"/>
    </w:rPr>
  </w:style>
  <w:style w:type="character" w:customStyle="1" w:styleId="RozvrendokumentuChar">
    <w:name w:val="Rozvržení dokumentu Char"/>
    <w:link w:val="Rozvrendokumentu"/>
    <w:semiHidden/>
    <w:rsid w:val="00C263FB"/>
    <w:rPr>
      <w:rFonts w:ascii="Tahoma" w:hAnsi="Tahoma" w:cs="Tahoma"/>
      <w:sz w:val="24"/>
      <w:shd w:val="clear" w:color="auto" w:fill="000080"/>
    </w:rPr>
  </w:style>
  <w:style w:type="paragraph" w:customStyle="1" w:styleId="Rozvrendokumentu">
    <w:name w:val="Rozvržení dokumentu"/>
    <w:basedOn w:val="Normln"/>
    <w:link w:val="RozvrendokumentuChar"/>
    <w:semiHidden/>
    <w:rsid w:val="00C263FB"/>
    <w:pPr>
      <w:shd w:val="clear" w:color="auto" w:fill="000080"/>
    </w:pPr>
    <w:rPr>
      <w:rFonts w:ascii="Tahoma" w:hAnsi="Tahoma" w:cs="Tahoma"/>
      <w:szCs w:val="20"/>
    </w:rPr>
  </w:style>
  <w:style w:type="paragraph" w:styleId="z-Zatekformule">
    <w:name w:val="HTML Top of Form"/>
    <w:basedOn w:val="Normln"/>
    <w:next w:val="Normln"/>
    <w:link w:val="z-ZatekformuleChar"/>
    <w:hidden/>
    <w:rsid w:val="00C263FB"/>
    <w:pPr>
      <w:pBdr>
        <w:bottom w:val="single" w:sz="6" w:space="1" w:color="auto"/>
      </w:pBdr>
      <w:jc w:val="center"/>
    </w:pPr>
    <w:rPr>
      <w:rFonts w:ascii="Arial" w:eastAsia="Arial Unicode MS" w:hAnsi="Arial" w:cs="Arial"/>
      <w:vanish/>
      <w:sz w:val="16"/>
      <w:szCs w:val="16"/>
    </w:rPr>
  </w:style>
  <w:style w:type="character" w:customStyle="1" w:styleId="z-ZatekformuleChar">
    <w:name w:val="z-Začátek formuláře Char"/>
    <w:link w:val="z-Zatekformule"/>
    <w:rsid w:val="00C263FB"/>
    <w:rPr>
      <w:rFonts w:ascii="Arial" w:eastAsia="Arial Unicode MS" w:hAnsi="Arial" w:cs="Arial"/>
      <w:vanish/>
      <w:sz w:val="16"/>
      <w:szCs w:val="16"/>
    </w:rPr>
  </w:style>
  <w:style w:type="character" w:styleId="Siln">
    <w:name w:val="Strong"/>
    <w:qFormat/>
    <w:rsid w:val="00C263FB"/>
    <w:rPr>
      <w:b/>
      <w:bCs/>
    </w:rPr>
  </w:style>
  <w:style w:type="character" w:styleId="Zvraznn">
    <w:name w:val="Emphasis"/>
    <w:qFormat/>
    <w:rsid w:val="00C263FB"/>
    <w:rPr>
      <w:i/>
      <w:iCs/>
    </w:rPr>
  </w:style>
  <w:style w:type="paragraph" w:styleId="z-Konecformule">
    <w:name w:val="HTML Bottom of Form"/>
    <w:basedOn w:val="Normln"/>
    <w:next w:val="Normln"/>
    <w:link w:val="z-KonecformuleChar"/>
    <w:hidden/>
    <w:rsid w:val="00C263FB"/>
    <w:pPr>
      <w:pBdr>
        <w:top w:val="single" w:sz="6" w:space="1" w:color="auto"/>
      </w:pBdr>
      <w:jc w:val="center"/>
    </w:pPr>
    <w:rPr>
      <w:rFonts w:ascii="Arial" w:eastAsia="Arial Unicode MS" w:hAnsi="Arial" w:cs="Arial"/>
      <w:vanish/>
      <w:sz w:val="16"/>
      <w:szCs w:val="16"/>
    </w:rPr>
  </w:style>
  <w:style w:type="character" w:customStyle="1" w:styleId="z-KonecformuleChar">
    <w:name w:val="z-Konec formuláře Char"/>
    <w:link w:val="z-Konecformule"/>
    <w:rsid w:val="00C263FB"/>
    <w:rPr>
      <w:rFonts w:ascii="Arial" w:eastAsia="Arial Unicode MS" w:hAnsi="Arial" w:cs="Arial"/>
      <w:vanish/>
      <w:sz w:val="16"/>
      <w:szCs w:val="16"/>
    </w:rPr>
  </w:style>
  <w:style w:type="character" w:styleId="Znakapoznpodarou">
    <w:name w:val="footnote reference"/>
    <w:semiHidden/>
    <w:rsid w:val="00436811"/>
    <w:rPr>
      <w:vertAlign w:val="superscript"/>
    </w:rPr>
  </w:style>
  <w:style w:type="character" w:styleId="Sledovanodkaz">
    <w:name w:val="FollowedHyperlink"/>
    <w:semiHidden/>
    <w:rsid w:val="00436811"/>
    <w:rPr>
      <w:color w:val="800080"/>
      <w:u w:val="single"/>
    </w:rPr>
  </w:style>
  <w:style w:type="paragraph" w:styleId="Normlnweb">
    <w:name w:val="Normal (Web)"/>
    <w:basedOn w:val="Normln"/>
    <w:semiHidden/>
    <w:rsid w:val="00436811"/>
    <w:pPr>
      <w:spacing w:before="100" w:beforeAutospacing="1" w:after="100" w:afterAutospacing="1"/>
    </w:pPr>
    <w:rPr>
      <w:rFonts w:ascii="Arial Unicode MS" w:eastAsia="Arial Unicode MS" w:hAnsi="Arial Unicode MS" w:cs="Arial Unicode MS"/>
    </w:rPr>
  </w:style>
  <w:style w:type="paragraph" w:styleId="Textbubliny">
    <w:name w:val="Balloon Text"/>
    <w:basedOn w:val="Normln"/>
    <w:link w:val="TextbublinyChar"/>
    <w:uiPriority w:val="99"/>
    <w:semiHidden/>
    <w:unhideWhenUsed/>
    <w:rsid w:val="00AF1C60"/>
    <w:rPr>
      <w:rFonts w:ascii="Tahoma" w:hAnsi="Tahoma" w:cs="Tahoma"/>
      <w:sz w:val="16"/>
      <w:szCs w:val="16"/>
    </w:rPr>
  </w:style>
  <w:style w:type="character" w:customStyle="1" w:styleId="TextbublinyChar">
    <w:name w:val="Text bubliny Char"/>
    <w:link w:val="Textbubliny"/>
    <w:uiPriority w:val="99"/>
    <w:semiHidden/>
    <w:rsid w:val="00AF1C60"/>
    <w:rPr>
      <w:rFonts w:ascii="Tahoma" w:hAnsi="Tahoma" w:cs="Tahoma"/>
      <w:sz w:val="16"/>
      <w:szCs w:val="16"/>
    </w:rPr>
  </w:style>
  <w:style w:type="character" w:customStyle="1" w:styleId="spelle">
    <w:name w:val="spelle"/>
    <w:rsid w:val="00AF1C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czso.cz/eng/redakce.nsf/i/kpr_ts"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zso.cz/csu/klasifik.nsf/i/klasifikace_ekonomickych_cinnosti_(cz_nac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zso.cz/csu/redakce.nsf/i/kpr_cr"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czso.cz/csu/klasifik.nsf/i/klasifikace_ekonomickych_cinnosti_(cz_nace)" TargetMode="External"/><Relationship Id="rId4" Type="http://schemas.microsoft.com/office/2007/relationships/stylesWithEffects" Target="stylesWithEffects.xml"/><Relationship Id="rId9" Type="http://schemas.openxmlformats.org/officeDocument/2006/relationships/hyperlink" Target="http://www.czso.cz/csu/klasifik.nsf/i/klasifikace_ekonomickych_cinnosti_%28cz_nace%29"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189C8A-02A8-4F7A-AFBB-38D8420D1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1993</Words>
  <Characters>11759</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Souhrnné indikátory důvěry 1)</vt:lpstr>
    </vt:vector>
  </TitlesOfParts>
  <Company>ČSÚ</Company>
  <LinksUpToDate>false</LinksUpToDate>
  <CharactersWithSpaces>13725</CharactersWithSpaces>
  <SharedDoc>false</SharedDoc>
  <HLinks>
    <vt:vector size="30" baseType="variant">
      <vt:variant>
        <vt:i4>7929860</vt:i4>
      </vt:variant>
      <vt:variant>
        <vt:i4>12</vt:i4>
      </vt:variant>
      <vt:variant>
        <vt:i4>0</vt:i4>
      </vt:variant>
      <vt:variant>
        <vt:i4>5</vt:i4>
      </vt:variant>
      <vt:variant>
        <vt:lpwstr>http://czso.cz/eng/redakce.nsf/i/kpr_ts</vt:lpwstr>
      </vt:variant>
      <vt:variant>
        <vt:lpwstr/>
      </vt:variant>
      <vt:variant>
        <vt:i4>7012401</vt:i4>
      </vt:variant>
      <vt:variant>
        <vt:i4>9</vt:i4>
      </vt:variant>
      <vt:variant>
        <vt:i4>0</vt:i4>
      </vt:variant>
      <vt:variant>
        <vt:i4>5</vt:i4>
      </vt:variant>
      <vt:variant>
        <vt:lpwstr>http://www.czso.cz/csu/klasifik.nsf/i/klasifikace_ekonomickych_cinnosti_(cz_nace)</vt:lpwstr>
      </vt:variant>
      <vt:variant>
        <vt:lpwstr/>
      </vt:variant>
      <vt:variant>
        <vt:i4>7995417</vt:i4>
      </vt:variant>
      <vt:variant>
        <vt:i4>6</vt:i4>
      </vt:variant>
      <vt:variant>
        <vt:i4>0</vt:i4>
      </vt:variant>
      <vt:variant>
        <vt:i4>5</vt:i4>
      </vt:variant>
      <vt:variant>
        <vt:lpwstr>http://czso.cz/csu/redakce.nsf/i/kpr_cr</vt:lpwstr>
      </vt:variant>
      <vt:variant>
        <vt:lpwstr/>
      </vt:variant>
      <vt:variant>
        <vt:i4>7012401</vt:i4>
      </vt:variant>
      <vt:variant>
        <vt:i4>2</vt:i4>
      </vt:variant>
      <vt:variant>
        <vt:i4>0</vt:i4>
      </vt:variant>
      <vt:variant>
        <vt:i4>5</vt:i4>
      </vt:variant>
      <vt:variant>
        <vt:lpwstr>http://www.czso.cz/csu/klasifik.nsf/i/klasifikace_ekonomickych_cinnosti_(cz_nace)</vt:lpwstr>
      </vt:variant>
      <vt:variant>
        <vt:lpwstr/>
      </vt:variant>
      <vt:variant>
        <vt:i4>7012385</vt:i4>
      </vt:variant>
      <vt:variant>
        <vt:i4>0</vt:i4>
      </vt:variant>
      <vt:variant>
        <vt:i4>0</vt:i4>
      </vt:variant>
      <vt:variant>
        <vt:i4>5</vt:i4>
      </vt:variant>
      <vt:variant>
        <vt:lpwstr>http://www.czso.cz/csu/klasifik.nsf/i/klasifikace_ekonomickych_cinnosti_%28cz_nace%29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Souhrnné indikátory důvěry 1)</dc:title>
  <dc:creator>ehanusova</dc:creator>
  <cp:lastModifiedBy>Eva Hanušová</cp:lastModifiedBy>
  <cp:revision>2</cp:revision>
  <dcterms:created xsi:type="dcterms:W3CDTF">2017-07-04T07:40:00Z</dcterms:created>
  <dcterms:modified xsi:type="dcterms:W3CDTF">2017-07-04T07:40:00Z</dcterms:modified>
</cp:coreProperties>
</file>