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5FA2" w14:textId="3B24C2FC" w:rsidR="00B112AC" w:rsidRPr="00EF2E22" w:rsidRDefault="00832B05" w:rsidP="00832B05">
      <w:pPr>
        <w:pStyle w:val="Nadpis1"/>
        <w:spacing w:after="120"/>
        <w:ind w:right="-142"/>
        <w:rPr>
          <w:b w:val="0"/>
          <w:color w:val="009CB5"/>
        </w:rPr>
      </w:pPr>
      <w:r w:rsidRPr="00EF2E22">
        <w:rPr>
          <w:color w:val="009CB5"/>
          <w:sz w:val="30"/>
          <w:szCs w:val="30"/>
        </w:rPr>
        <w:t>1</w:t>
      </w:r>
      <w:r w:rsidR="00253321" w:rsidRPr="00EF2E22">
        <w:rPr>
          <w:color w:val="009CB5"/>
          <w:sz w:val="30"/>
          <w:szCs w:val="30"/>
        </w:rPr>
        <w:t>3</w:t>
      </w:r>
      <w:r w:rsidR="006D0540" w:rsidRPr="00EF2E22">
        <w:rPr>
          <w:color w:val="009CB5"/>
          <w:sz w:val="30"/>
          <w:szCs w:val="30"/>
        </w:rPr>
        <w:t xml:space="preserve">. </w:t>
      </w:r>
      <w:r w:rsidR="00670C91" w:rsidRPr="00EF2E22">
        <w:rPr>
          <w:color w:val="009CB5"/>
          <w:sz w:val="30"/>
          <w:szCs w:val="30"/>
        </w:rPr>
        <w:t>Prodej přes webové stránky, mobilní aplikace nebo online tržiště</w:t>
      </w:r>
      <w:r w:rsidR="003E74CB" w:rsidRPr="00EF2E22">
        <w:rPr>
          <w:rFonts w:cs="Arial"/>
          <w:color w:val="009CB5"/>
          <w:sz w:val="30"/>
          <w:szCs w:val="30"/>
        </w:rPr>
        <w:t xml:space="preserve"> </w:t>
      </w:r>
    </w:p>
    <w:p w14:paraId="08449588" w14:textId="5BA15C19" w:rsidR="000401F3" w:rsidRDefault="00E84F00" w:rsidP="008E5882">
      <w:pPr>
        <w:pStyle w:val="Box"/>
        <w:rPr>
          <w:bCs/>
        </w:rPr>
      </w:pPr>
      <w:r>
        <w:t>Díky webovým stránkám se mohou firmy</w:t>
      </w:r>
      <w:r w:rsidR="00C16BD2" w:rsidRPr="00C16BD2">
        <w:t xml:space="preserve"> velmi efektivně nejen prezentovat </w:t>
      </w:r>
      <w:r w:rsidR="00A30DC5">
        <w:t>a</w:t>
      </w:r>
      <w:r w:rsidR="00AF0D57">
        <w:t> </w:t>
      </w:r>
      <w:r w:rsidR="00C16BD2" w:rsidRPr="00C16BD2">
        <w:t xml:space="preserve">komunikovat se svými zákazníky či dodavateli. </w:t>
      </w:r>
      <w:r w:rsidR="00385CD1">
        <w:t>V</w:t>
      </w:r>
      <w:r w:rsidR="00C16BD2" w:rsidRPr="00C16BD2">
        <w:t xml:space="preserve"> mnoha případech</w:t>
      </w:r>
      <w:r w:rsidR="003673E5">
        <w:t xml:space="preserve"> </w:t>
      </w:r>
      <w:r w:rsidR="00385CD1">
        <w:t xml:space="preserve">dnes </w:t>
      </w:r>
      <w:r w:rsidR="003673E5">
        <w:t>firmy</w:t>
      </w:r>
      <w:r w:rsidR="00C16BD2" w:rsidRPr="00C16BD2">
        <w:t xml:space="preserve"> přes webové stránky</w:t>
      </w:r>
      <w:r w:rsidR="007743A9">
        <w:t xml:space="preserve"> a</w:t>
      </w:r>
      <w:r w:rsidR="004F3FE5">
        <w:t> </w:t>
      </w:r>
      <w:r w:rsidR="007743A9">
        <w:t>aplikace</w:t>
      </w:r>
      <w:r w:rsidR="00C16BD2" w:rsidRPr="00C16BD2">
        <w:t xml:space="preserve"> </w:t>
      </w:r>
      <w:r>
        <w:t xml:space="preserve">své </w:t>
      </w:r>
      <w:r w:rsidR="00371FF2">
        <w:t xml:space="preserve">výrobky, </w:t>
      </w:r>
      <w:r>
        <w:t>zboží či služby</w:t>
      </w:r>
      <w:r w:rsidR="003673E5" w:rsidRPr="003673E5">
        <w:t xml:space="preserve"> </w:t>
      </w:r>
      <w:r w:rsidR="003673E5" w:rsidRPr="00C16BD2">
        <w:t>prodávají</w:t>
      </w:r>
      <w:r>
        <w:t xml:space="preserve"> a tržby z online prodejů tvoří nezanedbatelnou součást jejich celkových tržeb.</w:t>
      </w:r>
      <w:r w:rsidR="000401F3">
        <w:t xml:space="preserve"> </w:t>
      </w:r>
      <w:r w:rsidR="00371FF2">
        <w:rPr>
          <w:bCs/>
        </w:rPr>
        <w:t>Podniky</w:t>
      </w:r>
      <w:r w:rsidR="006512EF" w:rsidRPr="006512EF">
        <w:rPr>
          <w:bCs/>
        </w:rPr>
        <w:t xml:space="preserve"> </w:t>
      </w:r>
      <w:r w:rsidR="000401F3" w:rsidRPr="006512EF">
        <w:rPr>
          <w:bCs/>
        </w:rPr>
        <w:t xml:space="preserve">začínají </w:t>
      </w:r>
      <w:r w:rsidR="00371FF2">
        <w:rPr>
          <w:bCs/>
        </w:rPr>
        <w:t>prodávat v prostředí</w:t>
      </w:r>
      <w:r w:rsidR="000401F3">
        <w:rPr>
          <w:bCs/>
        </w:rPr>
        <w:t xml:space="preserve"> online tržiš</w:t>
      </w:r>
      <w:r w:rsidR="00371FF2">
        <w:rPr>
          <w:bCs/>
        </w:rPr>
        <w:t>ť</w:t>
      </w:r>
      <w:r w:rsidR="000401F3">
        <w:rPr>
          <w:bCs/>
        </w:rPr>
        <w:t xml:space="preserve">. </w:t>
      </w:r>
      <w:r w:rsidR="0063714F">
        <w:rPr>
          <w:bCs/>
        </w:rPr>
        <w:t xml:space="preserve">Nejčastěji jsou to </w:t>
      </w:r>
      <w:r w:rsidR="000401F3">
        <w:rPr>
          <w:bCs/>
        </w:rPr>
        <w:t>subjekt</w:t>
      </w:r>
      <w:r w:rsidR="00BF6E22">
        <w:rPr>
          <w:bCs/>
        </w:rPr>
        <w:t>y</w:t>
      </w:r>
      <w:r w:rsidR="000401F3">
        <w:rPr>
          <w:bCs/>
        </w:rPr>
        <w:t xml:space="preserve"> působící v cestovním ruchu, zvláště firm</w:t>
      </w:r>
      <w:r w:rsidR="00BF6E22">
        <w:rPr>
          <w:bCs/>
        </w:rPr>
        <w:t>y</w:t>
      </w:r>
      <w:r w:rsidR="000401F3">
        <w:rPr>
          <w:bCs/>
        </w:rPr>
        <w:t xml:space="preserve"> </w:t>
      </w:r>
      <w:r w:rsidR="0013282B">
        <w:rPr>
          <w:bCs/>
        </w:rPr>
        <w:t>z odvětví</w:t>
      </w:r>
      <w:r w:rsidR="00C470BD">
        <w:rPr>
          <w:bCs/>
        </w:rPr>
        <w:t xml:space="preserve"> </w:t>
      </w:r>
      <w:r w:rsidR="000401F3">
        <w:rPr>
          <w:bCs/>
        </w:rPr>
        <w:t>ubytování.</w:t>
      </w:r>
      <w:r w:rsidR="0090283D">
        <w:rPr>
          <w:bCs/>
        </w:rPr>
        <w:t xml:space="preserve"> </w:t>
      </w:r>
    </w:p>
    <w:p w14:paraId="4A29476A" w14:textId="20D43BD6" w:rsidR="00A371B7" w:rsidRPr="008E5882" w:rsidRDefault="00A371B7" w:rsidP="008E5882">
      <w:pPr>
        <w:pStyle w:val="Box"/>
        <w:rPr>
          <w:bCs/>
          <w:i/>
          <w:iCs/>
        </w:rPr>
      </w:pPr>
      <w:r w:rsidRPr="008E5882">
        <w:rPr>
          <w:bCs/>
          <w:i/>
          <w:iCs/>
        </w:rPr>
        <w:t xml:space="preserve">Pozn.: </w:t>
      </w:r>
      <w:r w:rsidR="00703546">
        <w:rPr>
          <w:bCs/>
          <w:i/>
          <w:iCs/>
        </w:rPr>
        <w:t>O</w:t>
      </w:r>
      <w:r w:rsidRPr="008E5882">
        <w:rPr>
          <w:bCs/>
          <w:i/>
          <w:iCs/>
        </w:rPr>
        <w:t>tázky v této kapitole se vztahují k roku předcházejícímu šetření, tj. zde konkrétně k</w:t>
      </w:r>
      <w:r w:rsidR="0013282B">
        <w:rPr>
          <w:bCs/>
          <w:i/>
          <w:iCs/>
        </w:rPr>
        <w:t> </w:t>
      </w:r>
      <w:r w:rsidRPr="008E5882">
        <w:rPr>
          <w:bCs/>
          <w:i/>
          <w:iCs/>
        </w:rPr>
        <w:t>roku 20</w:t>
      </w:r>
      <w:r w:rsidR="00A42D7D" w:rsidRPr="008E5882">
        <w:rPr>
          <w:bCs/>
          <w:i/>
          <w:iCs/>
        </w:rPr>
        <w:t>2</w:t>
      </w:r>
      <w:r w:rsidR="000E1620">
        <w:rPr>
          <w:bCs/>
          <w:i/>
          <w:iCs/>
        </w:rPr>
        <w:t>4</w:t>
      </w:r>
      <w:r w:rsidR="00A372F7" w:rsidRPr="008E5882">
        <w:rPr>
          <w:bCs/>
          <w:i/>
          <w:iCs/>
        </w:rPr>
        <w:t xml:space="preserve">. </w:t>
      </w:r>
      <w:r w:rsidR="0055263E" w:rsidRPr="008E5882">
        <w:rPr>
          <w:bCs/>
          <w:i/>
          <w:iCs/>
        </w:rPr>
        <w:t>Namísto celého názvu „prodej přes webové stránky, mobilní aplikace nebo online tržiště“ jsou v</w:t>
      </w:r>
      <w:r w:rsidR="005A415B">
        <w:rPr>
          <w:bCs/>
          <w:i/>
          <w:iCs/>
        </w:rPr>
        <w:t xml:space="preserve"> následujícím</w:t>
      </w:r>
      <w:r w:rsidR="0055263E" w:rsidRPr="008E5882">
        <w:rPr>
          <w:bCs/>
          <w:i/>
          <w:iCs/>
        </w:rPr>
        <w:t> textu</w:t>
      </w:r>
      <w:r w:rsidR="00A372F7" w:rsidRPr="008E5882">
        <w:rPr>
          <w:bCs/>
          <w:i/>
          <w:iCs/>
        </w:rPr>
        <w:t xml:space="preserve"> </w:t>
      </w:r>
      <w:r w:rsidR="0055263E" w:rsidRPr="008E5882">
        <w:rPr>
          <w:bCs/>
          <w:i/>
          <w:iCs/>
        </w:rPr>
        <w:t xml:space="preserve">používána </w:t>
      </w:r>
      <w:r w:rsidR="00232FC2" w:rsidRPr="008E5882">
        <w:rPr>
          <w:bCs/>
          <w:i/>
          <w:iCs/>
        </w:rPr>
        <w:t xml:space="preserve">i </w:t>
      </w:r>
      <w:r w:rsidR="00A372F7" w:rsidRPr="008E5882">
        <w:rPr>
          <w:bCs/>
          <w:i/>
          <w:iCs/>
        </w:rPr>
        <w:t>slovní spojení „prodej přes web“</w:t>
      </w:r>
      <w:r w:rsidR="00FB7330" w:rsidRPr="008E5882">
        <w:rPr>
          <w:bCs/>
          <w:i/>
          <w:iCs/>
        </w:rPr>
        <w:t xml:space="preserve"> </w:t>
      </w:r>
      <w:r w:rsidR="00116089" w:rsidRPr="008E5882">
        <w:rPr>
          <w:bCs/>
          <w:i/>
          <w:iCs/>
        </w:rPr>
        <w:t xml:space="preserve">či </w:t>
      </w:r>
      <w:r w:rsidR="00FB7330" w:rsidRPr="008E5882">
        <w:rPr>
          <w:bCs/>
          <w:i/>
          <w:iCs/>
        </w:rPr>
        <w:t>„online prodej“</w:t>
      </w:r>
      <w:r w:rsidR="00B65861" w:rsidRPr="008E5882">
        <w:rPr>
          <w:bCs/>
          <w:i/>
          <w:iCs/>
        </w:rPr>
        <w:t>.</w:t>
      </w:r>
    </w:p>
    <w:p w14:paraId="2CA59283" w14:textId="77777777" w:rsidR="00C16BD2" w:rsidRPr="00790ED6" w:rsidRDefault="00E84F00" w:rsidP="00EC248B">
      <w:pPr>
        <w:spacing w:after="80" w:line="264" w:lineRule="auto"/>
        <w:jc w:val="both"/>
        <w:rPr>
          <w:rFonts w:ascii="Arial" w:hAnsi="Arial" w:cs="Arial"/>
          <w:i/>
          <w:sz w:val="4"/>
          <w:szCs w:val="4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p w14:paraId="66F27FBB" w14:textId="77777777" w:rsidR="00B112AC" w:rsidRPr="008E5882" w:rsidRDefault="00B112AC" w:rsidP="00EC248B">
      <w:pPr>
        <w:pStyle w:val="Nadpis2"/>
        <w:spacing w:before="240" w:after="120" w:line="240" w:lineRule="auto"/>
        <w:rPr>
          <w:color w:val="009CB5"/>
          <w:sz w:val="24"/>
          <w:szCs w:val="24"/>
        </w:rPr>
      </w:pPr>
      <w:r w:rsidRPr="008E5882">
        <w:rPr>
          <w:color w:val="009CB5"/>
          <w:sz w:val="24"/>
          <w:szCs w:val="24"/>
        </w:rPr>
        <w:t>Hlavní zjištění</w:t>
      </w:r>
    </w:p>
    <w:p w14:paraId="001B2877" w14:textId="17F21D65" w:rsidR="003E6ED3" w:rsidRPr="002A2199" w:rsidRDefault="00C23868" w:rsidP="00703546">
      <w:pPr>
        <w:pStyle w:val="Zkladntext"/>
        <w:numPr>
          <w:ilvl w:val="0"/>
          <w:numId w:val="5"/>
        </w:numPr>
        <w:spacing w:before="0" w:after="60" w:line="288" w:lineRule="auto"/>
        <w:ind w:left="284" w:right="0" w:hanging="284"/>
        <w:rPr>
          <w:rFonts w:ascii="Arial" w:eastAsia="Calibri" w:hAnsi="Arial" w:cs="Arial"/>
          <w:spacing w:val="-4"/>
          <w:sz w:val="20"/>
          <w:szCs w:val="22"/>
          <w:lang w:eastAsia="en-US"/>
        </w:rPr>
      </w:pP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V</w:t>
      </w:r>
      <w:r w:rsidR="003E6ED3"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 průběhu 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ro</w:t>
      </w:r>
      <w:r w:rsidR="003E6ED3"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ku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20</w:t>
      </w:r>
      <w:r w:rsidR="00065DE3"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2</w:t>
      </w:r>
      <w:r w:rsidR="00895312">
        <w:rPr>
          <w:rFonts w:ascii="Arial" w:eastAsia="Calibri" w:hAnsi="Arial" w:cs="Arial"/>
          <w:spacing w:val="-4"/>
          <w:sz w:val="20"/>
          <w:szCs w:val="22"/>
          <w:lang w:eastAsia="en-US"/>
        </w:rPr>
        <w:t>4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prodávala </w:t>
      </w:r>
      <w:r w:rsidRPr="002A2199">
        <w:rPr>
          <w:rFonts w:ascii="Arial" w:eastAsia="Calibri" w:hAnsi="Arial" w:cs="Arial"/>
          <w:b/>
          <w:spacing w:val="-4"/>
          <w:sz w:val="20"/>
          <w:szCs w:val="22"/>
          <w:lang w:eastAsia="en-US"/>
        </w:rPr>
        <w:t>přes webové stránky</w:t>
      </w:r>
      <w:r w:rsidR="00FB7330">
        <w:rPr>
          <w:rFonts w:ascii="Arial" w:eastAsia="Calibri" w:hAnsi="Arial" w:cs="Arial"/>
          <w:b/>
          <w:spacing w:val="-4"/>
          <w:sz w:val="20"/>
          <w:szCs w:val="22"/>
          <w:lang w:eastAsia="en-US"/>
        </w:rPr>
        <w:t>, mobilní aplikace nebo online tržiště</w:t>
      </w:r>
      <w:r w:rsidRPr="002A2199">
        <w:rPr>
          <w:rFonts w:ascii="Arial" w:eastAsia="Calibri" w:hAnsi="Arial" w:cs="Arial"/>
          <w:b/>
          <w:spacing w:val="-4"/>
          <w:sz w:val="20"/>
          <w:szCs w:val="22"/>
          <w:lang w:eastAsia="en-US"/>
        </w:rPr>
        <w:t xml:space="preserve"> </w:t>
      </w:r>
      <w:r w:rsidR="00065DE3" w:rsidRPr="002A2199">
        <w:rPr>
          <w:rFonts w:ascii="Arial" w:eastAsia="Calibri" w:hAnsi="Arial" w:cs="Arial"/>
          <w:b/>
          <w:spacing w:val="-4"/>
          <w:sz w:val="20"/>
          <w:szCs w:val="22"/>
          <w:lang w:eastAsia="en-US"/>
        </w:rPr>
        <w:t>pětina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</w:t>
      </w:r>
      <w:r w:rsidR="00895312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(22 %) </w:t>
      </w:r>
      <w:r w:rsidR="00065DE3"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podniků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s deseti a více zaměstnanci</w:t>
      </w:r>
      <w:r w:rsidR="00895312" w:rsidRPr="00895312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</w:t>
      </w:r>
      <w:r w:rsidR="00895312"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v Česku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. </w:t>
      </w:r>
      <w:r w:rsidR="00BA0C21">
        <w:rPr>
          <w:rFonts w:ascii="Arial" w:eastAsia="Calibri" w:hAnsi="Arial" w:cs="Arial"/>
          <w:spacing w:val="-4"/>
          <w:sz w:val="20"/>
          <w:szCs w:val="22"/>
          <w:lang w:eastAsia="en-US"/>
        </w:rPr>
        <w:t>P</w:t>
      </w:r>
      <w:r w:rsidR="006A49D9">
        <w:rPr>
          <w:rFonts w:ascii="Arial" w:eastAsia="Calibri" w:hAnsi="Arial" w:cs="Arial"/>
          <w:spacing w:val="-4"/>
          <w:sz w:val="20"/>
          <w:szCs w:val="22"/>
          <w:lang w:eastAsia="en-US"/>
        </w:rPr>
        <w:t>odíl</w:t>
      </w:r>
      <w:r w:rsidR="006A49D9"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firem prodávajících své výrobky nebo služby online</w:t>
      </w:r>
      <w:r w:rsidR="002A2199"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se</w:t>
      </w:r>
      <w:r w:rsid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od roku 2012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</w:t>
      </w:r>
      <w:r w:rsidRPr="002A2199">
        <w:rPr>
          <w:rFonts w:ascii="Arial" w:eastAsia="Calibri" w:hAnsi="Arial" w:cs="Arial"/>
          <w:b/>
          <w:spacing w:val="-4"/>
          <w:sz w:val="20"/>
          <w:szCs w:val="22"/>
          <w:lang w:eastAsia="en-US"/>
        </w:rPr>
        <w:t xml:space="preserve">již </w:t>
      </w:r>
      <w:r w:rsidR="002A2199" w:rsidRPr="002A2199">
        <w:rPr>
          <w:rFonts w:ascii="Arial" w:eastAsia="Calibri" w:hAnsi="Arial" w:cs="Arial"/>
          <w:b/>
          <w:spacing w:val="-4"/>
          <w:sz w:val="20"/>
          <w:szCs w:val="22"/>
          <w:lang w:eastAsia="en-US"/>
        </w:rPr>
        <w:t xml:space="preserve">zásadně </w:t>
      </w:r>
      <w:r w:rsidRPr="002A2199">
        <w:rPr>
          <w:rFonts w:ascii="Arial" w:eastAsia="Calibri" w:hAnsi="Arial" w:cs="Arial"/>
          <w:b/>
          <w:spacing w:val="-4"/>
          <w:sz w:val="20"/>
          <w:szCs w:val="22"/>
          <w:lang w:eastAsia="en-US"/>
        </w:rPr>
        <w:t>nemění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a</w:t>
      </w:r>
      <w:r w:rsid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 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pohybu</w:t>
      </w:r>
      <w:r w:rsidR="002A2199"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j</w:t>
      </w:r>
      <w:r w:rsidR="006A49D9">
        <w:rPr>
          <w:rFonts w:ascii="Arial" w:eastAsia="Calibri" w:hAnsi="Arial" w:cs="Arial"/>
          <w:spacing w:val="-4"/>
          <w:sz w:val="20"/>
          <w:szCs w:val="22"/>
          <w:lang w:eastAsia="en-US"/>
        </w:rPr>
        <w:t>e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se</w:t>
      </w:r>
      <w:r w:rsidR="00787EBD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poměrně stabilně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</w:t>
      </w:r>
      <w:r w:rsidR="00724CBA">
        <w:rPr>
          <w:rFonts w:ascii="Arial" w:eastAsia="Calibri" w:hAnsi="Arial" w:cs="Arial"/>
          <w:spacing w:val="-4"/>
          <w:sz w:val="20"/>
          <w:szCs w:val="22"/>
          <w:lang w:eastAsia="en-US"/>
        </w:rPr>
        <w:t>okolo</w:t>
      </w:r>
      <w:r w:rsidR="00787EBD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hranice</w:t>
      </w:r>
      <w:r w:rsidR="00C25AE8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20 %</w:t>
      </w:r>
      <w:r w:rsidR="003E6ED3"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>.</w:t>
      </w:r>
      <w:r w:rsidRPr="002A2199">
        <w:rPr>
          <w:rFonts w:ascii="Arial" w:eastAsia="Calibri" w:hAnsi="Arial" w:cs="Arial"/>
          <w:spacing w:val="-4"/>
          <w:sz w:val="20"/>
          <w:szCs w:val="22"/>
          <w:lang w:eastAsia="en-US"/>
        </w:rPr>
        <w:t xml:space="preserve"> </w:t>
      </w:r>
    </w:p>
    <w:p w14:paraId="2CEC168D" w14:textId="5F2AE628" w:rsidR="00C23868" w:rsidRPr="00D83AAE" w:rsidRDefault="00C23868" w:rsidP="00703546">
      <w:pPr>
        <w:pStyle w:val="Zkladntext"/>
        <w:numPr>
          <w:ilvl w:val="0"/>
          <w:numId w:val="5"/>
        </w:numPr>
        <w:spacing w:before="0" w:after="60" w:line="288" w:lineRule="auto"/>
        <w:ind w:left="284" w:right="0" w:hanging="284"/>
        <w:rPr>
          <w:rFonts w:ascii="Arial" w:eastAsia="Calibri" w:hAnsi="Arial" w:cs="Arial"/>
          <w:sz w:val="20"/>
          <w:szCs w:val="22"/>
          <w:lang w:eastAsia="en-US"/>
        </w:rPr>
      </w:pPr>
      <w:r w:rsidRPr="00D83AAE">
        <w:rPr>
          <w:rFonts w:ascii="Arial" w:eastAsia="Calibri" w:hAnsi="Arial" w:cs="Arial"/>
          <w:sz w:val="20"/>
          <w:szCs w:val="22"/>
          <w:lang w:eastAsia="en-US"/>
        </w:rPr>
        <w:t xml:space="preserve">Na rozdíl od většiny </w:t>
      </w:r>
      <w:r w:rsidR="00FB7330" w:rsidRPr="00D83AAE">
        <w:rPr>
          <w:rFonts w:ascii="Arial" w:eastAsia="Calibri" w:hAnsi="Arial" w:cs="Arial"/>
          <w:sz w:val="20"/>
          <w:szCs w:val="22"/>
          <w:lang w:eastAsia="en-US"/>
        </w:rPr>
        <w:t>ostatních</w:t>
      </w:r>
      <w:r w:rsidRPr="00D83AAE">
        <w:rPr>
          <w:rFonts w:ascii="Arial" w:eastAsia="Calibri" w:hAnsi="Arial" w:cs="Arial"/>
          <w:sz w:val="20"/>
          <w:szCs w:val="22"/>
          <w:lang w:eastAsia="en-US"/>
        </w:rPr>
        <w:t xml:space="preserve"> ICT </w:t>
      </w:r>
      <w:r w:rsidR="003E6ED3" w:rsidRPr="00D83AAE">
        <w:rPr>
          <w:rFonts w:ascii="Arial" w:eastAsia="Calibri" w:hAnsi="Arial" w:cs="Arial"/>
          <w:sz w:val="20"/>
          <w:szCs w:val="22"/>
          <w:lang w:eastAsia="en-US"/>
        </w:rPr>
        <w:t xml:space="preserve">ukazatelů </w:t>
      </w:r>
      <w:r w:rsidR="00FB7330" w:rsidRPr="00D83AAE">
        <w:rPr>
          <w:rFonts w:ascii="Arial" w:eastAsia="Calibri" w:hAnsi="Arial" w:cs="Arial"/>
          <w:sz w:val="20"/>
          <w:szCs w:val="22"/>
          <w:lang w:eastAsia="en-US"/>
        </w:rPr>
        <w:t xml:space="preserve">se </w:t>
      </w:r>
      <w:r w:rsidR="00D83AAE" w:rsidRPr="00D83AAE">
        <w:rPr>
          <w:rFonts w:ascii="Arial" w:eastAsia="Calibri" w:hAnsi="Arial" w:cs="Arial"/>
          <w:sz w:val="20"/>
          <w:szCs w:val="22"/>
          <w:lang w:eastAsia="en-US"/>
        </w:rPr>
        <w:t>prodávání</w:t>
      </w:r>
      <w:r w:rsidR="008C4575" w:rsidRPr="00D83AAE">
        <w:rPr>
          <w:rFonts w:ascii="Arial" w:eastAsia="Calibri" w:hAnsi="Arial" w:cs="Arial"/>
          <w:sz w:val="20"/>
          <w:szCs w:val="22"/>
          <w:lang w:eastAsia="en-US"/>
        </w:rPr>
        <w:t xml:space="preserve"> přes web</w:t>
      </w:r>
      <w:r w:rsidRPr="00D83AAE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065DE3" w:rsidRPr="00B05F6D">
        <w:rPr>
          <w:rFonts w:ascii="Arial" w:eastAsia="Calibri" w:hAnsi="Arial" w:cs="Arial"/>
          <w:b/>
          <w:bCs/>
          <w:sz w:val="20"/>
          <w:szCs w:val="22"/>
          <w:lang w:eastAsia="en-US"/>
        </w:rPr>
        <w:t xml:space="preserve">liší </w:t>
      </w:r>
      <w:r w:rsidRPr="00B05F6D">
        <w:rPr>
          <w:rFonts w:ascii="Arial" w:eastAsia="Calibri" w:hAnsi="Arial" w:cs="Arial"/>
          <w:b/>
          <w:bCs/>
          <w:sz w:val="20"/>
          <w:szCs w:val="22"/>
          <w:lang w:eastAsia="en-US"/>
        </w:rPr>
        <w:t xml:space="preserve">v závislosti na velikosti </w:t>
      </w:r>
      <w:r w:rsidR="00D05463" w:rsidRPr="00B05F6D">
        <w:rPr>
          <w:rFonts w:ascii="Arial" w:eastAsia="Calibri" w:hAnsi="Arial" w:cs="Arial"/>
          <w:b/>
          <w:bCs/>
          <w:sz w:val="20"/>
          <w:szCs w:val="22"/>
          <w:lang w:eastAsia="en-US"/>
        </w:rPr>
        <w:t>podniku</w:t>
      </w:r>
      <w:r w:rsidR="002A2199" w:rsidRPr="00B05F6D">
        <w:rPr>
          <w:rFonts w:ascii="Arial" w:eastAsia="Calibri" w:hAnsi="Arial" w:cs="Arial"/>
          <w:b/>
          <w:bCs/>
          <w:sz w:val="20"/>
          <w:szCs w:val="22"/>
          <w:lang w:eastAsia="en-US"/>
        </w:rPr>
        <w:t xml:space="preserve"> </w:t>
      </w:r>
      <w:r w:rsidR="00D83AAE" w:rsidRPr="00B05F6D">
        <w:rPr>
          <w:rFonts w:ascii="Arial" w:eastAsia="Calibri" w:hAnsi="Arial" w:cs="Arial"/>
          <w:b/>
          <w:bCs/>
          <w:sz w:val="20"/>
          <w:szCs w:val="22"/>
          <w:lang w:eastAsia="en-US"/>
        </w:rPr>
        <w:t xml:space="preserve">poměrně </w:t>
      </w:r>
      <w:r w:rsidR="002A2199" w:rsidRPr="00B05F6D">
        <w:rPr>
          <w:rFonts w:ascii="Arial" w:eastAsia="Calibri" w:hAnsi="Arial" w:cs="Arial"/>
          <w:b/>
          <w:bCs/>
          <w:sz w:val="20"/>
          <w:szCs w:val="22"/>
          <w:lang w:eastAsia="en-US"/>
        </w:rPr>
        <w:t>málo</w:t>
      </w:r>
      <w:r w:rsidRPr="00D83AAE">
        <w:rPr>
          <w:rFonts w:ascii="Arial" w:eastAsia="Calibri" w:hAnsi="Arial" w:cs="Arial"/>
          <w:sz w:val="20"/>
          <w:szCs w:val="22"/>
          <w:lang w:eastAsia="en-US"/>
        </w:rPr>
        <w:t xml:space="preserve">. </w:t>
      </w:r>
      <w:r w:rsidR="002A2199" w:rsidRPr="00D83AAE">
        <w:rPr>
          <w:rFonts w:ascii="Arial" w:eastAsia="Calibri" w:hAnsi="Arial" w:cs="Arial"/>
          <w:sz w:val="20"/>
          <w:szCs w:val="22"/>
          <w:lang w:eastAsia="en-US"/>
        </w:rPr>
        <w:t>I zde</w:t>
      </w:r>
      <w:r w:rsidRPr="00D83AAE">
        <w:rPr>
          <w:rFonts w:ascii="Arial" w:eastAsia="Calibri" w:hAnsi="Arial" w:cs="Arial"/>
          <w:sz w:val="20"/>
          <w:szCs w:val="22"/>
          <w:lang w:eastAsia="en-US"/>
        </w:rPr>
        <w:t xml:space="preserve"> platí, že velké firmy prodáva</w:t>
      </w:r>
      <w:r w:rsidR="003E6ED3" w:rsidRPr="00D83AAE">
        <w:rPr>
          <w:rFonts w:ascii="Arial" w:eastAsia="Calibri" w:hAnsi="Arial" w:cs="Arial"/>
          <w:sz w:val="20"/>
          <w:szCs w:val="22"/>
          <w:lang w:eastAsia="en-US"/>
        </w:rPr>
        <w:t>jí</w:t>
      </w:r>
      <w:r w:rsidRPr="00D83AAE">
        <w:rPr>
          <w:rFonts w:ascii="Arial" w:eastAsia="Calibri" w:hAnsi="Arial" w:cs="Arial"/>
          <w:sz w:val="20"/>
          <w:szCs w:val="22"/>
          <w:lang w:eastAsia="en-US"/>
        </w:rPr>
        <w:t xml:space="preserve"> přes web častěji (</w:t>
      </w:r>
      <w:r w:rsidR="00D83AAE" w:rsidRPr="00D83AAE">
        <w:rPr>
          <w:rFonts w:ascii="Arial" w:eastAsia="Calibri" w:hAnsi="Arial" w:cs="Arial"/>
          <w:sz w:val="20"/>
          <w:szCs w:val="22"/>
          <w:lang w:eastAsia="en-US"/>
        </w:rPr>
        <w:t>27</w:t>
      </w:r>
      <w:r w:rsidRPr="00D83AAE">
        <w:rPr>
          <w:rFonts w:ascii="Arial" w:eastAsia="Calibri" w:hAnsi="Arial" w:cs="Arial"/>
          <w:sz w:val="20"/>
          <w:szCs w:val="22"/>
          <w:lang w:eastAsia="en-US"/>
        </w:rPr>
        <w:t> %</w:t>
      </w:r>
      <w:r w:rsidR="00A8680F" w:rsidRPr="00D83AAE">
        <w:rPr>
          <w:rFonts w:ascii="Arial" w:eastAsia="Calibri" w:hAnsi="Arial" w:cs="Arial"/>
          <w:sz w:val="20"/>
          <w:szCs w:val="22"/>
          <w:lang w:eastAsia="en-US"/>
        </w:rPr>
        <w:t xml:space="preserve"> podniků v roce 202</w:t>
      </w:r>
      <w:r w:rsidR="00D83AAE" w:rsidRPr="00D83AAE">
        <w:rPr>
          <w:rFonts w:ascii="Arial" w:eastAsia="Calibri" w:hAnsi="Arial" w:cs="Arial"/>
          <w:sz w:val="20"/>
          <w:szCs w:val="22"/>
          <w:lang w:eastAsia="en-US"/>
        </w:rPr>
        <w:t>4</w:t>
      </w:r>
      <w:r w:rsidRPr="00D83AAE">
        <w:rPr>
          <w:rFonts w:ascii="Arial" w:eastAsia="Calibri" w:hAnsi="Arial" w:cs="Arial"/>
          <w:sz w:val="20"/>
          <w:szCs w:val="22"/>
          <w:lang w:eastAsia="en-US"/>
        </w:rPr>
        <w:t xml:space="preserve">), ale rozdíl mezi nimi a </w:t>
      </w:r>
      <w:r w:rsidR="00065DE3" w:rsidRPr="00D83AAE">
        <w:rPr>
          <w:rFonts w:ascii="Arial" w:eastAsia="Calibri" w:hAnsi="Arial" w:cs="Arial"/>
          <w:sz w:val="20"/>
          <w:szCs w:val="22"/>
          <w:lang w:eastAsia="en-US"/>
        </w:rPr>
        <w:t>malými firmami (2</w:t>
      </w:r>
      <w:r w:rsidR="00D83AAE" w:rsidRPr="00D83AAE">
        <w:rPr>
          <w:rFonts w:ascii="Arial" w:eastAsia="Calibri" w:hAnsi="Arial" w:cs="Arial"/>
          <w:sz w:val="20"/>
          <w:szCs w:val="22"/>
          <w:lang w:eastAsia="en-US"/>
        </w:rPr>
        <w:t>2</w:t>
      </w:r>
      <w:r w:rsidR="00065DE3" w:rsidRPr="00D83AAE">
        <w:rPr>
          <w:rFonts w:ascii="Arial" w:eastAsia="Calibri" w:hAnsi="Arial" w:cs="Arial"/>
          <w:sz w:val="20"/>
          <w:szCs w:val="22"/>
          <w:lang w:eastAsia="en-US"/>
        </w:rPr>
        <w:t xml:space="preserve"> %)</w:t>
      </w:r>
      <w:r w:rsidRPr="00D83AAE">
        <w:rPr>
          <w:rFonts w:ascii="Arial" w:eastAsia="Calibri" w:hAnsi="Arial" w:cs="Arial"/>
          <w:sz w:val="20"/>
          <w:szCs w:val="22"/>
          <w:lang w:eastAsia="en-US"/>
        </w:rPr>
        <w:t xml:space="preserve"> není výrazný.</w:t>
      </w:r>
    </w:p>
    <w:p w14:paraId="7829F756" w14:textId="2D839763" w:rsidR="004A0CD3" w:rsidRPr="00CD014B" w:rsidRDefault="002B468A" w:rsidP="00703546">
      <w:pPr>
        <w:pStyle w:val="Zkladntext"/>
        <w:numPr>
          <w:ilvl w:val="0"/>
          <w:numId w:val="5"/>
        </w:numPr>
        <w:spacing w:before="0" w:after="60" w:line="288" w:lineRule="auto"/>
        <w:ind w:left="284" w:right="0" w:hanging="284"/>
        <w:rPr>
          <w:rFonts w:ascii="Arial" w:eastAsia="Calibri" w:hAnsi="Arial" w:cs="Arial"/>
          <w:sz w:val="20"/>
          <w:szCs w:val="22"/>
          <w:lang w:eastAsia="en-US"/>
        </w:rPr>
      </w:pPr>
      <w:r w:rsidRPr="00CD014B">
        <w:rPr>
          <w:rFonts w:ascii="Arial" w:eastAsia="Calibri" w:hAnsi="Arial" w:cs="Arial"/>
          <w:b/>
          <w:sz w:val="20"/>
          <w:szCs w:val="22"/>
          <w:lang w:eastAsia="en-US"/>
        </w:rPr>
        <w:t>Prodej</w:t>
      </w:r>
      <w:r w:rsidR="00AE3D80" w:rsidRPr="00CD014B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B05F6D" w:rsidRPr="00CD014B">
        <w:rPr>
          <w:rFonts w:ascii="Arial" w:eastAsia="Calibri" w:hAnsi="Arial" w:cs="Arial"/>
          <w:b/>
          <w:sz w:val="20"/>
          <w:szCs w:val="22"/>
          <w:lang w:eastAsia="en-US"/>
        </w:rPr>
        <w:t>přes prostředí webových stránek</w:t>
      </w:r>
      <w:r w:rsidR="00D748C3" w:rsidRPr="00CD014B">
        <w:rPr>
          <w:rFonts w:ascii="Arial" w:eastAsia="Calibri" w:hAnsi="Arial" w:cs="Arial"/>
          <w:b/>
          <w:sz w:val="20"/>
          <w:szCs w:val="22"/>
          <w:lang w:eastAsia="en-US"/>
        </w:rPr>
        <w:t xml:space="preserve"> </w:t>
      </w:r>
      <w:r w:rsidRPr="00CD014B">
        <w:rPr>
          <w:rFonts w:ascii="Arial" w:eastAsia="Calibri" w:hAnsi="Arial" w:cs="Arial"/>
          <w:b/>
          <w:sz w:val="20"/>
          <w:szCs w:val="22"/>
          <w:lang w:eastAsia="en-US"/>
        </w:rPr>
        <w:t>je typický pro</w:t>
      </w:r>
      <w:r w:rsidR="00FB7330" w:rsidRPr="00CD014B">
        <w:rPr>
          <w:rFonts w:ascii="Arial" w:hAnsi="Arial" w:cs="Arial"/>
          <w:b/>
          <w:sz w:val="20"/>
        </w:rPr>
        <w:t xml:space="preserve"> podniky působící v cestovním ruchu</w:t>
      </w:r>
      <w:r w:rsidR="004A0CD3" w:rsidRPr="00CD014B">
        <w:rPr>
          <w:rFonts w:ascii="Arial" w:hAnsi="Arial" w:cs="Arial"/>
          <w:b/>
          <w:sz w:val="20"/>
        </w:rPr>
        <w:t xml:space="preserve"> </w:t>
      </w:r>
      <w:r w:rsidR="004A0CD3" w:rsidRPr="00CD014B">
        <w:rPr>
          <w:rFonts w:ascii="Arial" w:eastAsia="Calibri" w:hAnsi="Arial" w:cs="Arial"/>
          <w:sz w:val="20"/>
          <w:szCs w:val="22"/>
          <w:lang w:eastAsia="en-US"/>
        </w:rPr>
        <w:t>– v roce 20</w:t>
      </w:r>
      <w:r w:rsidR="00065DE3" w:rsidRPr="00CD014B">
        <w:rPr>
          <w:rFonts w:ascii="Arial" w:eastAsia="Calibri" w:hAnsi="Arial" w:cs="Arial"/>
          <w:sz w:val="20"/>
          <w:szCs w:val="22"/>
          <w:lang w:eastAsia="en-US"/>
        </w:rPr>
        <w:t>2</w:t>
      </w:r>
      <w:r w:rsidR="00B05F6D" w:rsidRPr="00CD014B">
        <w:rPr>
          <w:rFonts w:ascii="Arial" w:eastAsia="Calibri" w:hAnsi="Arial" w:cs="Arial"/>
          <w:sz w:val="20"/>
          <w:szCs w:val="22"/>
          <w:lang w:eastAsia="en-US"/>
        </w:rPr>
        <w:t>4</w:t>
      </w:r>
      <w:r w:rsidR="00065DE3" w:rsidRPr="00CD014B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1C7FEB" w:rsidRPr="00CD014B">
        <w:rPr>
          <w:rFonts w:ascii="Arial" w:eastAsia="Calibri" w:hAnsi="Arial" w:cs="Arial"/>
          <w:sz w:val="20"/>
          <w:szCs w:val="22"/>
          <w:lang w:eastAsia="en-US"/>
        </w:rPr>
        <w:t>do</w:t>
      </w:r>
      <w:r w:rsidR="004A0CD3" w:rsidRPr="00CD014B">
        <w:rPr>
          <w:rFonts w:ascii="Arial" w:eastAsia="Calibri" w:hAnsi="Arial" w:cs="Arial"/>
          <w:sz w:val="20"/>
          <w:szCs w:val="22"/>
          <w:lang w:eastAsia="en-US"/>
        </w:rPr>
        <w:t xml:space="preserve">sáhl podíl prodávajících </w:t>
      </w:r>
      <w:r w:rsidR="00FB7330" w:rsidRPr="00CD014B">
        <w:rPr>
          <w:rFonts w:ascii="Arial" w:eastAsia="Calibri" w:hAnsi="Arial" w:cs="Arial"/>
          <w:sz w:val="20"/>
          <w:szCs w:val="22"/>
          <w:lang w:eastAsia="en-US"/>
        </w:rPr>
        <w:t>v</w:t>
      </w:r>
      <w:r w:rsidR="008C126A" w:rsidRPr="00CD014B">
        <w:rPr>
          <w:rFonts w:ascii="Arial" w:eastAsia="Calibri" w:hAnsi="Arial" w:cs="Arial"/>
          <w:sz w:val="20"/>
          <w:szCs w:val="22"/>
          <w:lang w:eastAsia="en-US"/>
        </w:rPr>
        <w:t> </w:t>
      </w:r>
      <w:r w:rsidR="00065DE3" w:rsidRPr="00CD014B">
        <w:rPr>
          <w:rFonts w:ascii="Arial" w:eastAsia="Calibri" w:hAnsi="Arial" w:cs="Arial"/>
          <w:sz w:val="20"/>
          <w:szCs w:val="22"/>
          <w:lang w:eastAsia="en-US"/>
        </w:rPr>
        <w:t>odvětví</w:t>
      </w:r>
      <w:r w:rsidR="0013282B">
        <w:rPr>
          <w:rFonts w:ascii="Arial" w:eastAsia="Calibri" w:hAnsi="Arial" w:cs="Arial"/>
          <w:sz w:val="20"/>
          <w:szCs w:val="22"/>
          <w:lang w:eastAsia="en-US"/>
        </w:rPr>
        <w:t>ch</w:t>
      </w:r>
      <w:r w:rsidR="008C126A" w:rsidRPr="00CD014B">
        <w:rPr>
          <w:rFonts w:ascii="Arial" w:eastAsia="Calibri" w:hAnsi="Arial" w:cs="Arial"/>
          <w:sz w:val="20"/>
          <w:szCs w:val="22"/>
          <w:lang w:eastAsia="en-US"/>
        </w:rPr>
        <w:t xml:space="preserve"> ubytování a </w:t>
      </w:r>
      <w:r w:rsidR="0013282B">
        <w:rPr>
          <w:rFonts w:ascii="Arial" w:eastAsia="Calibri" w:hAnsi="Arial" w:cs="Arial"/>
          <w:sz w:val="20"/>
          <w:szCs w:val="22"/>
          <w:lang w:eastAsia="en-US"/>
        </w:rPr>
        <w:t xml:space="preserve">také </w:t>
      </w:r>
      <w:r w:rsidR="00FB7330" w:rsidRPr="00CD014B">
        <w:rPr>
          <w:rFonts w:ascii="Arial" w:eastAsia="Calibri" w:hAnsi="Arial" w:cs="Arial"/>
          <w:sz w:val="20"/>
          <w:szCs w:val="22"/>
          <w:lang w:eastAsia="en-US"/>
        </w:rPr>
        <w:t xml:space="preserve">činnosti </w:t>
      </w:r>
      <w:r w:rsidR="00FB7330" w:rsidRPr="00CD014B">
        <w:rPr>
          <w:rFonts w:ascii="Arial" w:hAnsi="Arial" w:cs="Arial"/>
          <w:sz w:val="20"/>
        </w:rPr>
        <w:t xml:space="preserve">cestovních agentur a kanceláří </w:t>
      </w:r>
      <w:r w:rsidRPr="00CD014B">
        <w:rPr>
          <w:rFonts w:ascii="Arial" w:hAnsi="Arial" w:cs="Arial"/>
          <w:sz w:val="20"/>
        </w:rPr>
        <w:t>na</w:t>
      </w:r>
      <w:r w:rsidR="0013282B">
        <w:rPr>
          <w:rFonts w:ascii="Arial" w:hAnsi="Arial" w:cs="Arial"/>
          <w:sz w:val="20"/>
        </w:rPr>
        <w:t> </w:t>
      </w:r>
      <w:r w:rsidR="00054749" w:rsidRPr="00CD014B">
        <w:rPr>
          <w:rFonts w:ascii="Arial" w:hAnsi="Arial" w:cs="Arial"/>
          <w:sz w:val="20"/>
        </w:rPr>
        <w:t>73</w:t>
      </w:r>
      <w:r w:rsidR="004A0CD3" w:rsidRPr="00CD014B">
        <w:rPr>
          <w:rFonts w:ascii="Arial" w:eastAsia="Calibri" w:hAnsi="Arial" w:cs="Arial"/>
          <w:sz w:val="20"/>
          <w:szCs w:val="22"/>
          <w:lang w:eastAsia="en-US"/>
        </w:rPr>
        <w:t> %.</w:t>
      </w:r>
      <w:r w:rsidR="00AE3D80" w:rsidRPr="00CD014B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6F1EF8" w:rsidRPr="00CD014B">
        <w:rPr>
          <w:rFonts w:ascii="Arial" w:eastAsia="Calibri" w:hAnsi="Arial" w:cs="Arial"/>
          <w:sz w:val="20"/>
          <w:szCs w:val="22"/>
          <w:lang w:eastAsia="en-US"/>
        </w:rPr>
        <w:t>Tento způsob prodeje je naopak nejméně</w:t>
      </w:r>
      <w:r w:rsidRPr="00CD014B">
        <w:rPr>
          <w:rFonts w:ascii="Arial" w:eastAsia="Calibri" w:hAnsi="Arial" w:cs="Arial"/>
          <w:sz w:val="20"/>
          <w:szCs w:val="22"/>
          <w:lang w:eastAsia="en-US"/>
        </w:rPr>
        <w:t xml:space="preserve"> rozšířen u </w:t>
      </w:r>
      <w:r w:rsidR="00AE3D80" w:rsidRPr="00CD014B">
        <w:rPr>
          <w:rFonts w:ascii="Arial" w:eastAsia="Calibri" w:hAnsi="Arial" w:cs="Arial"/>
          <w:sz w:val="20"/>
          <w:szCs w:val="22"/>
          <w:lang w:eastAsia="en-US"/>
        </w:rPr>
        <w:t>fir</w:t>
      </w:r>
      <w:r w:rsidRPr="00CD014B">
        <w:rPr>
          <w:rFonts w:ascii="Arial" w:eastAsia="Calibri" w:hAnsi="Arial" w:cs="Arial"/>
          <w:sz w:val="20"/>
          <w:szCs w:val="22"/>
          <w:lang w:eastAsia="en-US"/>
        </w:rPr>
        <w:t>e</w:t>
      </w:r>
      <w:r w:rsidR="00AE3D80" w:rsidRPr="00CD014B">
        <w:rPr>
          <w:rFonts w:ascii="Arial" w:eastAsia="Calibri" w:hAnsi="Arial" w:cs="Arial"/>
          <w:sz w:val="20"/>
          <w:szCs w:val="22"/>
          <w:lang w:eastAsia="en-US"/>
        </w:rPr>
        <w:t>m z oboru stavebnictví (</w:t>
      </w:r>
      <w:r w:rsidR="006F1EF8" w:rsidRPr="00CD014B">
        <w:rPr>
          <w:rFonts w:ascii="Arial" w:eastAsia="Calibri" w:hAnsi="Arial" w:cs="Arial"/>
          <w:sz w:val="20"/>
          <w:szCs w:val="22"/>
          <w:lang w:eastAsia="en-US"/>
        </w:rPr>
        <w:t>5</w:t>
      </w:r>
      <w:r w:rsidR="001C7FEB" w:rsidRPr="00CD014B">
        <w:rPr>
          <w:rFonts w:ascii="Arial" w:eastAsia="Calibri" w:hAnsi="Arial" w:cs="Arial"/>
          <w:sz w:val="20"/>
          <w:szCs w:val="22"/>
          <w:lang w:eastAsia="en-US"/>
        </w:rPr>
        <w:t xml:space="preserve"> %</w:t>
      </w:r>
      <w:r w:rsidR="006F1EF8" w:rsidRPr="00CD014B">
        <w:rPr>
          <w:rFonts w:ascii="Arial" w:eastAsia="Calibri" w:hAnsi="Arial" w:cs="Arial"/>
          <w:sz w:val="20"/>
          <w:szCs w:val="22"/>
          <w:lang w:eastAsia="en-US"/>
        </w:rPr>
        <w:t xml:space="preserve"> podniků v roce 2024</w:t>
      </w:r>
      <w:r w:rsidR="001C7FEB" w:rsidRPr="00CD014B">
        <w:rPr>
          <w:rFonts w:ascii="Arial" w:eastAsia="Calibri" w:hAnsi="Arial" w:cs="Arial"/>
          <w:sz w:val="20"/>
          <w:szCs w:val="22"/>
          <w:lang w:eastAsia="en-US"/>
        </w:rPr>
        <w:t>), dopravy a skladování</w:t>
      </w:r>
      <w:r w:rsidR="00CD014B" w:rsidRPr="00CD014B">
        <w:rPr>
          <w:rFonts w:ascii="Arial" w:eastAsia="Calibri" w:hAnsi="Arial" w:cs="Arial"/>
          <w:sz w:val="20"/>
          <w:szCs w:val="22"/>
          <w:lang w:eastAsia="en-US"/>
        </w:rPr>
        <w:t xml:space="preserve"> či administrativních a podpůrných činností</w:t>
      </w:r>
      <w:r w:rsidR="00AE3D80" w:rsidRPr="00CD014B">
        <w:rPr>
          <w:rFonts w:ascii="Arial" w:eastAsia="Calibri" w:hAnsi="Arial" w:cs="Arial"/>
          <w:sz w:val="20"/>
          <w:szCs w:val="22"/>
          <w:lang w:eastAsia="en-US"/>
        </w:rPr>
        <w:t xml:space="preserve"> (</w:t>
      </w:r>
      <w:r w:rsidR="00CD014B" w:rsidRPr="00CD014B">
        <w:rPr>
          <w:rFonts w:ascii="Arial" w:eastAsia="Calibri" w:hAnsi="Arial" w:cs="Arial"/>
          <w:sz w:val="20"/>
          <w:szCs w:val="22"/>
          <w:lang w:eastAsia="en-US"/>
        </w:rPr>
        <w:t xml:space="preserve">v každém z těchto odvětví shodně </w:t>
      </w:r>
      <w:r w:rsidR="006F1EF8" w:rsidRPr="00CD014B">
        <w:rPr>
          <w:rFonts w:ascii="Arial" w:eastAsia="Calibri" w:hAnsi="Arial" w:cs="Arial"/>
          <w:sz w:val="20"/>
          <w:szCs w:val="22"/>
          <w:lang w:eastAsia="en-US"/>
        </w:rPr>
        <w:t>10</w:t>
      </w:r>
      <w:r w:rsidR="00AE3D80" w:rsidRPr="00CD014B">
        <w:rPr>
          <w:rFonts w:ascii="Arial" w:eastAsia="Calibri" w:hAnsi="Arial" w:cs="Arial"/>
          <w:sz w:val="20"/>
          <w:szCs w:val="22"/>
          <w:lang w:eastAsia="en-US"/>
        </w:rPr>
        <w:t xml:space="preserve"> %</w:t>
      </w:r>
      <w:r w:rsidR="00CD014B" w:rsidRPr="00CD014B">
        <w:rPr>
          <w:rFonts w:ascii="Arial" w:eastAsia="Calibri" w:hAnsi="Arial" w:cs="Arial"/>
          <w:sz w:val="20"/>
          <w:szCs w:val="22"/>
          <w:lang w:eastAsia="en-US"/>
        </w:rPr>
        <w:t xml:space="preserve"> podniků</w:t>
      </w:r>
      <w:r w:rsidR="00AE3D80" w:rsidRPr="00CD014B">
        <w:rPr>
          <w:rFonts w:ascii="Arial" w:eastAsia="Calibri" w:hAnsi="Arial" w:cs="Arial"/>
          <w:sz w:val="20"/>
          <w:szCs w:val="22"/>
          <w:lang w:eastAsia="en-US"/>
        </w:rPr>
        <w:t>)</w:t>
      </w:r>
      <w:r w:rsidR="001C7FEB" w:rsidRPr="00CD014B">
        <w:rPr>
          <w:rFonts w:ascii="Arial" w:eastAsia="Calibri" w:hAnsi="Arial" w:cs="Arial"/>
          <w:sz w:val="20"/>
          <w:szCs w:val="22"/>
          <w:lang w:eastAsia="en-US"/>
        </w:rPr>
        <w:t xml:space="preserve"> nebo z</w:t>
      </w:r>
      <w:r w:rsidR="006F1EF8" w:rsidRPr="00CD014B">
        <w:rPr>
          <w:rFonts w:ascii="Arial" w:eastAsia="Calibri" w:hAnsi="Arial" w:cs="Arial"/>
          <w:sz w:val="20"/>
          <w:szCs w:val="22"/>
          <w:lang w:eastAsia="en-US"/>
        </w:rPr>
        <w:t xml:space="preserve"> oblasti </w:t>
      </w:r>
      <w:r w:rsidR="001C7FEB" w:rsidRPr="00CD014B">
        <w:rPr>
          <w:rFonts w:ascii="Arial" w:eastAsia="Calibri" w:hAnsi="Arial" w:cs="Arial"/>
          <w:sz w:val="20"/>
          <w:szCs w:val="22"/>
          <w:lang w:eastAsia="en-US"/>
        </w:rPr>
        <w:t>energetiky (8 %)</w:t>
      </w:r>
      <w:r w:rsidR="00AE3D80" w:rsidRPr="00CD014B">
        <w:rPr>
          <w:rFonts w:ascii="Arial" w:eastAsia="Calibri" w:hAnsi="Arial" w:cs="Arial"/>
          <w:sz w:val="20"/>
          <w:szCs w:val="22"/>
          <w:lang w:eastAsia="en-US"/>
        </w:rPr>
        <w:t>.</w:t>
      </w:r>
    </w:p>
    <w:p w14:paraId="7D029DD7" w14:textId="11DE3D6D" w:rsidR="008D1319" w:rsidRPr="006C3757" w:rsidRDefault="006C3757" w:rsidP="00703546">
      <w:pPr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iCs/>
          <w:sz w:val="20"/>
          <w:szCs w:val="20"/>
        </w:rPr>
        <w:t>V</w:t>
      </w:r>
      <w:r w:rsidR="00B8473E">
        <w:rPr>
          <w:rFonts w:ascii="Arial" w:hAnsi="Arial" w:cs="Arial"/>
          <w:iCs/>
          <w:sz w:val="20"/>
          <w:szCs w:val="20"/>
        </w:rPr>
        <w:t> </w:t>
      </w:r>
      <w:r>
        <w:rPr>
          <w:rFonts w:ascii="Arial" w:hAnsi="Arial" w:cs="Arial"/>
          <w:iCs/>
          <w:sz w:val="20"/>
          <w:szCs w:val="20"/>
        </w:rPr>
        <w:t>prodejích</w:t>
      </w:r>
      <w:r w:rsidR="00266537" w:rsidRPr="006C3757">
        <w:rPr>
          <w:rFonts w:ascii="Arial" w:hAnsi="Arial" w:cs="Arial"/>
          <w:iCs/>
          <w:sz w:val="20"/>
          <w:szCs w:val="20"/>
        </w:rPr>
        <w:t xml:space="preserve"> přes webové stránky nebo mobilní aplikace</w:t>
      </w:r>
      <w:r w:rsidR="00D174E9" w:rsidRPr="006C3757">
        <w:rPr>
          <w:rFonts w:ascii="Arial" w:hAnsi="Arial" w:cs="Arial"/>
          <w:iCs/>
          <w:sz w:val="20"/>
          <w:szCs w:val="20"/>
        </w:rPr>
        <w:t xml:space="preserve"> jsou </w:t>
      </w:r>
      <w:r w:rsidR="00D174E9" w:rsidRPr="006C3757">
        <w:rPr>
          <w:rFonts w:ascii="Arial" w:hAnsi="Arial" w:cs="Arial"/>
          <w:b/>
          <w:bCs/>
          <w:iCs/>
          <w:sz w:val="20"/>
          <w:szCs w:val="20"/>
        </w:rPr>
        <w:t>podniky v</w:t>
      </w:r>
      <w:r w:rsidR="008A458F" w:rsidRPr="006C3757">
        <w:rPr>
          <w:rFonts w:ascii="Arial" w:hAnsi="Arial" w:cs="Arial"/>
          <w:b/>
          <w:bCs/>
          <w:iCs/>
          <w:sz w:val="20"/>
          <w:szCs w:val="20"/>
        </w:rPr>
        <w:t> </w:t>
      </w:r>
      <w:r w:rsidR="00D174E9" w:rsidRPr="006C3757">
        <w:rPr>
          <w:rFonts w:ascii="Arial" w:hAnsi="Arial" w:cs="Arial"/>
          <w:b/>
          <w:bCs/>
          <w:iCs/>
          <w:sz w:val="20"/>
          <w:szCs w:val="20"/>
        </w:rPr>
        <w:t>Česku</w:t>
      </w:r>
      <w:r w:rsidR="008A458F" w:rsidRPr="006C3757">
        <w:rPr>
          <w:rFonts w:ascii="Arial" w:hAnsi="Arial" w:cs="Arial"/>
          <w:b/>
          <w:bCs/>
          <w:iCs/>
          <w:sz w:val="20"/>
          <w:szCs w:val="20"/>
        </w:rPr>
        <w:t xml:space="preserve"> (22 %</w:t>
      </w:r>
      <w:r w:rsidR="00AE3782" w:rsidRPr="006C3757">
        <w:rPr>
          <w:rFonts w:ascii="Arial" w:hAnsi="Arial" w:cs="Arial"/>
          <w:b/>
          <w:bCs/>
          <w:iCs/>
          <w:sz w:val="20"/>
          <w:szCs w:val="20"/>
        </w:rPr>
        <w:t>) za rok 2024</w:t>
      </w:r>
      <w:r w:rsidR="00D174E9" w:rsidRPr="006C3757">
        <w:rPr>
          <w:rFonts w:ascii="Arial" w:hAnsi="Arial" w:cs="Arial"/>
          <w:b/>
          <w:bCs/>
          <w:iCs/>
          <w:sz w:val="20"/>
          <w:szCs w:val="20"/>
        </w:rPr>
        <w:t xml:space="preserve"> přibližně na úrovni průměru EU27 (21 %)</w:t>
      </w:r>
      <w:r w:rsidR="00AE3782" w:rsidRPr="006C3757">
        <w:rPr>
          <w:rFonts w:ascii="Arial" w:hAnsi="Arial" w:cs="Arial"/>
          <w:iCs/>
          <w:sz w:val="20"/>
          <w:szCs w:val="20"/>
        </w:rPr>
        <w:t>.</w:t>
      </w:r>
      <w:r w:rsidR="00D174E9" w:rsidRPr="006C3757">
        <w:rPr>
          <w:rFonts w:ascii="Arial" w:hAnsi="Arial" w:cs="Arial"/>
          <w:iCs/>
          <w:sz w:val="20"/>
          <w:szCs w:val="20"/>
        </w:rPr>
        <w:t xml:space="preserve"> </w:t>
      </w:r>
      <w:r w:rsidR="00266537" w:rsidRPr="006C3757">
        <w:rPr>
          <w:rFonts w:ascii="Arial" w:hAnsi="Arial" w:cs="Arial"/>
          <w:sz w:val="20"/>
        </w:rPr>
        <w:t>První příčka patřila v tomto ukazateli podnikům v Litvě, kde v roce 202</w:t>
      </w:r>
      <w:r w:rsidR="00AE3782" w:rsidRPr="006C3757">
        <w:rPr>
          <w:rFonts w:ascii="Arial" w:hAnsi="Arial" w:cs="Arial"/>
          <w:sz w:val="20"/>
        </w:rPr>
        <w:t>4</w:t>
      </w:r>
      <w:r w:rsidR="00266537" w:rsidRPr="006C3757">
        <w:rPr>
          <w:rFonts w:ascii="Arial" w:hAnsi="Arial" w:cs="Arial"/>
          <w:sz w:val="20"/>
        </w:rPr>
        <w:t xml:space="preserve"> využilo prodeje přes web 4</w:t>
      </w:r>
      <w:r w:rsidR="00D46545" w:rsidRPr="006C3757">
        <w:rPr>
          <w:rFonts w:ascii="Arial" w:hAnsi="Arial" w:cs="Arial"/>
          <w:sz w:val="20"/>
        </w:rPr>
        <w:t>1</w:t>
      </w:r>
      <w:r w:rsidR="00266537" w:rsidRPr="006C3757">
        <w:rPr>
          <w:rFonts w:ascii="Arial" w:hAnsi="Arial" w:cs="Arial"/>
          <w:sz w:val="20"/>
        </w:rPr>
        <w:t xml:space="preserve"> % </w:t>
      </w:r>
      <w:r w:rsidR="00D46545" w:rsidRPr="006C3757">
        <w:rPr>
          <w:rFonts w:ascii="Arial" w:hAnsi="Arial" w:cs="Arial"/>
          <w:sz w:val="20"/>
        </w:rPr>
        <w:t xml:space="preserve">tamějších </w:t>
      </w:r>
      <w:r w:rsidR="00266537" w:rsidRPr="006C3757">
        <w:rPr>
          <w:rFonts w:ascii="Arial" w:hAnsi="Arial" w:cs="Arial"/>
          <w:sz w:val="20"/>
        </w:rPr>
        <w:t>podniků s deseti a více zaměstnanci. Nejméně často pak přes web prodávaly podniky v Rumunsku (13 %) nebo v Lucembursku (1</w:t>
      </w:r>
      <w:r w:rsidR="00D46545" w:rsidRPr="006C3757">
        <w:rPr>
          <w:rFonts w:ascii="Arial" w:hAnsi="Arial" w:cs="Arial"/>
          <w:sz w:val="20"/>
        </w:rPr>
        <w:t>3</w:t>
      </w:r>
      <w:r w:rsidR="00266537" w:rsidRPr="006C3757">
        <w:rPr>
          <w:rFonts w:ascii="Arial" w:hAnsi="Arial" w:cs="Arial"/>
          <w:sz w:val="20"/>
        </w:rPr>
        <w:t xml:space="preserve"> %). </w:t>
      </w:r>
    </w:p>
    <w:p w14:paraId="686E4E31" w14:textId="63CAACEE" w:rsidR="00EC660D" w:rsidRPr="00930834" w:rsidRDefault="00EC660D" w:rsidP="00703546">
      <w:pPr>
        <w:pStyle w:val="Zkladntext"/>
        <w:numPr>
          <w:ilvl w:val="0"/>
          <w:numId w:val="5"/>
        </w:numPr>
        <w:spacing w:before="0" w:after="60" w:line="288" w:lineRule="auto"/>
        <w:ind w:left="284" w:right="0" w:hanging="284"/>
        <w:rPr>
          <w:rFonts w:ascii="Arial" w:eastAsia="Calibri" w:hAnsi="Arial" w:cs="Arial"/>
          <w:spacing w:val="-2"/>
          <w:sz w:val="20"/>
          <w:szCs w:val="22"/>
          <w:lang w:eastAsia="en-US"/>
        </w:rPr>
      </w:pP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Firmy prodávající online prodávají </w:t>
      </w:r>
      <w:r w:rsidRPr="00930834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>téměř výhradně přes své vlastní webové stránky</w:t>
      </w:r>
      <w:r w:rsidR="00FD770A" w:rsidRPr="00930834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 xml:space="preserve"> (e-shop)</w:t>
      </w:r>
      <w:r w:rsidR="00FC1BBB" w:rsidRPr="00930834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 xml:space="preserve"> nebo aplikace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. Prodej přes online tržiště</w:t>
      </w:r>
      <w:r w:rsidR="003B7832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není</w:t>
      </w:r>
      <w:r w:rsidR="004673E7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zatím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v českém prostředí</w:t>
      </w:r>
      <w:r w:rsidR="00FD770A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příliš rozšířen</w:t>
      </w:r>
      <w:r w:rsidR="003274BE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.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V</w:t>
      </w:r>
      <w:r w:rsidR="003B7832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 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roce 202</w:t>
      </w:r>
      <w:r w:rsidR="00FD770A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4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prodával</w:t>
      </w:r>
      <w:r w:rsidR="0061104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o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prostřednictvím online tržišť </w:t>
      </w:r>
      <w:r w:rsidR="00343277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8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 % všech podniků s více než 10 zaměstnanci. </w:t>
      </w:r>
      <w:r w:rsidRPr="00930834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 xml:space="preserve">Výjimku </w:t>
      </w:r>
      <w:r w:rsidR="001207C3" w:rsidRPr="00930834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 xml:space="preserve">zde </w:t>
      </w:r>
      <w:r w:rsidRPr="00930834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>tvoří podniky působící v oblasti ubytování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. </w:t>
      </w:r>
      <w:r w:rsidR="00D775FF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V roce 202</w:t>
      </w:r>
      <w:r w:rsidR="001207C3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4</w:t>
      </w:r>
      <w:r w:rsidR="00F03B2A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="004C21C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prodávalo</w:t>
      </w:r>
      <w:r w:rsidR="001207C3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přes online tržiště</w:t>
      </w:r>
      <w:r w:rsidR="004C21C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="00343277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5</w:t>
      </w:r>
      <w:r w:rsidR="00A463CE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6</w:t>
      </w:r>
      <w:r w:rsidR="004C21C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 </w:t>
      </w:r>
      <w:r w:rsidR="00D775FF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%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="00A463CE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podniků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="00D775FF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v tomto odvětví</w:t>
      </w:r>
      <w:r w:rsidR="0061104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.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="0061104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S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 </w:t>
      </w:r>
      <w:r w:rsidR="00414E76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výrazným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odstupem pak následuj</w:t>
      </w:r>
      <w:r w:rsidR="0061104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í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cestovní agentur</w:t>
      </w:r>
      <w:r w:rsidR="0061104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y</w:t>
      </w:r>
      <w:r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a kancelář</w:t>
      </w:r>
      <w:r w:rsidR="0061104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e</w:t>
      </w:r>
      <w:r w:rsidR="00D775FF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(</w:t>
      </w:r>
      <w:r w:rsidR="00343277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3</w:t>
      </w:r>
      <w:r w:rsidR="00A463CE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2</w:t>
      </w:r>
      <w:r w:rsidR="004C21C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 </w:t>
      </w:r>
      <w:r w:rsidR="00D775FF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% podniků)</w:t>
      </w:r>
      <w:r w:rsidR="00471180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a</w:t>
      </w:r>
      <w:r w:rsidR="00D775FF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="007D7BD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stravování</w:t>
      </w:r>
      <w:r w:rsidR="00D775FF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(</w:t>
      </w:r>
      <w:r w:rsidR="00343277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2</w:t>
      </w:r>
      <w:r w:rsidR="007D7BD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0</w:t>
      </w:r>
      <w:r w:rsidR="00D775FF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%</w:t>
      </w:r>
      <w:r w:rsidR="007D7BD9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)</w:t>
      </w:r>
      <w:r w:rsidR="00D775FF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="00471180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či podniky působící v mediální oblasti (</w:t>
      </w:r>
      <w:r w:rsidR="001035B2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19 %)</w:t>
      </w:r>
      <w:r w:rsidR="00D775FF" w:rsidRPr="00930834">
        <w:rPr>
          <w:rFonts w:ascii="Arial" w:eastAsia="Calibri" w:hAnsi="Arial" w:cs="Arial"/>
          <w:spacing w:val="-2"/>
          <w:sz w:val="20"/>
          <w:szCs w:val="22"/>
          <w:lang w:eastAsia="en-US"/>
        </w:rPr>
        <w:t>.</w:t>
      </w:r>
    </w:p>
    <w:p w14:paraId="5C59B75B" w14:textId="2722FD74" w:rsidR="006E2514" w:rsidRPr="00BB777B" w:rsidRDefault="006E2514" w:rsidP="00703546">
      <w:pPr>
        <w:pStyle w:val="Zkladntext"/>
        <w:numPr>
          <w:ilvl w:val="0"/>
          <w:numId w:val="5"/>
        </w:numPr>
        <w:spacing w:before="0" w:after="60" w:line="288" w:lineRule="auto"/>
        <w:ind w:left="284" w:right="0" w:hanging="284"/>
        <w:rPr>
          <w:rFonts w:ascii="Arial" w:eastAsia="Calibri" w:hAnsi="Arial" w:cs="Arial"/>
          <w:spacing w:val="-2"/>
          <w:sz w:val="20"/>
          <w:szCs w:val="22"/>
          <w:lang w:eastAsia="en-US"/>
        </w:rPr>
      </w:pPr>
      <w:r w:rsidRPr="00BB777B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>Pouze přes online tržiště</w:t>
      </w:r>
      <w:r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(nikoli přes firemní web nebo aplikace) prodávalo v roce 202</w:t>
      </w:r>
      <w:r w:rsidR="00E32308"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>4</w:t>
      </w:r>
      <w:r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="00FA3E64"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>pouze</w:t>
      </w:r>
      <w:r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1</w:t>
      </w:r>
      <w:r w:rsidR="00FA3E64"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> </w:t>
      </w:r>
      <w:r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>% všech tuzemských podniků s více než deseti zaměstnanci, především pak firmy z oboru stravování (</w:t>
      </w:r>
      <w:r w:rsidR="00461DDC"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>7</w:t>
      </w:r>
      <w:r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% z nich), ubytování (</w:t>
      </w:r>
      <w:r w:rsidR="00BB777B"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>3</w:t>
      </w:r>
      <w:r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%) nebo z mediálního sektoru (</w:t>
      </w:r>
      <w:r w:rsidR="00BB777B"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>3</w:t>
      </w:r>
      <w:r w:rsidRPr="00BB777B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%).</w:t>
      </w:r>
    </w:p>
    <w:p w14:paraId="23CF7879" w14:textId="0BFFBF21" w:rsidR="000A0A53" w:rsidRPr="003E0A29" w:rsidRDefault="000A0A53" w:rsidP="00703546">
      <w:pPr>
        <w:pStyle w:val="Zkladntext"/>
        <w:numPr>
          <w:ilvl w:val="0"/>
          <w:numId w:val="5"/>
        </w:numPr>
        <w:tabs>
          <w:tab w:val="clear" w:pos="643"/>
          <w:tab w:val="num" w:pos="284"/>
        </w:tabs>
        <w:spacing w:before="0" w:after="60" w:line="288" w:lineRule="auto"/>
        <w:ind w:left="284" w:right="0" w:hanging="284"/>
        <w:rPr>
          <w:rFonts w:ascii="Arial" w:eastAsia="Calibri" w:hAnsi="Arial" w:cs="Arial"/>
          <w:spacing w:val="-2"/>
          <w:sz w:val="20"/>
          <w:szCs w:val="22"/>
          <w:lang w:eastAsia="en-US"/>
        </w:rPr>
      </w:pPr>
      <w:r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Relativní zastoupení firem v Česku, které v roce 202</w:t>
      </w:r>
      <w:r w:rsidR="00BB777B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4</w:t>
      </w:r>
      <w:r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</w:t>
      </w:r>
      <w:r w:rsidRPr="003E0A29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 xml:space="preserve">prodávaly přes vlastní webové </w:t>
      </w:r>
      <w:r w:rsidR="004C21C9" w:rsidRPr="003E0A29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>stránky</w:t>
      </w:r>
      <w:r w:rsidR="004A6244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(např. vlastní e-shop) </w:t>
      </w:r>
      <w:r w:rsidR="004C21C9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nebo mobilní aplikac</w:t>
      </w:r>
      <w:r w:rsidR="006E2514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e</w:t>
      </w:r>
      <w:r w:rsidR="00414E76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,</w:t>
      </w:r>
      <w:r w:rsidR="004C21C9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bylo </w:t>
      </w:r>
      <w:r w:rsidR="00BB777B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21</w:t>
      </w:r>
      <w:r w:rsidR="004C21C9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 % a</w:t>
      </w:r>
      <w:r w:rsidR="00A46B25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průměr evropské sedmadvacítky b</w:t>
      </w:r>
      <w:r w:rsidR="004C21C9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yl ve stejném roce 1</w:t>
      </w:r>
      <w:r w:rsidR="002B468A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8</w:t>
      </w:r>
      <w:r w:rsidR="004C21C9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 %.</w:t>
      </w:r>
      <w:r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První příčky patřily podnikům</w:t>
      </w:r>
      <w:r w:rsidR="00A47457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ve Švédsku </w:t>
      </w:r>
      <w:r w:rsidR="00FE05B6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či v Dánsku </w:t>
      </w:r>
      <w:r w:rsidR="00A47457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(</w:t>
      </w:r>
      <w:r w:rsidR="00FE05B6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v každé zemi </w:t>
      </w:r>
      <w:r w:rsidR="00A47457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30 %</w:t>
      </w:r>
      <w:r w:rsidR="00FE05B6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podniků</w:t>
      </w:r>
      <w:r w:rsidR="00A47457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)</w:t>
      </w:r>
      <w:r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, naproti tomu </w:t>
      </w:r>
      <w:r w:rsidR="00FE05B6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vlastní e-shop</w:t>
      </w:r>
      <w:r w:rsidR="00340382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provozovaly </w:t>
      </w:r>
      <w:r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nejméně často podniky v Lucembursku (</w:t>
      </w:r>
      <w:r w:rsidR="00340382"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>10</w:t>
      </w:r>
      <w:r w:rsidRPr="003E0A29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%).</w:t>
      </w:r>
    </w:p>
    <w:p w14:paraId="2D5BF730" w14:textId="0813D1CF" w:rsidR="000A0A53" w:rsidRDefault="001124B0" w:rsidP="00703546">
      <w:pPr>
        <w:pStyle w:val="Zkladntext"/>
        <w:numPr>
          <w:ilvl w:val="0"/>
          <w:numId w:val="5"/>
        </w:numPr>
        <w:tabs>
          <w:tab w:val="clear" w:pos="643"/>
          <w:tab w:val="num" w:pos="284"/>
        </w:tabs>
        <w:spacing w:before="0" w:after="60" w:line="288" w:lineRule="auto"/>
        <w:ind w:left="284" w:right="0" w:hanging="284"/>
        <w:rPr>
          <w:rFonts w:ascii="Arial" w:eastAsia="Calibri" w:hAnsi="Arial" w:cs="Arial"/>
          <w:spacing w:val="-2"/>
          <w:sz w:val="20"/>
          <w:szCs w:val="22"/>
          <w:lang w:eastAsia="en-US"/>
        </w:rPr>
      </w:pPr>
      <w:r w:rsidRPr="001C4B15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 xml:space="preserve">Zastoupení podniků prodávajících přes online tržiště je relativně nízké </w:t>
      </w:r>
      <w:r w:rsidR="003E495F" w:rsidRPr="001C4B15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 xml:space="preserve">i </w:t>
      </w:r>
      <w:r w:rsidRPr="001C4B15">
        <w:rPr>
          <w:rFonts w:ascii="Arial" w:eastAsia="Calibri" w:hAnsi="Arial" w:cs="Arial"/>
          <w:b/>
          <w:spacing w:val="-2"/>
          <w:sz w:val="20"/>
          <w:szCs w:val="22"/>
          <w:lang w:eastAsia="en-US"/>
        </w:rPr>
        <w:t>ve většině zemí EU27</w:t>
      </w:r>
      <w:r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(průměr za</w:t>
      </w:r>
      <w:r w:rsidR="001220F7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 </w:t>
      </w:r>
      <w:r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EU27 činil </w:t>
      </w:r>
      <w:r w:rsidR="00C470BD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9</w:t>
      </w:r>
      <w:r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 %</w:t>
      </w:r>
      <w:r w:rsidR="001220F7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za rok 202</w:t>
      </w:r>
      <w:r w:rsidR="00906EF0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4</w:t>
      </w:r>
      <w:r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). </w:t>
      </w:r>
      <w:r w:rsidR="000A0A53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Výrazné prvenství </w:t>
      </w:r>
      <w:r w:rsidR="004A6244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v uskutečňování prodejů prostřednictvím online tržišť </w:t>
      </w:r>
      <w:r w:rsidR="000A0A53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patří Litvě, kde v roce 202</w:t>
      </w:r>
      <w:r w:rsidR="00906EF0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4 </w:t>
      </w:r>
      <w:r w:rsidR="004A6244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tímto způsobem </w:t>
      </w:r>
      <w:r w:rsidR="000A0A53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prodávalo 3</w:t>
      </w:r>
      <w:r w:rsidR="00404353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6</w:t>
      </w:r>
      <w:r w:rsidR="000A0A53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% podniků. </w:t>
      </w:r>
      <w:r w:rsidR="004A6244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Podniky v Česku (8 %) jsou v tomto ukazateli mírně pod průměrem Unie, podobně jako např. Švédsko, Dánsko nebo Belgie. Prodej pomocí online tržišť byl v roce 202</w:t>
      </w:r>
      <w:r w:rsidR="00A651DD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4</w:t>
      </w:r>
      <w:r w:rsidR="004A6244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nejméně praktikován podniky v Estonsku (4 %)</w:t>
      </w:r>
      <w:r w:rsidR="00F71738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, ve Francii</w:t>
      </w:r>
      <w:r w:rsidR="00D619D3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>, na Slovensku</w:t>
      </w:r>
      <w:r w:rsidR="00F71738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nebo v Chorvatsku</w:t>
      </w:r>
      <w:r w:rsidR="004A6244" w:rsidRPr="001C4B15">
        <w:rPr>
          <w:rFonts w:ascii="Arial" w:eastAsia="Calibri" w:hAnsi="Arial" w:cs="Arial"/>
          <w:spacing w:val="-2"/>
          <w:sz w:val="20"/>
          <w:szCs w:val="22"/>
          <w:lang w:eastAsia="en-US"/>
        </w:rPr>
        <w:t xml:space="preserve"> (ve všech třech zemích shodně 5 % podniků).</w:t>
      </w:r>
    </w:p>
    <w:p w14:paraId="5CEF5A17" w14:textId="19CE630B" w:rsidR="006164CF" w:rsidRPr="003E469A" w:rsidRDefault="006164CF" w:rsidP="00703546">
      <w:pPr>
        <w:numPr>
          <w:ilvl w:val="0"/>
          <w:numId w:val="5"/>
        </w:numPr>
        <w:tabs>
          <w:tab w:val="clear" w:pos="643"/>
          <w:tab w:val="num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6164CF">
        <w:rPr>
          <w:rFonts w:ascii="Arial" w:hAnsi="Arial" w:cs="Arial"/>
          <w:sz w:val="20"/>
        </w:rPr>
        <w:t>Firmy, které prodávají přes web, prodáva</w:t>
      </w:r>
      <w:r>
        <w:rPr>
          <w:rFonts w:ascii="Arial" w:hAnsi="Arial" w:cs="Arial"/>
          <w:sz w:val="20"/>
        </w:rPr>
        <w:t>ly v roce 2024</w:t>
      </w:r>
      <w:r w:rsidRPr="006164CF">
        <w:rPr>
          <w:rFonts w:ascii="Arial" w:hAnsi="Arial" w:cs="Arial"/>
          <w:sz w:val="20"/>
        </w:rPr>
        <w:t xml:space="preserve"> přibližně stejně často jak koncovým </w:t>
      </w:r>
      <w:r w:rsidR="002E7172" w:rsidRPr="006164CF">
        <w:rPr>
          <w:rFonts w:ascii="Arial" w:hAnsi="Arial" w:cs="Arial"/>
          <w:sz w:val="20"/>
        </w:rPr>
        <w:t>zákazníkům – soukromým</w:t>
      </w:r>
      <w:r w:rsidRPr="006164CF">
        <w:rPr>
          <w:rFonts w:ascii="Arial" w:hAnsi="Arial" w:cs="Arial"/>
          <w:sz w:val="20"/>
        </w:rPr>
        <w:t xml:space="preserve"> osobám (19 % všech tuzemských podniků), tak jiným firmám nebo organizacím veřejné správy (18 % podniků). </w:t>
      </w:r>
    </w:p>
    <w:p w14:paraId="2B5862D1" w14:textId="2969B5B5" w:rsidR="003E469A" w:rsidRDefault="003E469A" w:rsidP="00703546">
      <w:pPr>
        <w:numPr>
          <w:ilvl w:val="0"/>
          <w:numId w:val="5"/>
        </w:numPr>
        <w:tabs>
          <w:tab w:val="clear" w:pos="643"/>
          <w:tab w:val="num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E51F5C">
        <w:rPr>
          <w:rFonts w:ascii="Arial" w:hAnsi="Arial" w:cs="Arial"/>
          <w:iCs/>
          <w:sz w:val="20"/>
          <w:szCs w:val="20"/>
        </w:rPr>
        <w:lastRenderedPageBreak/>
        <w:t>Prodej</w:t>
      </w:r>
      <w:r w:rsidRPr="00E51F5C">
        <w:rPr>
          <w:rFonts w:ascii="Arial" w:hAnsi="Arial" w:cs="Arial"/>
          <w:b/>
          <w:iCs/>
          <w:sz w:val="20"/>
          <w:szCs w:val="20"/>
        </w:rPr>
        <w:t xml:space="preserve"> koncovým zákazníkům – soukromým osobám </w:t>
      </w:r>
      <w:r w:rsidRPr="00E51F5C">
        <w:rPr>
          <w:rFonts w:ascii="Arial" w:hAnsi="Arial" w:cs="Arial"/>
          <w:iCs/>
          <w:sz w:val="20"/>
          <w:szCs w:val="20"/>
        </w:rPr>
        <w:t xml:space="preserve">(tzv. B2C prodej) </w:t>
      </w:r>
      <w:r w:rsidRPr="00E51F5C">
        <w:rPr>
          <w:rFonts w:ascii="Arial" w:hAnsi="Arial" w:cs="Arial"/>
          <w:b/>
          <w:iCs/>
          <w:sz w:val="20"/>
          <w:szCs w:val="20"/>
        </w:rPr>
        <w:t>častěji než jiným firmám</w:t>
      </w:r>
      <w:r w:rsidRPr="00E51F5C">
        <w:rPr>
          <w:rFonts w:ascii="Arial" w:hAnsi="Arial" w:cs="Arial"/>
          <w:iCs/>
          <w:sz w:val="20"/>
          <w:szCs w:val="20"/>
        </w:rPr>
        <w:t xml:space="preserve"> či veřejné správě (B2B, B2G prodej) je typický pro firmy, které poskytují ubytování (</w:t>
      </w:r>
      <w:r w:rsidR="00320671" w:rsidRPr="00E51F5C">
        <w:rPr>
          <w:rFonts w:ascii="Arial" w:hAnsi="Arial" w:cs="Arial"/>
          <w:iCs/>
          <w:sz w:val="20"/>
          <w:szCs w:val="20"/>
        </w:rPr>
        <w:t>73</w:t>
      </w:r>
      <w:r w:rsidRPr="00E51F5C">
        <w:rPr>
          <w:rFonts w:ascii="Arial" w:hAnsi="Arial" w:cs="Arial"/>
          <w:iCs/>
          <w:sz w:val="20"/>
          <w:szCs w:val="20"/>
        </w:rPr>
        <w:t xml:space="preserve"> % ze všech podniků v tomto odvětví prodávalo soukromým osobám), dále pro cestovní agentury a kanceláře (7</w:t>
      </w:r>
      <w:r w:rsidR="00320671" w:rsidRPr="00E51F5C">
        <w:rPr>
          <w:rFonts w:ascii="Arial" w:hAnsi="Arial" w:cs="Arial"/>
          <w:iCs/>
          <w:sz w:val="20"/>
          <w:szCs w:val="20"/>
        </w:rPr>
        <w:t>2</w:t>
      </w:r>
      <w:r w:rsidRPr="00E51F5C">
        <w:rPr>
          <w:rFonts w:ascii="Arial" w:hAnsi="Arial" w:cs="Arial"/>
          <w:iCs/>
          <w:sz w:val="20"/>
          <w:szCs w:val="20"/>
        </w:rPr>
        <w:t xml:space="preserve"> %),</w:t>
      </w:r>
      <w:r w:rsidR="00E51F5C">
        <w:rPr>
          <w:rFonts w:ascii="Arial" w:hAnsi="Arial" w:cs="Arial"/>
          <w:iCs/>
          <w:sz w:val="20"/>
          <w:szCs w:val="20"/>
        </w:rPr>
        <w:t xml:space="preserve"> </w:t>
      </w:r>
      <w:r w:rsidR="002E7172">
        <w:rPr>
          <w:rFonts w:ascii="Arial" w:hAnsi="Arial" w:cs="Arial"/>
          <w:iCs/>
          <w:sz w:val="20"/>
          <w:szCs w:val="20"/>
        </w:rPr>
        <w:t xml:space="preserve">firmy </w:t>
      </w:r>
      <w:r w:rsidR="002E7172" w:rsidRPr="00E51F5C">
        <w:rPr>
          <w:rFonts w:ascii="Arial" w:hAnsi="Arial" w:cs="Arial"/>
          <w:iCs/>
          <w:sz w:val="20"/>
          <w:szCs w:val="20"/>
        </w:rPr>
        <w:t>poskytující</w:t>
      </w:r>
      <w:r w:rsidR="00E51F5C" w:rsidRPr="00E51F5C">
        <w:rPr>
          <w:rFonts w:ascii="Arial" w:hAnsi="Arial" w:cs="Arial"/>
          <w:iCs/>
          <w:sz w:val="20"/>
          <w:szCs w:val="20"/>
        </w:rPr>
        <w:t> telekomunikační služby (46 %)</w:t>
      </w:r>
      <w:r w:rsidR="00831EB4">
        <w:rPr>
          <w:rFonts w:ascii="Arial" w:hAnsi="Arial" w:cs="Arial"/>
          <w:iCs/>
          <w:sz w:val="20"/>
          <w:szCs w:val="20"/>
        </w:rPr>
        <w:t>,</w:t>
      </w:r>
      <w:r w:rsidR="00E51F5C" w:rsidRPr="00E51F5C">
        <w:rPr>
          <w:rFonts w:ascii="Arial" w:hAnsi="Arial" w:cs="Arial"/>
          <w:iCs/>
          <w:sz w:val="20"/>
          <w:szCs w:val="20"/>
        </w:rPr>
        <w:t xml:space="preserve"> </w:t>
      </w:r>
      <w:r w:rsidRPr="00E51F5C">
        <w:rPr>
          <w:rFonts w:ascii="Arial" w:hAnsi="Arial" w:cs="Arial"/>
          <w:iCs/>
          <w:sz w:val="20"/>
          <w:szCs w:val="20"/>
        </w:rPr>
        <w:t>firmy působící v maloobchodě (</w:t>
      </w:r>
      <w:r w:rsidR="00BC56E4" w:rsidRPr="00E51F5C">
        <w:rPr>
          <w:rFonts w:ascii="Arial" w:hAnsi="Arial" w:cs="Arial"/>
          <w:iCs/>
          <w:sz w:val="20"/>
          <w:szCs w:val="20"/>
        </w:rPr>
        <w:t>34</w:t>
      </w:r>
      <w:r w:rsidRPr="00E51F5C">
        <w:rPr>
          <w:rFonts w:ascii="Arial" w:hAnsi="Arial" w:cs="Arial"/>
          <w:iCs/>
          <w:sz w:val="20"/>
          <w:szCs w:val="20"/>
        </w:rPr>
        <w:t xml:space="preserve"> %), a také pro stravovací služby (</w:t>
      </w:r>
      <w:r w:rsidR="00BC56E4" w:rsidRPr="00E51F5C">
        <w:rPr>
          <w:rFonts w:ascii="Arial" w:hAnsi="Arial" w:cs="Arial"/>
          <w:iCs/>
          <w:sz w:val="20"/>
          <w:szCs w:val="20"/>
        </w:rPr>
        <w:t>33</w:t>
      </w:r>
      <w:r w:rsidRPr="00E51F5C">
        <w:rPr>
          <w:rFonts w:ascii="Arial" w:hAnsi="Arial" w:cs="Arial"/>
          <w:iCs/>
          <w:sz w:val="20"/>
          <w:szCs w:val="20"/>
        </w:rPr>
        <w:t> %). Z odvětví zpracovatelského průmyslu častěji prodávají koncovým zákazníkům než jiným firmám či veřejné správě potravinářský a nápojový průmysl (2</w:t>
      </w:r>
      <w:r w:rsidR="00E51F5C" w:rsidRPr="00E51F5C">
        <w:rPr>
          <w:rFonts w:ascii="Arial" w:hAnsi="Arial" w:cs="Arial"/>
          <w:iCs/>
          <w:sz w:val="20"/>
          <w:szCs w:val="20"/>
        </w:rPr>
        <w:t>6</w:t>
      </w:r>
      <w:r w:rsidRPr="00E51F5C">
        <w:rPr>
          <w:rFonts w:ascii="Arial" w:hAnsi="Arial" w:cs="Arial"/>
          <w:iCs/>
          <w:sz w:val="20"/>
          <w:szCs w:val="20"/>
        </w:rPr>
        <w:t xml:space="preserve"> %) nebo textilní a oděvní průmysl (33 %). Častější prodeje B2C se ve zmíněných odvětvích promítají i do vyšších tržeb z B2C prodeje. </w:t>
      </w:r>
    </w:p>
    <w:p w14:paraId="0A8A2E9A" w14:textId="3060EA9F" w:rsidR="00831EB4" w:rsidRPr="008D3735" w:rsidRDefault="00831EB4" w:rsidP="00703546">
      <w:pPr>
        <w:numPr>
          <w:ilvl w:val="0"/>
          <w:numId w:val="5"/>
        </w:numPr>
        <w:tabs>
          <w:tab w:val="clear" w:pos="643"/>
          <w:tab w:val="num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8D3735">
        <w:rPr>
          <w:rFonts w:ascii="Arial" w:hAnsi="Arial" w:cs="Arial"/>
          <w:iCs/>
          <w:sz w:val="20"/>
          <w:szCs w:val="20"/>
        </w:rPr>
        <w:t xml:space="preserve">Na online prodej dalším </w:t>
      </w:r>
      <w:r w:rsidRPr="008D3735">
        <w:rPr>
          <w:rFonts w:ascii="Arial" w:hAnsi="Arial" w:cs="Arial"/>
          <w:b/>
          <w:iCs/>
          <w:sz w:val="20"/>
          <w:szCs w:val="20"/>
        </w:rPr>
        <w:t xml:space="preserve">firmám nebo organizacím veřejné správy </w:t>
      </w:r>
      <w:r w:rsidRPr="008D3735">
        <w:rPr>
          <w:rFonts w:ascii="Arial" w:hAnsi="Arial" w:cs="Arial"/>
          <w:iCs/>
          <w:sz w:val="20"/>
          <w:szCs w:val="20"/>
        </w:rPr>
        <w:t>(tzv. B2B resp. B2G prodej) se z průmyslových odvětví častěji zaměřují firmy vyrábějící počítače nebo jinou elektroniku (CZ NACE 26: 1</w:t>
      </w:r>
      <w:r w:rsidR="00332AFD" w:rsidRPr="008D3735">
        <w:rPr>
          <w:rFonts w:ascii="Arial" w:hAnsi="Arial" w:cs="Arial"/>
          <w:iCs/>
          <w:sz w:val="20"/>
          <w:szCs w:val="20"/>
        </w:rPr>
        <w:t>7</w:t>
      </w:r>
      <w:r w:rsidR="002E7172">
        <w:rPr>
          <w:rFonts w:ascii="Arial" w:hAnsi="Arial" w:cs="Arial"/>
          <w:iCs/>
          <w:sz w:val="20"/>
          <w:szCs w:val="20"/>
        </w:rPr>
        <w:t> </w:t>
      </w:r>
      <w:r w:rsidRPr="008D3735">
        <w:rPr>
          <w:rFonts w:ascii="Arial" w:hAnsi="Arial" w:cs="Arial"/>
          <w:iCs/>
          <w:sz w:val="20"/>
          <w:szCs w:val="20"/>
        </w:rPr>
        <w:t>% podniků v tomto odvětví), ze segmentu služeb pak IT firmy (CZ NACE 62-63: 1</w:t>
      </w:r>
      <w:r w:rsidR="00332AFD" w:rsidRPr="008D3735">
        <w:rPr>
          <w:rFonts w:ascii="Arial" w:hAnsi="Arial" w:cs="Arial"/>
          <w:iCs/>
          <w:sz w:val="20"/>
          <w:szCs w:val="20"/>
        </w:rPr>
        <w:t>8</w:t>
      </w:r>
      <w:r w:rsidRPr="008D3735">
        <w:rPr>
          <w:rFonts w:ascii="Arial" w:hAnsi="Arial" w:cs="Arial"/>
          <w:iCs/>
          <w:sz w:val="20"/>
          <w:szCs w:val="20"/>
        </w:rPr>
        <w:t> %) nebo firmy působící v oblasti dopravy a skladování (</w:t>
      </w:r>
      <w:r w:rsidR="008D3735" w:rsidRPr="008D3735">
        <w:rPr>
          <w:rFonts w:ascii="Arial" w:hAnsi="Arial" w:cs="Arial"/>
          <w:iCs/>
          <w:sz w:val="20"/>
          <w:szCs w:val="20"/>
        </w:rPr>
        <w:t>9</w:t>
      </w:r>
      <w:r w:rsidRPr="008D3735">
        <w:rPr>
          <w:rFonts w:ascii="Arial" w:hAnsi="Arial" w:cs="Arial"/>
          <w:iCs/>
          <w:sz w:val="20"/>
          <w:szCs w:val="20"/>
        </w:rPr>
        <w:t xml:space="preserve"> %). </w:t>
      </w:r>
    </w:p>
    <w:p w14:paraId="5009F682" w14:textId="6947AF76" w:rsidR="00EC660D" w:rsidRPr="001C4B15" w:rsidRDefault="00EC660D" w:rsidP="00EC660D">
      <w:pPr>
        <w:pStyle w:val="Nadpis2"/>
        <w:spacing w:before="240" w:after="120" w:line="240" w:lineRule="auto"/>
        <w:rPr>
          <w:color w:val="009CB5"/>
          <w:sz w:val="24"/>
          <w:szCs w:val="24"/>
        </w:rPr>
      </w:pPr>
      <w:r w:rsidRPr="001C4B15">
        <w:rPr>
          <w:color w:val="009CB5"/>
          <w:sz w:val="24"/>
          <w:szCs w:val="24"/>
        </w:rPr>
        <w:t>Tržby z prodejů uskutečněných přes webové stránky</w:t>
      </w:r>
      <w:r w:rsidR="00D775FF" w:rsidRPr="001C4B15">
        <w:rPr>
          <w:color w:val="009CB5"/>
          <w:sz w:val="24"/>
          <w:szCs w:val="24"/>
        </w:rPr>
        <w:t>,</w:t>
      </w:r>
      <w:r w:rsidRPr="001C4B15">
        <w:rPr>
          <w:color w:val="009CB5"/>
          <w:sz w:val="24"/>
          <w:szCs w:val="24"/>
        </w:rPr>
        <w:t xml:space="preserve"> aplikace</w:t>
      </w:r>
      <w:r w:rsidR="00D775FF" w:rsidRPr="001C4B15">
        <w:rPr>
          <w:color w:val="009CB5"/>
          <w:sz w:val="24"/>
          <w:szCs w:val="24"/>
        </w:rPr>
        <w:t xml:space="preserve"> nebo online tržiště</w:t>
      </w:r>
    </w:p>
    <w:p w14:paraId="2942B8B0" w14:textId="554D752C" w:rsidR="00655118" w:rsidRPr="00ED65D6" w:rsidRDefault="00B12612" w:rsidP="00703546">
      <w:pPr>
        <w:pStyle w:val="Zkladntext"/>
        <w:numPr>
          <w:ilvl w:val="0"/>
          <w:numId w:val="5"/>
        </w:numPr>
        <w:spacing w:before="0" w:after="60" w:line="288" w:lineRule="auto"/>
        <w:ind w:left="284" w:right="0" w:hanging="284"/>
        <w:rPr>
          <w:rFonts w:ascii="Arial" w:eastAsia="Calibri" w:hAnsi="Arial" w:cs="Arial"/>
          <w:sz w:val="20"/>
          <w:szCs w:val="22"/>
          <w:lang w:eastAsia="en-US"/>
        </w:rPr>
      </w:pPr>
      <w:r w:rsidRPr="00ED65D6">
        <w:rPr>
          <w:rFonts w:ascii="Arial" w:eastAsia="Calibri" w:hAnsi="Arial" w:cs="Arial"/>
          <w:sz w:val="20"/>
          <w:szCs w:val="22"/>
          <w:lang w:eastAsia="en-US"/>
        </w:rPr>
        <w:t>V roce 202</w:t>
      </w:r>
      <w:r w:rsidR="00794DD3" w:rsidRPr="00ED65D6">
        <w:rPr>
          <w:rFonts w:ascii="Arial" w:eastAsia="Calibri" w:hAnsi="Arial" w:cs="Arial"/>
          <w:sz w:val="20"/>
          <w:szCs w:val="22"/>
          <w:lang w:eastAsia="en-US"/>
        </w:rPr>
        <w:t>4</w:t>
      </w:r>
      <w:r w:rsidRPr="00ED65D6">
        <w:rPr>
          <w:rFonts w:ascii="Arial" w:eastAsia="Calibri" w:hAnsi="Arial" w:cs="Arial"/>
          <w:sz w:val="20"/>
          <w:szCs w:val="22"/>
          <w:lang w:eastAsia="en-US"/>
        </w:rPr>
        <w:t xml:space="preserve"> tvořily v Česku t</w:t>
      </w:r>
      <w:r w:rsidR="00ED497E" w:rsidRPr="00ED65D6">
        <w:rPr>
          <w:rFonts w:ascii="Arial" w:eastAsia="Calibri" w:hAnsi="Arial" w:cs="Arial"/>
          <w:sz w:val="20"/>
          <w:szCs w:val="22"/>
          <w:lang w:eastAsia="en-US"/>
        </w:rPr>
        <w:t xml:space="preserve">ržby z prodejů uskutečněných přes web </w:t>
      </w:r>
      <w:r w:rsidR="00794DD3" w:rsidRPr="00ED65D6">
        <w:rPr>
          <w:rFonts w:ascii="Arial" w:eastAsia="Calibri" w:hAnsi="Arial" w:cs="Arial"/>
          <w:b/>
          <w:sz w:val="20"/>
          <w:szCs w:val="22"/>
          <w:lang w:eastAsia="en-US"/>
        </w:rPr>
        <w:t>9</w:t>
      </w:r>
      <w:r w:rsidR="00ED497E" w:rsidRPr="00ED65D6">
        <w:rPr>
          <w:rFonts w:ascii="Arial" w:eastAsia="Calibri" w:hAnsi="Arial" w:cs="Arial"/>
          <w:b/>
          <w:sz w:val="20"/>
          <w:szCs w:val="22"/>
          <w:lang w:eastAsia="en-US"/>
        </w:rPr>
        <w:t xml:space="preserve"> % celkových tržeb podniků</w:t>
      </w:r>
      <w:r w:rsidR="00ED497E" w:rsidRPr="00ED65D6">
        <w:rPr>
          <w:rFonts w:ascii="Arial" w:eastAsia="Calibri" w:hAnsi="Arial" w:cs="Arial"/>
          <w:sz w:val="20"/>
          <w:szCs w:val="22"/>
          <w:lang w:eastAsia="en-US"/>
        </w:rPr>
        <w:t xml:space="preserve"> s 10 a více zaměstnanci. </w:t>
      </w:r>
      <w:r w:rsidR="00884FCC" w:rsidRPr="00ED65D6">
        <w:rPr>
          <w:rFonts w:ascii="Arial" w:eastAsia="Calibri" w:hAnsi="Arial" w:cs="Arial"/>
          <w:sz w:val="20"/>
          <w:szCs w:val="22"/>
          <w:lang w:eastAsia="en-US"/>
        </w:rPr>
        <w:t>V případě</w:t>
      </w:r>
      <w:r w:rsidR="00ED497E" w:rsidRPr="00ED65D6">
        <w:rPr>
          <w:rFonts w:ascii="Arial" w:eastAsia="Calibri" w:hAnsi="Arial" w:cs="Arial"/>
          <w:sz w:val="20"/>
          <w:szCs w:val="22"/>
          <w:lang w:eastAsia="en-US"/>
        </w:rPr>
        <w:t xml:space="preserve"> 1</w:t>
      </w:r>
      <w:r w:rsidR="00ED65D6" w:rsidRPr="00ED65D6">
        <w:rPr>
          <w:rFonts w:ascii="Arial" w:eastAsia="Calibri" w:hAnsi="Arial" w:cs="Arial"/>
          <w:sz w:val="20"/>
          <w:szCs w:val="22"/>
          <w:lang w:eastAsia="en-US"/>
        </w:rPr>
        <w:t>4</w:t>
      </w:r>
      <w:r w:rsidR="00ED497E" w:rsidRPr="00ED65D6">
        <w:rPr>
          <w:rFonts w:ascii="Arial" w:eastAsia="Calibri" w:hAnsi="Arial" w:cs="Arial"/>
          <w:sz w:val="20"/>
          <w:szCs w:val="22"/>
          <w:lang w:eastAsia="en-US"/>
        </w:rPr>
        <w:t xml:space="preserve"> % </w:t>
      </w:r>
      <w:r w:rsidR="00FF33BB" w:rsidRPr="00ED65D6">
        <w:rPr>
          <w:rFonts w:ascii="Arial" w:eastAsia="Calibri" w:hAnsi="Arial" w:cs="Arial"/>
          <w:sz w:val="20"/>
          <w:szCs w:val="22"/>
          <w:lang w:eastAsia="en-US"/>
        </w:rPr>
        <w:t xml:space="preserve">tuzemských </w:t>
      </w:r>
      <w:r w:rsidR="00ED497E" w:rsidRPr="00ED65D6">
        <w:rPr>
          <w:rFonts w:ascii="Arial" w:eastAsia="Calibri" w:hAnsi="Arial" w:cs="Arial"/>
          <w:sz w:val="20"/>
          <w:szCs w:val="22"/>
          <w:lang w:eastAsia="en-US"/>
        </w:rPr>
        <w:t xml:space="preserve">podniků </w:t>
      </w:r>
      <w:r w:rsidR="00884FCC" w:rsidRPr="00ED65D6">
        <w:rPr>
          <w:rFonts w:ascii="Arial" w:eastAsia="Calibri" w:hAnsi="Arial" w:cs="Arial"/>
          <w:sz w:val="20"/>
          <w:szCs w:val="22"/>
          <w:lang w:eastAsia="en-US"/>
        </w:rPr>
        <w:t xml:space="preserve">činily </w:t>
      </w:r>
      <w:r w:rsidR="00ED497E" w:rsidRPr="00ED65D6">
        <w:rPr>
          <w:rFonts w:ascii="Arial" w:eastAsia="Calibri" w:hAnsi="Arial" w:cs="Arial"/>
          <w:sz w:val="20"/>
          <w:szCs w:val="22"/>
          <w:lang w:eastAsia="en-US"/>
        </w:rPr>
        <w:t xml:space="preserve">prodeje přes web více než 10 % z jejich celkových tržeb. </w:t>
      </w:r>
    </w:p>
    <w:p w14:paraId="7FB3FB25" w14:textId="20E5F814" w:rsidR="00ED497E" w:rsidRPr="00FA584E" w:rsidRDefault="00ED497E" w:rsidP="00703546">
      <w:pPr>
        <w:pStyle w:val="Zkladntext"/>
        <w:numPr>
          <w:ilvl w:val="0"/>
          <w:numId w:val="5"/>
        </w:numPr>
        <w:spacing w:before="0" w:after="60" w:line="288" w:lineRule="auto"/>
        <w:ind w:left="284" w:right="0" w:hanging="284"/>
        <w:rPr>
          <w:rFonts w:ascii="Arial" w:eastAsia="Calibri" w:hAnsi="Arial" w:cs="Arial"/>
          <w:sz w:val="20"/>
          <w:szCs w:val="22"/>
          <w:lang w:eastAsia="en-US"/>
        </w:rPr>
      </w:pPr>
      <w:r w:rsidRPr="00FA584E">
        <w:rPr>
          <w:rFonts w:ascii="Arial" w:eastAsia="Calibri" w:hAnsi="Arial" w:cs="Arial"/>
          <w:b/>
          <w:sz w:val="20"/>
          <w:szCs w:val="22"/>
          <w:lang w:eastAsia="en-US"/>
        </w:rPr>
        <w:t xml:space="preserve">Nejvyšší tržby z prodejů </w:t>
      </w:r>
      <w:r w:rsidR="00FE4AF9" w:rsidRPr="00FA584E">
        <w:rPr>
          <w:rFonts w:ascii="Arial" w:eastAsia="Calibri" w:hAnsi="Arial" w:cs="Arial"/>
          <w:b/>
          <w:sz w:val="20"/>
          <w:szCs w:val="22"/>
          <w:lang w:eastAsia="en-US"/>
        </w:rPr>
        <w:t xml:space="preserve">realizovaných </w:t>
      </w:r>
      <w:r w:rsidRPr="00FA584E">
        <w:rPr>
          <w:rFonts w:ascii="Arial" w:eastAsia="Calibri" w:hAnsi="Arial" w:cs="Arial"/>
          <w:b/>
          <w:sz w:val="20"/>
          <w:szCs w:val="22"/>
          <w:lang w:eastAsia="en-US"/>
        </w:rPr>
        <w:t xml:space="preserve">přes </w:t>
      </w:r>
      <w:r w:rsidR="00AB2F6E" w:rsidRPr="00FA584E">
        <w:rPr>
          <w:rFonts w:ascii="Arial" w:eastAsia="Calibri" w:hAnsi="Arial" w:cs="Arial"/>
          <w:b/>
          <w:sz w:val="20"/>
          <w:szCs w:val="22"/>
          <w:lang w:eastAsia="en-US"/>
        </w:rPr>
        <w:t>web</w:t>
      </w:r>
      <w:r w:rsidRPr="00FA584E">
        <w:rPr>
          <w:rFonts w:ascii="Arial" w:eastAsia="Calibri" w:hAnsi="Arial" w:cs="Arial"/>
          <w:sz w:val="20"/>
          <w:szCs w:val="22"/>
          <w:lang w:eastAsia="en-US"/>
        </w:rPr>
        <w:t xml:space="preserve"> vykázaly v roce 202</w:t>
      </w:r>
      <w:r w:rsidR="00046DF9" w:rsidRPr="00FA584E">
        <w:rPr>
          <w:rFonts w:ascii="Arial" w:eastAsia="Calibri" w:hAnsi="Arial" w:cs="Arial"/>
          <w:sz w:val="20"/>
          <w:szCs w:val="22"/>
          <w:lang w:eastAsia="en-US"/>
        </w:rPr>
        <w:t>4</w:t>
      </w:r>
      <w:r w:rsidRPr="00FA584E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FA584E" w:rsidRPr="00FA584E">
        <w:rPr>
          <w:rFonts w:ascii="Arial" w:eastAsia="Calibri" w:hAnsi="Arial" w:cs="Arial"/>
          <w:b/>
          <w:bCs/>
          <w:sz w:val="20"/>
          <w:szCs w:val="22"/>
          <w:lang w:eastAsia="en-US"/>
        </w:rPr>
        <w:t>podniky v mediálním sektoru</w:t>
      </w:r>
      <w:r w:rsidR="00FA584E" w:rsidRPr="00FA584E">
        <w:rPr>
          <w:rFonts w:ascii="Arial" w:eastAsia="Calibri" w:hAnsi="Arial" w:cs="Arial"/>
          <w:sz w:val="20"/>
          <w:szCs w:val="22"/>
          <w:lang w:eastAsia="en-US"/>
        </w:rPr>
        <w:t>, tj. </w:t>
      </w:r>
      <w:r w:rsidR="00FA584E" w:rsidRPr="00FA584E">
        <w:rPr>
          <w:rFonts w:ascii="Arial" w:hAnsi="Arial" w:cs="Arial"/>
          <w:sz w:val="20"/>
        </w:rPr>
        <w:t>vydavatelství, filmová výroba, rozhlasové a televizní vysílání, a</w:t>
      </w:r>
      <w:r w:rsidR="00FA584E" w:rsidRPr="00FA584E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="00F97ADC" w:rsidRPr="00FA584E">
        <w:rPr>
          <w:rFonts w:ascii="Arial" w:eastAsia="Calibri" w:hAnsi="Arial" w:cs="Arial"/>
          <w:b/>
          <w:sz w:val="20"/>
          <w:szCs w:val="22"/>
          <w:lang w:eastAsia="en-US"/>
        </w:rPr>
        <w:t>podniky poskytující ubytování</w:t>
      </w:r>
      <w:r w:rsidRPr="00FA584E">
        <w:rPr>
          <w:rFonts w:ascii="Arial" w:eastAsia="Calibri" w:hAnsi="Arial" w:cs="Arial"/>
          <w:sz w:val="20"/>
          <w:szCs w:val="22"/>
          <w:lang w:eastAsia="en-US"/>
        </w:rPr>
        <w:t xml:space="preserve"> (</w:t>
      </w:r>
      <w:r w:rsidR="00F97ADC" w:rsidRPr="00FA584E">
        <w:rPr>
          <w:rFonts w:ascii="Arial" w:eastAsia="Calibri" w:hAnsi="Arial" w:cs="Arial"/>
          <w:sz w:val="20"/>
          <w:szCs w:val="22"/>
          <w:lang w:eastAsia="en-US"/>
        </w:rPr>
        <w:t>v obou případech 43</w:t>
      </w:r>
      <w:r w:rsidRPr="00FA584E">
        <w:rPr>
          <w:rFonts w:ascii="Arial" w:eastAsia="Calibri" w:hAnsi="Arial" w:cs="Arial"/>
          <w:sz w:val="20"/>
          <w:szCs w:val="22"/>
          <w:lang w:eastAsia="en-US"/>
        </w:rPr>
        <w:t>% podíl na</w:t>
      </w:r>
      <w:r w:rsidR="001354FD" w:rsidRPr="00FA584E">
        <w:rPr>
          <w:rFonts w:ascii="Arial" w:eastAsia="Calibri" w:hAnsi="Arial" w:cs="Arial"/>
          <w:sz w:val="20"/>
          <w:szCs w:val="22"/>
          <w:lang w:eastAsia="en-US"/>
        </w:rPr>
        <w:t xml:space="preserve"> jejich</w:t>
      </w:r>
      <w:r w:rsidRPr="00FA584E">
        <w:rPr>
          <w:rFonts w:ascii="Arial" w:eastAsia="Calibri" w:hAnsi="Arial" w:cs="Arial"/>
          <w:sz w:val="20"/>
          <w:szCs w:val="22"/>
          <w:lang w:eastAsia="en-US"/>
        </w:rPr>
        <w:t xml:space="preserve"> celkových tržbách). </w:t>
      </w:r>
      <w:r w:rsidR="00F97ADC" w:rsidRPr="00FA584E">
        <w:rPr>
          <w:rFonts w:ascii="Arial" w:eastAsia="Calibri" w:hAnsi="Arial" w:cs="Arial"/>
          <w:sz w:val="20"/>
          <w:szCs w:val="22"/>
          <w:lang w:eastAsia="en-US"/>
        </w:rPr>
        <w:t>Následovaly je</w:t>
      </w:r>
      <w:r w:rsidR="00FA584E" w:rsidRPr="00FA584E">
        <w:rPr>
          <w:rFonts w:ascii="Arial" w:eastAsia="Calibri" w:hAnsi="Arial" w:cs="Arial"/>
          <w:b/>
          <w:sz w:val="20"/>
          <w:szCs w:val="22"/>
          <w:lang w:eastAsia="en-US"/>
        </w:rPr>
        <w:t xml:space="preserve"> cestovní agentury a kanceláře</w:t>
      </w:r>
      <w:r w:rsidR="00F97ADC" w:rsidRPr="00FA584E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Pr="00FA584E">
        <w:rPr>
          <w:rFonts w:ascii="Arial" w:eastAsia="Calibri" w:hAnsi="Arial" w:cs="Arial"/>
          <w:sz w:val="20"/>
          <w:szCs w:val="22"/>
          <w:lang w:eastAsia="en-US"/>
        </w:rPr>
        <w:t>(</w:t>
      </w:r>
      <w:r w:rsidR="00FA584E" w:rsidRPr="00FA584E">
        <w:rPr>
          <w:rFonts w:ascii="Arial" w:eastAsia="Calibri" w:hAnsi="Arial" w:cs="Arial"/>
          <w:sz w:val="20"/>
          <w:szCs w:val="22"/>
          <w:lang w:eastAsia="en-US"/>
        </w:rPr>
        <w:t>40</w:t>
      </w:r>
      <w:r w:rsidRPr="00FA584E">
        <w:rPr>
          <w:rFonts w:ascii="Arial" w:eastAsia="Calibri" w:hAnsi="Arial" w:cs="Arial"/>
          <w:sz w:val="20"/>
          <w:szCs w:val="22"/>
          <w:lang w:eastAsia="en-US"/>
        </w:rPr>
        <w:t xml:space="preserve">% podíl na </w:t>
      </w:r>
      <w:r w:rsidR="00D7667F" w:rsidRPr="00FA584E">
        <w:rPr>
          <w:rFonts w:ascii="Arial" w:eastAsia="Calibri" w:hAnsi="Arial" w:cs="Arial"/>
          <w:sz w:val="20"/>
          <w:szCs w:val="22"/>
          <w:lang w:eastAsia="en-US"/>
        </w:rPr>
        <w:t xml:space="preserve">jejich </w:t>
      </w:r>
      <w:r w:rsidR="00FF33BB" w:rsidRPr="00FA584E">
        <w:rPr>
          <w:rFonts w:ascii="Arial" w:eastAsia="Calibri" w:hAnsi="Arial" w:cs="Arial"/>
          <w:sz w:val="20"/>
          <w:szCs w:val="22"/>
          <w:lang w:eastAsia="en-US"/>
        </w:rPr>
        <w:t>celkových tržbách).</w:t>
      </w:r>
      <w:r w:rsidR="00FA584E">
        <w:rPr>
          <w:rFonts w:ascii="Arial" w:eastAsia="Calibri" w:hAnsi="Arial" w:cs="Arial"/>
          <w:sz w:val="20"/>
          <w:szCs w:val="22"/>
          <w:lang w:eastAsia="en-US"/>
        </w:rPr>
        <w:t xml:space="preserve"> Nejnižší tržby z elektronických prodejů naopak vykazuje sektor stavebnictví (1 %) nebo automobilový průmysl (1 %), kde ovšem dlouhodobě zaznamenáváme jedny z nejvyšších tržeb získaných prodeji pomocí elektronické výměny dat.</w:t>
      </w:r>
    </w:p>
    <w:p w14:paraId="35B6FF84" w14:textId="367A644E" w:rsidR="006C3757" w:rsidRPr="00B552F5" w:rsidRDefault="00317B97" w:rsidP="00703546">
      <w:pPr>
        <w:numPr>
          <w:ilvl w:val="0"/>
          <w:numId w:val="5"/>
        </w:numPr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B552F5">
        <w:rPr>
          <w:rFonts w:ascii="Arial" w:hAnsi="Arial" w:cs="Arial"/>
          <w:b/>
          <w:spacing w:val="-2"/>
          <w:sz w:val="20"/>
        </w:rPr>
        <w:t xml:space="preserve">Tržby </w:t>
      </w:r>
      <w:r w:rsidR="00FF33BB" w:rsidRPr="00B552F5">
        <w:rPr>
          <w:rFonts w:ascii="Arial" w:hAnsi="Arial" w:cs="Arial"/>
          <w:b/>
          <w:spacing w:val="-2"/>
          <w:sz w:val="20"/>
        </w:rPr>
        <w:t>tuzemských</w:t>
      </w:r>
      <w:r w:rsidRPr="00B552F5">
        <w:rPr>
          <w:rFonts w:ascii="Arial" w:hAnsi="Arial" w:cs="Arial"/>
          <w:b/>
          <w:spacing w:val="-2"/>
          <w:sz w:val="20"/>
        </w:rPr>
        <w:t xml:space="preserve"> podniků z webových prodejů</w:t>
      </w:r>
      <w:r w:rsidRPr="00B552F5">
        <w:rPr>
          <w:rFonts w:ascii="Arial" w:hAnsi="Arial" w:cs="Arial"/>
          <w:spacing w:val="-2"/>
          <w:sz w:val="20"/>
        </w:rPr>
        <w:t xml:space="preserve"> byly za rok 202</w:t>
      </w:r>
      <w:r w:rsidR="00FA584E" w:rsidRPr="00B552F5">
        <w:rPr>
          <w:rFonts w:ascii="Arial" w:hAnsi="Arial" w:cs="Arial"/>
          <w:spacing w:val="-2"/>
          <w:sz w:val="20"/>
        </w:rPr>
        <w:t>4</w:t>
      </w:r>
      <w:r w:rsidRPr="00B552F5">
        <w:rPr>
          <w:rFonts w:ascii="Arial" w:hAnsi="Arial" w:cs="Arial"/>
          <w:spacing w:val="-2"/>
          <w:sz w:val="20"/>
        </w:rPr>
        <w:t xml:space="preserve"> na úrovni </w:t>
      </w:r>
      <w:r w:rsidR="003528A7" w:rsidRPr="00B552F5">
        <w:rPr>
          <w:rFonts w:ascii="Arial" w:hAnsi="Arial" w:cs="Arial"/>
          <w:spacing w:val="-2"/>
          <w:sz w:val="20"/>
        </w:rPr>
        <w:t>9</w:t>
      </w:r>
      <w:r w:rsidR="00131AEA" w:rsidRPr="00B552F5">
        <w:rPr>
          <w:rFonts w:ascii="Arial" w:hAnsi="Arial" w:cs="Arial"/>
          <w:spacing w:val="-2"/>
          <w:sz w:val="20"/>
        </w:rPr>
        <w:t xml:space="preserve"> </w:t>
      </w:r>
      <w:r w:rsidRPr="00B552F5">
        <w:rPr>
          <w:rFonts w:ascii="Arial" w:hAnsi="Arial" w:cs="Arial"/>
          <w:spacing w:val="-2"/>
          <w:sz w:val="20"/>
        </w:rPr>
        <w:t>% celkových podnikových tržeb</w:t>
      </w:r>
      <w:r w:rsidR="002D2835" w:rsidRPr="00B552F5">
        <w:rPr>
          <w:rFonts w:ascii="Arial" w:hAnsi="Arial" w:cs="Arial"/>
          <w:spacing w:val="-2"/>
          <w:sz w:val="20"/>
        </w:rPr>
        <w:t xml:space="preserve">. </w:t>
      </w:r>
      <w:r w:rsidR="002D2835" w:rsidRPr="00B552F5">
        <w:rPr>
          <w:rFonts w:ascii="Arial" w:hAnsi="Arial" w:cs="Arial"/>
          <w:sz w:val="20"/>
        </w:rPr>
        <w:t xml:space="preserve">Podniky v Česku se hodnotou ukazatele 9 % umístily </w:t>
      </w:r>
      <w:r w:rsidR="002D2835" w:rsidRPr="00B552F5">
        <w:rPr>
          <w:rFonts w:ascii="Arial" w:hAnsi="Arial" w:cs="Arial"/>
          <w:b/>
          <w:sz w:val="20"/>
        </w:rPr>
        <w:t>nad průměrem evropské sedmadvacítky</w:t>
      </w:r>
      <w:r w:rsidRPr="00B552F5">
        <w:rPr>
          <w:rFonts w:ascii="Arial" w:hAnsi="Arial" w:cs="Arial"/>
          <w:spacing w:val="-2"/>
          <w:sz w:val="20"/>
        </w:rPr>
        <w:t>,</w:t>
      </w:r>
      <w:r w:rsidR="00B552F5" w:rsidRPr="00B552F5">
        <w:rPr>
          <w:rFonts w:ascii="Arial" w:hAnsi="Arial" w:cs="Arial"/>
          <w:spacing w:val="-2"/>
          <w:sz w:val="20"/>
        </w:rPr>
        <w:t xml:space="preserve"> který </w:t>
      </w:r>
      <w:r w:rsidRPr="00B552F5">
        <w:rPr>
          <w:rFonts w:ascii="Arial" w:hAnsi="Arial" w:cs="Arial"/>
          <w:spacing w:val="-2"/>
          <w:sz w:val="20"/>
        </w:rPr>
        <w:t>v</w:t>
      </w:r>
      <w:r w:rsidR="00FF33BB" w:rsidRPr="00B552F5">
        <w:rPr>
          <w:rFonts w:ascii="Arial" w:hAnsi="Arial" w:cs="Arial"/>
          <w:spacing w:val="-2"/>
          <w:sz w:val="20"/>
        </w:rPr>
        <w:t xml:space="preserve"> tomto</w:t>
      </w:r>
      <w:r w:rsidRPr="00B552F5">
        <w:rPr>
          <w:rFonts w:ascii="Arial" w:hAnsi="Arial" w:cs="Arial"/>
          <w:spacing w:val="-2"/>
          <w:sz w:val="20"/>
        </w:rPr>
        <w:t xml:space="preserve"> roce činil </w:t>
      </w:r>
      <w:r w:rsidR="003528A7" w:rsidRPr="00B552F5">
        <w:rPr>
          <w:rFonts w:ascii="Arial" w:hAnsi="Arial" w:cs="Arial"/>
          <w:spacing w:val="-2"/>
          <w:sz w:val="20"/>
        </w:rPr>
        <w:t>8</w:t>
      </w:r>
      <w:r w:rsidRPr="00B552F5">
        <w:rPr>
          <w:rFonts w:ascii="Arial" w:hAnsi="Arial" w:cs="Arial"/>
          <w:spacing w:val="-2"/>
          <w:sz w:val="20"/>
        </w:rPr>
        <w:t xml:space="preserve"> % celkových tržeb.</w:t>
      </w:r>
      <w:r w:rsidR="000D3992" w:rsidRPr="00B552F5">
        <w:rPr>
          <w:rFonts w:ascii="Arial" w:hAnsi="Arial" w:cs="Arial"/>
          <w:spacing w:val="-2"/>
          <w:sz w:val="20"/>
        </w:rPr>
        <w:t xml:space="preserve"> </w:t>
      </w:r>
      <w:r w:rsidR="00131AEA" w:rsidRPr="00B552F5">
        <w:rPr>
          <w:rFonts w:ascii="Arial" w:hAnsi="Arial" w:cs="Arial"/>
          <w:spacing w:val="-2"/>
          <w:sz w:val="20"/>
        </w:rPr>
        <w:t>N</w:t>
      </w:r>
      <w:r w:rsidR="0005073F" w:rsidRPr="00B552F5">
        <w:rPr>
          <w:rFonts w:ascii="Arial" w:hAnsi="Arial" w:cs="Arial"/>
          <w:spacing w:val="-2"/>
          <w:sz w:val="20"/>
        </w:rPr>
        <w:t>ejvyšší tržby z</w:t>
      </w:r>
      <w:r w:rsidR="00655118" w:rsidRPr="00B552F5">
        <w:rPr>
          <w:rFonts w:ascii="Arial" w:hAnsi="Arial" w:cs="Arial"/>
          <w:spacing w:val="-2"/>
          <w:sz w:val="20"/>
        </w:rPr>
        <w:t> </w:t>
      </w:r>
      <w:r w:rsidR="0005073F" w:rsidRPr="00B552F5">
        <w:rPr>
          <w:rFonts w:ascii="Arial" w:hAnsi="Arial" w:cs="Arial"/>
          <w:spacing w:val="-2"/>
          <w:sz w:val="20"/>
        </w:rPr>
        <w:t>prodejů</w:t>
      </w:r>
      <w:r w:rsidR="00655118" w:rsidRPr="00B552F5">
        <w:rPr>
          <w:rFonts w:ascii="Arial" w:hAnsi="Arial" w:cs="Arial"/>
          <w:spacing w:val="-2"/>
          <w:sz w:val="20"/>
        </w:rPr>
        <w:t xml:space="preserve"> přes web </w:t>
      </w:r>
      <w:r w:rsidR="003673E5" w:rsidRPr="00B552F5">
        <w:rPr>
          <w:rFonts w:ascii="Arial" w:hAnsi="Arial" w:cs="Arial"/>
          <w:spacing w:val="-2"/>
          <w:sz w:val="20"/>
        </w:rPr>
        <w:t>měl</w:t>
      </w:r>
      <w:r w:rsidR="00AB6BE6" w:rsidRPr="00B552F5">
        <w:rPr>
          <w:rFonts w:ascii="Arial" w:hAnsi="Arial" w:cs="Arial"/>
          <w:spacing w:val="-2"/>
          <w:sz w:val="20"/>
        </w:rPr>
        <w:t>y</w:t>
      </w:r>
      <w:r w:rsidR="0005073F" w:rsidRPr="00B552F5">
        <w:rPr>
          <w:rFonts w:ascii="Arial" w:hAnsi="Arial" w:cs="Arial"/>
          <w:spacing w:val="-2"/>
          <w:sz w:val="20"/>
        </w:rPr>
        <w:t xml:space="preserve"> v roce 20</w:t>
      </w:r>
      <w:r w:rsidR="00C50497" w:rsidRPr="00B552F5">
        <w:rPr>
          <w:rFonts w:ascii="Arial" w:hAnsi="Arial" w:cs="Arial"/>
          <w:spacing w:val="-2"/>
          <w:sz w:val="20"/>
        </w:rPr>
        <w:t>2</w:t>
      </w:r>
      <w:r w:rsidR="003528A7" w:rsidRPr="00B552F5">
        <w:rPr>
          <w:rFonts w:ascii="Arial" w:hAnsi="Arial" w:cs="Arial"/>
          <w:spacing w:val="-2"/>
          <w:sz w:val="20"/>
        </w:rPr>
        <w:t>4</w:t>
      </w:r>
      <w:r w:rsidR="00FF33BB" w:rsidRPr="00B552F5">
        <w:rPr>
          <w:rFonts w:ascii="Arial" w:hAnsi="Arial" w:cs="Arial"/>
          <w:spacing w:val="-2"/>
          <w:sz w:val="20"/>
        </w:rPr>
        <w:t xml:space="preserve"> </w:t>
      </w:r>
      <w:r w:rsidR="00AB6BE6" w:rsidRPr="00B552F5">
        <w:rPr>
          <w:rFonts w:ascii="Arial" w:hAnsi="Arial" w:cs="Arial"/>
          <w:b/>
          <w:spacing w:val="-2"/>
          <w:sz w:val="20"/>
        </w:rPr>
        <w:t>podniky v</w:t>
      </w:r>
      <w:r w:rsidR="00B552F5">
        <w:rPr>
          <w:rFonts w:ascii="Arial" w:hAnsi="Arial" w:cs="Arial"/>
          <w:b/>
          <w:spacing w:val="-2"/>
          <w:sz w:val="20"/>
        </w:rPr>
        <w:t> </w:t>
      </w:r>
      <w:r w:rsidR="00AB6BE6" w:rsidRPr="00B552F5">
        <w:rPr>
          <w:rFonts w:ascii="Arial" w:hAnsi="Arial" w:cs="Arial"/>
          <w:b/>
          <w:spacing w:val="-2"/>
          <w:sz w:val="20"/>
        </w:rPr>
        <w:t>Irsku</w:t>
      </w:r>
      <w:r w:rsidRPr="00B552F5">
        <w:rPr>
          <w:rFonts w:ascii="Arial" w:hAnsi="Arial" w:cs="Arial"/>
          <w:spacing w:val="-2"/>
          <w:sz w:val="20"/>
        </w:rPr>
        <w:t xml:space="preserve"> (</w:t>
      </w:r>
      <w:r w:rsidR="00440908" w:rsidRPr="00B552F5">
        <w:rPr>
          <w:rFonts w:ascii="Arial" w:hAnsi="Arial" w:cs="Arial"/>
          <w:spacing w:val="-2"/>
          <w:sz w:val="20"/>
        </w:rPr>
        <w:t>25</w:t>
      </w:r>
      <w:r w:rsidRPr="00B552F5">
        <w:rPr>
          <w:rFonts w:ascii="Arial" w:hAnsi="Arial" w:cs="Arial"/>
          <w:spacing w:val="-2"/>
          <w:sz w:val="20"/>
        </w:rPr>
        <w:t xml:space="preserve"> %),</w:t>
      </w:r>
      <w:r w:rsidR="00FF6CBF" w:rsidRPr="00B552F5">
        <w:rPr>
          <w:rFonts w:ascii="Arial" w:hAnsi="Arial" w:cs="Arial"/>
          <w:spacing w:val="-2"/>
          <w:sz w:val="20"/>
        </w:rPr>
        <w:t xml:space="preserve"> </w:t>
      </w:r>
      <w:r w:rsidR="00131AEA" w:rsidRPr="00B552F5">
        <w:rPr>
          <w:rFonts w:ascii="Arial" w:hAnsi="Arial" w:cs="Arial"/>
          <w:spacing w:val="-2"/>
          <w:sz w:val="20"/>
        </w:rPr>
        <w:t>n</w:t>
      </w:r>
      <w:r w:rsidR="00655118" w:rsidRPr="00B552F5">
        <w:rPr>
          <w:rFonts w:ascii="Arial" w:hAnsi="Arial" w:cs="Arial"/>
          <w:spacing w:val="-2"/>
          <w:sz w:val="20"/>
        </w:rPr>
        <w:t xml:space="preserve">ejnižší tržby </w:t>
      </w:r>
      <w:r w:rsidR="00131AEA" w:rsidRPr="00B552F5">
        <w:rPr>
          <w:rFonts w:ascii="Arial" w:hAnsi="Arial" w:cs="Arial"/>
          <w:spacing w:val="-2"/>
          <w:sz w:val="20"/>
        </w:rPr>
        <w:t xml:space="preserve">naproti tomu </w:t>
      </w:r>
      <w:r w:rsidR="00655118" w:rsidRPr="00B552F5">
        <w:rPr>
          <w:rFonts w:ascii="Arial" w:hAnsi="Arial" w:cs="Arial"/>
          <w:spacing w:val="-2"/>
          <w:sz w:val="20"/>
        </w:rPr>
        <w:t>vykázal</w:t>
      </w:r>
      <w:r w:rsidR="00131AEA" w:rsidRPr="00B552F5">
        <w:rPr>
          <w:rFonts w:ascii="Arial" w:hAnsi="Arial" w:cs="Arial"/>
          <w:spacing w:val="-2"/>
          <w:sz w:val="20"/>
        </w:rPr>
        <w:t>y</w:t>
      </w:r>
      <w:r w:rsidR="00655118" w:rsidRPr="00B552F5">
        <w:rPr>
          <w:rFonts w:ascii="Arial" w:hAnsi="Arial" w:cs="Arial"/>
          <w:spacing w:val="-2"/>
          <w:sz w:val="20"/>
        </w:rPr>
        <w:t xml:space="preserve"> </w:t>
      </w:r>
      <w:r w:rsidR="00D7667F" w:rsidRPr="00B552F5">
        <w:rPr>
          <w:rFonts w:ascii="Arial" w:hAnsi="Arial" w:cs="Arial"/>
          <w:spacing w:val="-2"/>
          <w:sz w:val="20"/>
        </w:rPr>
        <w:t>v</w:t>
      </w:r>
      <w:r w:rsidR="00440908" w:rsidRPr="00B552F5">
        <w:rPr>
          <w:rFonts w:ascii="Arial" w:hAnsi="Arial" w:cs="Arial"/>
          <w:spacing w:val="-2"/>
          <w:sz w:val="20"/>
        </w:rPr>
        <w:t xml:space="preserve">e stejném roce </w:t>
      </w:r>
      <w:r w:rsidR="00131AEA" w:rsidRPr="00B552F5">
        <w:rPr>
          <w:rFonts w:ascii="Arial" w:hAnsi="Arial" w:cs="Arial"/>
          <w:spacing w:val="-2"/>
          <w:sz w:val="20"/>
        </w:rPr>
        <w:t xml:space="preserve">podniky ve </w:t>
      </w:r>
      <w:r w:rsidR="00655118" w:rsidRPr="00B552F5">
        <w:rPr>
          <w:rFonts w:ascii="Arial" w:hAnsi="Arial" w:cs="Arial"/>
          <w:spacing w:val="-2"/>
          <w:sz w:val="20"/>
        </w:rPr>
        <w:t>Franci</w:t>
      </w:r>
      <w:r w:rsidR="00131AEA" w:rsidRPr="00B552F5">
        <w:rPr>
          <w:rFonts w:ascii="Arial" w:hAnsi="Arial" w:cs="Arial"/>
          <w:spacing w:val="-2"/>
          <w:sz w:val="20"/>
        </w:rPr>
        <w:t>i</w:t>
      </w:r>
      <w:r w:rsidR="00440908" w:rsidRPr="00B552F5">
        <w:rPr>
          <w:rFonts w:ascii="Arial" w:hAnsi="Arial" w:cs="Arial"/>
          <w:spacing w:val="-2"/>
          <w:sz w:val="20"/>
        </w:rPr>
        <w:t xml:space="preserve"> (4 %</w:t>
      </w:r>
      <w:r w:rsidR="00854467" w:rsidRPr="00B552F5">
        <w:rPr>
          <w:rFonts w:ascii="Arial" w:hAnsi="Arial" w:cs="Arial"/>
          <w:spacing w:val="-2"/>
          <w:sz w:val="20"/>
        </w:rPr>
        <w:t xml:space="preserve"> </w:t>
      </w:r>
      <w:r w:rsidR="00655118" w:rsidRPr="00B552F5">
        <w:rPr>
          <w:rFonts w:ascii="Arial" w:hAnsi="Arial" w:cs="Arial"/>
          <w:spacing w:val="-2"/>
          <w:sz w:val="20"/>
        </w:rPr>
        <w:t>z celkových tržeb podniků).</w:t>
      </w:r>
      <w:r w:rsidR="006C3757" w:rsidRPr="00B552F5">
        <w:rPr>
          <w:rFonts w:ascii="Arial" w:hAnsi="Arial" w:cs="Arial"/>
          <w:sz w:val="20"/>
        </w:rPr>
        <w:t xml:space="preserve"> </w:t>
      </w:r>
    </w:p>
    <w:p w14:paraId="62D9FF3D" w14:textId="463F842A" w:rsidR="002A1B16" w:rsidRPr="007A1394" w:rsidRDefault="00655118" w:rsidP="00703546">
      <w:pPr>
        <w:numPr>
          <w:ilvl w:val="0"/>
          <w:numId w:val="5"/>
        </w:numPr>
        <w:tabs>
          <w:tab w:val="clear" w:pos="643"/>
          <w:tab w:val="num" w:pos="284"/>
        </w:tabs>
        <w:autoSpaceDE w:val="0"/>
        <w:autoSpaceDN w:val="0"/>
        <w:adjustRightInd w:val="0"/>
        <w:spacing w:after="60" w:line="288" w:lineRule="auto"/>
        <w:ind w:left="284" w:hanging="284"/>
        <w:jc w:val="both"/>
        <w:rPr>
          <w:rFonts w:ascii="Arial" w:hAnsi="Arial" w:cs="Arial"/>
          <w:b/>
          <w:sz w:val="20"/>
        </w:rPr>
      </w:pPr>
      <w:r w:rsidRPr="007A1394">
        <w:rPr>
          <w:rFonts w:ascii="Arial" w:hAnsi="Arial" w:cs="Arial"/>
          <w:iCs/>
          <w:sz w:val="20"/>
          <w:szCs w:val="20"/>
        </w:rPr>
        <w:t>Podniky většiny zemí EU</w:t>
      </w:r>
      <w:r w:rsidR="005A7645" w:rsidRPr="007A1394">
        <w:rPr>
          <w:rFonts w:ascii="Arial" w:hAnsi="Arial" w:cs="Arial"/>
          <w:iCs/>
          <w:sz w:val="20"/>
          <w:szCs w:val="20"/>
        </w:rPr>
        <w:t>27</w:t>
      </w:r>
      <w:r w:rsidRPr="007A1394">
        <w:rPr>
          <w:rFonts w:ascii="Arial" w:hAnsi="Arial" w:cs="Arial"/>
          <w:iCs/>
          <w:sz w:val="20"/>
          <w:szCs w:val="20"/>
        </w:rPr>
        <w:t xml:space="preserve"> </w:t>
      </w:r>
      <w:r w:rsidR="00D10718" w:rsidRPr="007A1394">
        <w:rPr>
          <w:rFonts w:ascii="Arial" w:hAnsi="Arial" w:cs="Arial"/>
          <w:iCs/>
          <w:sz w:val="20"/>
          <w:szCs w:val="20"/>
        </w:rPr>
        <w:t>získávají</w:t>
      </w:r>
      <w:r w:rsidRPr="007A1394">
        <w:rPr>
          <w:rFonts w:ascii="Arial" w:hAnsi="Arial" w:cs="Arial"/>
          <w:iCs/>
          <w:sz w:val="20"/>
          <w:szCs w:val="20"/>
        </w:rPr>
        <w:t xml:space="preserve"> </w:t>
      </w:r>
      <w:r w:rsidRPr="007A1394">
        <w:rPr>
          <w:rFonts w:ascii="Arial" w:hAnsi="Arial" w:cs="Arial"/>
          <w:b/>
          <w:iCs/>
          <w:sz w:val="20"/>
          <w:szCs w:val="20"/>
        </w:rPr>
        <w:t>vyšší tržby z prodejů jiným firmám nebo organizacím veřejné správy než z prodejů soukromým osobám</w:t>
      </w:r>
      <w:r w:rsidRPr="007A1394">
        <w:rPr>
          <w:rFonts w:ascii="Arial" w:hAnsi="Arial" w:cs="Arial"/>
          <w:iCs/>
          <w:sz w:val="20"/>
          <w:szCs w:val="20"/>
        </w:rPr>
        <w:t>.</w:t>
      </w:r>
      <w:r w:rsidR="002D5D08" w:rsidRPr="007A1394">
        <w:rPr>
          <w:rFonts w:ascii="Arial" w:hAnsi="Arial" w:cs="Arial"/>
          <w:iCs/>
          <w:sz w:val="20"/>
          <w:szCs w:val="20"/>
        </w:rPr>
        <w:t xml:space="preserve"> Nejvíce viditelné to je u podniků </w:t>
      </w:r>
      <w:r w:rsidR="00131AEA" w:rsidRPr="007A1394">
        <w:rPr>
          <w:rFonts w:ascii="Arial" w:hAnsi="Arial" w:cs="Arial"/>
          <w:iCs/>
          <w:sz w:val="20"/>
          <w:szCs w:val="20"/>
        </w:rPr>
        <w:t>v Maďarsku nebo v</w:t>
      </w:r>
      <w:r w:rsidR="002D5D08" w:rsidRPr="007A1394">
        <w:rPr>
          <w:rFonts w:ascii="Arial" w:hAnsi="Arial" w:cs="Arial"/>
          <w:iCs/>
          <w:sz w:val="20"/>
          <w:szCs w:val="20"/>
        </w:rPr>
        <w:t xml:space="preserve"> </w:t>
      </w:r>
      <w:r w:rsidR="009627A2" w:rsidRPr="007A1394">
        <w:rPr>
          <w:rFonts w:ascii="Arial" w:hAnsi="Arial" w:cs="Arial"/>
          <w:iCs/>
          <w:sz w:val="20"/>
          <w:szCs w:val="20"/>
        </w:rPr>
        <w:t>Irsku</w:t>
      </w:r>
      <w:r w:rsidR="002D5D08" w:rsidRPr="007A1394">
        <w:rPr>
          <w:rFonts w:ascii="Arial" w:hAnsi="Arial" w:cs="Arial"/>
          <w:iCs/>
          <w:sz w:val="20"/>
          <w:szCs w:val="20"/>
        </w:rPr>
        <w:t xml:space="preserve"> (</w:t>
      </w:r>
      <w:r w:rsidR="00131AEA" w:rsidRPr="007A1394">
        <w:rPr>
          <w:rFonts w:ascii="Arial" w:hAnsi="Arial" w:cs="Arial"/>
          <w:iCs/>
          <w:sz w:val="20"/>
          <w:szCs w:val="20"/>
        </w:rPr>
        <w:t xml:space="preserve">přibližně tři čtvrtiny tržeb plynou </w:t>
      </w:r>
      <w:r w:rsidR="00BD3FB6" w:rsidRPr="007A1394">
        <w:rPr>
          <w:rFonts w:ascii="Arial" w:hAnsi="Arial" w:cs="Arial"/>
          <w:iCs/>
          <w:sz w:val="20"/>
          <w:szCs w:val="20"/>
        </w:rPr>
        <w:t>z B2B resp. B2G prodejů</w:t>
      </w:r>
      <w:r w:rsidR="002D5D08" w:rsidRPr="007A1394">
        <w:rPr>
          <w:rFonts w:ascii="Arial" w:hAnsi="Arial" w:cs="Arial"/>
          <w:iCs/>
          <w:sz w:val="20"/>
          <w:szCs w:val="20"/>
        </w:rPr>
        <w:t xml:space="preserve"> ku </w:t>
      </w:r>
      <w:r w:rsidR="00131AEA" w:rsidRPr="007A1394">
        <w:rPr>
          <w:rFonts w:ascii="Arial" w:hAnsi="Arial" w:cs="Arial"/>
          <w:iCs/>
          <w:sz w:val="20"/>
          <w:szCs w:val="20"/>
        </w:rPr>
        <w:t>čtvrtině</w:t>
      </w:r>
      <w:r w:rsidR="00BD3FB6" w:rsidRPr="007A1394">
        <w:rPr>
          <w:rFonts w:ascii="Arial" w:hAnsi="Arial" w:cs="Arial"/>
          <w:iCs/>
          <w:sz w:val="20"/>
          <w:szCs w:val="20"/>
        </w:rPr>
        <w:t xml:space="preserve"> z B2C prodejů</w:t>
      </w:r>
      <w:r w:rsidR="002D5D08" w:rsidRPr="007A1394">
        <w:rPr>
          <w:rFonts w:ascii="Arial" w:hAnsi="Arial" w:cs="Arial"/>
          <w:iCs/>
          <w:sz w:val="20"/>
          <w:szCs w:val="20"/>
        </w:rPr>
        <w:t>).</w:t>
      </w:r>
      <w:r w:rsidRPr="007A1394">
        <w:rPr>
          <w:rFonts w:ascii="Arial" w:hAnsi="Arial" w:cs="Arial"/>
          <w:iCs/>
          <w:sz w:val="20"/>
          <w:szCs w:val="20"/>
        </w:rPr>
        <w:t xml:space="preserve"> Obrácený poměr nacházíme v podnicích </w:t>
      </w:r>
      <w:r w:rsidR="00131AEA" w:rsidRPr="007A1394">
        <w:rPr>
          <w:rFonts w:ascii="Arial" w:hAnsi="Arial" w:cs="Arial"/>
          <w:iCs/>
          <w:sz w:val="20"/>
          <w:szCs w:val="20"/>
        </w:rPr>
        <w:t>na Kypru nebo</w:t>
      </w:r>
      <w:r w:rsidR="00CB2573" w:rsidRPr="007A1394">
        <w:rPr>
          <w:rFonts w:ascii="Arial" w:hAnsi="Arial" w:cs="Arial"/>
          <w:iCs/>
          <w:sz w:val="20"/>
          <w:szCs w:val="20"/>
        </w:rPr>
        <w:t xml:space="preserve"> na Maltě</w:t>
      </w:r>
      <w:r w:rsidRPr="007A1394">
        <w:rPr>
          <w:rFonts w:ascii="Arial" w:hAnsi="Arial" w:cs="Arial"/>
          <w:iCs/>
          <w:sz w:val="20"/>
          <w:szCs w:val="20"/>
        </w:rPr>
        <w:t>, kde převládají t</w:t>
      </w:r>
      <w:r w:rsidR="00D10718" w:rsidRPr="007A1394">
        <w:rPr>
          <w:rFonts w:ascii="Arial" w:hAnsi="Arial" w:cs="Arial"/>
          <w:iCs/>
          <w:sz w:val="20"/>
          <w:szCs w:val="20"/>
        </w:rPr>
        <w:t>r</w:t>
      </w:r>
      <w:r w:rsidRPr="007A1394">
        <w:rPr>
          <w:rFonts w:ascii="Arial" w:hAnsi="Arial" w:cs="Arial"/>
          <w:iCs/>
          <w:sz w:val="20"/>
          <w:szCs w:val="20"/>
        </w:rPr>
        <w:t>žby z webového prodeje soukromým osobám</w:t>
      </w:r>
      <w:r w:rsidR="007A1394" w:rsidRPr="007A1394">
        <w:rPr>
          <w:rFonts w:ascii="Arial" w:hAnsi="Arial" w:cs="Arial"/>
          <w:iCs/>
          <w:sz w:val="20"/>
          <w:szCs w:val="20"/>
        </w:rPr>
        <w:t xml:space="preserve"> (v každé z těchto zemí více než 60 % podniků)</w:t>
      </w:r>
      <w:r w:rsidR="000F5173" w:rsidRPr="007A1394">
        <w:rPr>
          <w:rFonts w:ascii="Arial" w:hAnsi="Arial" w:cs="Arial"/>
          <w:iCs/>
          <w:sz w:val="20"/>
          <w:szCs w:val="20"/>
        </w:rPr>
        <w:t>.</w:t>
      </w:r>
      <w:r w:rsidRPr="007A1394">
        <w:rPr>
          <w:rFonts w:ascii="Arial" w:hAnsi="Arial" w:cs="Arial"/>
          <w:iCs/>
          <w:sz w:val="20"/>
          <w:szCs w:val="20"/>
        </w:rPr>
        <w:t xml:space="preserve"> </w:t>
      </w:r>
      <w:r w:rsidR="002D5D08" w:rsidRPr="007A1394">
        <w:rPr>
          <w:rFonts w:ascii="Arial" w:hAnsi="Arial" w:cs="Arial"/>
          <w:iCs/>
          <w:sz w:val="20"/>
          <w:szCs w:val="20"/>
        </w:rPr>
        <w:t>U podniků v</w:t>
      </w:r>
      <w:r w:rsidR="001C5253" w:rsidRPr="007A1394">
        <w:rPr>
          <w:rFonts w:ascii="Arial" w:hAnsi="Arial" w:cs="Arial"/>
          <w:iCs/>
          <w:sz w:val="20"/>
          <w:szCs w:val="20"/>
        </w:rPr>
        <w:t> </w:t>
      </w:r>
      <w:r w:rsidR="002D5D08" w:rsidRPr="007A1394">
        <w:rPr>
          <w:rFonts w:ascii="Arial" w:hAnsi="Arial" w:cs="Arial"/>
          <w:iCs/>
          <w:sz w:val="20"/>
          <w:szCs w:val="20"/>
        </w:rPr>
        <w:t>Česku</w:t>
      </w:r>
      <w:r w:rsidR="001C5253" w:rsidRPr="007A1394">
        <w:rPr>
          <w:rFonts w:ascii="Arial" w:hAnsi="Arial" w:cs="Arial"/>
          <w:iCs/>
          <w:sz w:val="20"/>
          <w:szCs w:val="20"/>
        </w:rPr>
        <w:t xml:space="preserve"> v roce 202</w:t>
      </w:r>
      <w:r w:rsidR="007A1394" w:rsidRPr="007A1394">
        <w:rPr>
          <w:rFonts w:ascii="Arial" w:hAnsi="Arial" w:cs="Arial"/>
          <w:iCs/>
          <w:sz w:val="20"/>
          <w:szCs w:val="20"/>
        </w:rPr>
        <w:t>4</w:t>
      </w:r>
      <w:r w:rsidR="002D5D08" w:rsidRPr="007A1394">
        <w:rPr>
          <w:rFonts w:ascii="Arial" w:hAnsi="Arial" w:cs="Arial"/>
          <w:iCs/>
          <w:sz w:val="20"/>
          <w:szCs w:val="20"/>
        </w:rPr>
        <w:t xml:space="preserve"> </w:t>
      </w:r>
      <w:r w:rsidR="001C5253" w:rsidRPr="007A1394">
        <w:rPr>
          <w:rFonts w:ascii="Arial" w:hAnsi="Arial" w:cs="Arial"/>
          <w:iCs/>
          <w:sz w:val="20"/>
          <w:szCs w:val="20"/>
        </w:rPr>
        <w:t xml:space="preserve">také mírně převažují tržby z </w:t>
      </w:r>
      <w:r w:rsidR="002D5D08" w:rsidRPr="007A1394">
        <w:rPr>
          <w:rFonts w:ascii="Arial" w:hAnsi="Arial" w:cs="Arial"/>
          <w:iCs/>
          <w:sz w:val="20"/>
          <w:szCs w:val="20"/>
        </w:rPr>
        <w:t>prodej</w:t>
      </w:r>
      <w:r w:rsidR="001C5253" w:rsidRPr="007A1394">
        <w:rPr>
          <w:rFonts w:ascii="Arial" w:hAnsi="Arial" w:cs="Arial"/>
          <w:iCs/>
          <w:sz w:val="20"/>
          <w:szCs w:val="20"/>
        </w:rPr>
        <w:t>ů</w:t>
      </w:r>
      <w:r w:rsidR="002D5D08" w:rsidRPr="007A1394">
        <w:rPr>
          <w:rFonts w:ascii="Arial" w:hAnsi="Arial" w:cs="Arial"/>
          <w:iCs/>
          <w:sz w:val="20"/>
          <w:szCs w:val="20"/>
        </w:rPr>
        <w:t xml:space="preserve"> jiným podnikům či veřejné správě</w:t>
      </w:r>
      <w:r w:rsidR="00631669" w:rsidRPr="007A1394">
        <w:rPr>
          <w:rFonts w:ascii="Arial" w:hAnsi="Arial" w:cs="Arial"/>
          <w:iCs/>
          <w:sz w:val="20"/>
          <w:szCs w:val="20"/>
        </w:rPr>
        <w:t xml:space="preserve"> </w:t>
      </w:r>
      <w:r w:rsidR="001C5253" w:rsidRPr="007A1394">
        <w:rPr>
          <w:rFonts w:ascii="Arial" w:hAnsi="Arial" w:cs="Arial"/>
          <w:iCs/>
          <w:sz w:val="20"/>
          <w:szCs w:val="20"/>
        </w:rPr>
        <w:t>(5</w:t>
      </w:r>
      <w:r w:rsidR="007A1394" w:rsidRPr="007A1394">
        <w:rPr>
          <w:rFonts w:ascii="Arial" w:hAnsi="Arial" w:cs="Arial"/>
          <w:iCs/>
          <w:sz w:val="20"/>
          <w:szCs w:val="20"/>
        </w:rPr>
        <w:t>3</w:t>
      </w:r>
      <w:r w:rsidR="001C5253" w:rsidRPr="007A1394">
        <w:rPr>
          <w:rFonts w:ascii="Arial" w:hAnsi="Arial" w:cs="Arial"/>
          <w:iCs/>
          <w:sz w:val="20"/>
          <w:szCs w:val="20"/>
        </w:rPr>
        <w:t xml:space="preserve"> %) nad tržbami z prodejů soukromým osobám </w:t>
      </w:r>
      <w:r w:rsidR="002D5D08" w:rsidRPr="007A1394">
        <w:rPr>
          <w:rFonts w:ascii="Arial" w:hAnsi="Arial" w:cs="Arial"/>
          <w:iCs/>
          <w:sz w:val="20"/>
          <w:szCs w:val="20"/>
        </w:rPr>
        <w:t>(</w:t>
      </w:r>
      <w:r w:rsidR="001C5253" w:rsidRPr="007A1394">
        <w:rPr>
          <w:rFonts w:ascii="Arial" w:hAnsi="Arial" w:cs="Arial"/>
          <w:iCs/>
          <w:sz w:val="20"/>
          <w:szCs w:val="20"/>
        </w:rPr>
        <w:t>4</w:t>
      </w:r>
      <w:r w:rsidR="007A1394" w:rsidRPr="007A1394">
        <w:rPr>
          <w:rFonts w:ascii="Arial" w:hAnsi="Arial" w:cs="Arial"/>
          <w:iCs/>
          <w:sz w:val="20"/>
          <w:szCs w:val="20"/>
        </w:rPr>
        <w:t>7</w:t>
      </w:r>
      <w:r w:rsidR="002D5D08" w:rsidRPr="007A1394">
        <w:rPr>
          <w:rFonts w:ascii="Arial" w:hAnsi="Arial" w:cs="Arial"/>
          <w:iCs/>
          <w:sz w:val="20"/>
          <w:szCs w:val="20"/>
        </w:rPr>
        <w:t xml:space="preserve"> %)</w:t>
      </w:r>
      <w:r w:rsidR="00131AEA" w:rsidRPr="007A1394">
        <w:rPr>
          <w:rFonts w:ascii="Arial" w:hAnsi="Arial" w:cs="Arial"/>
          <w:iCs/>
          <w:sz w:val="20"/>
          <w:szCs w:val="20"/>
        </w:rPr>
        <w:t xml:space="preserve"> a podobné výsledky jsou za průměr EU27</w:t>
      </w:r>
      <w:r w:rsidR="007A1394" w:rsidRPr="007A1394">
        <w:rPr>
          <w:rFonts w:ascii="Arial" w:hAnsi="Arial" w:cs="Arial"/>
          <w:iCs/>
          <w:sz w:val="20"/>
          <w:szCs w:val="20"/>
        </w:rPr>
        <w:t xml:space="preserve"> (52 % ku 48 %)</w:t>
      </w:r>
      <w:r w:rsidR="002D5D08" w:rsidRPr="007A1394">
        <w:rPr>
          <w:rFonts w:ascii="Arial" w:hAnsi="Arial" w:cs="Arial"/>
          <w:iCs/>
          <w:sz w:val="20"/>
          <w:szCs w:val="20"/>
        </w:rPr>
        <w:t xml:space="preserve">. </w:t>
      </w:r>
    </w:p>
    <w:p w14:paraId="3C9CB7DC" w14:textId="77777777" w:rsidR="00467402" w:rsidRPr="000008BC" w:rsidRDefault="00836646" w:rsidP="00467402">
      <w:pPr>
        <w:spacing w:after="0" w:line="36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  <w:r w:rsidR="0045049E" w:rsidRPr="002C6BA4">
        <w:rPr>
          <w:rFonts w:ascii="Arial" w:hAnsi="Arial" w:cs="Arial"/>
          <w:b/>
          <w:sz w:val="20"/>
        </w:rPr>
        <w:lastRenderedPageBreak/>
        <w:t xml:space="preserve">Graf </w:t>
      </w:r>
      <w:r w:rsidR="00832B05">
        <w:rPr>
          <w:rFonts w:ascii="Arial" w:hAnsi="Arial" w:cs="Arial"/>
          <w:b/>
          <w:sz w:val="20"/>
        </w:rPr>
        <w:t>1</w:t>
      </w:r>
      <w:r w:rsidR="00253321">
        <w:rPr>
          <w:rFonts w:ascii="Arial" w:hAnsi="Arial" w:cs="Arial"/>
          <w:b/>
          <w:sz w:val="20"/>
        </w:rPr>
        <w:t>3</w:t>
      </w:r>
      <w:r w:rsidR="0045049E" w:rsidRPr="002C6BA4">
        <w:rPr>
          <w:rFonts w:ascii="Arial" w:hAnsi="Arial" w:cs="Arial"/>
          <w:b/>
          <w:sz w:val="20"/>
        </w:rPr>
        <w:t>.</w:t>
      </w:r>
      <w:r w:rsidR="0045049E">
        <w:rPr>
          <w:rFonts w:ascii="Arial" w:hAnsi="Arial" w:cs="Arial"/>
          <w:b/>
          <w:sz w:val="20"/>
        </w:rPr>
        <w:t>1</w:t>
      </w:r>
      <w:r w:rsidR="0045049E" w:rsidRPr="002C6BA4">
        <w:rPr>
          <w:rFonts w:ascii="Arial" w:hAnsi="Arial" w:cs="Arial"/>
          <w:b/>
          <w:sz w:val="20"/>
        </w:rPr>
        <w:t xml:space="preserve">: </w:t>
      </w:r>
      <w:r w:rsidR="00326DED">
        <w:rPr>
          <w:rFonts w:ascii="Arial" w:hAnsi="Arial" w:cs="Arial"/>
          <w:b/>
          <w:spacing w:val="-4"/>
          <w:sz w:val="20"/>
        </w:rPr>
        <w:t xml:space="preserve">Podniky v Česku prodávající výrobky, zboží nebo služby </w:t>
      </w:r>
      <w:r w:rsidR="0045049E">
        <w:rPr>
          <w:rFonts w:ascii="Arial" w:hAnsi="Arial" w:cs="Arial"/>
          <w:b/>
          <w:sz w:val="20"/>
        </w:rPr>
        <w:t>přes web</w:t>
      </w:r>
      <w:r w:rsidR="00315F27">
        <w:rPr>
          <w:rFonts w:ascii="Arial" w:hAnsi="Arial" w:cs="Arial"/>
          <w:b/>
          <w:sz w:val="20"/>
        </w:rPr>
        <w:t>,</w:t>
      </w:r>
      <w:r w:rsidR="0045049E">
        <w:rPr>
          <w:rFonts w:ascii="Arial" w:hAnsi="Arial" w:cs="Arial"/>
          <w:b/>
          <w:sz w:val="20"/>
        </w:rPr>
        <w:t xml:space="preserve"> </w:t>
      </w:r>
      <w:r w:rsidR="00B74932">
        <w:rPr>
          <w:rFonts w:ascii="Arial" w:hAnsi="Arial" w:cs="Arial"/>
          <w:b/>
          <w:sz w:val="20"/>
        </w:rPr>
        <w:t xml:space="preserve">mobilní </w:t>
      </w:r>
      <w:r w:rsidR="0045049E">
        <w:rPr>
          <w:rFonts w:ascii="Arial" w:hAnsi="Arial" w:cs="Arial"/>
          <w:b/>
          <w:sz w:val="20"/>
        </w:rPr>
        <w:t>aplikace</w:t>
      </w:r>
      <w:r w:rsidR="00315F27">
        <w:rPr>
          <w:rFonts w:ascii="Arial" w:hAnsi="Arial" w:cs="Arial"/>
          <w:b/>
          <w:sz w:val="20"/>
        </w:rPr>
        <w:t xml:space="preserve"> nebo online tržiště</w:t>
      </w:r>
      <w:r w:rsidR="0045049E">
        <w:rPr>
          <w:rFonts w:ascii="Arial" w:hAnsi="Arial" w:cs="Arial"/>
          <w:b/>
          <w:sz w:val="20"/>
        </w:rPr>
        <w:t xml:space="preserve"> </w:t>
      </w:r>
      <w:r w:rsidR="00467402" w:rsidRPr="000008BC">
        <w:rPr>
          <w:rFonts w:ascii="Arial" w:hAnsi="Arial" w:cs="Arial"/>
          <w:bCs/>
          <w:sz w:val="18"/>
        </w:rPr>
        <w:t>(% z celkového počtu podniků s 10+ zaměstnanci)</w:t>
      </w:r>
    </w:p>
    <w:p w14:paraId="36E1C3A2" w14:textId="19CDD739" w:rsidR="001452CA" w:rsidRDefault="00E7548E" w:rsidP="0045049E">
      <w:pPr>
        <w:spacing w:after="0" w:line="240" w:lineRule="auto"/>
        <w:rPr>
          <w:rFonts w:ascii="Arial" w:hAnsi="Arial" w:cs="Arial"/>
          <w:b/>
          <w:sz w:val="20"/>
        </w:rPr>
      </w:pPr>
      <w:r>
        <w:rPr>
          <w:noProof/>
        </w:rPr>
        <w:drawing>
          <wp:inline distT="0" distB="0" distL="0" distR="0" wp14:anchorId="08C67343" wp14:editId="47BBB251">
            <wp:extent cx="6120765" cy="2522220"/>
            <wp:effectExtent l="0" t="0" r="0" b="0"/>
            <wp:docPr id="60034492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E6E14591-263D-478D-A507-B7666187937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8F93E63" w14:textId="77777777" w:rsidR="002A1B16" w:rsidRDefault="002A1B16" w:rsidP="00FF6C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0"/>
        </w:rPr>
      </w:pPr>
    </w:p>
    <w:p w14:paraId="27BA2820" w14:textId="77777777" w:rsidR="00EF08E8" w:rsidRDefault="00EF08E8" w:rsidP="00FF6C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z w:val="20"/>
        </w:rPr>
      </w:pPr>
    </w:p>
    <w:p w14:paraId="5BE35304" w14:textId="5ACD4043" w:rsidR="00781CBC" w:rsidRPr="000008BC" w:rsidRDefault="00FF6CBF" w:rsidP="00781CBC">
      <w:pPr>
        <w:spacing w:after="0" w:line="360" w:lineRule="auto"/>
        <w:rPr>
          <w:rFonts w:ascii="Arial" w:hAnsi="Arial" w:cs="Arial"/>
          <w:b/>
          <w:sz w:val="20"/>
        </w:rPr>
      </w:pPr>
      <w:r w:rsidRPr="00124D49">
        <w:rPr>
          <w:rFonts w:ascii="Arial" w:hAnsi="Arial" w:cs="Arial"/>
          <w:b/>
          <w:sz w:val="20"/>
        </w:rPr>
        <w:t xml:space="preserve">Graf </w:t>
      </w:r>
      <w:r w:rsidR="00832B05">
        <w:rPr>
          <w:rFonts w:ascii="Arial" w:hAnsi="Arial" w:cs="Arial"/>
          <w:b/>
          <w:sz w:val="20"/>
        </w:rPr>
        <w:t>1</w:t>
      </w:r>
      <w:r w:rsidR="00253321">
        <w:rPr>
          <w:rFonts w:ascii="Arial" w:hAnsi="Arial" w:cs="Arial"/>
          <w:b/>
          <w:sz w:val="20"/>
        </w:rPr>
        <w:t>3</w:t>
      </w:r>
      <w:r w:rsidR="002A1B16">
        <w:rPr>
          <w:rFonts w:ascii="Arial" w:hAnsi="Arial" w:cs="Arial"/>
          <w:b/>
          <w:sz w:val="20"/>
        </w:rPr>
        <w:t>.</w:t>
      </w:r>
      <w:r w:rsidR="00795978">
        <w:rPr>
          <w:rFonts w:ascii="Arial" w:hAnsi="Arial" w:cs="Arial"/>
          <w:b/>
          <w:sz w:val="20"/>
        </w:rPr>
        <w:t>2</w:t>
      </w:r>
      <w:r w:rsidRPr="00124D49">
        <w:rPr>
          <w:rFonts w:ascii="Arial" w:hAnsi="Arial" w:cs="Arial"/>
          <w:b/>
          <w:sz w:val="20"/>
        </w:rPr>
        <w:t>: Podniky v zemích EU</w:t>
      </w:r>
      <w:r w:rsidR="006512EF">
        <w:rPr>
          <w:rFonts w:ascii="Arial" w:hAnsi="Arial" w:cs="Arial"/>
          <w:b/>
          <w:sz w:val="20"/>
        </w:rPr>
        <w:t>27</w:t>
      </w:r>
      <w:r w:rsidR="007B4070">
        <w:rPr>
          <w:rFonts w:ascii="Arial" w:hAnsi="Arial" w:cs="Arial"/>
          <w:b/>
          <w:sz w:val="20"/>
        </w:rPr>
        <w:t xml:space="preserve"> </w:t>
      </w:r>
      <w:r w:rsidR="00781CBC">
        <w:rPr>
          <w:rFonts w:ascii="Arial" w:hAnsi="Arial" w:cs="Arial"/>
          <w:b/>
          <w:spacing w:val="-4"/>
          <w:sz w:val="20"/>
        </w:rPr>
        <w:t xml:space="preserve">prodávající výrobky, zboží nebo služby </w:t>
      </w:r>
      <w:r w:rsidR="00781CBC">
        <w:rPr>
          <w:rFonts w:ascii="Arial" w:hAnsi="Arial" w:cs="Arial"/>
          <w:b/>
          <w:sz w:val="20"/>
        </w:rPr>
        <w:t xml:space="preserve">přes web, mobilní aplikace nebo online tržiště v roce </w:t>
      </w:r>
      <w:r w:rsidR="00943553">
        <w:rPr>
          <w:rFonts w:ascii="Arial" w:hAnsi="Arial" w:cs="Arial"/>
          <w:b/>
          <w:sz w:val="20"/>
        </w:rPr>
        <w:t>2024</w:t>
      </w:r>
      <w:r w:rsidR="00781CBC">
        <w:rPr>
          <w:rFonts w:ascii="Arial" w:hAnsi="Arial" w:cs="Arial"/>
          <w:b/>
          <w:sz w:val="20"/>
        </w:rPr>
        <w:t xml:space="preserve"> </w:t>
      </w:r>
      <w:r w:rsidR="00781CBC" w:rsidRPr="000008BC">
        <w:rPr>
          <w:rFonts w:ascii="Arial" w:hAnsi="Arial" w:cs="Arial"/>
          <w:bCs/>
          <w:sz w:val="18"/>
        </w:rPr>
        <w:t>(% z celkového počtu podniků s 10+ zaměstnanci</w:t>
      </w:r>
      <w:r w:rsidR="00943553">
        <w:rPr>
          <w:rFonts w:ascii="Arial" w:hAnsi="Arial" w:cs="Arial"/>
          <w:bCs/>
          <w:sz w:val="18"/>
        </w:rPr>
        <w:t xml:space="preserve"> v dané zemi</w:t>
      </w:r>
      <w:r w:rsidR="00781CBC" w:rsidRPr="000008BC">
        <w:rPr>
          <w:rFonts w:ascii="Arial" w:hAnsi="Arial" w:cs="Arial"/>
          <w:bCs/>
          <w:sz w:val="18"/>
        </w:rPr>
        <w:t>)</w:t>
      </w:r>
    </w:p>
    <w:p w14:paraId="1D14A9A4" w14:textId="3AF4A59C" w:rsidR="00375A7C" w:rsidRPr="00124D49" w:rsidRDefault="00781CBC" w:rsidP="00781CBC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4C3D34FC" wp14:editId="248A2BC4">
            <wp:extent cx="6076950" cy="3810000"/>
            <wp:effectExtent l="0" t="0" r="0" b="0"/>
            <wp:docPr id="1487749428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00CC522" w14:textId="623B0E8E" w:rsidR="00FF6CBF" w:rsidRPr="00124D49" w:rsidRDefault="00FF6CBF" w:rsidP="00FF6CBF">
      <w:pPr>
        <w:autoSpaceDE w:val="0"/>
        <w:autoSpaceDN w:val="0"/>
        <w:adjustRightInd w:val="0"/>
        <w:spacing w:before="120" w:after="40"/>
        <w:jc w:val="both"/>
        <w:rPr>
          <w:rFonts w:ascii="Arial" w:hAnsi="Arial" w:cs="Arial"/>
          <w:sz w:val="18"/>
          <w:szCs w:val="18"/>
        </w:rPr>
      </w:pPr>
      <w:r w:rsidRPr="00124D49">
        <w:rPr>
          <w:rFonts w:ascii="Arial" w:hAnsi="Arial" w:cs="Arial"/>
          <w:i/>
          <w:sz w:val="18"/>
          <w:szCs w:val="18"/>
        </w:rPr>
        <w:t xml:space="preserve">                        </w:t>
      </w:r>
    </w:p>
    <w:p w14:paraId="74F3856F" w14:textId="77777777" w:rsidR="00FF6CBF" w:rsidRPr="00810CDD" w:rsidRDefault="00FF6CBF" w:rsidP="00FF6CBF">
      <w:pPr>
        <w:spacing w:before="120" w:after="0" w:line="240" w:lineRule="auto"/>
        <w:jc w:val="right"/>
        <w:rPr>
          <w:rFonts w:ascii="Arial" w:hAnsi="Arial" w:cs="Arial"/>
          <w:sz w:val="10"/>
          <w:szCs w:val="10"/>
          <w:highlight w:val="yellow"/>
        </w:rPr>
      </w:pPr>
    </w:p>
    <w:p w14:paraId="3D52FC98" w14:textId="77777777" w:rsidR="00FF6CBF" w:rsidRPr="00810CDD" w:rsidRDefault="00FF6CBF" w:rsidP="00FF6CBF">
      <w:pPr>
        <w:spacing w:before="120" w:after="0" w:line="240" w:lineRule="auto"/>
        <w:jc w:val="right"/>
        <w:rPr>
          <w:rFonts w:ascii="Arial" w:hAnsi="Arial" w:cs="Arial"/>
          <w:sz w:val="18"/>
          <w:szCs w:val="18"/>
          <w:highlight w:val="yellow"/>
        </w:rPr>
      </w:pPr>
    </w:p>
    <w:p w14:paraId="22FDDC3A" w14:textId="77777777" w:rsidR="007B4070" w:rsidRDefault="007B4070" w:rsidP="00FF6C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pacing w:val="-2"/>
          <w:sz w:val="20"/>
        </w:rPr>
      </w:pPr>
    </w:p>
    <w:p w14:paraId="281535AE" w14:textId="77777777" w:rsidR="007B4070" w:rsidRDefault="007B4070">
      <w:pPr>
        <w:spacing w:after="0" w:line="240" w:lineRule="auto"/>
        <w:rPr>
          <w:rFonts w:ascii="Arial" w:hAnsi="Arial" w:cs="Arial"/>
          <w:b/>
          <w:spacing w:val="-2"/>
          <w:sz w:val="20"/>
        </w:rPr>
      </w:pPr>
      <w:r>
        <w:rPr>
          <w:rFonts w:ascii="Arial" w:hAnsi="Arial" w:cs="Arial"/>
          <w:b/>
          <w:spacing w:val="-2"/>
          <w:sz w:val="20"/>
        </w:rPr>
        <w:br w:type="page"/>
      </w:r>
    </w:p>
    <w:p w14:paraId="2F55A21E" w14:textId="14166E57" w:rsidR="00EC245F" w:rsidRDefault="00FF6CBF" w:rsidP="00FF6C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pacing w:val="-2"/>
          <w:sz w:val="20"/>
        </w:rPr>
      </w:pPr>
      <w:r w:rsidRPr="00124D49">
        <w:rPr>
          <w:rFonts w:ascii="Arial" w:hAnsi="Arial" w:cs="Arial"/>
          <w:b/>
          <w:spacing w:val="-2"/>
          <w:sz w:val="20"/>
        </w:rPr>
        <w:lastRenderedPageBreak/>
        <w:t xml:space="preserve">Graf </w:t>
      </w:r>
      <w:r w:rsidR="00832B05">
        <w:rPr>
          <w:rFonts w:ascii="Arial" w:hAnsi="Arial" w:cs="Arial"/>
          <w:b/>
          <w:spacing w:val="-2"/>
          <w:sz w:val="20"/>
        </w:rPr>
        <w:t>1</w:t>
      </w:r>
      <w:r w:rsidR="00253321">
        <w:rPr>
          <w:rFonts w:ascii="Arial" w:hAnsi="Arial" w:cs="Arial"/>
          <w:b/>
          <w:spacing w:val="-2"/>
          <w:sz w:val="20"/>
        </w:rPr>
        <w:t>3</w:t>
      </w:r>
      <w:r w:rsidR="00795978">
        <w:rPr>
          <w:rFonts w:ascii="Arial" w:hAnsi="Arial" w:cs="Arial"/>
          <w:b/>
          <w:spacing w:val="-2"/>
          <w:sz w:val="20"/>
        </w:rPr>
        <w:t>.3</w:t>
      </w:r>
      <w:r w:rsidRPr="00124D49">
        <w:rPr>
          <w:rFonts w:ascii="Arial" w:hAnsi="Arial" w:cs="Arial"/>
          <w:b/>
          <w:spacing w:val="-2"/>
          <w:sz w:val="20"/>
        </w:rPr>
        <w:t>: Tržby podniků v zemích EU</w:t>
      </w:r>
      <w:r w:rsidR="006512EF">
        <w:rPr>
          <w:rFonts w:ascii="Arial" w:hAnsi="Arial" w:cs="Arial"/>
          <w:b/>
          <w:spacing w:val="-2"/>
          <w:sz w:val="20"/>
        </w:rPr>
        <w:t>27</w:t>
      </w:r>
      <w:r w:rsidRPr="00124D49">
        <w:rPr>
          <w:rFonts w:ascii="Arial" w:hAnsi="Arial" w:cs="Arial"/>
          <w:b/>
          <w:spacing w:val="-2"/>
          <w:sz w:val="20"/>
        </w:rPr>
        <w:t xml:space="preserve"> z</w:t>
      </w:r>
      <w:r w:rsidR="00FC5E7A">
        <w:rPr>
          <w:rFonts w:ascii="Arial" w:hAnsi="Arial" w:cs="Arial"/>
          <w:b/>
          <w:spacing w:val="-2"/>
          <w:sz w:val="20"/>
        </w:rPr>
        <w:t> </w:t>
      </w:r>
      <w:r w:rsidR="004D0076">
        <w:rPr>
          <w:rFonts w:ascii="Arial" w:hAnsi="Arial" w:cs="Arial"/>
          <w:b/>
          <w:sz w:val="20"/>
        </w:rPr>
        <w:t>prodejů</w:t>
      </w:r>
      <w:r w:rsidR="00FC5E7A">
        <w:rPr>
          <w:rFonts w:ascii="Arial" w:hAnsi="Arial" w:cs="Arial"/>
          <w:b/>
          <w:sz w:val="20"/>
        </w:rPr>
        <w:t xml:space="preserve"> uskutečněných online</w:t>
      </w:r>
      <w:r w:rsidR="00FC5E7A">
        <w:rPr>
          <w:rFonts w:ascii="Arial" w:hAnsi="Arial" w:cs="Arial"/>
          <w:b/>
          <w:spacing w:val="-2"/>
          <w:sz w:val="20"/>
        </w:rPr>
        <w:t xml:space="preserve"> v roce 2024</w:t>
      </w:r>
    </w:p>
    <w:p w14:paraId="2ADCC974" w14:textId="77777777" w:rsidR="004D3CF2" w:rsidRDefault="004D3CF2" w:rsidP="004D3CF2">
      <w:pPr>
        <w:spacing w:after="0" w:line="360" w:lineRule="auto"/>
        <w:rPr>
          <w:rFonts w:ascii="Arial" w:hAnsi="Arial" w:cs="Arial"/>
          <w:bCs/>
          <w:sz w:val="18"/>
        </w:rPr>
      </w:pPr>
      <w:r w:rsidRPr="000008BC">
        <w:rPr>
          <w:rFonts w:ascii="Arial" w:hAnsi="Arial" w:cs="Arial"/>
          <w:bCs/>
          <w:sz w:val="18"/>
        </w:rPr>
        <w:t>(% z</w:t>
      </w:r>
      <w:r>
        <w:rPr>
          <w:rFonts w:ascii="Arial" w:hAnsi="Arial" w:cs="Arial"/>
          <w:bCs/>
          <w:sz w:val="18"/>
        </w:rPr>
        <w:t> </w:t>
      </w:r>
      <w:r w:rsidRPr="000008BC">
        <w:rPr>
          <w:rFonts w:ascii="Arial" w:hAnsi="Arial" w:cs="Arial"/>
          <w:bCs/>
          <w:sz w:val="18"/>
        </w:rPr>
        <w:t>celkov</w:t>
      </w:r>
      <w:r>
        <w:rPr>
          <w:rFonts w:ascii="Arial" w:hAnsi="Arial" w:cs="Arial"/>
          <w:bCs/>
          <w:sz w:val="18"/>
        </w:rPr>
        <w:t>ých tržeb</w:t>
      </w:r>
      <w:r w:rsidRPr="000008BC">
        <w:rPr>
          <w:rFonts w:ascii="Arial" w:hAnsi="Arial" w:cs="Arial"/>
          <w:bCs/>
          <w:sz w:val="18"/>
        </w:rPr>
        <w:t xml:space="preserve"> podniků s 10+ zaměstnanci</w:t>
      </w:r>
      <w:r>
        <w:rPr>
          <w:rFonts w:ascii="Arial" w:hAnsi="Arial" w:cs="Arial"/>
          <w:bCs/>
          <w:sz w:val="18"/>
        </w:rPr>
        <w:t xml:space="preserve"> v dané zemi</w:t>
      </w:r>
      <w:r w:rsidRPr="000008BC">
        <w:rPr>
          <w:rFonts w:ascii="Arial" w:hAnsi="Arial" w:cs="Arial"/>
          <w:bCs/>
          <w:sz w:val="18"/>
        </w:rPr>
        <w:t>)</w:t>
      </w:r>
    </w:p>
    <w:p w14:paraId="33B12411" w14:textId="027FAA3C" w:rsidR="004D0076" w:rsidRDefault="006C3663" w:rsidP="00FF6CBF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spacing w:val="-2"/>
          <w:sz w:val="20"/>
        </w:rPr>
      </w:pPr>
      <w:r>
        <w:rPr>
          <w:noProof/>
        </w:rPr>
        <w:drawing>
          <wp:inline distT="0" distB="0" distL="0" distR="0" wp14:anchorId="76B26363" wp14:editId="265AB8F2">
            <wp:extent cx="6067425" cy="3524250"/>
            <wp:effectExtent l="0" t="0" r="0" b="0"/>
            <wp:docPr id="1519774750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11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E7F6EBB" w14:textId="77777777" w:rsidR="004D3CF2" w:rsidRDefault="004D3CF2" w:rsidP="00375A7C">
      <w:pPr>
        <w:spacing w:before="120" w:after="0" w:line="240" w:lineRule="auto"/>
        <w:rPr>
          <w:rFonts w:ascii="Arial" w:hAnsi="Arial" w:cs="Arial"/>
          <w:b/>
          <w:sz w:val="20"/>
        </w:rPr>
      </w:pPr>
    </w:p>
    <w:p w14:paraId="349F3B7B" w14:textId="77777777" w:rsidR="00F57C48" w:rsidRDefault="00B74932" w:rsidP="006D624A">
      <w:pPr>
        <w:spacing w:after="0" w:line="360" w:lineRule="auto"/>
        <w:rPr>
          <w:rFonts w:ascii="Arial" w:hAnsi="Arial" w:cs="Arial"/>
          <w:i/>
          <w:sz w:val="18"/>
          <w:szCs w:val="18"/>
        </w:rPr>
      </w:pPr>
      <w:r w:rsidRPr="00CA1ED7">
        <w:rPr>
          <w:rFonts w:ascii="Arial" w:hAnsi="Arial" w:cs="Arial"/>
          <w:b/>
          <w:sz w:val="20"/>
        </w:rPr>
        <w:t xml:space="preserve">Graf </w:t>
      </w:r>
      <w:r w:rsidR="00832B05">
        <w:rPr>
          <w:rFonts w:ascii="Arial" w:hAnsi="Arial" w:cs="Arial"/>
          <w:b/>
          <w:sz w:val="20"/>
        </w:rPr>
        <w:t>1</w:t>
      </w:r>
      <w:r w:rsidR="00253321">
        <w:rPr>
          <w:rFonts w:ascii="Arial" w:hAnsi="Arial" w:cs="Arial"/>
          <w:b/>
          <w:sz w:val="20"/>
        </w:rPr>
        <w:t>3</w:t>
      </w:r>
      <w:r w:rsidR="002A1B16" w:rsidRPr="00CA1ED7">
        <w:rPr>
          <w:rFonts w:ascii="Arial" w:hAnsi="Arial" w:cs="Arial"/>
          <w:b/>
          <w:sz w:val="20"/>
        </w:rPr>
        <w:t>.</w:t>
      </w:r>
      <w:r w:rsidR="00795978" w:rsidRPr="00CA1ED7">
        <w:rPr>
          <w:rFonts w:ascii="Arial" w:hAnsi="Arial" w:cs="Arial"/>
          <w:b/>
          <w:sz w:val="20"/>
        </w:rPr>
        <w:t>4</w:t>
      </w:r>
      <w:r w:rsidRPr="00CA1ED7">
        <w:rPr>
          <w:rFonts w:ascii="Arial" w:hAnsi="Arial" w:cs="Arial"/>
          <w:b/>
          <w:sz w:val="20"/>
        </w:rPr>
        <w:t xml:space="preserve">: Struktura tržeb </w:t>
      </w:r>
      <w:r w:rsidR="005931C1">
        <w:rPr>
          <w:rFonts w:ascii="Arial" w:hAnsi="Arial" w:cs="Arial"/>
          <w:b/>
          <w:sz w:val="20"/>
        </w:rPr>
        <w:t xml:space="preserve">podniků v zemích EU27 </w:t>
      </w:r>
      <w:r w:rsidRPr="00CA1ED7">
        <w:rPr>
          <w:rFonts w:ascii="Arial" w:hAnsi="Arial" w:cs="Arial"/>
          <w:b/>
          <w:sz w:val="20"/>
        </w:rPr>
        <w:t>z </w:t>
      </w:r>
      <w:r w:rsidR="007B4070">
        <w:rPr>
          <w:rFonts w:ascii="Arial" w:hAnsi="Arial" w:cs="Arial"/>
          <w:b/>
          <w:sz w:val="20"/>
        </w:rPr>
        <w:t>online</w:t>
      </w:r>
      <w:r w:rsidRPr="00CA1ED7">
        <w:rPr>
          <w:rFonts w:ascii="Arial" w:hAnsi="Arial" w:cs="Arial"/>
          <w:b/>
          <w:sz w:val="20"/>
        </w:rPr>
        <w:t xml:space="preserve"> prodejů podle typu</w:t>
      </w:r>
      <w:r w:rsidR="005931C1">
        <w:rPr>
          <w:rFonts w:ascii="Arial" w:hAnsi="Arial" w:cs="Arial"/>
          <w:b/>
          <w:sz w:val="20"/>
        </w:rPr>
        <w:t xml:space="preserve"> koncových</w:t>
      </w:r>
      <w:r w:rsidRPr="00CA1ED7">
        <w:rPr>
          <w:rFonts w:ascii="Arial" w:hAnsi="Arial" w:cs="Arial"/>
          <w:b/>
          <w:sz w:val="20"/>
        </w:rPr>
        <w:t xml:space="preserve"> zákazníků </w:t>
      </w:r>
      <w:r w:rsidR="004D3CF2">
        <w:rPr>
          <w:rFonts w:ascii="Arial" w:hAnsi="Arial" w:cs="Arial"/>
          <w:b/>
          <w:sz w:val="20"/>
        </w:rPr>
        <w:t>v roce 2024</w:t>
      </w:r>
      <w:r w:rsidR="00FA3708" w:rsidRPr="004D1860">
        <w:rPr>
          <w:rFonts w:ascii="Arial" w:hAnsi="Arial" w:cs="Arial"/>
          <w:i/>
          <w:sz w:val="18"/>
          <w:szCs w:val="18"/>
        </w:rPr>
        <w:t xml:space="preserve"> </w:t>
      </w:r>
    </w:p>
    <w:p w14:paraId="17C73F6F" w14:textId="0DBE0B77" w:rsidR="006D624A" w:rsidRDefault="006D624A" w:rsidP="006D624A">
      <w:pPr>
        <w:spacing w:after="0" w:line="360" w:lineRule="auto"/>
        <w:rPr>
          <w:rFonts w:ascii="Arial" w:hAnsi="Arial" w:cs="Arial"/>
          <w:bCs/>
          <w:sz w:val="18"/>
        </w:rPr>
      </w:pPr>
      <w:r w:rsidRPr="000008BC">
        <w:rPr>
          <w:rFonts w:ascii="Arial" w:hAnsi="Arial" w:cs="Arial"/>
          <w:bCs/>
          <w:sz w:val="18"/>
        </w:rPr>
        <w:t>(% z</w:t>
      </w:r>
      <w:r>
        <w:rPr>
          <w:rFonts w:ascii="Arial" w:hAnsi="Arial" w:cs="Arial"/>
          <w:bCs/>
          <w:sz w:val="18"/>
        </w:rPr>
        <w:t> tržeb</w:t>
      </w:r>
      <w:r w:rsidRPr="000008BC">
        <w:rPr>
          <w:rFonts w:ascii="Arial" w:hAnsi="Arial" w:cs="Arial"/>
          <w:bCs/>
          <w:sz w:val="18"/>
        </w:rPr>
        <w:t xml:space="preserve"> podniků s 10+ zaměstnanci</w:t>
      </w:r>
      <w:r>
        <w:rPr>
          <w:rFonts w:ascii="Arial" w:hAnsi="Arial" w:cs="Arial"/>
          <w:bCs/>
          <w:sz w:val="18"/>
        </w:rPr>
        <w:t xml:space="preserve"> v dané zemi získaných </w:t>
      </w:r>
      <w:r w:rsidR="005A2B1E">
        <w:rPr>
          <w:rFonts w:ascii="Arial" w:hAnsi="Arial" w:cs="Arial"/>
          <w:bCs/>
          <w:sz w:val="18"/>
        </w:rPr>
        <w:t>z prodejů přes web, mobilní aplikace nebo online tržiště</w:t>
      </w:r>
      <w:r w:rsidRPr="000008BC">
        <w:rPr>
          <w:rFonts w:ascii="Arial" w:hAnsi="Arial" w:cs="Arial"/>
          <w:bCs/>
          <w:sz w:val="18"/>
        </w:rPr>
        <w:t>)</w:t>
      </w:r>
    </w:p>
    <w:p w14:paraId="52352530" w14:textId="70E63F9E" w:rsidR="007865F8" w:rsidRDefault="009E1E54" w:rsidP="00375A7C">
      <w:pPr>
        <w:spacing w:before="120" w:after="0" w:line="240" w:lineRule="auto"/>
        <w:rPr>
          <w:rFonts w:ascii="Arial" w:hAnsi="Arial" w:cs="Arial"/>
          <w:i/>
          <w:sz w:val="18"/>
          <w:szCs w:val="18"/>
        </w:rPr>
      </w:pPr>
      <w:r>
        <w:rPr>
          <w:noProof/>
        </w:rPr>
        <w:drawing>
          <wp:inline distT="0" distB="0" distL="0" distR="0" wp14:anchorId="18447C9C" wp14:editId="495E94DF">
            <wp:extent cx="6029325" cy="3943350"/>
            <wp:effectExtent l="0" t="0" r="0" b="0"/>
            <wp:docPr id="203856432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FA3708" w:rsidRPr="004D1860">
        <w:rPr>
          <w:rFonts w:ascii="Arial" w:hAnsi="Arial" w:cs="Arial"/>
          <w:i/>
          <w:sz w:val="18"/>
          <w:szCs w:val="18"/>
        </w:rPr>
        <w:t xml:space="preserve">      </w:t>
      </w:r>
    </w:p>
    <w:sectPr w:rsidR="007865F8" w:rsidSect="002A1B16">
      <w:pgSz w:w="11906" w:h="16838" w:code="9"/>
      <w:pgMar w:top="1134" w:right="1133" w:bottom="1418" w:left="1134" w:header="680" w:footer="680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08C63" w14:textId="77777777" w:rsidR="00EF2DF9" w:rsidRDefault="00EF2DF9" w:rsidP="00E71A58">
      <w:r>
        <w:separator/>
      </w:r>
    </w:p>
  </w:endnote>
  <w:endnote w:type="continuationSeparator" w:id="0">
    <w:p w14:paraId="0E5A3A07" w14:textId="77777777" w:rsidR="00EF2DF9" w:rsidRDefault="00EF2DF9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F9D7" w14:textId="77777777" w:rsidR="00EF2DF9" w:rsidRDefault="00EF2DF9" w:rsidP="00E71A58">
      <w:r>
        <w:separator/>
      </w:r>
    </w:p>
  </w:footnote>
  <w:footnote w:type="continuationSeparator" w:id="0">
    <w:p w14:paraId="1BE971CC" w14:textId="77777777" w:rsidR="00EF2DF9" w:rsidRDefault="00EF2DF9" w:rsidP="00E71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E3146"/>
    <w:multiLevelType w:val="hybridMultilevel"/>
    <w:tmpl w:val="F1387CC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F720E"/>
    <w:multiLevelType w:val="hybridMultilevel"/>
    <w:tmpl w:val="C1DCAAC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38EC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1D4E8C"/>
    <w:multiLevelType w:val="hybridMultilevel"/>
    <w:tmpl w:val="31DE8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B4673"/>
    <w:multiLevelType w:val="hybridMultilevel"/>
    <w:tmpl w:val="294EE922"/>
    <w:lvl w:ilvl="0" w:tplc="533EE6E4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00455668">
    <w:abstractNumId w:val="3"/>
  </w:num>
  <w:num w:numId="2" w16cid:durableId="67575478">
    <w:abstractNumId w:val="1"/>
  </w:num>
  <w:num w:numId="3" w16cid:durableId="1415735419">
    <w:abstractNumId w:val="2"/>
  </w:num>
  <w:num w:numId="4" w16cid:durableId="950478128">
    <w:abstractNumId w:val="0"/>
  </w:num>
  <w:num w:numId="5" w16cid:durableId="17317316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6F"/>
    <w:rsid w:val="0000767A"/>
    <w:rsid w:val="0000798D"/>
    <w:rsid w:val="00010702"/>
    <w:rsid w:val="00011264"/>
    <w:rsid w:val="00012B4B"/>
    <w:rsid w:val="00021F2B"/>
    <w:rsid w:val="00027663"/>
    <w:rsid w:val="000401F3"/>
    <w:rsid w:val="0004694F"/>
    <w:rsid w:val="00046DF9"/>
    <w:rsid w:val="00047917"/>
    <w:rsid w:val="0005073F"/>
    <w:rsid w:val="00051D5A"/>
    <w:rsid w:val="00054749"/>
    <w:rsid w:val="0006111E"/>
    <w:rsid w:val="000621E4"/>
    <w:rsid w:val="00062EC5"/>
    <w:rsid w:val="00063A0E"/>
    <w:rsid w:val="00064A91"/>
    <w:rsid w:val="00065DE3"/>
    <w:rsid w:val="000750E8"/>
    <w:rsid w:val="00087634"/>
    <w:rsid w:val="00087A54"/>
    <w:rsid w:val="000A0A53"/>
    <w:rsid w:val="000A1183"/>
    <w:rsid w:val="000A3598"/>
    <w:rsid w:val="000B185C"/>
    <w:rsid w:val="000B1CE3"/>
    <w:rsid w:val="000B21D5"/>
    <w:rsid w:val="000B2228"/>
    <w:rsid w:val="000B5152"/>
    <w:rsid w:val="000B5B64"/>
    <w:rsid w:val="000C3408"/>
    <w:rsid w:val="000D3992"/>
    <w:rsid w:val="000E1620"/>
    <w:rsid w:val="000F4280"/>
    <w:rsid w:val="000F4CA8"/>
    <w:rsid w:val="000F5173"/>
    <w:rsid w:val="001035B2"/>
    <w:rsid w:val="00104DB3"/>
    <w:rsid w:val="001124B0"/>
    <w:rsid w:val="00116089"/>
    <w:rsid w:val="001162B4"/>
    <w:rsid w:val="001207C3"/>
    <w:rsid w:val="001220F7"/>
    <w:rsid w:val="00124D49"/>
    <w:rsid w:val="00127898"/>
    <w:rsid w:val="00131AEA"/>
    <w:rsid w:val="0013282B"/>
    <w:rsid w:val="00132B8C"/>
    <w:rsid w:val="001354FD"/>
    <w:rsid w:val="001405FA"/>
    <w:rsid w:val="00140F26"/>
    <w:rsid w:val="00142482"/>
    <w:rsid w:val="001425C3"/>
    <w:rsid w:val="00143453"/>
    <w:rsid w:val="001452CA"/>
    <w:rsid w:val="001460F2"/>
    <w:rsid w:val="00160923"/>
    <w:rsid w:val="00161DA1"/>
    <w:rsid w:val="00163793"/>
    <w:rsid w:val="0016380A"/>
    <w:rsid w:val="001650A3"/>
    <w:rsid w:val="00165EF1"/>
    <w:rsid w:val="001714F2"/>
    <w:rsid w:val="00185010"/>
    <w:rsid w:val="00190DC1"/>
    <w:rsid w:val="00194F66"/>
    <w:rsid w:val="001A20DA"/>
    <w:rsid w:val="001A552F"/>
    <w:rsid w:val="001B3110"/>
    <w:rsid w:val="001B494E"/>
    <w:rsid w:val="001B4E7D"/>
    <w:rsid w:val="001B6C8A"/>
    <w:rsid w:val="001C4B15"/>
    <w:rsid w:val="001C5253"/>
    <w:rsid w:val="001C7FEB"/>
    <w:rsid w:val="001D0AFF"/>
    <w:rsid w:val="001E09D8"/>
    <w:rsid w:val="001E0F9E"/>
    <w:rsid w:val="001F3765"/>
    <w:rsid w:val="001F4597"/>
    <w:rsid w:val="0020570C"/>
    <w:rsid w:val="00205E44"/>
    <w:rsid w:val="0021142B"/>
    <w:rsid w:val="0022139E"/>
    <w:rsid w:val="00222F4E"/>
    <w:rsid w:val="002252E0"/>
    <w:rsid w:val="002255F6"/>
    <w:rsid w:val="0022684D"/>
    <w:rsid w:val="00232FC2"/>
    <w:rsid w:val="00236443"/>
    <w:rsid w:val="0024277B"/>
    <w:rsid w:val="002436BA"/>
    <w:rsid w:val="00244A15"/>
    <w:rsid w:val="002459E7"/>
    <w:rsid w:val="002474FB"/>
    <w:rsid w:val="0024799E"/>
    <w:rsid w:val="00253321"/>
    <w:rsid w:val="00254AF6"/>
    <w:rsid w:val="0025703C"/>
    <w:rsid w:val="00261771"/>
    <w:rsid w:val="00262559"/>
    <w:rsid w:val="00262CD7"/>
    <w:rsid w:val="00266537"/>
    <w:rsid w:val="00267D0C"/>
    <w:rsid w:val="00271087"/>
    <w:rsid w:val="00282E7B"/>
    <w:rsid w:val="0028698F"/>
    <w:rsid w:val="00290D75"/>
    <w:rsid w:val="00290E62"/>
    <w:rsid w:val="002951F4"/>
    <w:rsid w:val="002A1420"/>
    <w:rsid w:val="002A1B16"/>
    <w:rsid w:val="002A2199"/>
    <w:rsid w:val="002A282F"/>
    <w:rsid w:val="002A3D56"/>
    <w:rsid w:val="002A4233"/>
    <w:rsid w:val="002B468A"/>
    <w:rsid w:val="002B46C9"/>
    <w:rsid w:val="002B4A34"/>
    <w:rsid w:val="002B7FC1"/>
    <w:rsid w:val="002C05D3"/>
    <w:rsid w:val="002C31D3"/>
    <w:rsid w:val="002C43BD"/>
    <w:rsid w:val="002C458A"/>
    <w:rsid w:val="002C6BA4"/>
    <w:rsid w:val="002D2835"/>
    <w:rsid w:val="002D5D08"/>
    <w:rsid w:val="002E02A1"/>
    <w:rsid w:val="002E0AD3"/>
    <w:rsid w:val="002E7172"/>
    <w:rsid w:val="002F44D7"/>
    <w:rsid w:val="002F6063"/>
    <w:rsid w:val="002F633B"/>
    <w:rsid w:val="002F7DC0"/>
    <w:rsid w:val="00302A41"/>
    <w:rsid w:val="00304041"/>
    <w:rsid w:val="00304771"/>
    <w:rsid w:val="00306C5B"/>
    <w:rsid w:val="00315F27"/>
    <w:rsid w:val="00317B97"/>
    <w:rsid w:val="00320671"/>
    <w:rsid w:val="003209D6"/>
    <w:rsid w:val="00324088"/>
    <w:rsid w:val="003259A3"/>
    <w:rsid w:val="00326DED"/>
    <w:rsid w:val="003274BE"/>
    <w:rsid w:val="00332AFD"/>
    <w:rsid w:val="00340382"/>
    <w:rsid w:val="00343277"/>
    <w:rsid w:val="00343E00"/>
    <w:rsid w:val="003528A7"/>
    <w:rsid w:val="003645AE"/>
    <w:rsid w:val="0036577E"/>
    <w:rsid w:val="003657F3"/>
    <w:rsid w:val="00365A59"/>
    <w:rsid w:val="003673E5"/>
    <w:rsid w:val="00371FF2"/>
    <w:rsid w:val="00375A7C"/>
    <w:rsid w:val="00377AEE"/>
    <w:rsid w:val="00382C43"/>
    <w:rsid w:val="00382F6B"/>
    <w:rsid w:val="003830EC"/>
    <w:rsid w:val="00384975"/>
    <w:rsid w:val="00385673"/>
    <w:rsid w:val="00385CD1"/>
    <w:rsid w:val="00385D98"/>
    <w:rsid w:val="003940A0"/>
    <w:rsid w:val="00395824"/>
    <w:rsid w:val="003A2B4D"/>
    <w:rsid w:val="003A327C"/>
    <w:rsid w:val="003A478C"/>
    <w:rsid w:val="003A5525"/>
    <w:rsid w:val="003A5568"/>
    <w:rsid w:val="003A6B38"/>
    <w:rsid w:val="003B3AAA"/>
    <w:rsid w:val="003B5A32"/>
    <w:rsid w:val="003B76FF"/>
    <w:rsid w:val="003B7832"/>
    <w:rsid w:val="003C1009"/>
    <w:rsid w:val="003D10EB"/>
    <w:rsid w:val="003E0A29"/>
    <w:rsid w:val="003E1594"/>
    <w:rsid w:val="003E3AFB"/>
    <w:rsid w:val="003E469A"/>
    <w:rsid w:val="003E495F"/>
    <w:rsid w:val="003E6ED3"/>
    <w:rsid w:val="003E70D6"/>
    <w:rsid w:val="003E74CB"/>
    <w:rsid w:val="003F2A50"/>
    <w:rsid w:val="003F313C"/>
    <w:rsid w:val="0040157A"/>
    <w:rsid w:val="00404353"/>
    <w:rsid w:val="00413550"/>
    <w:rsid w:val="00414240"/>
    <w:rsid w:val="00414E76"/>
    <w:rsid w:val="00427CE8"/>
    <w:rsid w:val="0043194A"/>
    <w:rsid w:val="00440908"/>
    <w:rsid w:val="00446C5D"/>
    <w:rsid w:val="0045049E"/>
    <w:rsid w:val="00452C4B"/>
    <w:rsid w:val="004600AD"/>
    <w:rsid w:val="00461DDC"/>
    <w:rsid w:val="004673E7"/>
    <w:rsid w:val="00467402"/>
    <w:rsid w:val="00471180"/>
    <w:rsid w:val="004772F5"/>
    <w:rsid w:val="00480124"/>
    <w:rsid w:val="0048139F"/>
    <w:rsid w:val="00492224"/>
    <w:rsid w:val="00496EC4"/>
    <w:rsid w:val="004A0CD3"/>
    <w:rsid w:val="004A2313"/>
    <w:rsid w:val="004A6244"/>
    <w:rsid w:val="004A6474"/>
    <w:rsid w:val="004A77DF"/>
    <w:rsid w:val="004B1FF3"/>
    <w:rsid w:val="004B2CB9"/>
    <w:rsid w:val="004B3583"/>
    <w:rsid w:val="004B55B7"/>
    <w:rsid w:val="004C21C9"/>
    <w:rsid w:val="004C2505"/>
    <w:rsid w:val="004C3867"/>
    <w:rsid w:val="004C38FD"/>
    <w:rsid w:val="004C4CD0"/>
    <w:rsid w:val="004C70DC"/>
    <w:rsid w:val="004D0076"/>
    <w:rsid w:val="004D0211"/>
    <w:rsid w:val="004D1860"/>
    <w:rsid w:val="004D1EED"/>
    <w:rsid w:val="004D3CF2"/>
    <w:rsid w:val="004D50D5"/>
    <w:rsid w:val="004D5357"/>
    <w:rsid w:val="004F06F5"/>
    <w:rsid w:val="004F0DF9"/>
    <w:rsid w:val="004F3027"/>
    <w:rsid w:val="004F33A0"/>
    <w:rsid w:val="004F36A7"/>
    <w:rsid w:val="004F3FE5"/>
    <w:rsid w:val="004F4666"/>
    <w:rsid w:val="005068F4"/>
    <w:rsid w:val="005108C0"/>
    <w:rsid w:val="00511873"/>
    <w:rsid w:val="0051204D"/>
    <w:rsid w:val="00513057"/>
    <w:rsid w:val="00513B7E"/>
    <w:rsid w:val="005175F2"/>
    <w:rsid w:val="00525137"/>
    <w:rsid w:val="005251DD"/>
    <w:rsid w:val="00530788"/>
    <w:rsid w:val="00531311"/>
    <w:rsid w:val="005354C5"/>
    <w:rsid w:val="00537A78"/>
    <w:rsid w:val="0055263E"/>
    <w:rsid w:val="00553139"/>
    <w:rsid w:val="00576FCA"/>
    <w:rsid w:val="00582748"/>
    <w:rsid w:val="00582BA6"/>
    <w:rsid w:val="00583FFD"/>
    <w:rsid w:val="00585475"/>
    <w:rsid w:val="0059163A"/>
    <w:rsid w:val="00593152"/>
    <w:rsid w:val="005931C1"/>
    <w:rsid w:val="00596687"/>
    <w:rsid w:val="005A21E0"/>
    <w:rsid w:val="005A2B1E"/>
    <w:rsid w:val="005A415B"/>
    <w:rsid w:val="005A7645"/>
    <w:rsid w:val="005B4204"/>
    <w:rsid w:val="005B4655"/>
    <w:rsid w:val="005D1749"/>
    <w:rsid w:val="005D333B"/>
    <w:rsid w:val="005D3CC1"/>
    <w:rsid w:val="005D5802"/>
    <w:rsid w:val="005E4081"/>
    <w:rsid w:val="005E774B"/>
    <w:rsid w:val="005E7B2C"/>
    <w:rsid w:val="005F2537"/>
    <w:rsid w:val="005F419A"/>
    <w:rsid w:val="005F77D7"/>
    <w:rsid w:val="005F7FA5"/>
    <w:rsid w:val="0060098E"/>
    <w:rsid w:val="006033DE"/>
    <w:rsid w:val="00604307"/>
    <w:rsid w:val="0060487F"/>
    <w:rsid w:val="00611049"/>
    <w:rsid w:val="006122D9"/>
    <w:rsid w:val="006123F0"/>
    <w:rsid w:val="00614A6B"/>
    <w:rsid w:val="006164CF"/>
    <w:rsid w:val="00624093"/>
    <w:rsid w:val="00625C7D"/>
    <w:rsid w:val="00631669"/>
    <w:rsid w:val="00632E80"/>
    <w:rsid w:val="0063714F"/>
    <w:rsid w:val="00640061"/>
    <w:rsid w:val="0064036A"/>
    <w:rsid w:val="006404A7"/>
    <w:rsid w:val="00642921"/>
    <w:rsid w:val="00643526"/>
    <w:rsid w:val="006451E4"/>
    <w:rsid w:val="006512EF"/>
    <w:rsid w:val="00655118"/>
    <w:rsid w:val="00655177"/>
    <w:rsid w:val="00655889"/>
    <w:rsid w:val="00657968"/>
    <w:rsid w:val="00657E87"/>
    <w:rsid w:val="00666367"/>
    <w:rsid w:val="006702EF"/>
    <w:rsid w:val="00670C91"/>
    <w:rsid w:val="006710C9"/>
    <w:rsid w:val="006724E5"/>
    <w:rsid w:val="00675E37"/>
    <w:rsid w:val="00680105"/>
    <w:rsid w:val="0068260E"/>
    <w:rsid w:val="00683D22"/>
    <w:rsid w:val="00684ECC"/>
    <w:rsid w:val="00693C50"/>
    <w:rsid w:val="006953D1"/>
    <w:rsid w:val="00695BEF"/>
    <w:rsid w:val="006977F6"/>
    <w:rsid w:val="00697A13"/>
    <w:rsid w:val="006A09CC"/>
    <w:rsid w:val="006A109C"/>
    <w:rsid w:val="006A3A32"/>
    <w:rsid w:val="006A49D9"/>
    <w:rsid w:val="006A5103"/>
    <w:rsid w:val="006B3096"/>
    <w:rsid w:val="006B78D8"/>
    <w:rsid w:val="006C113F"/>
    <w:rsid w:val="006C1D40"/>
    <w:rsid w:val="006C33A7"/>
    <w:rsid w:val="006C3663"/>
    <w:rsid w:val="006C3757"/>
    <w:rsid w:val="006C7076"/>
    <w:rsid w:val="006C7086"/>
    <w:rsid w:val="006D0540"/>
    <w:rsid w:val="006D1213"/>
    <w:rsid w:val="006D44A5"/>
    <w:rsid w:val="006D61F6"/>
    <w:rsid w:val="006D624A"/>
    <w:rsid w:val="006E2514"/>
    <w:rsid w:val="006E279A"/>
    <w:rsid w:val="006E313B"/>
    <w:rsid w:val="006E6049"/>
    <w:rsid w:val="006E7DE3"/>
    <w:rsid w:val="006F1EF8"/>
    <w:rsid w:val="006F4B7B"/>
    <w:rsid w:val="006F61B1"/>
    <w:rsid w:val="00703546"/>
    <w:rsid w:val="00706D87"/>
    <w:rsid w:val="00712AA9"/>
    <w:rsid w:val="00713776"/>
    <w:rsid w:val="007140B3"/>
    <w:rsid w:val="0071743B"/>
    <w:rsid w:val="007202E1"/>
    <w:rsid w:val="007211F5"/>
    <w:rsid w:val="00724902"/>
    <w:rsid w:val="00724CBA"/>
    <w:rsid w:val="007263F9"/>
    <w:rsid w:val="0073035F"/>
    <w:rsid w:val="00730AE8"/>
    <w:rsid w:val="0073322F"/>
    <w:rsid w:val="00740199"/>
    <w:rsid w:val="00741493"/>
    <w:rsid w:val="007419C4"/>
    <w:rsid w:val="0075144C"/>
    <w:rsid w:val="00752180"/>
    <w:rsid w:val="00755D3A"/>
    <w:rsid w:val="0075639A"/>
    <w:rsid w:val="007609C6"/>
    <w:rsid w:val="00761B3D"/>
    <w:rsid w:val="00764A6B"/>
    <w:rsid w:val="007658D3"/>
    <w:rsid w:val="00766C88"/>
    <w:rsid w:val="00770FB0"/>
    <w:rsid w:val="007743A9"/>
    <w:rsid w:val="00774D46"/>
    <w:rsid w:val="00776527"/>
    <w:rsid w:val="00777E86"/>
    <w:rsid w:val="00781A83"/>
    <w:rsid w:val="00781CBC"/>
    <w:rsid w:val="00785B2D"/>
    <w:rsid w:val="00785E99"/>
    <w:rsid w:val="007865F8"/>
    <w:rsid w:val="007871AC"/>
    <w:rsid w:val="00787EBD"/>
    <w:rsid w:val="00790ED6"/>
    <w:rsid w:val="00794DD3"/>
    <w:rsid w:val="0079553A"/>
    <w:rsid w:val="00795978"/>
    <w:rsid w:val="00795C97"/>
    <w:rsid w:val="007A1394"/>
    <w:rsid w:val="007A26E9"/>
    <w:rsid w:val="007A5C36"/>
    <w:rsid w:val="007A6B89"/>
    <w:rsid w:val="007B1723"/>
    <w:rsid w:val="007B39E7"/>
    <w:rsid w:val="007B4070"/>
    <w:rsid w:val="007C3252"/>
    <w:rsid w:val="007C3F6A"/>
    <w:rsid w:val="007D22B8"/>
    <w:rsid w:val="007D4120"/>
    <w:rsid w:val="007D7174"/>
    <w:rsid w:val="007D7BD9"/>
    <w:rsid w:val="007E23B3"/>
    <w:rsid w:val="007E3D24"/>
    <w:rsid w:val="007E7E61"/>
    <w:rsid w:val="007F0845"/>
    <w:rsid w:val="007F3C63"/>
    <w:rsid w:val="008020A2"/>
    <w:rsid w:val="00807FBF"/>
    <w:rsid w:val="00810CDD"/>
    <w:rsid w:val="00817313"/>
    <w:rsid w:val="0082034C"/>
    <w:rsid w:val="00821FF6"/>
    <w:rsid w:val="0083143E"/>
    <w:rsid w:val="00831EB4"/>
    <w:rsid w:val="00832B05"/>
    <w:rsid w:val="00834FAA"/>
    <w:rsid w:val="00836086"/>
    <w:rsid w:val="00836646"/>
    <w:rsid w:val="008404BD"/>
    <w:rsid w:val="00845467"/>
    <w:rsid w:val="00852D63"/>
    <w:rsid w:val="00854467"/>
    <w:rsid w:val="00862335"/>
    <w:rsid w:val="008665C1"/>
    <w:rsid w:val="00866C89"/>
    <w:rsid w:val="00874001"/>
    <w:rsid w:val="00876086"/>
    <w:rsid w:val="00880C90"/>
    <w:rsid w:val="00884009"/>
    <w:rsid w:val="00884FCC"/>
    <w:rsid w:val="00886322"/>
    <w:rsid w:val="00886594"/>
    <w:rsid w:val="008903E6"/>
    <w:rsid w:val="00895312"/>
    <w:rsid w:val="008A458F"/>
    <w:rsid w:val="008B0986"/>
    <w:rsid w:val="008B1764"/>
    <w:rsid w:val="008B3086"/>
    <w:rsid w:val="008B7C02"/>
    <w:rsid w:val="008C0E88"/>
    <w:rsid w:val="008C126A"/>
    <w:rsid w:val="008C1AC0"/>
    <w:rsid w:val="008C4575"/>
    <w:rsid w:val="008D1319"/>
    <w:rsid w:val="008D2A16"/>
    <w:rsid w:val="008D3735"/>
    <w:rsid w:val="008E31FF"/>
    <w:rsid w:val="008E5882"/>
    <w:rsid w:val="008F41A9"/>
    <w:rsid w:val="009003A8"/>
    <w:rsid w:val="0090283D"/>
    <w:rsid w:val="00902EFF"/>
    <w:rsid w:val="00905613"/>
    <w:rsid w:val="00906EF0"/>
    <w:rsid w:val="00911872"/>
    <w:rsid w:val="00914466"/>
    <w:rsid w:val="00921F14"/>
    <w:rsid w:val="0092604E"/>
    <w:rsid w:val="00930834"/>
    <w:rsid w:val="0093217F"/>
    <w:rsid w:val="009354AF"/>
    <w:rsid w:val="00940253"/>
    <w:rsid w:val="00943529"/>
    <w:rsid w:val="00943553"/>
    <w:rsid w:val="0094427A"/>
    <w:rsid w:val="00947FAE"/>
    <w:rsid w:val="00953E93"/>
    <w:rsid w:val="009627A2"/>
    <w:rsid w:val="0096747F"/>
    <w:rsid w:val="009722E3"/>
    <w:rsid w:val="0097254D"/>
    <w:rsid w:val="00974923"/>
    <w:rsid w:val="00976772"/>
    <w:rsid w:val="00982877"/>
    <w:rsid w:val="0098620F"/>
    <w:rsid w:val="009865D1"/>
    <w:rsid w:val="00986F8B"/>
    <w:rsid w:val="00987E97"/>
    <w:rsid w:val="00995D9E"/>
    <w:rsid w:val="009A342B"/>
    <w:rsid w:val="009A5758"/>
    <w:rsid w:val="009B3CF6"/>
    <w:rsid w:val="009B54B2"/>
    <w:rsid w:val="009B6FD3"/>
    <w:rsid w:val="009C1BA7"/>
    <w:rsid w:val="009C3EFC"/>
    <w:rsid w:val="009C45AC"/>
    <w:rsid w:val="009C61F8"/>
    <w:rsid w:val="009C7745"/>
    <w:rsid w:val="009D0837"/>
    <w:rsid w:val="009D3FF2"/>
    <w:rsid w:val="009D4E54"/>
    <w:rsid w:val="009E1E54"/>
    <w:rsid w:val="009E3458"/>
    <w:rsid w:val="009E46BC"/>
    <w:rsid w:val="009E506B"/>
    <w:rsid w:val="009E6C81"/>
    <w:rsid w:val="009E6DAC"/>
    <w:rsid w:val="009F4A9E"/>
    <w:rsid w:val="009F4B8A"/>
    <w:rsid w:val="00A01DF4"/>
    <w:rsid w:val="00A01E07"/>
    <w:rsid w:val="00A042F6"/>
    <w:rsid w:val="00A07F12"/>
    <w:rsid w:val="00A10D66"/>
    <w:rsid w:val="00A227E6"/>
    <w:rsid w:val="00A23E43"/>
    <w:rsid w:val="00A27DA4"/>
    <w:rsid w:val="00A30267"/>
    <w:rsid w:val="00A30DC5"/>
    <w:rsid w:val="00A34E5A"/>
    <w:rsid w:val="00A371B7"/>
    <w:rsid w:val="00A372F7"/>
    <w:rsid w:val="00A42547"/>
    <w:rsid w:val="00A42D7D"/>
    <w:rsid w:val="00A442B2"/>
    <w:rsid w:val="00A462E3"/>
    <w:rsid w:val="00A463CE"/>
    <w:rsid w:val="00A46B25"/>
    <w:rsid w:val="00A46DE0"/>
    <w:rsid w:val="00A47457"/>
    <w:rsid w:val="00A53E51"/>
    <w:rsid w:val="00A62CE1"/>
    <w:rsid w:val="00A63582"/>
    <w:rsid w:val="00A651DD"/>
    <w:rsid w:val="00A65B29"/>
    <w:rsid w:val="00A665D9"/>
    <w:rsid w:val="00A74540"/>
    <w:rsid w:val="00A75E40"/>
    <w:rsid w:val="00A8330C"/>
    <w:rsid w:val="00A857C0"/>
    <w:rsid w:val="00A8680F"/>
    <w:rsid w:val="00A9584E"/>
    <w:rsid w:val="00AA28C3"/>
    <w:rsid w:val="00AA4E9D"/>
    <w:rsid w:val="00AA559A"/>
    <w:rsid w:val="00AA7371"/>
    <w:rsid w:val="00AB1F86"/>
    <w:rsid w:val="00AB2AF1"/>
    <w:rsid w:val="00AB2F6E"/>
    <w:rsid w:val="00AB400F"/>
    <w:rsid w:val="00AB4596"/>
    <w:rsid w:val="00AB6BE6"/>
    <w:rsid w:val="00AB76F3"/>
    <w:rsid w:val="00AC77ED"/>
    <w:rsid w:val="00AD306C"/>
    <w:rsid w:val="00AD4894"/>
    <w:rsid w:val="00AD4F59"/>
    <w:rsid w:val="00AD656C"/>
    <w:rsid w:val="00AD76F0"/>
    <w:rsid w:val="00AE3782"/>
    <w:rsid w:val="00AE3D80"/>
    <w:rsid w:val="00AE53FE"/>
    <w:rsid w:val="00AF0D57"/>
    <w:rsid w:val="00AF2A1B"/>
    <w:rsid w:val="00AF2FE6"/>
    <w:rsid w:val="00B05F6D"/>
    <w:rsid w:val="00B10B10"/>
    <w:rsid w:val="00B112AC"/>
    <w:rsid w:val="00B11A56"/>
    <w:rsid w:val="00B12612"/>
    <w:rsid w:val="00B14740"/>
    <w:rsid w:val="00B174D8"/>
    <w:rsid w:val="00B17DDC"/>
    <w:rsid w:val="00B17E2C"/>
    <w:rsid w:val="00B17E71"/>
    <w:rsid w:val="00B17FDE"/>
    <w:rsid w:val="00B21D75"/>
    <w:rsid w:val="00B220E9"/>
    <w:rsid w:val="00B2336B"/>
    <w:rsid w:val="00B30777"/>
    <w:rsid w:val="00B309E5"/>
    <w:rsid w:val="00B32DDB"/>
    <w:rsid w:val="00B358C9"/>
    <w:rsid w:val="00B36D8E"/>
    <w:rsid w:val="00B4185F"/>
    <w:rsid w:val="00B4720B"/>
    <w:rsid w:val="00B501F1"/>
    <w:rsid w:val="00B5080F"/>
    <w:rsid w:val="00B54419"/>
    <w:rsid w:val="00B552F5"/>
    <w:rsid w:val="00B61AAD"/>
    <w:rsid w:val="00B61E79"/>
    <w:rsid w:val="00B65861"/>
    <w:rsid w:val="00B6608F"/>
    <w:rsid w:val="00B67DBD"/>
    <w:rsid w:val="00B74932"/>
    <w:rsid w:val="00B76D1E"/>
    <w:rsid w:val="00B8473E"/>
    <w:rsid w:val="00B849FC"/>
    <w:rsid w:val="00B929F0"/>
    <w:rsid w:val="00B95940"/>
    <w:rsid w:val="00BA0C21"/>
    <w:rsid w:val="00BA3128"/>
    <w:rsid w:val="00BB02B4"/>
    <w:rsid w:val="00BB777B"/>
    <w:rsid w:val="00BC56E4"/>
    <w:rsid w:val="00BD03BD"/>
    <w:rsid w:val="00BD258B"/>
    <w:rsid w:val="00BD366B"/>
    <w:rsid w:val="00BD393C"/>
    <w:rsid w:val="00BD3FB6"/>
    <w:rsid w:val="00BD4C80"/>
    <w:rsid w:val="00BD5C29"/>
    <w:rsid w:val="00BD6D50"/>
    <w:rsid w:val="00BE4810"/>
    <w:rsid w:val="00BE5A47"/>
    <w:rsid w:val="00BF38D3"/>
    <w:rsid w:val="00BF6E22"/>
    <w:rsid w:val="00C0475C"/>
    <w:rsid w:val="00C16BD2"/>
    <w:rsid w:val="00C21F94"/>
    <w:rsid w:val="00C2225E"/>
    <w:rsid w:val="00C2237E"/>
    <w:rsid w:val="00C23868"/>
    <w:rsid w:val="00C24300"/>
    <w:rsid w:val="00C25284"/>
    <w:rsid w:val="00C25AE8"/>
    <w:rsid w:val="00C302AE"/>
    <w:rsid w:val="00C3298A"/>
    <w:rsid w:val="00C45250"/>
    <w:rsid w:val="00C4693D"/>
    <w:rsid w:val="00C470BD"/>
    <w:rsid w:val="00C476DC"/>
    <w:rsid w:val="00C50497"/>
    <w:rsid w:val="00C51211"/>
    <w:rsid w:val="00C54084"/>
    <w:rsid w:val="00C61A1C"/>
    <w:rsid w:val="00C67870"/>
    <w:rsid w:val="00C73373"/>
    <w:rsid w:val="00C74974"/>
    <w:rsid w:val="00C74DB5"/>
    <w:rsid w:val="00C83DE1"/>
    <w:rsid w:val="00C847A8"/>
    <w:rsid w:val="00C90CF4"/>
    <w:rsid w:val="00C93389"/>
    <w:rsid w:val="00CA0C7F"/>
    <w:rsid w:val="00CA1ED7"/>
    <w:rsid w:val="00CA4EA1"/>
    <w:rsid w:val="00CA5C7D"/>
    <w:rsid w:val="00CB2573"/>
    <w:rsid w:val="00CB35AC"/>
    <w:rsid w:val="00CB7AC3"/>
    <w:rsid w:val="00CC0868"/>
    <w:rsid w:val="00CC542D"/>
    <w:rsid w:val="00CC61F7"/>
    <w:rsid w:val="00CD014B"/>
    <w:rsid w:val="00CD054E"/>
    <w:rsid w:val="00CD534D"/>
    <w:rsid w:val="00CD57C7"/>
    <w:rsid w:val="00CF51EC"/>
    <w:rsid w:val="00D040DD"/>
    <w:rsid w:val="00D05463"/>
    <w:rsid w:val="00D06BFC"/>
    <w:rsid w:val="00D10718"/>
    <w:rsid w:val="00D10882"/>
    <w:rsid w:val="00D1416F"/>
    <w:rsid w:val="00D174E9"/>
    <w:rsid w:val="00D2157F"/>
    <w:rsid w:val="00D24A85"/>
    <w:rsid w:val="00D363B6"/>
    <w:rsid w:val="00D41C5F"/>
    <w:rsid w:val="00D45FF6"/>
    <w:rsid w:val="00D46545"/>
    <w:rsid w:val="00D534CA"/>
    <w:rsid w:val="00D54933"/>
    <w:rsid w:val="00D57B0B"/>
    <w:rsid w:val="00D6172D"/>
    <w:rsid w:val="00D619D3"/>
    <w:rsid w:val="00D61B54"/>
    <w:rsid w:val="00D63C8D"/>
    <w:rsid w:val="00D66993"/>
    <w:rsid w:val="00D748C3"/>
    <w:rsid w:val="00D7667F"/>
    <w:rsid w:val="00D775FF"/>
    <w:rsid w:val="00D83AAE"/>
    <w:rsid w:val="00D90E42"/>
    <w:rsid w:val="00D960FF"/>
    <w:rsid w:val="00DA25F4"/>
    <w:rsid w:val="00DA4974"/>
    <w:rsid w:val="00DA65D4"/>
    <w:rsid w:val="00DB2C20"/>
    <w:rsid w:val="00DB50D1"/>
    <w:rsid w:val="00DB6B38"/>
    <w:rsid w:val="00DC50A4"/>
    <w:rsid w:val="00DC5B3B"/>
    <w:rsid w:val="00DD0B3A"/>
    <w:rsid w:val="00DD1D84"/>
    <w:rsid w:val="00DE2403"/>
    <w:rsid w:val="00DF2F6E"/>
    <w:rsid w:val="00DF4018"/>
    <w:rsid w:val="00E01C0E"/>
    <w:rsid w:val="00E0408B"/>
    <w:rsid w:val="00E04694"/>
    <w:rsid w:val="00E06380"/>
    <w:rsid w:val="00E06638"/>
    <w:rsid w:val="00E1388A"/>
    <w:rsid w:val="00E20E07"/>
    <w:rsid w:val="00E313C5"/>
    <w:rsid w:val="00E32308"/>
    <w:rsid w:val="00E357B8"/>
    <w:rsid w:val="00E4403F"/>
    <w:rsid w:val="00E47E88"/>
    <w:rsid w:val="00E51F5C"/>
    <w:rsid w:val="00E66B7A"/>
    <w:rsid w:val="00E71A58"/>
    <w:rsid w:val="00E730CE"/>
    <w:rsid w:val="00E74942"/>
    <w:rsid w:val="00E7548E"/>
    <w:rsid w:val="00E81DD1"/>
    <w:rsid w:val="00E84F00"/>
    <w:rsid w:val="00E8598E"/>
    <w:rsid w:val="00E9136D"/>
    <w:rsid w:val="00E92519"/>
    <w:rsid w:val="00E92958"/>
    <w:rsid w:val="00E949A6"/>
    <w:rsid w:val="00E956B1"/>
    <w:rsid w:val="00EA0C68"/>
    <w:rsid w:val="00EA4856"/>
    <w:rsid w:val="00EA516D"/>
    <w:rsid w:val="00EB0797"/>
    <w:rsid w:val="00EB0BA8"/>
    <w:rsid w:val="00EB41D6"/>
    <w:rsid w:val="00EC245F"/>
    <w:rsid w:val="00EC248B"/>
    <w:rsid w:val="00EC3A17"/>
    <w:rsid w:val="00EC5284"/>
    <w:rsid w:val="00EC52ED"/>
    <w:rsid w:val="00EC660D"/>
    <w:rsid w:val="00EC7132"/>
    <w:rsid w:val="00ED497E"/>
    <w:rsid w:val="00ED5BCB"/>
    <w:rsid w:val="00ED65D6"/>
    <w:rsid w:val="00EE01F9"/>
    <w:rsid w:val="00EE2F32"/>
    <w:rsid w:val="00EE3E78"/>
    <w:rsid w:val="00EE5652"/>
    <w:rsid w:val="00EF08E8"/>
    <w:rsid w:val="00EF14A6"/>
    <w:rsid w:val="00EF1F5A"/>
    <w:rsid w:val="00EF2DF9"/>
    <w:rsid w:val="00EF2E22"/>
    <w:rsid w:val="00EF3A91"/>
    <w:rsid w:val="00F0027D"/>
    <w:rsid w:val="00F03B2A"/>
    <w:rsid w:val="00F04811"/>
    <w:rsid w:val="00F0488C"/>
    <w:rsid w:val="00F04ECD"/>
    <w:rsid w:val="00F15BEF"/>
    <w:rsid w:val="00F16A8B"/>
    <w:rsid w:val="00F176D7"/>
    <w:rsid w:val="00F226D7"/>
    <w:rsid w:val="00F22D7D"/>
    <w:rsid w:val="00F24FAA"/>
    <w:rsid w:val="00F32312"/>
    <w:rsid w:val="00F3364D"/>
    <w:rsid w:val="00F4274E"/>
    <w:rsid w:val="00F42C99"/>
    <w:rsid w:val="00F465F9"/>
    <w:rsid w:val="00F57937"/>
    <w:rsid w:val="00F57C48"/>
    <w:rsid w:val="00F63DDE"/>
    <w:rsid w:val="00F63FB7"/>
    <w:rsid w:val="00F65315"/>
    <w:rsid w:val="00F66522"/>
    <w:rsid w:val="00F671B0"/>
    <w:rsid w:val="00F71738"/>
    <w:rsid w:val="00F71C9A"/>
    <w:rsid w:val="00F73A0C"/>
    <w:rsid w:val="00F76174"/>
    <w:rsid w:val="00F770F6"/>
    <w:rsid w:val="00F80861"/>
    <w:rsid w:val="00F8162E"/>
    <w:rsid w:val="00F87E7B"/>
    <w:rsid w:val="00F921BE"/>
    <w:rsid w:val="00F94198"/>
    <w:rsid w:val="00F95288"/>
    <w:rsid w:val="00F97ADC"/>
    <w:rsid w:val="00FA3708"/>
    <w:rsid w:val="00FA3E64"/>
    <w:rsid w:val="00FA3FCC"/>
    <w:rsid w:val="00FA584E"/>
    <w:rsid w:val="00FB21F6"/>
    <w:rsid w:val="00FB5C09"/>
    <w:rsid w:val="00FB7330"/>
    <w:rsid w:val="00FC0E5F"/>
    <w:rsid w:val="00FC1BBB"/>
    <w:rsid w:val="00FC2CAB"/>
    <w:rsid w:val="00FC2EF9"/>
    <w:rsid w:val="00FC4D25"/>
    <w:rsid w:val="00FC56DE"/>
    <w:rsid w:val="00FC5E7A"/>
    <w:rsid w:val="00FC746B"/>
    <w:rsid w:val="00FC767F"/>
    <w:rsid w:val="00FD18A2"/>
    <w:rsid w:val="00FD30C4"/>
    <w:rsid w:val="00FD3C51"/>
    <w:rsid w:val="00FD770A"/>
    <w:rsid w:val="00FE05B6"/>
    <w:rsid w:val="00FE2F78"/>
    <w:rsid w:val="00FE4465"/>
    <w:rsid w:val="00FE4AF9"/>
    <w:rsid w:val="00FE585F"/>
    <w:rsid w:val="00FE75FB"/>
    <w:rsid w:val="00FE7C69"/>
    <w:rsid w:val="00FF199B"/>
    <w:rsid w:val="00FF2823"/>
    <w:rsid w:val="00FF33BB"/>
    <w:rsid w:val="00FF5FF4"/>
    <w:rsid w:val="00FF6CBF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BBF0CAF"/>
  <w15:docId w15:val="{676EE48D-481B-4C83-AA41-B0CC62AE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74E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Nadpis1">
    <w:name w:val="heading 1"/>
    <w:next w:val="Normln"/>
    <w:link w:val="Nadpis1Char"/>
    <w:uiPriority w:val="9"/>
    <w:qFormat/>
    <w:rsid w:val="007F0845"/>
    <w:pPr>
      <w:keepNext/>
      <w:keepLines/>
      <w:spacing w:after="200" w:line="288" w:lineRule="auto"/>
      <w:outlineLvl w:val="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Nadpis2">
    <w:name w:val="heading 2"/>
    <w:next w:val="Normln"/>
    <w:link w:val="Nadpis2Char"/>
    <w:uiPriority w:val="9"/>
    <w:qFormat/>
    <w:rsid w:val="007F0845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BB4"/>
      <w:sz w:val="28"/>
      <w:szCs w:val="26"/>
    </w:rPr>
  </w:style>
  <w:style w:type="paragraph" w:styleId="Nadpis3">
    <w:name w:val="heading 3"/>
    <w:next w:val="Normln"/>
    <w:link w:val="Nadpis3Char"/>
    <w:uiPriority w:val="9"/>
    <w:qFormat/>
    <w:rsid w:val="007F0845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BB4"/>
      <w:sz w:val="24"/>
      <w:szCs w:val="24"/>
    </w:rPr>
  </w:style>
  <w:style w:type="paragraph" w:styleId="Nadpis4">
    <w:name w:val="heading 4"/>
    <w:next w:val="Normln"/>
    <w:link w:val="Nadpis4Char"/>
    <w:uiPriority w:val="9"/>
    <w:qFormat/>
    <w:rsid w:val="005108C0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E71A58"/>
    <w:rPr>
      <w:color w:val="0000FF"/>
      <w:u w:val="single"/>
    </w:rPr>
  </w:style>
  <w:style w:type="paragraph" w:customStyle="1" w:styleId="Styl1">
    <w:name w:val="Styl1"/>
    <w:rsid w:val="00E71A58"/>
    <w:pPr>
      <w:suppressAutoHyphens/>
      <w:autoSpaceDE w:val="0"/>
    </w:pPr>
    <w:rPr>
      <w:rFonts w:ascii="Arial" w:eastAsia="Times New Roman" w:hAnsi="Arial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E71A58"/>
  </w:style>
  <w:style w:type="paragraph" w:styleId="Zpat">
    <w:name w:val="footer"/>
    <w:basedOn w:val="Normln"/>
    <w:link w:val="ZpatChar"/>
    <w:uiPriority w:val="99"/>
    <w:unhideWhenUsed/>
    <w:rsid w:val="00E71A58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E71A58"/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link w:val="ZkladnodstavecChar"/>
    <w:uiPriority w:val="99"/>
    <w:rsid w:val="001714F2"/>
    <w:pPr>
      <w:autoSpaceDE w:val="0"/>
      <w:autoSpaceDN w:val="0"/>
      <w:adjustRightInd w:val="0"/>
      <w:textAlignment w:val="center"/>
    </w:pPr>
    <w:rPr>
      <w:rFonts w:ascii="Minion Pro" w:hAnsi="Minion Pro" w:cs="Minion Pro"/>
      <w:color w:val="000000"/>
    </w:rPr>
  </w:style>
  <w:style w:type="paragraph" w:styleId="Nzev">
    <w:name w:val="Title"/>
    <w:next w:val="Normln"/>
    <w:link w:val="NzevChar"/>
    <w:uiPriority w:val="10"/>
    <w:qFormat/>
    <w:rsid w:val="007C3F6A"/>
    <w:pPr>
      <w:spacing w:line="288" w:lineRule="auto"/>
      <w:contextualSpacing/>
      <w:outlineLvl w:val="0"/>
    </w:pPr>
    <w:rPr>
      <w:rFonts w:ascii="Arial" w:eastAsia="MS Gothic" w:hAnsi="Arial"/>
      <w:b/>
      <w:caps/>
      <w:color w:val="009BB4"/>
      <w:sz w:val="56"/>
      <w:szCs w:val="52"/>
    </w:rPr>
  </w:style>
  <w:style w:type="character" w:customStyle="1" w:styleId="NzevChar">
    <w:name w:val="Název Char"/>
    <w:link w:val="Nzev"/>
    <w:uiPriority w:val="10"/>
    <w:rsid w:val="007C3F6A"/>
    <w:rPr>
      <w:rFonts w:ascii="Arial" w:eastAsia="MS Gothic" w:hAnsi="Arial" w:cs="Times New Roman"/>
      <w:b/>
      <w:caps/>
      <w:color w:val="009BB4"/>
      <w:sz w:val="56"/>
      <w:szCs w:val="52"/>
    </w:rPr>
  </w:style>
  <w:style w:type="paragraph" w:styleId="Podnadpis">
    <w:name w:val="Subtitle"/>
    <w:next w:val="Normln"/>
    <w:link w:val="PodnadpisChar"/>
    <w:uiPriority w:val="11"/>
    <w:qFormat/>
    <w:rsid w:val="007F0845"/>
    <w:pPr>
      <w:numPr>
        <w:ilvl w:val="1"/>
      </w:numPr>
      <w:spacing w:line="288" w:lineRule="auto"/>
    </w:pPr>
    <w:rPr>
      <w:rFonts w:ascii="Arial" w:eastAsia="MS Gothic" w:hAnsi="Arial"/>
      <w:b/>
      <w:iCs/>
      <w:color w:val="009BB4"/>
      <w:sz w:val="28"/>
      <w:szCs w:val="24"/>
    </w:rPr>
  </w:style>
  <w:style w:type="character" w:customStyle="1" w:styleId="PodnadpisChar">
    <w:name w:val="Podnadpis Char"/>
    <w:link w:val="Podnadpis"/>
    <w:uiPriority w:val="11"/>
    <w:rsid w:val="007F0845"/>
    <w:rPr>
      <w:rFonts w:ascii="Arial" w:eastAsia="MS Gothic" w:hAnsi="Arial" w:cs="Times New Roman"/>
      <w:b/>
      <w:iCs/>
      <w:color w:val="009BB4"/>
      <w:sz w:val="28"/>
      <w:szCs w:val="24"/>
    </w:rPr>
  </w:style>
  <w:style w:type="character" w:customStyle="1" w:styleId="Nadpis1Char">
    <w:name w:val="Nadpis 1 Char"/>
    <w:link w:val="Nadpis1"/>
    <w:uiPriority w:val="9"/>
    <w:rsid w:val="007F0845"/>
    <w:rPr>
      <w:rFonts w:ascii="Arial" w:eastAsia="MS Gothic" w:hAnsi="Arial" w:cs="Times New Roman"/>
      <w:b/>
      <w:bCs/>
      <w:color w:val="009BB4"/>
      <w:sz w:val="32"/>
      <w:szCs w:val="28"/>
    </w:rPr>
  </w:style>
  <w:style w:type="character" w:customStyle="1" w:styleId="Nadpis2Char">
    <w:name w:val="Nadpis 2 Char"/>
    <w:link w:val="Nadpis2"/>
    <w:uiPriority w:val="9"/>
    <w:rsid w:val="007F0845"/>
    <w:rPr>
      <w:rFonts w:ascii="Arial" w:eastAsia="MS Gothic" w:hAnsi="Arial" w:cs="Times New Roman"/>
      <w:b/>
      <w:bCs/>
      <w:color w:val="009BB4"/>
      <w:sz w:val="28"/>
      <w:szCs w:val="26"/>
    </w:rPr>
  </w:style>
  <w:style w:type="character" w:customStyle="1" w:styleId="Nadpis3Char">
    <w:name w:val="Nadpis 3 Char"/>
    <w:link w:val="Nadpis3"/>
    <w:uiPriority w:val="9"/>
    <w:rsid w:val="007F0845"/>
    <w:rPr>
      <w:rFonts w:ascii="Arial" w:eastAsia="MS Gothic" w:hAnsi="Arial" w:cs="Times New Roman"/>
      <w:b/>
      <w:bCs/>
      <w:color w:val="009BB4"/>
      <w:sz w:val="24"/>
      <w:szCs w:val="24"/>
    </w:rPr>
  </w:style>
  <w:style w:type="character" w:customStyle="1" w:styleId="Nadpis4Char">
    <w:name w:val="Nadpis 4 Char"/>
    <w:link w:val="Nadpis4"/>
    <w:uiPriority w:val="9"/>
    <w:rsid w:val="005108C0"/>
    <w:rPr>
      <w:rFonts w:ascii="Arial" w:eastAsia="MS Gothic" w:hAnsi="Arial" w:cs="Times New Roman"/>
      <w:b/>
      <w:bCs/>
      <w:iCs/>
      <w:szCs w:val="24"/>
    </w:rPr>
  </w:style>
  <w:style w:type="paragraph" w:customStyle="1" w:styleId="Stednmka21">
    <w:name w:val="Střední mřížka 21"/>
    <w:aliases w:val="Bez zarážky"/>
    <w:link w:val="Stednmka2Char"/>
    <w:uiPriority w:val="1"/>
    <w:qFormat/>
    <w:rsid w:val="008D2A16"/>
    <w:pPr>
      <w:spacing w:line="288" w:lineRule="auto"/>
    </w:pPr>
    <w:rPr>
      <w:rFonts w:ascii="Arial" w:eastAsia="Times New Roman" w:hAnsi="Arial"/>
      <w:szCs w:val="24"/>
    </w:rPr>
  </w:style>
  <w:style w:type="paragraph" w:customStyle="1" w:styleId="Box1">
    <w:name w:val="Box 1"/>
    <w:basedOn w:val="Zkladnodstavec"/>
    <w:next w:val="Normln"/>
    <w:qFormat/>
    <w:rsid w:val="007F0845"/>
    <w:pPr>
      <w:ind w:left="1134"/>
    </w:pPr>
    <w:rPr>
      <w:rFonts w:ascii="Arial" w:hAnsi="Arial" w:cs="Arial"/>
      <w:color w:val="009BB4"/>
      <w:sz w:val="20"/>
      <w:szCs w:val="20"/>
    </w:rPr>
  </w:style>
  <w:style w:type="paragraph" w:customStyle="1" w:styleId="Box2">
    <w:name w:val="Box 2"/>
    <w:basedOn w:val="Zkladnodstavec"/>
    <w:link w:val="Box2Char"/>
    <w:rsid w:val="00010702"/>
    <w:pPr>
      <w:shd w:val="clear" w:color="auto" w:fill="CCC0D9"/>
      <w:tabs>
        <w:tab w:val="left" w:pos="9638"/>
      </w:tabs>
      <w:ind w:left="1134" w:right="-1"/>
      <w:jc w:val="both"/>
    </w:pPr>
    <w:rPr>
      <w:rFonts w:ascii="Arial" w:hAnsi="Arial" w:cs="Arial"/>
      <w:b/>
      <w:color w:val="auto"/>
      <w:sz w:val="20"/>
      <w:szCs w:val="20"/>
    </w:rPr>
  </w:style>
  <w:style w:type="paragraph" w:customStyle="1" w:styleId="Box">
    <w:name w:val="Box"/>
    <w:next w:val="Normln"/>
    <w:link w:val="BoxChar"/>
    <w:qFormat/>
    <w:rsid w:val="007C3F6A"/>
    <w:pPr>
      <w:shd w:val="clear" w:color="auto" w:fill="D9F0F4"/>
      <w:spacing w:line="288" w:lineRule="auto"/>
      <w:ind w:left="1134"/>
    </w:pPr>
    <w:rPr>
      <w:rFonts w:ascii="Arial" w:hAnsi="Arial" w:cs="Arial"/>
    </w:rPr>
  </w:style>
  <w:style w:type="paragraph" w:customStyle="1" w:styleId="TL-Kontakty">
    <w:name w:val="TL - Kontakty"/>
    <w:next w:val="Normln"/>
    <w:link w:val="TL-KontaktyChar"/>
    <w:qFormat/>
    <w:rsid w:val="004F06F5"/>
    <w:pPr>
      <w:spacing w:after="80"/>
    </w:pPr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ZkladnodstavecChar">
    <w:name w:val="[Základní odstavec] Char"/>
    <w:link w:val="Zkladnodstavec"/>
    <w:uiPriority w:val="99"/>
    <w:rsid w:val="006710C9"/>
    <w:rPr>
      <w:rFonts w:ascii="Minion Pro" w:hAnsi="Minion Pro" w:cs="Minion Pro"/>
      <w:color w:val="000000"/>
      <w:sz w:val="24"/>
      <w:szCs w:val="24"/>
    </w:rPr>
  </w:style>
  <w:style w:type="character" w:customStyle="1" w:styleId="Box2Char">
    <w:name w:val="Box 2 Char"/>
    <w:link w:val="Box2"/>
    <w:rsid w:val="006710C9"/>
    <w:rPr>
      <w:rFonts w:ascii="Arial" w:hAnsi="Arial" w:cs="Arial"/>
      <w:b/>
      <w:color w:val="000000"/>
      <w:sz w:val="24"/>
      <w:szCs w:val="24"/>
      <w:shd w:val="clear" w:color="auto" w:fill="CCC0D9"/>
    </w:rPr>
  </w:style>
  <w:style w:type="character" w:customStyle="1" w:styleId="BoxChar">
    <w:name w:val="Box Char"/>
    <w:link w:val="Box"/>
    <w:rsid w:val="007C3F6A"/>
    <w:rPr>
      <w:rFonts w:ascii="Arial" w:hAnsi="Arial" w:cs="Arial"/>
      <w:b w:val="0"/>
      <w:color w:val="000000"/>
      <w:sz w:val="24"/>
      <w:szCs w:val="24"/>
      <w:shd w:val="clear" w:color="auto" w:fill="D9F0F4"/>
    </w:rPr>
  </w:style>
  <w:style w:type="paragraph" w:customStyle="1" w:styleId="TL-Identifikace">
    <w:name w:val="TL - Identifikace"/>
    <w:next w:val="Normln"/>
    <w:link w:val="TL-IdentifikaceChar"/>
    <w:qFormat/>
    <w:rsid w:val="004F06F5"/>
    <w:pPr>
      <w:spacing w:after="200" w:line="288" w:lineRule="auto"/>
    </w:pPr>
    <w:rPr>
      <w:rFonts w:ascii="Arial" w:eastAsia="Times New Roman" w:hAnsi="Arial"/>
      <w:sz w:val="24"/>
      <w:szCs w:val="24"/>
    </w:rPr>
  </w:style>
  <w:style w:type="character" w:customStyle="1" w:styleId="TL-KontaktyChar">
    <w:name w:val="TL - Kontakty Char"/>
    <w:link w:val="TL-Kontakty"/>
    <w:rsid w:val="004F06F5"/>
    <w:rPr>
      <w:rFonts w:ascii="Arial" w:eastAsia="Times New Roman" w:hAnsi="Arial"/>
      <w:b/>
      <w:caps/>
      <w:color w:val="BD1B21"/>
      <w:sz w:val="24"/>
      <w:szCs w:val="24"/>
    </w:rPr>
  </w:style>
  <w:style w:type="character" w:customStyle="1" w:styleId="TL-IdentifikaceChar">
    <w:name w:val="TL - Identifikace Char"/>
    <w:link w:val="TL-Identifikace"/>
    <w:rsid w:val="004F06F5"/>
    <w:rPr>
      <w:rFonts w:ascii="Arial" w:eastAsia="Times New Roman" w:hAnsi="Arial"/>
      <w:sz w:val="24"/>
      <w:szCs w:val="24"/>
    </w:rPr>
  </w:style>
  <w:style w:type="paragraph" w:customStyle="1" w:styleId="3372873BB58A4DED866D2BE34882C06C">
    <w:name w:val="3372873BB58A4DED866D2BE34882C06C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233E5CD5853943F4BD7E8C4B124C0E1D">
    <w:name w:val="233E5CD5853943F4BD7E8C4B124C0E1D"/>
    <w:rsid w:val="00EE3E78"/>
    <w:pPr>
      <w:spacing w:after="200" w:line="276" w:lineRule="auto"/>
    </w:pPr>
    <w:rPr>
      <w:rFonts w:eastAsia="MS Mincho"/>
      <w:sz w:val="22"/>
      <w:szCs w:val="22"/>
    </w:rPr>
  </w:style>
  <w:style w:type="paragraph" w:customStyle="1" w:styleId="D345FF3D873148C5AE3FBF3267827368">
    <w:name w:val="D345FF3D873148C5AE3FBF3267827368"/>
    <w:rsid w:val="00EE3E78"/>
    <w:pPr>
      <w:spacing w:after="200" w:line="276" w:lineRule="auto"/>
    </w:pPr>
    <w:rPr>
      <w:rFonts w:eastAsia="MS Mincho"/>
      <w:sz w:val="22"/>
      <w:szCs w:val="22"/>
    </w:rPr>
  </w:style>
  <w:style w:type="character" w:customStyle="1" w:styleId="Stednmka2Char">
    <w:name w:val="Střední mřížka 2 Char"/>
    <w:aliases w:val="Bez zarážky Char"/>
    <w:link w:val="Stednmka21"/>
    <w:uiPriority w:val="1"/>
    <w:rsid w:val="00EE3E78"/>
    <w:rPr>
      <w:rFonts w:ascii="Arial" w:eastAsia="Times New Roman" w:hAnsi="Arial"/>
      <w:szCs w:val="24"/>
    </w:rPr>
  </w:style>
  <w:style w:type="paragraph" w:customStyle="1" w:styleId="TL-identifikace-sted">
    <w:name w:val="TL - identifikace - střed"/>
    <w:basedOn w:val="Normln"/>
    <w:link w:val="TL-identifikace-stedChar"/>
    <w:qFormat/>
    <w:rsid w:val="006C113F"/>
  </w:style>
  <w:style w:type="paragraph" w:customStyle="1" w:styleId="TL-Identifikace-dole">
    <w:name w:val="TL - Identifikace - dole"/>
    <w:basedOn w:val="Normln"/>
    <w:link w:val="TL-Identifikace-doleChar"/>
    <w:qFormat/>
    <w:rsid w:val="006C113F"/>
    <w:rPr>
      <w:rFonts w:cs="Arial"/>
      <w:szCs w:val="20"/>
      <w:lang w:eastAsia="ar-SA"/>
    </w:rPr>
  </w:style>
  <w:style w:type="character" w:customStyle="1" w:styleId="TL-identifikace-stedChar">
    <w:name w:val="TL - identifikace - střed Char"/>
    <w:link w:val="TL-identifikace-sted"/>
    <w:rsid w:val="006C113F"/>
    <w:rPr>
      <w:rFonts w:ascii="Arial" w:eastAsia="Times New Roman" w:hAnsi="Arial"/>
      <w:sz w:val="24"/>
      <w:szCs w:val="24"/>
    </w:rPr>
  </w:style>
  <w:style w:type="character" w:customStyle="1" w:styleId="TL-Identifikace-doleChar">
    <w:name w:val="TL - Identifikace - dole Char"/>
    <w:link w:val="TL-Identifikace-dole"/>
    <w:rsid w:val="006C113F"/>
    <w:rPr>
      <w:rFonts w:ascii="Arial" w:eastAsia="Times New Roman" w:hAnsi="Arial" w:cs="Arial"/>
      <w:lang w:eastAsia="ar-SA"/>
    </w:rPr>
  </w:style>
  <w:style w:type="paragraph" w:customStyle="1" w:styleId="Obsah">
    <w:name w:val="Obsah"/>
    <w:next w:val="Normln"/>
    <w:link w:val="ObsahChar"/>
    <w:qFormat/>
    <w:rsid w:val="00CD57C7"/>
    <w:pPr>
      <w:spacing w:after="200"/>
    </w:pPr>
    <w:rPr>
      <w:rFonts w:ascii="Arial" w:eastAsia="MS Gothic" w:hAnsi="Arial"/>
      <w:b/>
      <w:bCs/>
      <w:color w:val="009BB4"/>
      <w:sz w:val="32"/>
      <w:szCs w:val="28"/>
    </w:rPr>
  </w:style>
  <w:style w:type="paragraph" w:styleId="Odstavecseseznamem">
    <w:name w:val="List Paragraph"/>
    <w:basedOn w:val="Normln"/>
    <w:uiPriority w:val="34"/>
    <w:qFormat/>
    <w:rsid w:val="00F4274E"/>
    <w:pPr>
      <w:ind w:left="720"/>
      <w:contextualSpacing/>
    </w:pPr>
  </w:style>
  <w:style w:type="character" w:customStyle="1" w:styleId="ObsahChar">
    <w:name w:val="Obsah Char"/>
    <w:link w:val="Obsah"/>
    <w:rsid w:val="00CD57C7"/>
    <w:rPr>
      <w:rFonts w:ascii="Arial" w:eastAsia="MS Gothic" w:hAnsi="Arial"/>
      <w:b/>
      <w:bCs/>
      <w:color w:val="009BB4"/>
      <w:sz w:val="32"/>
      <w:szCs w:val="28"/>
    </w:rPr>
  </w:style>
  <w:style w:type="paragraph" w:styleId="Zkladntext">
    <w:name w:val="Body Text"/>
    <w:basedOn w:val="Normln"/>
    <w:link w:val="ZkladntextChar"/>
    <w:semiHidden/>
    <w:rsid w:val="00194F66"/>
    <w:pPr>
      <w:spacing w:before="120" w:after="120" w:line="240" w:lineRule="auto"/>
      <w:ind w:right="-13"/>
      <w:jc w:val="both"/>
    </w:pPr>
    <w:rPr>
      <w:rFonts w:eastAsia="Times New Roman"/>
      <w:sz w:val="22"/>
      <w:szCs w:val="24"/>
      <w:lang w:eastAsia="cs-CZ"/>
    </w:rPr>
  </w:style>
  <w:style w:type="character" w:customStyle="1" w:styleId="ZkladntextChar">
    <w:name w:val="Základní text Char"/>
    <w:link w:val="Zkladntext"/>
    <w:semiHidden/>
    <w:rsid w:val="00194F66"/>
    <w:rPr>
      <w:rFonts w:ascii="Times New Roman" w:eastAsia="Times New Roman" w:hAnsi="Times New Roman"/>
      <w:sz w:val="22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A34E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E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4E5A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E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4E5A"/>
    <w:rPr>
      <w:rFonts w:ascii="Times New Roman" w:hAnsi="Times New Roman"/>
      <w:b/>
      <w:bCs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161D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61DA1"/>
    <w:rPr>
      <w:rFonts w:ascii="Times New Roman" w:hAnsi="Times New Roman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61D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publikace\062005-15\publikace%20bar_veda%20I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https://czsocz-my.sharepoint.com/personal/kamila_buresova_czso_cz/Documents/Dokumenty/publikace/062005-25/pomocny_analyza_2025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1.0010582738293085E-2"/>
          <c:y val="5.0925925925925923E-2"/>
          <c:w val="0.97761731748596925"/>
          <c:h val="0.673820465274605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prodej_přes_web!$A$33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(prodej_přes_web!$B$32,prodej_přes_web!$D$32,prodej_přes_web!$F$32,prodej_přes_web!$H$32,prodej_přes_web!$J$32)</c:f>
              <c:numCache>
                <c:formatCode>General</c:formatCode>
                <c:ptCount val="5"/>
                <c:pt idx="0">
                  <c:v>2016</c:v>
                </c:pt>
                <c:pt idx="1">
                  <c:v>2018</c:v>
                </c:pt>
                <c:pt idx="2">
                  <c:v>2020</c:v>
                </c:pt>
                <c:pt idx="3">
                  <c:v>2022</c:v>
                </c:pt>
                <c:pt idx="4">
                  <c:v>2024</c:v>
                </c:pt>
              </c:numCache>
            </c:numRef>
          </c:cat>
          <c:val>
            <c:numRef>
              <c:f>(prodej_přes_web!$B$33,prodej_přes_web!$D$33,prodej_přes_web!$F$33,prodej_přes_web!$H$33,prodej_přes_web!$J$33)</c:f>
              <c:numCache>
                <c:formatCode>0%</c:formatCode>
                <c:ptCount val="5"/>
                <c:pt idx="0">
                  <c:v>0.191</c:v>
                </c:pt>
                <c:pt idx="1">
                  <c:v>0.23199999999999998</c:v>
                </c:pt>
                <c:pt idx="2">
                  <c:v>0.20793606826839939</c:v>
                </c:pt>
                <c:pt idx="3">
                  <c:v>0.20514230726746213</c:v>
                </c:pt>
                <c:pt idx="4">
                  <c:v>0.22243727600302876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F6-4BFD-A91B-D94931271DF4}"/>
            </c:ext>
          </c:extLst>
        </c:ser>
        <c:ser>
          <c:idx val="1"/>
          <c:order val="1"/>
          <c:tx>
            <c:strRef>
              <c:f>prodej_přes_web!$A$34</c:f>
              <c:strCache>
                <c:ptCount val="1"/>
                <c:pt idx="0">
                  <c:v> přes vlastní webové stránky nebo aplikace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(prodej_přes_web!$B$32,prodej_přes_web!$D$32,prodej_přes_web!$F$32,prodej_přes_web!$H$32,prodej_přes_web!$J$32)</c:f>
              <c:numCache>
                <c:formatCode>General</c:formatCode>
                <c:ptCount val="5"/>
                <c:pt idx="0">
                  <c:v>2016</c:v>
                </c:pt>
                <c:pt idx="1">
                  <c:v>2018</c:v>
                </c:pt>
                <c:pt idx="2">
                  <c:v>2020</c:v>
                </c:pt>
                <c:pt idx="3">
                  <c:v>2022</c:v>
                </c:pt>
                <c:pt idx="4">
                  <c:v>2024</c:v>
                </c:pt>
              </c:numCache>
            </c:numRef>
          </c:cat>
          <c:val>
            <c:numRef>
              <c:f>(prodej_přes_web!$B$34,prodej_přes_web!$D$34,prodej_přes_web!$F$34,prodej_přes_web!$H$34,prodej_přes_web!$J$34)</c:f>
              <c:numCache>
                <c:formatCode>0%</c:formatCode>
                <c:ptCount val="5"/>
                <c:pt idx="0">
                  <c:v>0.186</c:v>
                </c:pt>
                <c:pt idx="1">
                  <c:v>0.221</c:v>
                </c:pt>
                <c:pt idx="2">
                  <c:v>0.20399999999999999</c:v>
                </c:pt>
                <c:pt idx="3">
                  <c:v>0.19400000000000001</c:v>
                </c:pt>
                <c:pt idx="4">
                  <c:v>0.21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CF6-4BFD-A91B-D94931271DF4}"/>
            </c:ext>
          </c:extLst>
        </c:ser>
        <c:ser>
          <c:idx val="2"/>
          <c:order val="2"/>
          <c:tx>
            <c:strRef>
              <c:f>prodej_přes_web!$A$35</c:f>
              <c:strCache>
                <c:ptCount val="1"/>
                <c:pt idx="0">
                  <c:v> přes online tržiště (marketplace) či partnerský prodej</c:v>
                </c:pt>
              </c:strCache>
            </c:strRef>
          </c:tx>
          <c:spPr>
            <a:solidFill>
              <a:srgbClr val="174F70"/>
            </a:solidFill>
          </c:spPr>
          <c:invertIfNegative val="0"/>
          <c:dLbls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(prodej_přes_web!$B$32,prodej_přes_web!$D$32,prodej_přes_web!$F$32,prodej_přes_web!$H$32,prodej_přes_web!$J$32)</c:f>
              <c:numCache>
                <c:formatCode>General</c:formatCode>
                <c:ptCount val="5"/>
                <c:pt idx="0">
                  <c:v>2016</c:v>
                </c:pt>
                <c:pt idx="1">
                  <c:v>2018</c:v>
                </c:pt>
                <c:pt idx="2">
                  <c:v>2020</c:v>
                </c:pt>
                <c:pt idx="3">
                  <c:v>2022</c:v>
                </c:pt>
                <c:pt idx="4">
                  <c:v>2024</c:v>
                </c:pt>
              </c:numCache>
            </c:numRef>
          </c:cat>
          <c:val>
            <c:numRef>
              <c:f>(prodej_přes_web!$B$35,prodej_přes_web!$D$35,prodej_přes_web!$F$35,prodej_přes_web!$H$35,prodej_přes_web!$J$35)</c:f>
              <c:numCache>
                <c:formatCode>0%</c:formatCode>
                <c:ptCount val="5"/>
                <c:pt idx="0">
                  <c:v>2.7E-2</c:v>
                </c:pt>
                <c:pt idx="1">
                  <c:v>0.04</c:v>
                </c:pt>
                <c:pt idx="2">
                  <c:v>4.4999999999999998E-2</c:v>
                </c:pt>
                <c:pt idx="3">
                  <c:v>6.4000000000000001E-2</c:v>
                </c:pt>
                <c:pt idx="4">
                  <c:v>7.9000000000000001E-2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CF6-4BFD-A91B-D94931271D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4"/>
          <c:min val="0"/>
        </c:scaling>
        <c:delete val="1"/>
        <c:axPos val="l"/>
        <c:numFmt formatCode="0%" sourceLinked="0"/>
        <c:majorTickMark val="out"/>
        <c:minorTickMark val="none"/>
        <c:tickLblPos val="nextTo"/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360487862316763E-2"/>
          <c:y val="5.0925925925925923E-2"/>
          <c:w val="0.89968177277406169"/>
          <c:h val="0.611506721558282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prodej_přes_web!$B$45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8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1-8E2E-4229-957C-B2414681CDD2}"/>
              </c:ext>
            </c:extLst>
          </c:dPt>
          <c:dPt>
            <c:idx val="11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3-8E2E-4229-957C-B2414681CDD2}"/>
              </c:ext>
            </c:extLst>
          </c:dPt>
          <c:dPt>
            <c:idx val="13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5-8E2E-4229-957C-B2414681CDD2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7-8E2E-4229-957C-B2414681CDD2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8E2E-4229-957C-B2414681CDD2}"/>
              </c:ext>
            </c:extLst>
          </c:dPt>
          <c:dPt>
            <c:idx val="23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B-8E2E-4229-957C-B2414681CDD2}"/>
              </c:ext>
            </c:extLst>
          </c:dPt>
          <c:dLbls>
            <c:dLbl>
              <c:idx val="1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2E-4229-957C-B2414681CDD2}"/>
                </c:ext>
              </c:extLst>
            </c:dLbl>
            <c:dLbl>
              <c:idx val="1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E2E-4229-957C-B2414681CDD2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prodej_přes_web!$A$46:$A$73</c:f>
              <c:strCache>
                <c:ptCount val="28"/>
                <c:pt idx="0">
                  <c:v>Litva</c:v>
                </c:pt>
                <c:pt idx="1">
                  <c:v>Irsko</c:v>
                </c:pt>
                <c:pt idx="2">
                  <c:v>Švédsko</c:v>
                </c:pt>
                <c:pt idx="3">
                  <c:v>Dánsko</c:v>
                </c:pt>
                <c:pt idx="4">
                  <c:v>Finsko</c:v>
                </c:pt>
                <c:pt idx="5">
                  <c:v>Rakousko</c:v>
                </c:pt>
                <c:pt idx="6">
                  <c:v>Belgie</c:v>
                </c:pt>
                <c:pt idx="7">
                  <c:v>Malta</c:v>
                </c:pt>
                <c:pt idx="8">
                  <c:v>Španělsko</c:v>
                </c:pt>
                <c:pt idx="9">
                  <c:v>Nizozemsko</c:v>
                </c:pt>
                <c:pt idx="10">
                  <c:v>Řecko</c:v>
                </c:pt>
                <c:pt idx="11">
                  <c:v>Slovinsko</c:v>
                </c:pt>
                <c:pt idx="12">
                  <c:v>Kypr</c:v>
                </c:pt>
                <c:pt idx="13">
                  <c:v>Česko</c:v>
                </c:pt>
                <c:pt idx="14">
                  <c:v>Estonsko</c:v>
                </c:pt>
                <c:pt idx="15">
                  <c:v>EU27</c:v>
                </c:pt>
                <c:pt idx="16">
                  <c:v>Německo</c:v>
                </c:pt>
                <c:pt idx="17">
                  <c:v>Maďarsko</c:v>
                </c:pt>
                <c:pt idx="18">
                  <c:v>Chorvatsko</c:v>
                </c:pt>
                <c:pt idx="19">
                  <c:v>Lotyšsko</c:v>
                </c:pt>
                <c:pt idx="20">
                  <c:v>Itálie</c:v>
                </c:pt>
                <c:pt idx="21">
                  <c:v>Francie</c:v>
                </c:pt>
                <c:pt idx="22">
                  <c:v>Portugalsko</c:v>
                </c:pt>
                <c:pt idx="23">
                  <c:v>Polsko</c:v>
                </c:pt>
                <c:pt idx="24">
                  <c:v>Slovensko</c:v>
                </c:pt>
                <c:pt idx="25">
                  <c:v>Bulharsko</c:v>
                </c:pt>
                <c:pt idx="26">
                  <c:v>Rumunsko</c:v>
                </c:pt>
                <c:pt idx="27">
                  <c:v>Lucembursko</c:v>
                </c:pt>
              </c:strCache>
            </c:strRef>
          </c:cat>
          <c:val>
            <c:numRef>
              <c:f>prodej_přes_web!$B$46:$B$73</c:f>
              <c:numCache>
                <c:formatCode>0%</c:formatCode>
                <c:ptCount val="28"/>
                <c:pt idx="0">
                  <c:v>0.41295999999999999</c:v>
                </c:pt>
                <c:pt idx="1">
                  <c:v>0.31739400000000001</c:v>
                </c:pt>
                <c:pt idx="2">
                  <c:v>0.31241099999999999</c:v>
                </c:pt>
                <c:pt idx="3">
                  <c:v>0.306917</c:v>
                </c:pt>
                <c:pt idx="4">
                  <c:v>0.28450500000000001</c:v>
                </c:pt>
                <c:pt idx="5">
                  <c:v>0.27199499999999999</c:v>
                </c:pt>
                <c:pt idx="6">
                  <c:v>0.26300600000000002</c:v>
                </c:pt>
                <c:pt idx="7">
                  <c:v>0.26177400000000001</c:v>
                </c:pt>
                <c:pt idx="8">
                  <c:v>0.260932</c:v>
                </c:pt>
                <c:pt idx="9">
                  <c:v>0.24657899999999999</c:v>
                </c:pt>
                <c:pt idx="10">
                  <c:v>0.24452599999999999</c:v>
                </c:pt>
                <c:pt idx="11">
                  <c:v>0.24447499999999997</c:v>
                </c:pt>
                <c:pt idx="12">
                  <c:v>0.23047799999999999</c:v>
                </c:pt>
                <c:pt idx="13">
                  <c:v>0.22251799999999999</c:v>
                </c:pt>
                <c:pt idx="14">
                  <c:v>0.22094899999999998</c:v>
                </c:pt>
                <c:pt idx="15">
                  <c:v>0.20675199999999999</c:v>
                </c:pt>
                <c:pt idx="16">
                  <c:v>0.200436</c:v>
                </c:pt>
                <c:pt idx="17">
                  <c:v>0.190332</c:v>
                </c:pt>
                <c:pt idx="18">
                  <c:v>0.18392400000000003</c:v>
                </c:pt>
                <c:pt idx="19">
                  <c:v>0.17869699999999999</c:v>
                </c:pt>
                <c:pt idx="20">
                  <c:v>0.17633299999999999</c:v>
                </c:pt>
                <c:pt idx="21">
                  <c:v>0.16928399999999999</c:v>
                </c:pt>
                <c:pt idx="22">
                  <c:v>0.16883999999999999</c:v>
                </c:pt>
                <c:pt idx="23">
                  <c:v>0.16808199999999998</c:v>
                </c:pt>
                <c:pt idx="24">
                  <c:v>0.15259700000000001</c:v>
                </c:pt>
                <c:pt idx="25">
                  <c:v>0.14996999999999999</c:v>
                </c:pt>
                <c:pt idx="26">
                  <c:v>0.13011400000000001</c:v>
                </c:pt>
                <c:pt idx="27">
                  <c:v>0.128024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E2E-4229-957C-B2414681CD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-20"/>
        <c:axId val="97604736"/>
        <c:axId val="97606272"/>
      </c:barChart>
      <c:barChart>
        <c:barDir val="col"/>
        <c:grouping val="clustered"/>
        <c:varyColors val="0"/>
        <c:ser>
          <c:idx val="1"/>
          <c:order val="1"/>
          <c:tx>
            <c:strRef>
              <c:f>prodej_přes_web!$C$45</c:f>
              <c:strCache>
                <c:ptCount val="1"/>
                <c:pt idx="0">
                  <c:v> z toho přes online tržiště (marketplace) či partnerský prodej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dLbl>
              <c:idx val="1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E2E-4229-957C-B2414681CDD2}"/>
                </c:ext>
              </c:extLst>
            </c:dLbl>
            <c:dLbl>
              <c:idx val="1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E2E-4229-957C-B2414681CDD2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prodej_přes_web!$A$46:$A$73</c:f>
              <c:strCache>
                <c:ptCount val="28"/>
                <c:pt idx="0">
                  <c:v>Litva</c:v>
                </c:pt>
                <c:pt idx="1">
                  <c:v>Irsko</c:v>
                </c:pt>
                <c:pt idx="2">
                  <c:v>Švédsko</c:v>
                </c:pt>
                <c:pt idx="3">
                  <c:v>Dánsko</c:v>
                </c:pt>
                <c:pt idx="4">
                  <c:v>Finsko</c:v>
                </c:pt>
                <c:pt idx="5">
                  <c:v>Rakousko</c:v>
                </c:pt>
                <c:pt idx="6">
                  <c:v>Belgie</c:v>
                </c:pt>
                <c:pt idx="7">
                  <c:v>Malta</c:v>
                </c:pt>
                <c:pt idx="8">
                  <c:v>Španělsko</c:v>
                </c:pt>
                <c:pt idx="9">
                  <c:v>Nizozemsko</c:v>
                </c:pt>
                <c:pt idx="10">
                  <c:v>Řecko</c:v>
                </c:pt>
                <c:pt idx="11">
                  <c:v>Slovinsko</c:v>
                </c:pt>
                <c:pt idx="12">
                  <c:v>Kypr</c:v>
                </c:pt>
                <c:pt idx="13">
                  <c:v>Česko</c:v>
                </c:pt>
                <c:pt idx="14">
                  <c:v>Estonsko</c:v>
                </c:pt>
                <c:pt idx="15">
                  <c:v>EU27</c:v>
                </c:pt>
                <c:pt idx="16">
                  <c:v>Německo</c:v>
                </c:pt>
                <c:pt idx="17">
                  <c:v>Maďarsko</c:v>
                </c:pt>
                <c:pt idx="18">
                  <c:v>Chorvatsko</c:v>
                </c:pt>
                <c:pt idx="19">
                  <c:v>Lotyšsko</c:v>
                </c:pt>
                <c:pt idx="20">
                  <c:v>Itálie</c:v>
                </c:pt>
                <c:pt idx="21">
                  <c:v>Francie</c:v>
                </c:pt>
                <c:pt idx="22">
                  <c:v>Portugalsko</c:v>
                </c:pt>
                <c:pt idx="23">
                  <c:v>Polsko</c:v>
                </c:pt>
                <c:pt idx="24">
                  <c:v>Slovensko</c:v>
                </c:pt>
                <c:pt idx="25">
                  <c:v>Bulharsko</c:v>
                </c:pt>
                <c:pt idx="26">
                  <c:v>Rumunsko</c:v>
                </c:pt>
                <c:pt idx="27">
                  <c:v>Lucembursko</c:v>
                </c:pt>
              </c:strCache>
            </c:strRef>
          </c:cat>
          <c:val>
            <c:numRef>
              <c:f>prodej_přes_web!$C$46:$C$73</c:f>
              <c:numCache>
                <c:formatCode>0%</c:formatCode>
                <c:ptCount val="28"/>
                <c:pt idx="0">
                  <c:v>0.35743700000000006</c:v>
                </c:pt>
                <c:pt idx="1">
                  <c:v>0.102699</c:v>
                </c:pt>
                <c:pt idx="2">
                  <c:v>7.7400999999999998E-2</c:v>
                </c:pt>
                <c:pt idx="3">
                  <c:v>8.5546999999999998E-2</c:v>
                </c:pt>
                <c:pt idx="4">
                  <c:v>8.7231000000000003E-2</c:v>
                </c:pt>
                <c:pt idx="5">
                  <c:v>0.12602099999999999</c:v>
                </c:pt>
                <c:pt idx="6">
                  <c:v>8.1336000000000019E-2</c:v>
                </c:pt>
                <c:pt idx="7">
                  <c:v>8.7763999999999995E-2</c:v>
                </c:pt>
                <c:pt idx="8">
                  <c:v>9.3742000000000006E-2</c:v>
                </c:pt>
                <c:pt idx="9">
                  <c:v>7.8614000000000003E-2</c:v>
                </c:pt>
                <c:pt idx="10">
                  <c:v>0.133604</c:v>
                </c:pt>
                <c:pt idx="11">
                  <c:v>0.104279</c:v>
                </c:pt>
                <c:pt idx="12">
                  <c:v>0.141342</c:v>
                </c:pt>
                <c:pt idx="13">
                  <c:v>7.8756999999999994E-2</c:v>
                </c:pt>
                <c:pt idx="14">
                  <c:v>3.6471000000000003E-2</c:v>
                </c:pt>
                <c:pt idx="15">
                  <c:v>9.3054000000000012E-2</c:v>
                </c:pt>
                <c:pt idx="16">
                  <c:v>0.102007</c:v>
                </c:pt>
                <c:pt idx="17">
                  <c:v>7.7574000000000004E-2</c:v>
                </c:pt>
                <c:pt idx="18">
                  <c:v>4.7312E-2</c:v>
                </c:pt>
                <c:pt idx="19">
                  <c:v>6.4329999999999998E-2</c:v>
                </c:pt>
                <c:pt idx="20">
                  <c:v>0.114729</c:v>
                </c:pt>
                <c:pt idx="21">
                  <c:v>4.6167E-2</c:v>
                </c:pt>
                <c:pt idx="22">
                  <c:v>9.4345999999999999E-2</c:v>
                </c:pt>
                <c:pt idx="23">
                  <c:v>0.106934</c:v>
                </c:pt>
                <c:pt idx="24">
                  <c:v>5.0145000000000002E-2</c:v>
                </c:pt>
                <c:pt idx="25">
                  <c:v>7.0635000000000003E-2</c:v>
                </c:pt>
                <c:pt idx="26">
                  <c:v>5.5280999999999997E-2</c:v>
                </c:pt>
                <c:pt idx="27">
                  <c:v>6.2413999999999997E-2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8E2E-4229-957C-B2414681CD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5"/>
        <c:overlap val="-100"/>
        <c:axId val="1915991456"/>
        <c:axId val="191599603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5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valAx>
        <c:axId val="1915996032"/>
        <c:scaling>
          <c:orientation val="minMax"/>
          <c:max val="1"/>
        </c:scaling>
        <c:delete val="1"/>
        <c:axPos val="r"/>
        <c:numFmt formatCode="0%" sourceLinked="1"/>
        <c:majorTickMark val="out"/>
        <c:minorTickMark val="none"/>
        <c:tickLblPos val="nextTo"/>
        <c:crossAx val="1915991456"/>
        <c:crosses val="max"/>
        <c:crossBetween val="between"/>
      </c:valAx>
      <c:catAx>
        <c:axId val="1915991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5996032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4360487862316763E-2"/>
          <c:y val="5.0925925925925923E-2"/>
          <c:w val="0.89968177277406169"/>
          <c:h val="0.611506721558282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prodej_přes_web!$B$76</c:f>
              <c:strCache>
                <c:ptCount val="1"/>
                <c:pt idx="0">
                  <c:v> Celkem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8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1-32B5-49E3-9AE8-DCB6E4FF55A9}"/>
              </c:ext>
            </c:extLst>
          </c:dPt>
          <c:dPt>
            <c:idx val="9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32B5-49E3-9AE8-DCB6E4FF55A9}"/>
              </c:ext>
            </c:extLst>
          </c:dPt>
          <c:dPt>
            <c:idx val="11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5-32B5-49E3-9AE8-DCB6E4FF55A9}"/>
              </c:ext>
            </c:extLst>
          </c:dPt>
          <c:dPt>
            <c:idx val="13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32B5-49E3-9AE8-DCB6E4FF55A9}"/>
              </c:ext>
            </c:extLst>
          </c:dPt>
          <c:dPt>
            <c:idx val="14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9-32B5-49E3-9AE8-DCB6E4FF55A9}"/>
              </c:ext>
            </c:extLst>
          </c:dPt>
          <c:dPt>
            <c:idx val="23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B-32B5-49E3-9AE8-DCB6E4FF55A9}"/>
              </c:ext>
            </c:extLst>
          </c:dPt>
          <c:dLbls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2B5-49E3-9AE8-DCB6E4FF55A9}"/>
                </c:ext>
              </c:extLst>
            </c:dLbl>
            <c:dLbl>
              <c:idx val="1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2B5-49E3-9AE8-DCB6E4FF55A9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prodej_přes_web!$A$77:$A$102</c:f>
              <c:strCache>
                <c:ptCount val="26"/>
                <c:pt idx="0">
                  <c:v>Irsko</c:v>
                </c:pt>
                <c:pt idx="1">
                  <c:v>Švédsko</c:v>
                </c:pt>
                <c:pt idx="2">
                  <c:v>Litva</c:v>
                </c:pt>
                <c:pt idx="3">
                  <c:v>Kypr</c:v>
                </c:pt>
                <c:pt idx="4">
                  <c:v>Nizozemsko</c:v>
                </c:pt>
                <c:pt idx="5">
                  <c:v>Slovensko</c:v>
                </c:pt>
                <c:pt idx="6">
                  <c:v>Belgie</c:v>
                </c:pt>
                <c:pt idx="7">
                  <c:v>Německo</c:v>
                </c:pt>
                <c:pt idx="8">
                  <c:v>Finsko</c:v>
                </c:pt>
                <c:pt idx="9">
                  <c:v>Česko</c:v>
                </c:pt>
                <c:pt idx="10">
                  <c:v>Malta</c:v>
                </c:pt>
                <c:pt idx="11">
                  <c:v>Španělsko</c:v>
                </c:pt>
                <c:pt idx="12">
                  <c:v>Dánsko</c:v>
                </c:pt>
                <c:pt idx="13">
                  <c:v>EU27</c:v>
                </c:pt>
                <c:pt idx="14">
                  <c:v>Chorvatsko</c:v>
                </c:pt>
                <c:pt idx="15">
                  <c:v>Estonsko</c:v>
                </c:pt>
                <c:pt idx="16">
                  <c:v>Portugalsko</c:v>
                </c:pt>
                <c:pt idx="17">
                  <c:v>Rumunsko</c:v>
                </c:pt>
                <c:pt idx="18">
                  <c:v>Maďarsko</c:v>
                </c:pt>
                <c:pt idx="19">
                  <c:v>Rakousko</c:v>
                </c:pt>
                <c:pt idx="20">
                  <c:v>Polsko</c:v>
                </c:pt>
                <c:pt idx="21">
                  <c:v>Lotyšsko</c:v>
                </c:pt>
                <c:pt idx="22">
                  <c:v>Itálie</c:v>
                </c:pt>
                <c:pt idx="23">
                  <c:v>Bulharsko</c:v>
                </c:pt>
                <c:pt idx="24">
                  <c:v>Slovinsko</c:v>
                </c:pt>
                <c:pt idx="25">
                  <c:v>Francie</c:v>
                </c:pt>
              </c:strCache>
            </c:strRef>
          </c:cat>
          <c:val>
            <c:numRef>
              <c:f>prodej_přes_web!$B$77:$B$102</c:f>
              <c:numCache>
                <c:formatCode>0%</c:formatCode>
                <c:ptCount val="26"/>
                <c:pt idx="0">
                  <c:v>0.25150499999999998</c:v>
                </c:pt>
                <c:pt idx="1">
                  <c:v>0.12449300000000001</c:v>
                </c:pt>
                <c:pt idx="2">
                  <c:v>0.12287099999999999</c:v>
                </c:pt>
                <c:pt idx="3">
                  <c:v>0.11607000000000001</c:v>
                </c:pt>
                <c:pt idx="4">
                  <c:v>0.11322699999999999</c:v>
                </c:pt>
                <c:pt idx="5">
                  <c:v>0.10444199999999998</c:v>
                </c:pt>
                <c:pt idx="6">
                  <c:v>0.10036000000000002</c:v>
                </c:pt>
                <c:pt idx="7">
                  <c:v>9.4514000000000001E-2</c:v>
                </c:pt>
                <c:pt idx="8">
                  <c:v>9.0567999999999996E-2</c:v>
                </c:pt>
                <c:pt idx="9">
                  <c:v>8.7313000000000016E-2</c:v>
                </c:pt>
                <c:pt idx="10">
                  <c:v>8.6523000000000003E-2</c:v>
                </c:pt>
                <c:pt idx="11">
                  <c:v>8.4905999999999981E-2</c:v>
                </c:pt>
                <c:pt idx="12">
                  <c:v>8.3902000000000004E-2</c:v>
                </c:pt>
                <c:pt idx="13">
                  <c:v>8.3879999999999996E-2</c:v>
                </c:pt>
                <c:pt idx="14">
                  <c:v>8.2105999999999998E-2</c:v>
                </c:pt>
                <c:pt idx="15">
                  <c:v>7.8701999999999994E-2</c:v>
                </c:pt>
                <c:pt idx="16">
                  <c:v>7.7586000000000002E-2</c:v>
                </c:pt>
                <c:pt idx="17">
                  <c:v>7.6239000000000001E-2</c:v>
                </c:pt>
                <c:pt idx="18">
                  <c:v>7.5244000000000005E-2</c:v>
                </c:pt>
                <c:pt idx="19">
                  <c:v>6.7659999999999998E-2</c:v>
                </c:pt>
                <c:pt idx="20">
                  <c:v>6.6624000000000003E-2</c:v>
                </c:pt>
                <c:pt idx="21">
                  <c:v>6.4952999999999997E-2</c:v>
                </c:pt>
                <c:pt idx="22">
                  <c:v>5.3393000000000003E-2</c:v>
                </c:pt>
                <c:pt idx="23">
                  <c:v>5.1541999999999998E-2</c:v>
                </c:pt>
                <c:pt idx="24">
                  <c:v>4.6269999999999999E-2</c:v>
                </c:pt>
                <c:pt idx="25">
                  <c:v>4.0476999999999999E-2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32B5-49E3-9AE8-DCB6E4FF55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-20"/>
        <c:axId val="97604736"/>
        <c:axId val="97606272"/>
      </c:barChart>
      <c:barChart>
        <c:barDir val="col"/>
        <c:grouping val="clustered"/>
        <c:varyColors val="0"/>
        <c:ser>
          <c:idx val="1"/>
          <c:order val="1"/>
          <c:tx>
            <c:strRef>
              <c:f>prodej_přes_web!$C$76</c:f>
              <c:strCache>
                <c:ptCount val="1"/>
                <c:pt idx="0">
                  <c:v> z toho přes online tržiště (marketplace) či partnerský prodej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Lbls>
            <c:dLbl>
              <c:idx val="9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2B5-49E3-9AE8-DCB6E4FF55A9}"/>
                </c:ext>
              </c:extLst>
            </c:dLbl>
            <c:dLbl>
              <c:idx val="1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2B5-49E3-9AE8-DCB6E4FF55A9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prodej_přes_web!$A$77:$A$102</c:f>
              <c:strCache>
                <c:ptCount val="26"/>
                <c:pt idx="0">
                  <c:v>Irsko</c:v>
                </c:pt>
                <c:pt idx="1">
                  <c:v>Švédsko</c:v>
                </c:pt>
                <c:pt idx="2">
                  <c:v>Litva</c:v>
                </c:pt>
                <c:pt idx="3">
                  <c:v>Kypr</c:v>
                </c:pt>
                <c:pt idx="4">
                  <c:v>Nizozemsko</c:v>
                </c:pt>
                <c:pt idx="5">
                  <c:v>Slovensko</c:v>
                </c:pt>
                <c:pt idx="6">
                  <c:v>Belgie</c:v>
                </c:pt>
                <c:pt idx="7">
                  <c:v>Německo</c:v>
                </c:pt>
                <c:pt idx="8">
                  <c:v>Finsko</c:v>
                </c:pt>
                <c:pt idx="9">
                  <c:v>Česko</c:v>
                </c:pt>
                <c:pt idx="10">
                  <c:v>Malta</c:v>
                </c:pt>
                <c:pt idx="11">
                  <c:v>Španělsko</c:v>
                </c:pt>
                <c:pt idx="12">
                  <c:v>Dánsko</c:v>
                </c:pt>
                <c:pt idx="13">
                  <c:v>EU27</c:v>
                </c:pt>
                <c:pt idx="14">
                  <c:v>Chorvatsko</c:v>
                </c:pt>
                <c:pt idx="15">
                  <c:v>Estonsko</c:v>
                </c:pt>
                <c:pt idx="16">
                  <c:v>Portugalsko</c:v>
                </c:pt>
                <c:pt idx="17">
                  <c:v>Rumunsko</c:v>
                </c:pt>
                <c:pt idx="18">
                  <c:v>Maďarsko</c:v>
                </c:pt>
                <c:pt idx="19">
                  <c:v>Rakousko</c:v>
                </c:pt>
                <c:pt idx="20">
                  <c:v>Polsko</c:v>
                </c:pt>
                <c:pt idx="21">
                  <c:v>Lotyšsko</c:v>
                </c:pt>
                <c:pt idx="22">
                  <c:v>Itálie</c:v>
                </c:pt>
                <c:pt idx="23">
                  <c:v>Bulharsko</c:v>
                </c:pt>
                <c:pt idx="24">
                  <c:v>Slovinsko</c:v>
                </c:pt>
                <c:pt idx="25">
                  <c:v>Francie</c:v>
                </c:pt>
              </c:strCache>
            </c:strRef>
          </c:cat>
          <c:val>
            <c:numRef>
              <c:f>prodej_přes_web!$C$77:$C$102</c:f>
              <c:numCache>
                <c:formatCode>0.0%</c:formatCode>
                <c:ptCount val="26"/>
                <c:pt idx="0">
                  <c:v>7.9480000000000002E-3</c:v>
                </c:pt>
                <c:pt idx="1">
                  <c:v>9.9260000000000008E-3</c:v>
                </c:pt>
                <c:pt idx="2">
                  <c:v>5.212E-2</c:v>
                </c:pt>
                <c:pt idx="3">
                  <c:v>1.5833E-2</c:v>
                </c:pt>
                <c:pt idx="4">
                  <c:v>1.0168999999999999E-2</c:v>
                </c:pt>
                <c:pt idx="5">
                  <c:v>2.6460000000000001E-2</c:v>
                </c:pt>
                <c:pt idx="6">
                  <c:v>1.3606E-2</c:v>
                </c:pt>
                <c:pt idx="7">
                  <c:v>1.8112E-2</c:v>
                </c:pt>
                <c:pt idx="8">
                  <c:v>1.5252E-2</c:v>
                </c:pt>
                <c:pt idx="9">
                  <c:v>1.3239000000000001E-2</c:v>
                </c:pt>
                <c:pt idx="10">
                  <c:v>1.4186000000000001E-2</c:v>
                </c:pt>
                <c:pt idx="11">
                  <c:v>1.3978000000000001E-2</c:v>
                </c:pt>
                <c:pt idx="12">
                  <c:v>8.6219999999999995E-3</c:v>
                </c:pt>
                <c:pt idx="13">
                  <c:v>1.3032999999999999E-2</c:v>
                </c:pt>
                <c:pt idx="14">
                  <c:v>9.6220000000000003E-3</c:v>
                </c:pt>
                <c:pt idx="15">
                  <c:v>2.2759999999999998E-3</c:v>
                </c:pt>
                <c:pt idx="16">
                  <c:v>2.5423000000000001E-2</c:v>
                </c:pt>
                <c:pt idx="17">
                  <c:v>1.4218E-2</c:v>
                </c:pt>
                <c:pt idx="18">
                  <c:v>5.0530000000000002E-3</c:v>
                </c:pt>
                <c:pt idx="19">
                  <c:v>1.0813E-2</c:v>
                </c:pt>
                <c:pt idx="20">
                  <c:v>1.5559E-2</c:v>
                </c:pt>
                <c:pt idx="21">
                  <c:v>1.5145E-2</c:v>
                </c:pt>
                <c:pt idx="22">
                  <c:v>1.0307E-2</c:v>
                </c:pt>
                <c:pt idx="23">
                  <c:v>1.4251E-2</c:v>
                </c:pt>
                <c:pt idx="24">
                  <c:v>5.7070000000000003E-3</c:v>
                </c:pt>
                <c:pt idx="25">
                  <c:v>4.1440000000000001E-3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32B5-49E3-9AE8-DCB6E4FF55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95"/>
        <c:overlap val="-100"/>
        <c:axId val="1915991456"/>
        <c:axId val="191599603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0.28000000000000003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  <c:majorUnit val="2.0000000000000004E-2"/>
      </c:valAx>
      <c:valAx>
        <c:axId val="1915996032"/>
        <c:scaling>
          <c:orientation val="minMax"/>
          <c:max val="1"/>
        </c:scaling>
        <c:delete val="1"/>
        <c:axPos val="r"/>
        <c:numFmt formatCode="0.0%" sourceLinked="1"/>
        <c:majorTickMark val="out"/>
        <c:minorTickMark val="none"/>
        <c:tickLblPos val="nextTo"/>
        <c:crossAx val="1915991456"/>
        <c:crosses val="max"/>
        <c:crossBetween val="between"/>
      </c:valAx>
      <c:catAx>
        <c:axId val="191599145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15996032"/>
        <c:crosses val="autoZero"/>
        <c:auto val="1"/>
        <c:lblAlgn val="ctr"/>
        <c:lblOffset val="100"/>
        <c:noMultiLvlLbl val="0"/>
      </c:catAx>
      <c:spPr>
        <a:ln>
          <a:noFill/>
        </a:ln>
      </c:spPr>
    </c:plotArea>
    <c:legend>
      <c:legendPos val="b"/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5615839741023238E-2"/>
          <c:y val="5.0925925925925923E-2"/>
          <c:w val="0.9142170983516239"/>
          <c:h val="0.6798549802486810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prodej_přes_web!$B$187</c:f>
              <c:strCache>
                <c:ptCount val="1"/>
                <c:pt idx="0">
                  <c:v> tržby z prodejů soukromým osobám </c:v>
                </c:pt>
              </c:strCache>
            </c:strRef>
          </c:tx>
          <c:spPr>
            <a:solidFill>
              <a:srgbClr val="009CB5"/>
            </a:solidFill>
          </c:spPr>
          <c:invertIfNegative val="0"/>
          <c:dPt>
            <c:idx val="10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D113-49E5-AD9E-C2559BBFB55F}"/>
              </c:ext>
            </c:extLst>
          </c:dPt>
          <c:dPt>
            <c:idx val="12"/>
            <c:invertIfNegative val="0"/>
            <c:bubble3D val="0"/>
            <c:spPr>
              <a:solidFill>
                <a:srgbClr val="009CB5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3-D113-49E5-AD9E-C2559BBFB55F}"/>
              </c:ext>
            </c:extLst>
          </c:dPt>
          <c:dPt>
            <c:idx val="15"/>
            <c:invertIfNegative val="0"/>
            <c:bubble3D val="0"/>
            <c:spPr>
              <a:solidFill>
                <a:srgbClr val="009CB5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5-D113-49E5-AD9E-C2559BBFB55F}"/>
              </c:ext>
            </c:extLst>
          </c:dPt>
          <c:dLbls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113-49E5-AD9E-C2559BBFB55F}"/>
                </c:ext>
              </c:extLst>
            </c:dLbl>
            <c:dLbl>
              <c:idx val="1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113-49E5-AD9E-C2559BBFB55F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>
                    <a:solidFill>
                      <a:schemeClr val="bg1"/>
                    </a:solidFill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prodej_přes_web!$A$188:$A$212</c:f>
              <c:strCache>
                <c:ptCount val="25"/>
                <c:pt idx="0">
                  <c:v>Malta</c:v>
                </c:pt>
                <c:pt idx="1">
                  <c:v>Kypr</c:v>
                </c:pt>
                <c:pt idx="2">
                  <c:v>Německo</c:v>
                </c:pt>
                <c:pt idx="3">
                  <c:v>Španělsko</c:v>
                </c:pt>
                <c:pt idx="4">
                  <c:v>Rumunsko</c:v>
                </c:pt>
                <c:pt idx="5">
                  <c:v>Lotyšsko</c:v>
                </c:pt>
                <c:pt idx="6">
                  <c:v>Portugalsko</c:v>
                </c:pt>
                <c:pt idx="7">
                  <c:v>Francie</c:v>
                </c:pt>
                <c:pt idx="8">
                  <c:v>Švédsko</c:v>
                </c:pt>
                <c:pt idx="9">
                  <c:v>Rakousko</c:v>
                </c:pt>
                <c:pt idx="10">
                  <c:v>EU27</c:v>
                </c:pt>
                <c:pt idx="11">
                  <c:v>Nizozemsko</c:v>
                </c:pt>
                <c:pt idx="12">
                  <c:v>Česko</c:v>
                </c:pt>
                <c:pt idx="13">
                  <c:v>Bulharsko</c:v>
                </c:pt>
                <c:pt idx="14">
                  <c:v>Itálie</c:v>
                </c:pt>
                <c:pt idx="15">
                  <c:v>Finsko</c:v>
                </c:pt>
                <c:pt idx="16">
                  <c:v>Chorvatsko</c:v>
                </c:pt>
                <c:pt idx="17">
                  <c:v>Litva</c:v>
                </c:pt>
                <c:pt idx="18">
                  <c:v>Dánsko</c:v>
                </c:pt>
                <c:pt idx="19">
                  <c:v>Slovinsko</c:v>
                </c:pt>
                <c:pt idx="20">
                  <c:v>Polsko</c:v>
                </c:pt>
                <c:pt idx="21">
                  <c:v>Slovensko</c:v>
                </c:pt>
                <c:pt idx="22">
                  <c:v>Belgie</c:v>
                </c:pt>
                <c:pt idx="23">
                  <c:v>Maďarsko</c:v>
                </c:pt>
                <c:pt idx="24">
                  <c:v>Irsko</c:v>
                </c:pt>
              </c:strCache>
            </c:strRef>
          </c:cat>
          <c:val>
            <c:numRef>
              <c:f>prodej_přes_web!$B$188:$B$212</c:f>
              <c:numCache>
                <c:formatCode>0%</c:formatCode>
                <c:ptCount val="25"/>
                <c:pt idx="0">
                  <c:v>0.63432844445985459</c:v>
                </c:pt>
                <c:pt idx="1">
                  <c:v>0.60986473679676056</c:v>
                </c:pt>
                <c:pt idx="2">
                  <c:v>0.57980828237086568</c:v>
                </c:pt>
                <c:pt idx="3">
                  <c:v>0.57772124467057684</c:v>
                </c:pt>
                <c:pt idx="4">
                  <c:v>0.5571033198231875</c:v>
                </c:pt>
                <c:pt idx="5">
                  <c:v>0.54861207334534201</c:v>
                </c:pt>
                <c:pt idx="6">
                  <c:v>0.54444100739824197</c:v>
                </c:pt>
                <c:pt idx="7">
                  <c:v>0.51616967660646784</c:v>
                </c:pt>
                <c:pt idx="8">
                  <c:v>0.49533708722578773</c:v>
                </c:pt>
                <c:pt idx="9">
                  <c:v>0.49312740171445463</c:v>
                </c:pt>
                <c:pt idx="10">
                  <c:v>0.48204577968526469</c:v>
                </c:pt>
                <c:pt idx="11">
                  <c:v>0.47022353325620214</c:v>
                </c:pt>
                <c:pt idx="12">
                  <c:v>0.46900232496879046</c:v>
                </c:pt>
                <c:pt idx="13">
                  <c:v>0.44206666407977963</c:v>
                </c:pt>
                <c:pt idx="14">
                  <c:v>0.40859288670799537</c:v>
                </c:pt>
                <c:pt idx="15">
                  <c:v>0.40624723964314108</c:v>
                </c:pt>
                <c:pt idx="16">
                  <c:v>0.39090931235232507</c:v>
                </c:pt>
                <c:pt idx="17">
                  <c:v>0.38721911598342984</c:v>
                </c:pt>
                <c:pt idx="18">
                  <c:v>0.3498367142618769</c:v>
                </c:pt>
                <c:pt idx="19">
                  <c:v>0.34114977307110439</c:v>
                </c:pt>
                <c:pt idx="20">
                  <c:v>0.33680055235350626</c:v>
                </c:pt>
                <c:pt idx="21">
                  <c:v>0.32101070450585018</c:v>
                </c:pt>
                <c:pt idx="22">
                  <c:v>0.30974491829414108</c:v>
                </c:pt>
                <c:pt idx="23">
                  <c:v>0.28175003987028863</c:v>
                </c:pt>
                <c:pt idx="24">
                  <c:v>0.25360927218146756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113-49E5-AD9E-C2559BBFB55F}"/>
            </c:ext>
          </c:extLst>
        </c:ser>
        <c:ser>
          <c:idx val="1"/>
          <c:order val="1"/>
          <c:tx>
            <c:strRef>
              <c:f>prodej_přes_web!$C$187</c:f>
              <c:strCache>
                <c:ptCount val="1"/>
                <c:pt idx="0">
                  <c:v> tržby z prodejů jiným podnikům/organizacím veřejné správy</c:v>
                </c:pt>
              </c:strCache>
            </c:strRef>
          </c:tx>
          <c:spPr>
            <a:solidFill>
              <a:srgbClr val="9FC9D7"/>
            </a:solidFill>
          </c:spPr>
          <c:invertIfNegative val="0"/>
          <c:dPt>
            <c:idx val="10"/>
            <c:invertIfNegative val="0"/>
            <c:bubble3D val="0"/>
            <c:spPr>
              <a:solidFill>
                <a:srgbClr val="9FC9D7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8-D113-49E5-AD9E-C2559BBFB55F}"/>
              </c:ext>
            </c:extLst>
          </c:dPt>
          <c:dPt>
            <c:idx val="12"/>
            <c:invertIfNegative val="0"/>
            <c:bubble3D val="0"/>
            <c:spPr>
              <a:solidFill>
                <a:srgbClr val="9FC9D7"/>
              </a:solidFill>
              <a:ln w="19050">
                <a:solidFill>
                  <a:srgbClr val="174F7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A-D113-49E5-AD9E-C2559BBFB55F}"/>
              </c:ext>
            </c:extLst>
          </c:dPt>
          <c:dPt>
            <c:idx val="15"/>
            <c:invertIfNegative val="0"/>
            <c:bubble3D val="0"/>
            <c:spPr>
              <a:solidFill>
                <a:srgbClr val="9FC9D7"/>
              </a:solidFill>
              <a:ln w="25400">
                <a:noFill/>
              </a:ln>
            </c:spPr>
            <c:extLst>
              <c:ext xmlns:c16="http://schemas.microsoft.com/office/drawing/2014/chart" uri="{C3380CC4-5D6E-409C-BE32-E72D297353CC}">
                <c16:uniqueId val="{0000000C-D113-49E5-AD9E-C2559BBFB55F}"/>
              </c:ext>
            </c:extLst>
          </c:dPt>
          <c:dLbls>
            <c:dLbl>
              <c:idx val="1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113-49E5-AD9E-C2559BBFB55F}"/>
                </c:ext>
              </c:extLst>
            </c:dLbl>
            <c:dLbl>
              <c:idx val="1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113-49E5-AD9E-C2559BBFB55F}"/>
                </c:ext>
              </c:extLst>
            </c:dLbl>
            <c:numFmt formatCode="0&quot; &quot;%" sourceLinked="0"/>
            <c:spPr>
              <a:noFill/>
              <a:ln>
                <a:noFill/>
              </a:ln>
              <a:effectLst/>
            </c:spPr>
            <c:txPr>
              <a:bodyPr rot="-5400000" vert="horz" wrap="square" lIns="38100" tIns="19050" rIns="38100" bIns="19050" anchor="ctr">
                <a:spAutoFit/>
              </a:bodyPr>
              <a:lstStyle/>
              <a:p>
                <a:pPr>
                  <a:defRPr/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prodej_přes_web!$A$188:$A$212</c:f>
              <c:strCache>
                <c:ptCount val="25"/>
                <c:pt idx="0">
                  <c:v>Malta</c:v>
                </c:pt>
                <c:pt idx="1">
                  <c:v>Kypr</c:v>
                </c:pt>
                <c:pt idx="2">
                  <c:v>Německo</c:v>
                </c:pt>
                <c:pt idx="3">
                  <c:v>Španělsko</c:v>
                </c:pt>
                <c:pt idx="4">
                  <c:v>Rumunsko</c:v>
                </c:pt>
                <c:pt idx="5">
                  <c:v>Lotyšsko</c:v>
                </c:pt>
                <c:pt idx="6">
                  <c:v>Portugalsko</c:v>
                </c:pt>
                <c:pt idx="7">
                  <c:v>Francie</c:v>
                </c:pt>
                <c:pt idx="8">
                  <c:v>Švédsko</c:v>
                </c:pt>
                <c:pt idx="9">
                  <c:v>Rakousko</c:v>
                </c:pt>
                <c:pt idx="10">
                  <c:v>EU27</c:v>
                </c:pt>
                <c:pt idx="11">
                  <c:v>Nizozemsko</c:v>
                </c:pt>
                <c:pt idx="12">
                  <c:v>Česko</c:v>
                </c:pt>
                <c:pt idx="13">
                  <c:v>Bulharsko</c:v>
                </c:pt>
                <c:pt idx="14">
                  <c:v>Itálie</c:v>
                </c:pt>
                <c:pt idx="15">
                  <c:v>Finsko</c:v>
                </c:pt>
                <c:pt idx="16">
                  <c:v>Chorvatsko</c:v>
                </c:pt>
                <c:pt idx="17">
                  <c:v>Litva</c:v>
                </c:pt>
                <c:pt idx="18">
                  <c:v>Dánsko</c:v>
                </c:pt>
                <c:pt idx="19">
                  <c:v>Slovinsko</c:v>
                </c:pt>
                <c:pt idx="20">
                  <c:v>Polsko</c:v>
                </c:pt>
                <c:pt idx="21">
                  <c:v>Slovensko</c:v>
                </c:pt>
                <c:pt idx="22">
                  <c:v>Belgie</c:v>
                </c:pt>
                <c:pt idx="23">
                  <c:v>Maďarsko</c:v>
                </c:pt>
                <c:pt idx="24">
                  <c:v>Irsko</c:v>
                </c:pt>
              </c:strCache>
            </c:strRef>
          </c:cat>
          <c:val>
            <c:numRef>
              <c:f>prodej_přes_web!$C$188:$C$212</c:f>
              <c:numCache>
                <c:formatCode>0%</c:formatCode>
                <c:ptCount val="25"/>
                <c:pt idx="0">
                  <c:v>0.36568311316066249</c:v>
                </c:pt>
                <c:pt idx="1">
                  <c:v>0.39013526320323938</c:v>
                </c:pt>
                <c:pt idx="2">
                  <c:v>0.41947224749772521</c:v>
                </c:pt>
                <c:pt idx="3">
                  <c:v>0.42227875532942311</c:v>
                </c:pt>
                <c:pt idx="4">
                  <c:v>0.44289668017681233</c:v>
                </c:pt>
                <c:pt idx="5">
                  <c:v>0.45138792665465804</c:v>
                </c:pt>
                <c:pt idx="6">
                  <c:v>0.45555899260175803</c:v>
                </c:pt>
                <c:pt idx="7">
                  <c:v>0.48385502878177739</c:v>
                </c:pt>
                <c:pt idx="8">
                  <c:v>0.50466291277421216</c:v>
                </c:pt>
                <c:pt idx="9">
                  <c:v>0.50688737806680462</c:v>
                </c:pt>
                <c:pt idx="10">
                  <c:v>0.51785884597043397</c:v>
                </c:pt>
                <c:pt idx="11">
                  <c:v>0.52977646674379786</c:v>
                </c:pt>
                <c:pt idx="12">
                  <c:v>0.53099767503120954</c:v>
                </c:pt>
                <c:pt idx="13">
                  <c:v>0.55793333592022043</c:v>
                </c:pt>
                <c:pt idx="14">
                  <c:v>0.59140711329200457</c:v>
                </c:pt>
                <c:pt idx="15">
                  <c:v>0.59375276035685898</c:v>
                </c:pt>
                <c:pt idx="16">
                  <c:v>0.60909068764767493</c:v>
                </c:pt>
                <c:pt idx="17">
                  <c:v>0.61278088401657027</c:v>
                </c:pt>
                <c:pt idx="18">
                  <c:v>0.65016328573812299</c:v>
                </c:pt>
                <c:pt idx="19">
                  <c:v>0.65885022692889572</c:v>
                </c:pt>
                <c:pt idx="20">
                  <c:v>0.66319944764649374</c:v>
                </c:pt>
                <c:pt idx="21">
                  <c:v>0.67898929549414999</c:v>
                </c:pt>
                <c:pt idx="22">
                  <c:v>0.69026504583499404</c:v>
                </c:pt>
                <c:pt idx="23">
                  <c:v>0.71824996012971132</c:v>
                </c:pt>
                <c:pt idx="24">
                  <c:v>0.74639072781853244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D113-49E5-AD9E-C2559BBFB5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97604736"/>
        <c:axId val="97606272"/>
      </c:barChart>
      <c:catAx>
        <c:axId val="9760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 rot="-5400000" vert="horz"/>
          <a:lstStyle/>
          <a:p>
            <a:pPr>
              <a:defRPr/>
            </a:pPr>
            <a:endParaRPr lang="cs-CZ"/>
          </a:p>
        </c:txPr>
        <c:crossAx val="97606272"/>
        <c:crosses val="autoZero"/>
        <c:auto val="1"/>
        <c:lblAlgn val="ctr"/>
        <c:lblOffset val="100"/>
        <c:noMultiLvlLbl val="0"/>
      </c:catAx>
      <c:valAx>
        <c:axId val="97606272"/>
        <c:scaling>
          <c:orientation val="minMax"/>
          <c:max val="1"/>
          <c:min val="0"/>
        </c:scaling>
        <c:delete val="0"/>
        <c:axPos val="l"/>
        <c:majorGridlines>
          <c:spPr>
            <a:ln w="6350">
              <a:solidFill>
                <a:srgbClr val="BFBFBF"/>
              </a:solidFill>
              <a:prstDash val="solid"/>
            </a:ln>
          </c:spPr>
        </c:majorGridlines>
        <c:numFmt formatCode="0&quot; &quot;%" sourceLinked="0"/>
        <c:majorTickMark val="out"/>
        <c:minorTickMark val="none"/>
        <c:tickLblPos val="nextTo"/>
        <c:spPr>
          <a:ln w="9525">
            <a:solidFill>
              <a:srgbClr val="000000"/>
            </a:solidFill>
          </a:ln>
        </c:spPr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cs-CZ"/>
          </a:p>
        </c:txPr>
        <c:crossAx val="97604736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5.28766897868174E-2"/>
          <c:y val="0.94124909983497618"/>
          <c:w val="0.92411209570590513"/>
          <c:h val="4.887435951541181E-2"/>
        </c:manualLayout>
      </c:layout>
      <c:overlay val="0"/>
      <c:spPr>
        <a:solidFill>
          <a:sysClr val="window" lastClr="FFFFFF"/>
        </a:solidFill>
      </c:sp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" pitchFamily="34" charset="0"/>
          <a:cs typeface="Arial" pitchFamily="34" charset="0"/>
        </a:defRPr>
      </a:pPr>
      <a:endParaRPr lang="cs-CZ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0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1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3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4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5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6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7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8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29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0" name="TextovéPole 1">
          <a:extLst xmlns:a="http://schemas.openxmlformats.org/drawingml/2006/main">
            <a:ext uri="{FF2B5EF4-FFF2-40B4-BE49-F238E27FC236}">
              <a16:creationId xmlns:a16="http://schemas.microsoft.com/office/drawing/2014/main" id="{B2D9B3D7-D250-6BAA-CF6A-068DB8A8E96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1" name="TextovéPole 3">
          <a:extLst xmlns:a="http://schemas.openxmlformats.org/drawingml/2006/main">
            <a:ext uri="{FF2B5EF4-FFF2-40B4-BE49-F238E27FC236}">
              <a16:creationId xmlns:a16="http://schemas.microsoft.com/office/drawing/2014/main" id="{26A35222-6281-8CBC-E8BE-91D6A85F5CD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2" name="TextovéPole 1">
          <a:extLst xmlns:a="http://schemas.openxmlformats.org/drawingml/2006/main">
            <a:ext uri="{FF2B5EF4-FFF2-40B4-BE49-F238E27FC236}">
              <a16:creationId xmlns:a16="http://schemas.microsoft.com/office/drawing/2014/main" id="{DCBE28FF-AE3F-D984-416A-375F329E2C7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3" name="TextovéPole 3">
          <a:extLst xmlns:a="http://schemas.openxmlformats.org/drawingml/2006/main">
            <a:ext uri="{FF2B5EF4-FFF2-40B4-BE49-F238E27FC236}">
              <a16:creationId xmlns:a16="http://schemas.microsoft.com/office/drawing/2014/main" id="{1BC21689-7717-AB16-95B8-A91750C67667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4" name="TextovéPole 1">
          <a:extLst xmlns:a="http://schemas.openxmlformats.org/drawingml/2006/main">
            <a:ext uri="{FF2B5EF4-FFF2-40B4-BE49-F238E27FC236}">
              <a16:creationId xmlns:a16="http://schemas.microsoft.com/office/drawing/2014/main" id="{575387B0-BFDB-6D7C-F186-33DBD59E01C7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5" name="TextovéPole 3">
          <a:extLst xmlns:a="http://schemas.openxmlformats.org/drawingml/2006/main">
            <a:ext uri="{FF2B5EF4-FFF2-40B4-BE49-F238E27FC236}">
              <a16:creationId xmlns:a16="http://schemas.microsoft.com/office/drawing/2014/main" id="{DC49CC6D-8F2F-D1CC-E69C-C14120E339D0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6" name="TextovéPole 1">
          <a:extLst xmlns:a="http://schemas.openxmlformats.org/drawingml/2006/main">
            <a:ext uri="{FF2B5EF4-FFF2-40B4-BE49-F238E27FC236}">
              <a16:creationId xmlns:a16="http://schemas.microsoft.com/office/drawing/2014/main" id="{9825F597-08AD-19BF-2957-AC024E65F34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7" name="TextovéPole 3">
          <a:extLst xmlns:a="http://schemas.openxmlformats.org/drawingml/2006/main">
            <a:ext uri="{FF2B5EF4-FFF2-40B4-BE49-F238E27FC236}">
              <a16:creationId xmlns:a16="http://schemas.microsoft.com/office/drawing/2014/main" id="{F07114A4-A63F-1C56-FBAD-CBB47E390BC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8" name="TextovéPole 1">
          <a:extLst xmlns:a="http://schemas.openxmlformats.org/drawingml/2006/main">
            <a:ext uri="{FF2B5EF4-FFF2-40B4-BE49-F238E27FC236}">
              <a16:creationId xmlns:a16="http://schemas.microsoft.com/office/drawing/2014/main" id="{C5E1FFBE-D933-55CF-105F-A53C0324D46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39" name="TextovéPole 3">
          <a:extLst xmlns:a="http://schemas.openxmlformats.org/drawingml/2006/main">
            <a:ext uri="{FF2B5EF4-FFF2-40B4-BE49-F238E27FC236}">
              <a16:creationId xmlns:a16="http://schemas.microsoft.com/office/drawing/2014/main" id="{E04A6850-9E63-A8A4-2E46-72F46B018820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0" name="TextovéPole 1">
          <a:extLst xmlns:a="http://schemas.openxmlformats.org/drawingml/2006/main">
            <a:ext uri="{FF2B5EF4-FFF2-40B4-BE49-F238E27FC236}">
              <a16:creationId xmlns:a16="http://schemas.microsoft.com/office/drawing/2014/main" id="{6F9098D0-164F-9A95-63D8-88F1AE370AB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1" name="TextovéPole 3">
          <a:extLst xmlns:a="http://schemas.openxmlformats.org/drawingml/2006/main">
            <a:ext uri="{FF2B5EF4-FFF2-40B4-BE49-F238E27FC236}">
              <a16:creationId xmlns:a16="http://schemas.microsoft.com/office/drawing/2014/main" id="{37B3D0AC-648B-30C6-B67B-80224B7306CD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2" name="TextovéPole 1">
          <a:extLst xmlns:a="http://schemas.openxmlformats.org/drawingml/2006/main">
            <a:ext uri="{FF2B5EF4-FFF2-40B4-BE49-F238E27FC236}">
              <a16:creationId xmlns:a16="http://schemas.microsoft.com/office/drawing/2014/main" id="{C7E795AB-A5E0-AE10-0F1D-351A8A7B63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3" name="TextovéPole 3">
          <a:extLst xmlns:a="http://schemas.openxmlformats.org/drawingml/2006/main">
            <a:ext uri="{FF2B5EF4-FFF2-40B4-BE49-F238E27FC236}">
              <a16:creationId xmlns:a16="http://schemas.microsoft.com/office/drawing/2014/main" id="{1328F52A-5F6D-41FF-74D3-11C5AB476A7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4" name="TextovéPole 1">
          <a:extLst xmlns:a="http://schemas.openxmlformats.org/drawingml/2006/main">
            <a:ext uri="{FF2B5EF4-FFF2-40B4-BE49-F238E27FC236}">
              <a16:creationId xmlns:a16="http://schemas.microsoft.com/office/drawing/2014/main" id="{65905C9D-C7C4-B18C-A005-2F0698CE7792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5" name="TextovéPole 3">
          <a:extLst xmlns:a="http://schemas.openxmlformats.org/drawingml/2006/main">
            <a:ext uri="{FF2B5EF4-FFF2-40B4-BE49-F238E27FC236}">
              <a16:creationId xmlns:a16="http://schemas.microsoft.com/office/drawing/2014/main" id="{1FB9C0F0-2716-EB63-32A4-03C3AC4DE1A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6" name="TextovéPole 1">
          <a:extLst xmlns:a="http://schemas.openxmlformats.org/drawingml/2006/main">
            <a:ext uri="{FF2B5EF4-FFF2-40B4-BE49-F238E27FC236}">
              <a16:creationId xmlns:a16="http://schemas.microsoft.com/office/drawing/2014/main" id="{13093CB8-FECC-1DC7-CE41-19B9A25D5D74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7" name="TextovéPole 3">
          <a:extLst xmlns:a="http://schemas.openxmlformats.org/drawingml/2006/main">
            <a:ext uri="{FF2B5EF4-FFF2-40B4-BE49-F238E27FC236}">
              <a16:creationId xmlns:a16="http://schemas.microsoft.com/office/drawing/2014/main" id="{4F34E510-8A51-CB54-6B77-BEE64463D9C4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48" name="TextovéPole 1">
          <a:extLst xmlns:a="http://schemas.openxmlformats.org/drawingml/2006/main">
            <a:ext uri="{FF2B5EF4-FFF2-40B4-BE49-F238E27FC236}">
              <a16:creationId xmlns:a16="http://schemas.microsoft.com/office/drawing/2014/main" id="{A95B35C1-CAD5-A538-8F1E-C6D717F66A8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9" name="TextovéPole 3">
          <a:extLst xmlns:a="http://schemas.openxmlformats.org/drawingml/2006/main">
            <a:ext uri="{FF2B5EF4-FFF2-40B4-BE49-F238E27FC236}">
              <a16:creationId xmlns:a16="http://schemas.microsoft.com/office/drawing/2014/main" id="{2A939E0B-B862-CD76-FD63-2F777CFA5C95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0" name="TextovéPole 1">
          <a:extLst xmlns:a="http://schemas.openxmlformats.org/drawingml/2006/main">
            <a:ext uri="{FF2B5EF4-FFF2-40B4-BE49-F238E27FC236}">
              <a16:creationId xmlns:a16="http://schemas.microsoft.com/office/drawing/2014/main" id="{F90C8510-71EA-D362-1CDD-5CEC20BE21E0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1" name="TextovéPole 3">
          <a:extLst xmlns:a="http://schemas.openxmlformats.org/drawingml/2006/main">
            <a:ext uri="{FF2B5EF4-FFF2-40B4-BE49-F238E27FC236}">
              <a16:creationId xmlns:a16="http://schemas.microsoft.com/office/drawing/2014/main" id="{B31E13B5-47A5-4FB9-D645-407E89879A5B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2" name="TextovéPole 1">
          <a:extLst xmlns:a="http://schemas.openxmlformats.org/drawingml/2006/main">
            <a:ext uri="{FF2B5EF4-FFF2-40B4-BE49-F238E27FC236}">
              <a16:creationId xmlns:a16="http://schemas.microsoft.com/office/drawing/2014/main" id="{BF6C5E9E-4893-AE6A-2622-DEC37EB5637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3" name="TextovéPole 3">
          <a:extLst xmlns:a="http://schemas.openxmlformats.org/drawingml/2006/main">
            <a:ext uri="{FF2B5EF4-FFF2-40B4-BE49-F238E27FC236}">
              <a16:creationId xmlns:a16="http://schemas.microsoft.com/office/drawing/2014/main" id="{D92F375E-551B-2495-8643-B1A050F1B13D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4" name="TextovéPole 1">
          <a:extLst xmlns:a="http://schemas.openxmlformats.org/drawingml/2006/main">
            <a:ext uri="{FF2B5EF4-FFF2-40B4-BE49-F238E27FC236}">
              <a16:creationId xmlns:a16="http://schemas.microsoft.com/office/drawing/2014/main" id="{B0B1D9E9-2C44-971B-BF63-18FB2744192E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5" name="TextovéPole 3">
          <a:extLst xmlns:a="http://schemas.openxmlformats.org/drawingml/2006/main">
            <a:ext uri="{FF2B5EF4-FFF2-40B4-BE49-F238E27FC236}">
              <a16:creationId xmlns:a16="http://schemas.microsoft.com/office/drawing/2014/main" id="{2963ECAE-7D92-150B-06EC-346439B9D748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6" name="TextovéPole 1">
          <a:extLst xmlns:a="http://schemas.openxmlformats.org/drawingml/2006/main">
            <a:ext uri="{FF2B5EF4-FFF2-40B4-BE49-F238E27FC236}">
              <a16:creationId xmlns:a16="http://schemas.microsoft.com/office/drawing/2014/main" id="{16A76235-E19A-2749-12C4-1C872F505FDF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7" name="TextovéPole 3">
          <a:extLst xmlns:a="http://schemas.openxmlformats.org/drawingml/2006/main">
            <a:ext uri="{FF2B5EF4-FFF2-40B4-BE49-F238E27FC236}">
              <a16:creationId xmlns:a16="http://schemas.microsoft.com/office/drawing/2014/main" id="{856C7A24-D0FC-C1EB-19F1-7E74ABD3333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8" name="TextovéPole 1">
          <a:extLst xmlns:a="http://schemas.openxmlformats.org/drawingml/2006/main">
            <a:ext uri="{FF2B5EF4-FFF2-40B4-BE49-F238E27FC236}">
              <a16:creationId xmlns:a16="http://schemas.microsoft.com/office/drawing/2014/main" id="{FAF53A92-DE55-0649-9AE0-89FDA47600A1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59" name="TextovéPole 3">
          <a:extLst xmlns:a="http://schemas.openxmlformats.org/drawingml/2006/main">
            <a:ext uri="{FF2B5EF4-FFF2-40B4-BE49-F238E27FC236}">
              <a16:creationId xmlns:a16="http://schemas.microsoft.com/office/drawing/2014/main" id="{2DFC649C-EEA7-8E0B-E79B-465057D4E536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5" name="TextovéPole 1">
          <a:extLst xmlns:a="http://schemas.openxmlformats.org/drawingml/2006/main">
            <a:ext uri="{FF2B5EF4-FFF2-40B4-BE49-F238E27FC236}">
              <a16:creationId xmlns:a16="http://schemas.microsoft.com/office/drawing/2014/main" id="{54629EBE-A9C9-1B7B-C120-B2604877677A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7" name="TextovéPole 3">
          <a:extLst xmlns:a="http://schemas.openxmlformats.org/drawingml/2006/main">
            <a:ext uri="{FF2B5EF4-FFF2-40B4-BE49-F238E27FC236}">
              <a16:creationId xmlns:a16="http://schemas.microsoft.com/office/drawing/2014/main" id="{E5B757D3-5CED-7DEF-2C32-D99BA4EF05E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7DE72A5D-7053-5D10-22E5-FCCC6EEBA6A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DA6B86F2-A2EA-9302-6765-4BF931A8A917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51113BFD-BC30-1BD8-7276-6729BFA6B6D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0B82C890-CEB7-C598-3293-282D62F84D7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>
          <a:extLst xmlns:a="http://schemas.openxmlformats.org/drawingml/2006/main">
            <a:ext uri="{FF2B5EF4-FFF2-40B4-BE49-F238E27FC236}">
              <a16:creationId xmlns:a16="http://schemas.microsoft.com/office/drawing/2014/main" id="{10F9B64E-E707-9484-11D4-19B80E199C4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>
          <a:extLst xmlns:a="http://schemas.openxmlformats.org/drawingml/2006/main">
            <a:ext uri="{FF2B5EF4-FFF2-40B4-BE49-F238E27FC236}">
              <a16:creationId xmlns:a16="http://schemas.microsoft.com/office/drawing/2014/main" id="{1CB2A5CD-E220-7E1E-CBB1-658594F9E3B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8" name="TextovéPole 1">
          <a:extLst xmlns:a="http://schemas.openxmlformats.org/drawingml/2006/main">
            <a:ext uri="{FF2B5EF4-FFF2-40B4-BE49-F238E27FC236}">
              <a16:creationId xmlns:a16="http://schemas.microsoft.com/office/drawing/2014/main" id="{19895C8E-6229-310C-156A-A6639E124788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9" name="TextovéPole 3">
          <a:extLst xmlns:a="http://schemas.openxmlformats.org/drawingml/2006/main">
            <a:ext uri="{FF2B5EF4-FFF2-40B4-BE49-F238E27FC236}">
              <a16:creationId xmlns:a16="http://schemas.microsoft.com/office/drawing/2014/main" id="{2EFDA2DC-F5D3-0E96-50E8-39FFE9FC9E11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0" name="TextovéPole 1">
          <a:extLst xmlns:a="http://schemas.openxmlformats.org/drawingml/2006/main">
            <a:ext uri="{FF2B5EF4-FFF2-40B4-BE49-F238E27FC236}">
              <a16:creationId xmlns:a16="http://schemas.microsoft.com/office/drawing/2014/main" id="{BB7D82E8-FA36-F78B-E0AF-1E18AB1CA6FB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1" name="TextovéPole 3">
          <a:extLst xmlns:a="http://schemas.openxmlformats.org/drawingml/2006/main">
            <a:ext uri="{FF2B5EF4-FFF2-40B4-BE49-F238E27FC236}">
              <a16:creationId xmlns:a16="http://schemas.microsoft.com/office/drawing/2014/main" id="{24132F08-29D8-F50B-98F3-7B0363303340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2" name="TextovéPole 1">
          <a:extLst xmlns:a="http://schemas.openxmlformats.org/drawingml/2006/main">
            <a:ext uri="{FF2B5EF4-FFF2-40B4-BE49-F238E27FC236}">
              <a16:creationId xmlns:a16="http://schemas.microsoft.com/office/drawing/2014/main" id="{51113BFD-BC30-1BD8-7276-6729BFA6B6D6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3" name="TextovéPole 3">
          <a:extLst xmlns:a="http://schemas.openxmlformats.org/drawingml/2006/main">
            <a:ext uri="{FF2B5EF4-FFF2-40B4-BE49-F238E27FC236}">
              <a16:creationId xmlns:a16="http://schemas.microsoft.com/office/drawing/2014/main" id="{0B82C890-CEB7-C598-3293-282D62F84D7E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14" name="TextovéPole 1">
          <a:extLst xmlns:a="http://schemas.openxmlformats.org/drawingml/2006/main">
            <a:ext uri="{FF2B5EF4-FFF2-40B4-BE49-F238E27FC236}">
              <a16:creationId xmlns:a16="http://schemas.microsoft.com/office/drawing/2014/main" id="{10F9B64E-E707-9484-11D4-19B80E199C43}"/>
            </a:ext>
          </a:extLst>
        </cdr:cNvPr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15" name="TextovéPole 3">
          <a:extLst xmlns:a="http://schemas.openxmlformats.org/drawingml/2006/main">
            <a:ext uri="{FF2B5EF4-FFF2-40B4-BE49-F238E27FC236}">
              <a16:creationId xmlns:a16="http://schemas.microsoft.com/office/drawing/2014/main" id="{1CB2A5CD-E220-7E1E-CBB1-658594F9E3BC}"/>
            </a:ext>
          </a:extLst>
        </cdr:cNvPr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2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4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  <cdr:relSizeAnchor xmlns:cdr="http://schemas.openxmlformats.org/drawingml/2006/chartDrawing">
    <cdr:from>
      <cdr:x>0.04252</cdr:x>
      <cdr:y>0.92336</cdr:y>
    </cdr:from>
    <cdr:to>
      <cdr:x>0.19371</cdr:x>
      <cdr:y>0.9927</cdr:y>
    </cdr:to>
    <cdr:sp macro="" textlink="">
      <cdr:nvSpPr>
        <cdr:cNvPr id="3" name="TextovéPole 1"/>
        <cdr:cNvSpPr txBox="1"/>
      </cdr:nvSpPr>
      <cdr:spPr>
        <a:xfrm xmlns:a="http://schemas.openxmlformats.org/drawingml/2006/main">
          <a:off x="257161" y="2409831"/>
          <a:ext cx="914397" cy="180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cs-CZ" sz="8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0.07293</cdr:x>
      <cdr:y>0.91524</cdr:y>
    </cdr:from>
    <cdr:to>
      <cdr:x>0.59192</cdr:x>
      <cdr:y>1</cdr:y>
    </cdr:to>
    <cdr:sp macro="" textlink="">
      <cdr:nvSpPr>
        <cdr:cNvPr id="6" name="TextovéPole 3"/>
        <cdr:cNvSpPr txBox="1"/>
      </cdr:nvSpPr>
      <cdr:spPr>
        <a:xfrm xmlns:a="http://schemas.openxmlformats.org/drawingml/2006/main">
          <a:off x="409575" y="3028950"/>
          <a:ext cx="2914650" cy="2762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cs-CZ" sz="1100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F6568-9C3D-4B3A-993E-35FF92F2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bar_veda IT.dot</Template>
  <TotalTime>314</TotalTime>
  <Pages>4</Pages>
  <Words>1146</Words>
  <Characters>6764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Burešová</dc:creator>
  <cp:lastModifiedBy>Burešová Kamila</cp:lastModifiedBy>
  <cp:revision>104</cp:revision>
  <cp:lastPrinted>2015-11-16T07:25:00Z</cp:lastPrinted>
  <dcterms:created xsi:type="dcterms:W3CDTF">2025-11-20T17:00:00Z</dcterms:created>
  <dcterms:modified xsi:type="dcterms:W3CDTF">2026-01-13T11:48:00Z</dcterms:modified>
</cp:coreProperties>
</file>