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11436" w14:textId="3FFE3F5B" w:rsidR="006B1AFC" w:rsidRPr="00B131B0" w:rsidRDefault="006B1AFC" w:rsidP="009324EF">
      <w:pPr>
        <w:pStyle w:val="Nadpis1"/>
        <w:rPr>
          <w:lang w:val="en-GB"/>
        </w:rPr>
      </w:pPr>
      <w:bookmarkStart w:id="0" w:name="_Toc193366677"/>
      <w:bookmarkStart w:id="1" w:name="_Toc239947447"/>
      <w:bookmarkStart w:id="2" w:name="_Toc242958688"/>
      <w:r w:rsidRPr="00B131B0">
        <w:rPr>
          <w:lang w:val="en-GB"/>
        </w:rPr>
        <w:t>5. </w:t>
      </w:r>
      <w:bookmarkEnd w:id="1"/>
      <w:r w:rsidR="00787F15">
        <w:rPr>
          <w:lang w:val="en-GB"/>
        </w:rPr>
        <w:t>Prices</w:t>
      </w:r>
      <w:bookmarkEnd w:id="2"/>
      <w:r w:rsidRPr="00B131B0">
        <w:rPr>
          <w:lang w:val="en-GB"/>
        </w:rPr>
        <w:t xml:space="preserve"> </w:t>
      </w:r>
    </w:p>
    <w:tbl>
      <w:tblPr>
        <w:tblW w:w="9654" w:type="dxa"/>
        <w:tblInd w:w="-15" w:type="dxa"/>
        <w:tblLayout w:type="fixed"/>
        <w:tblCellMar>
          <w:left w:w="0" w:type="dxa"/>
          <w:right w:w="0" w:type="dxa"/>
        </w:tblCellMar>
        <w:tblLook w:val="00A0" w:firstRow="1" w:lastRow="0" w:firstColumn="1" w:lastColumn="0" w:noHBand="0" w:noVBand="0"/>
      </w:tblPr>
      <w:tblGrid>
        <w:gridCol w:w="1812"/>
        <w:gridCol w:w="213"/>
        <w:gridCol w:w="7629"/>
      </w:tblGrid>
      <w:tr w:rsidR="006B1AFC" w:rsidRPr="00B131B0" w14:paraId="1E6001E8" w14:textId="77777777" w:rsidTr="003C4A79">
        <w:trPr>
          <w:trHeight w:val="145"/>
        </w:trPr>
        <w:tc>
          <w:tcPr>
            <w:tcW w:w="9654" w:type="dxa"/>
            <w:gridSpan w:val="3"/>
          </w:tcPr>
          <w:p w14:paraId="71C14424" w14:textId="2665982C" w:rsidR="006B1AFC" w:rsidRPr="00B131B0" w:rsidRDefault="006B1AFC" w:rsidP="003C4A79">
            <w:pPr>
              <w:pStyle w:val="Nadpis3"/>
              <w:spacing w:after="120"/>
              <w:rPr>
                <w:lang w:val="en-GB" w:eastAsia="en-US"/>
              </w:rPr>
            </w:pPr>
            <w:bookmarkStart w:id="3" w:name="_Toc239947448"/>
            <w:bookmarkStart w:id="4" w:name="_Toc242958689"/>
            <w:r w:rsidRPr="00B131B0">
              <w:rPr>
                <w:lang w:val="en-GB" w:eastAsia="en-US"/>
              </w:rPr>
              <w:t xml:space="preserve">5.1 </w:t>
            </w:r>
            <w:r w:rsidR="00787F15">
              <w:rPr>
                <w:lang w:val="en-GB" w:eastAsia="en-US"/>
              </w:rPr>
              <w:t>Consumer Prices</w:t>
            </w:r>
            <w:bookmarkEnd w:id="3"/>
            <w:bookmarkEnd w:id="4"/>
          </w:p>
        </w:tc>
      </w:tr>
      <w:tr w:rsidR="006B1AFC" w:rsidRPr="00B131B0" w14:paraId="133ABF8F" w14:textId="77777777" w:rsidTr="003C4A79">
        <w:trPr>
          <w:trHeight w:val="145"/>
        </w:trPr>
        <w:tc>
          <w:tcPr>
            <w:tcW w:w="1812" w:type="dxa"/>
          </w:tcPr>
          <w:p w14:paraId="6435D940" w14:textId="37373D8B" w:rsidR="006B1AFC" w:rsidRPr="00B131B0" w:rsidRDefault="00787F15" w:rsidP="003C4A79">
            <w:pPr>
              <w:pStyle w:val="Marginlie"/>
              <w:rPr>
                <w:spacing w:val="0"/>
                <w:lang w:eastAsia="en-US"/>
              </w:rPr>
            </w:pPr>
            <w:r>
              <w:rPr>
                <w:spacing w:val="0"/>
                <w:lang w:eastAsia="en-US"/>
              </w:rPr>
              <w:t xml:space="preserve">Growth of consumer prices strengthened in Q2. </w:t>
            </w:r>
          </w:p>
        </w:tc>
        <w:tc>
          <w:tcPr>
            <w:tcW w:w="213" w:type="dxa"/>
          </w:tcPr>
          <w:p w14:paraId="00DC6065" w14:textId="77777777" w:rsidR="006B1AFC" w:rsidRPr="00B131B0" w:rsidRDefault="006B1AFC" w:rsidP="003C4A79">
            <w:pPr>
              <w:pStyle w:val="Textpoznpodarou1"/>
              <w:jc w:val="both"/>
              <w:rPr>
                <w:lang w:eastAsia="en-US"/>
              </w:rPr>
            </w:pPr>
          </w:p>
        </w:tc>
        <w:tc>
          <w:tcPr>
            <w:tcW w:w="7629" w:type="dxa"/>
          </w:tcPr>
          <w:p w14:paraId="216AA4A3" w14:textId="7F8EFDD5" w:rsidR="006B1AFC" w:rsidRPr="00B131B0" w:rsidRDefault="00BF2616" w:rsidP="00BF2616">
            <w:pPr>
              <w:rPr>
                <w:lang w:eastAsia="en-US"/>
              </w:rPr>
            </w:pPr>
            <w:r w:rsidRPr="00BF2616">
              <w:rPr>
                <w:lang w:val="en" w:eastAsia="en-US"/>
              </w:rPr>
              <w:t xml:space="preserve">The year-on-year increase </w:t>
            </w:r>
            <w:r w:rsidR="00570DC6">
              <w:rPr>
                <w:lang w:val="en" w:eastAsia="en-US"/>
              </w:rPr>
              <w:t>of</w:t>
            </w:r>
            <w:r w:rsidRPr="00BF2616">
              <w:rPr>
                <w:lang w:val="en" w:eastAsia="en-US"/>
              </w:rPr>
              <w:t xml:space="preserve"> the consumer price index</w:t>
            </w:r>
            <w:r w:rsidR="00570DC6" w:rsidRPr="00B131B0">
              <w:rPr>
                <w:rStyle w:val="Znakapoznpodarou"/>
                <w:lang w:eastAsia="en-US"/>
              </w:rPr>
              <w:footnoteReference w:id="1"/>
            </w:r>
            <w:r w:rsidRPr="00BF2616">
              <w:rPr>
                <w:lang w:val="en" w:eastAsia="en-US"/>
              </w:rPr>
              <w:t xml:space="preserve"> accelerated to 2.0% in Q2 2026. The strengthening of </w:t>
            </w:r>
            <w:r w:rsidR="00FC7F37">
              <w:rPr>
                <w:lang w:val="en" w:eastAsia="en-US"/>
              </w:rPr>
              <w:t xml:space="preserve">total </w:t>
            </w:r>
            <w:r w:rsidRPr="00BF2616">
              <w:rPr>
                <w:lang w:val="en" w:eastAsia="en-US"/>
              </w:rPr>
              <w:t xml:space="preserve">price growth was largely influenced by developments in the </w:t>
            </w:r>
            <w:r w:rsidR="00B33700">
              <w:rPr>
                <w:lang w:val="en" w:eastAsia="en-US"/>
              </w:rPr>
              <w:t>transportation division</w:t>
            </w:r>
            <w:r w:rsidRPr="00BF2616">
              <w:rPr>
                <w:lang w:val="en" w:eastAsia="en-US"/>
              </w:rPr>
              <w:t xml:space="preserve">, namely the sharp increase </w:t>
            </w:r>
            <w:r w:rsidR="006A10F4">
              <w:rPr>
                <w:lang w:val="en" w:eastAsia="en-US"/>
              </w:rPr>
              <w:t>in</w:t>
            </w:r>
            <w:r w:rsidRPr="00BF2616">
              <w:rPr>
                <w:lang w:val="en" w:eastAsia="en-US"/>
              </w:rPr>
              <w:t xml:space="preserve"> fuel prices. To a lesser extent, prices of housing and energ</w:t>
            </w:r>
            <w:r w:rsidR="00572A4E">
              <w:rPr>
                <w:lang w:val="en" w:eastAsia="en-US"/>
              </w:rPr>
              <w:t xml:space="preserve">ies </w:t>
            </w:r>
            <w:r w:rsidRPr="00BF2616">
              <w:rPr>
                <w:lang w:val="en" w:eastAsia="en-US"/>
              </w:rPr>
              <w:t xml:space="preserve">and recreation, sports and culture acted in the direction of price growth. The pressures described above were dampened mainly by the year-on-year development of food prices, which fell for the first time since Q2 2021.  </w:t>
            </w:r>
            <w:r w:rsidR="00F6699E">
              <w:rPr>
                <w:lang w:val="en" w:eastAsia="en-US"/>
              </w:rPr>
              <w:t>T</w:t>
            </w:r>
            <w:r w:rsidRPr="00BF2616">
              <w:rPr>
                <w:lang w:val="en" w:eastAsia="en-US"/>
              </w:rPr>
              <w:t xml:space="preserve">ransport, housing and </w:t>
            </w:r>
            <w:r w:rsidR="00EF7BC2" w:rsidRPr="00BF2616">
              <w:rPr>
                <w:lang w:val="en" w:eastAsia="en-US"/>
              </w:rPr>
              <w:t>energy,</w:t>
            </w:r>
            <w:r w:rsidRPr="00BF2616">
              <w:rPr>
                <w:lang w:val="en" w:eastAsia="en-US"/>
              </w:rPr>
              <w:t xml:space="preserve"> alcoholic beverages and tobacco prices contributed the most to the </w:t>
            </w:r>
            <w:r w:rsidR="00EF7BC2">
              <w:rPr>
                <w:lang w:val="en" w:eastAsia="en-US"/>
              </w:rPr>
              <w:t xml:space="preserve">total </w:t>
            </w:r>
            <w:r w:rsidRPr="00BF2616">
              <w:rPr>
                <w:lang w:val="en" w:eastAsia="en-US"/>
              </w:rPr>
              <w:t xml:space="preserve">year-on-year price growth. </w:t>
            </w:r>
            <w:r w:rsidR="00B464AF">
              <w:rPr>
                <w:lang w:val="en" w:eastAsia="en-US"/>
              </w:rPr>
              <w:t>C</w:t>
            </w:r>
            <w:r w:rsidRPr="00BF2616">
              <w:rPr>
                <w:lang w:val="en" w:eastAsia="en-US"/>
              </w:rPr>
              <w:t>onsumer prices increased by 0.9%</w:t>
            </w:r>
            <w:r w:rsidR="00B464AF">
              <w:rPr>
                <w:lang w:val="en" w:eastAsia="en-US"/>
              </w:rPr>
              <w:t>, quarter-on-quarter,</w:t>
            </w:r>
            <w:r w:rsidRPr="00BF2616">
              <w:rPr>
                <w:lang w:val="en" w:eastAsia="en-US"/>
              </w:rPr>
              <w:t xml:space="preserve"> in Q2, the increase thus slightly strengthened compared to Q1. Such a development is </w:t>
            </w:r>
            <w:r w:rsidR="006745CB">
              <w:rPr>
                <w:lang w:val="en" w:eastAsia="en-US"/>
              </w:rPr>
              <w:t>rather a</w:t>
            </w:r>
            <w:r w:rsidRPr="00BF2616">
              <w:rPr>
                <w:lang w:val="en" w:eastAsia="en-US"/>
              </w:rPr>
              <w:t xml:space="preserve">typical and was the result of a sharp increase </w:t>
            </w:r>
            <w:r w:rsidR="0064335A">
              <w:rPr>
                <w:lang w:val="en" w:eastAsia="en-US"/>
              </w:rPr>
              <w:t>in</w:t>
            </w:r>
            <w:r w:rsidRPr="00BF2616">
              <w:rPr>
                <w:lang w:val="en" w:eastAsia="en-US"/>
              </w:rPr>
              <w:t xml:space="preserve"> transport</w:t>
            </w:r>
            <w:r w:rsidR="0012011F">
              <w:rPr>
                <w:lang w:val="en" w:eastAsia="en-US"/>
              </w:rPr>
              <w:t>ation</w:t>
            </w:r>
            <w:r w:rsidRPr="00BF2616">
              <w:rPr>
                <w:lang w:val="en" w:eastAsia="en-US"/>
              </w:rPr>
              <w:t xml:space="preserve"> prices. Housing and energy prices also went from a slight quarter-on-quarter decline to growth. In most </w:t>
            </w:r>
            <w:r w:rsidR="000A3C98" w:rsidRPr="00BF2616">
              <w:rPr>
                <w:lang w:val="en" w:eastAsia="en-US"/>
              </w:rPr>
              <w:t>d</w:t>
            </w:r>
            <w:r w:rsidR="000A3C98">
              <w:rPr>
                <w:lang w:val="en" w:eastAsia="en-US"/>
              </w:rPr>
              <w:t>ivisions</w:t>
            </w:r>
            <w:r w:rsidRPr="00BF2616">
              <w:rPr>
                <w:lang w:val="en" w:eastAsia="en-US"/>
              </w:rPr>
              <w:t xml:space="preserve">, quarter-on-quarter price dynamics moderated after the usual New Year's increase. Only food and non-alcoholic beverages prices </w:t>
            </w:r>
            <w:r w:rsidR="000A3C98">
              <w:rPr>
                <w:lang w:val="en" w:eastAsia="en-US"/>
              </w:rPr>
              <w:t xml:space="preserve">dropped. </w:t>
            </w:r>
            <w:r w:rsidR="006B1AFC" w:rsidRPr="00B131B0">
              <w:rPr>
                <w:lang w:eastAsia="en-US"/>
              </w:rPr>
              <w:t xml:space="preserve"> </w:t>
            </w:r>
          </w:p>
        </w:tc>
      </w:tr>
      <w:tr w:rsidR="006B1AFC" w:rsidRPr="00B131B0" w14:paraId="02FD4F25" w14:textId="77777777" w:rsidTr="003C4A79">
        <w:trPr>
          <w:trHeight w:val="145"/>
        </w:trPr>
        <w:tc>
          <w:tcPr>
            <w:tcW w:w="9654" w:type="dxa"/>
            <w:gridSpan w:val="3"/>
          </w:tcPr>
          <w:p w14:paraId="4FD394B9" w14:textId="1F610BD3" w:rsidR="006B1AFC" w:rsidRPr="00B131B0" w:rsidRDefault="006B1AFC" w:rsidP="006D49FF">
            <w:pPr>
              <w:spacing w:after="0"/>
              <w:rPr>
                <w:rFonts w:cs="Arial"/>
                <w:b/>
                <w:bCs/>
                <w:sz w:val="18"/>
                <w:szCs w:val="18"/>
                <w:lang w:eastAsia="en-US"/>
              </w:rPr>
            </w:pPr>
            <w:r w:rsidRPr="00B131B0">
              <w:rPr>
                <w:rFonts w:cs="Arial"/>
                <w:b/>
                <w:bCs/>
                <w:sz w:val="18"/>
                <w:szCs w:val="18"/>
                <w:lang w:eastAsia="en-US"/>
              </w:rPr>
              <w:t>Tab</w:t>
            </w:r>
            <w:r w:rsidR="0064335A">
              <w:rPr>
                <w:rFonts w:cs="Arial"/>
                <w:b/>
                <w:bCs/>
                <w:sz w:val="18"/>
                <w:szCs w:val="18"/>
                <w:lang w:eastAsia="en-US"/>
              </w:rPr>
              <w:t xml:space="preserve">le </w:t>
            </w:r>
            <w:r w:rsidRPr="00B131B0">
              <w:rPr>
                <w:rFonts w:cs="Arial"/>
                <w:b/>
                <w:bCs/>
                <w:sz w:val="18"/>
                <w:szCs w:val="18"/>
                <w:lang w:eastAsia="en-US"/>
              </w:rPr>
              <w:t xml:space="preserve">9 </w:t>
            </w:r>
            <w:r w:rsidR="006D49FF" w:rsidRPr="006D49FF">
              <w:rPr>
                <w:rFonts w:cs="Arial"/>
                <w:b/>
                <w:bCs/>
                <w:sz w:val="18"/>
                <w:szCs w:val="18"/>
                <w:lang w:eastAsia="en-US"/>
              </w:rPr>
              <w:t>Development of the consumer price index and its divisions (in %)</w:t>
            </w:r>
          </w:p>
        </w:tc>
      </w:tr>
      <w:tr w:rsidR="006B1AFC" w:rsidRPr="00B131B0" w14:paraId="6297CB29" w14:textId="77777777" w:rsidTr="003C4A79">
        <w:trPr>
          <w:trHeight w:val="4231"/>
        </w:trPr>
        <w:tc>
          <w:tcPr>
            <w:tcW w:w="9654" w:type="dxa"/>
            <w:gridSpan w:val="3"/>
          </w:tcPr>
          <w:tbl>
            <w:tblPr>
              <w:tblW w:w="9615" w:type="dxa"/>
              <w:tblLayout w:type="fixed"/>
              <w:tblCellMar>
                <w:left w:w="70" w:type="dxa"/>
                <w:right w:w="70" w:type="dxa"/>
              </w:tblCellMar>
              <w:tblLook w:val="04A0" w:firstRow="1" w:lastRow="0" w:firstColumn="1" w:lastColumn="0" w:noHBand="0" w:noVBand="1"/>
            </w:tblPr>
            <w:tblGrid>
              <w:gridCol w:w="3559"/>
              <w:gridCol w:w="699"/>
              <w:gridCol w:w="699"/>
              <w:gridCol w:w="699"/>
              <w:gridCol w:w="699"/>
              <w:gridCol w:w="464"/>
              <w:gridCol w:w="699"/>
              <w:gridCol w:w="699"/>
              <w:gridCol w:w="699"/>
              <w:gridCol w:w="699"/>
            </w:tblGrid>
            <w:tr w:rsidR="006B1AFC" w:rsidRPr="00B131B0" w14:paraId="48F9391B" w14:textId="77777777" w:rsidTr="003C4A79">
              <w:trPr>
                <w:trHeight w:val="255"/>
              </w:trPr>
              <w:tc>
                <w:tcPr>
                  <w:tcW w:w="3559" w:type="dxa"/>
                  <w:tcBorders>
                    <w:top w:val="nil"/>
                    <w:left w:val="nil"/>
                    <w:bottom w:val="nil"/>
                    <w:right w:val="nil"/>
                  </w:tcBorders>
                  <w:noWrap/>
                  <w:vAlign w:val="bottom"/>
                  <w:hideMark/>
                </w:tcPr>
                <w:p w14:paraId="4AD1F6A3" w14:textId="77777777" w:rsidR="006B1AFC" w:rsidRPr="00B131B0" w:rsidRDefault="006B1AFC" w:rsidP="003C4A79">
                  <w:pPr>
                    <w:spacing w:after="0" w:line="240" w:lineRule="auto"/>
                    <w:jc w:val="left"/>
                    <w:rPr>
                      <w:rFonts w:ascii="Times New Roman" w:hAnsi="Times New Roman"/>
                      <w:sz w:val="24"/>
                      <w:szCs w:val="20"/>
                      <w:lang w:eastAsia="ko-KR"/>
                    </w:rPr>
                  </w:pPr>
                </w:p>
              </w:tc>
              <w:tc>
                <w:tcPr>
                  <w:tcW w:w="2796" w:type="dxa"/>
                  <w:gridSpan w:val="4"/>
                  <w:tcBorders>
                    <w:top w:val="nil"/>
                    <w:left w:val="nil"/>
                    <w:bottom w:val="nil"/>
                    <w:right w:val="nil"/>
                  </w:tcBorders>
                  <w:noWrap/>
                  <w:vAlign w:val="bottom"/>
                  <w:hideMark/>
                </w:tcPr>
                <w:p w14:paraId="73EFADE5" w14:textId="6A3521C9" w:rsidR="006B1AFC" w:rsidRPr="00B131B0" w:rsidRDefault="006D49FF" w:rsidP="003C4A79">
                  <w:pPr>
                    <w:spacing w:after="0" w:line="240" w:lineRule="auto"/>
                    <w:jc w:val="center"/>
                    <w:rPr>
                      <w:rFonts w:cs="Arial"/>
                      <w:color w:val="000000"/>
                      <w:sz w:val="16"/>
                      <w:szCs w:val="16"/>
                      <w:lang w:eastAsia="ko-KR"/>
                    </w:rPr>
                  </w:pPr>
                  <w:r>
                    <w:rPr>
                      <w:rFonts w:cs="Arial"/>
                      <w:color w:val="000000"/>
                      <w:sz w:val="16"/>
                      <w:szCs w:val="16"/>
                      <w:lang w:eastAsia="ko-KR"/>
                    </w:rPr>
                    <w:t>Year-on-year</w:t>
                  </w:r>
                </w:p>
              </w:tc>
              <w:tc>
                <w:tcPr>
                  <w:tcW w:w="464" w:type="dxa"/>
                  <w:tcBorders>
                    <w:top w:val="nil"/>
                    <w:left w:val="nil"/>
                    <w:bottom w:val="nil"/>
                    <w:right w:val="nil"/>
                  </w:tcBorders>
                  <w:noWrap/>
                  <w:vAlign w:val="bottom"/>
                  <w:hideMark/>
                </w:tcPr>
                <w:p w14:paraId="4CEF2380" w14:textId="77777777" w:rsidR="006B1AFC" w:rsidRPr="00B131B0" w:rsidRDefault="006B1AFC" w:rsidP="003C4A79">
                  <w:pPr>
                    <w:spacing w:after="0" w:line="240" w:lineRule="auto"/>
                    <w:jc w:val="center"/>
                    <w:rPr>
                      <w:rFonts w:cs="Arial"/>
                      <w:color w:val="000000"/>
                      <w:sz w:val="16"/>
                      <w:szCs w:val="16"/>
                      <w:lang w:eastAsia="ko-KR"/>
                    </w:rPr>
                  </w:pPr>
                </w:p>
              </w:tc>
              <w:tc>
                <w:tcPr>
                  <w:tcW w:w="2796" w:type="dxa"/>
                  <w:gridSpan w:val="4"/>
                  <w:tcBorders>
                    <w:top w:val="nil"/>
                    <w:left w:val="nil"/>
                    <w:bottom w:val="nil"/>
                    <w:right w:val="nil"/>
                  </w:tcBorders>
                  <w:noWrap/>
                  <w:vAlign w:val="bottom"/>
                  <w:hideMark/>
                </w:tcPr>
                <w:p w14:paraId="0D31C257" w14:textId="5BFA0E02" w:rsidR="006B1AFC" w:rsidRPr="00B131B0" w:rsidRDefault="006D49FF" w:rsidP="003C4A79">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r>
            <w:tr w:rsidR="006B1AFC" w:rsidRPr="00B131B0" w14:paraId="6D1D5BF3" w14:textId="77777777" w:rsidTr="003C4A79">
              <w:trPr>
                <w:trHeight w:val="255"/>
              </w:trPr>
              <w:tc>
                <w:tcPr>
                  <w:tcW w:w="3559" w:type="dxa"/>
                  <w:tcBorders>
                    <w:top w:val="nil"/>
                    <w:left w:val="nil"/>
                    <w:bottom w:val="nil"/>
                    <w:right w:val="nil"/>
                  </w:tcBorders>
                  <w:noWrap/>
                  <w:vAlign w:val="bottom"/>
                  <w:hideMark/>
                </w:tcPr>
                <w:p w14:paraId="1C108ED0" w14:textId="77777777" w:rsidR="006B1AFC" w:rsidRPr="00B131B0" w:rsidRDefault="006B1AFC" w:rsidP="003C4A79">
                  <w:pPr>
                    <w:spacing w:after="0" w:line="240" w:lineRule="auto"/>
                    <w:jc w:val="center"/>
                    <w:rPr>
                      <w:rFonts w:cs="Arial"/>
                      <w:color w:val="000000"/>
                      <w:sz w:val="16"/>
                      <w:szCs w:val="16"/>
                      <w:lang w:eastAsia="ko-KR"/>
                    </w:rPr>
                  </w:pPr>
                </w:p>
              </w:tc>
              <w:tc>
                <w:tcPr>
                  <w:tcW w:w="699" w:type="dxa"/>
                  <w:tcBorders>
                    <w:top w:val="nil"/>
                    <w:left w:val="nil"/>
                    <w:bottom w:val="nil"/>
                    <w:right w:val="nil"/>
                  </w:tcBorders>
                  <w:noWrap/>
                  <w:vAlign w:val="bottom"/>
                  <w:hideMark/>
                </w:tcPr>
                <w:p w14:paraId="42437869"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99" w:type="dxa"/>
                  <w:tcBorders>
                    <w:top w:val="nil"/>
                    <w:left w:val="nil"/>
                    <w:bottom w:val="nil"/>
                    <w:right w:val="nil"/>
                  </w:tcBorders>
                  <w:noWrap/>
                  <w:vAlign w:val="bottom"/>
                  <w:hideMark/>
                </w:tcPr>
                <w:p w14:paraId="316F2C7C"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99" w:type="dxa"/>
                  <w:tcBorders>
                    <w:top w:val="nil"/>
                    <w:left w:val="nil"/>
                    <w:bottom w:val="nil"/>
                    <w:right w:val="nil"/>
                  </w:tcBorders>
                  <w:noWrap/>
                  <w:vAlign w:val="bottom"/>
                  <w:hideMark/>
                </w:tcPr>
                <w:p w14:paraId="110A70CF"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99" w:type="dxa"/>
                  <w:tcBorders>
                    <w:top w:val="nil"/>
                    <w:left w:val="nil"/>
                    <w:bottom w:val="nil"/>
                    <w:right w:val="nil"/>
                  </w:tcBorders>
                  <w:noWrap/>
                  <w:vAlign w:val="bottom"/>
                  <w:hideMark/>
                </w:tcPr>
                <w:p w14:paraId="58966DEB"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c>
                <w:tcPr>
                  <w:tcW w:w="464" w:type="dxa"/>
                  <w:tcBorders>
                    <w:top w:val="nil"/>
                    <w:left w:val="nil"/>
                    <w:bottom w:val="nil"/>
                    <w:right w:val="nil"/>
                  </w:tcBorders>
                  <w:noWrap/>
                  <w:vAlign w:val="bottom"/>
                  <w:hideMark/>
                </w:tcPr>
                <w:p w14:paraId="1E03BD78"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10886A0E"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99" w:type="dxa"/>
                  <w:tcBorders>
                    <w:top w:val="nil"/>
                    <w:left w:val="nil"/>
                    <w:bottom w:val="nil"/>
                    <w:right w:val="nil"/>
                  </w:tcBorders>
                  <w:noWrap/>
                  <w:vAlign w:val="bottom"/>
                  <w:hideMark/>
                </w:tcPr>
                <w:p w14:paraId="5C595D2C"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99" w:type="dxa"/>
                  <w:tcBorders>
                    <w:top w:val="nil"/>
                    <w:left w:val="nil"/>
                    <w:bottom w:val="nil"/>
                    <w:right w:val="nil"/>
                  </w:tcBorders>
                  <w:noWrap/>
                  <w:vAlign w:val="bottom"/>
                  <w:hideMark/>
                </w:tcPr>
                <w:p w14:paraId="6B5842C3"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99" w:type="dxa"/>
                  <w:tcBorders>
                    <w:top w:val="nil"/>
                    <w:left w:val="nil"/>
                    <w:bottom w:val="nil"/>
                    <w:right w:val="nil"/>
                  </w:tcBorders>
                  <w:noWrap/>
                  <w:vAlign w:val="bottom"/>
                  <w:hideMark/>
                </w:tcPr>
                <w:p w14:paraId="3406349E"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r>
            <w:tr w:rsidR="006B1AFC" w:rsidRPr="00B131B0" w14:paraId="428ED665" w14:textId="77777777" w:rsidTr="003C4A79">
              <w:trPr>
                <w:trHeight w:val="255"/>
              </w:trPr>
              <w:tc>
                <w:tcPr>
                  <w:tcW w:w="3559" w:type="dxa"/>
                  <w:tcBorders>
                    <w:top w:val="single" w:sz="4" w:space="0" w:color="auto"/>
                    <w:left w:val="nil"/>
                    <w:bottom w:val="nil"/>
                    <w:right w:val="nil"/>
                  </w:tcBorders>
                  <w:vAlign w:val="bottom"/>
                  <w:hideMark/>
                </w:tcPr>
                <w:p w14:paraId="1A5D6F38" w14:textId="797DAD9E" w:rsidR="006B1AFC" w:rsidRPr="00B131B0" w:rsidRDefault="006D49FF" w:rsidP="003C4A79">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699" w:type="dxa"/>
                  <w:tcBorders>
                    <w:top w:val="single" w:sz="4" w:space="0" w:color="auto"/>
                    <w:left w:val="nil"/>
                    <w:bottom w:val="nil"/>
                    <w:right w:val="nil"/>
                  </w:tcBorders>
                  <w:noWrap/>
                  <w:vAlign w:val="bottom"/>
                  <w:hideMark/>
                </w:tcPr>
                <w:p w14:paraId="0D80673A" w14:textId="17D9166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F403B3">
                    <w:rPr>
                      <w:rFonts w:cs="Arial"/>
                      <w:color w:val="000000"/>
                      <w:sz w:val="16"/>
                      <w:szCs w:val="16"/>
                    </w:rPr>
                    <w:t>.</w:t>
                  </w:r>
                  <w:r w:rsidRPr="00B131B0">
                    <w:rPr>
                      <w:rFonts w:cs="Arial"/>
                      <w:color w:val="000000"/>
                      <w:sz w:val="16"/>
                      <w:szCs w:val="16"/>
                    </w:rPr>
                    <w:t>5</w:t>
                  </w:r>
                </w:p>
              </w:tc>
              <w:tc>
                <w:tcPr>
                  <w:tcW w:w="699" w:type="dxa"/>
                  <w:tcBorders>
                    <w:top w:val="single" w:sz="4" w:space="0" w:color="auto"/>
                    <w:left w:val="nil"/>
                    <w:bottom w:val="nil"/>
                    <w:right w:val="nil"/>
                  </w:tcBorders>
                  <w:noWrap/>
                  <w:vAlign w:val="bottom"/>
                  <w:hideMark/>
                </w:tcPr>
                <w:p w14:paraId="1204D22C" w14:textId="788B00B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2</w:t>
                  </w:r>
                </w:p>
              </w:tc>
              <w:tc>
                <w:tcPr>
                  <w:tcW w:w="699" w:type="dxa"/>
                  <w:tcBorders>
                    <w:top w:val="single" w:sz="4" w:space="0" w:color="auto"/>
                    <w:left w:val="nil"/>
                    <w:bottom w:val="nil"/>
                    <w:right w:val="nil"/>
                  </w:tcBorders>
                  <w:noWrap/>
                  <w:vAlign w:val="bottom"/>
                  <w:hideMark/>
                </w:tcPr>
                <w:p w14:paraId="5DFF9B01" w14:textId="0CB8A26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6</w:t>
                  </w:r>
                </w:p>
              </w:tc>
              <w:tc>
                <w:tcPr>
                  <w:tcW w:w="699" w:type="dxa"/>
                  <w:tcBorders>
                    <w:top w:val="single" w:sz="4" w:space="0" w:color="auto"/>
                    <w:left w:val="nil"/>
                    <w:bottom w:val="nil"/>
                    <w:right w:val="nil"/>
                  </w:tcBorders>
                  <w:noWrap/>
                  <w:vAlign w:val="bottom"/>
                  <w:hideMark/>
                </w:tcPr>
                <w:p w14:paraId="31EA57F8" w14:textId="16F883D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184212">
                    <w:rPr>
                      <w:rFonts w:cs="Arial"/>
                      <w:color w:val="000000"/>
                      <w:sz w:val="16"/>
                      <w:szCs w:val="16"/>
                    </w:rPr>
                    <w:t>.</w:t>
                  </w:r>
                  <w:r w:rsidRPr="00B131B0">
                    <w:rPr>
                      <w:rFonts w:cs="Arial"/>
                      <w:color w:val="000000"/>
                      <w:sz w:val="16"/>
                      <w:szCs w:val="16"/>
                    </w:rPr>
                    <w:t>0</w:t>
                  </w:r>
                </w:p>
              </w:tc>
              <w:tc>
                <w:tcPr>
                  <w:tcW w:w="464" w:type="dxa"/>
                  <w:tcBorders>
                    <w:top w:val="single" w:sz="4" w:space="0" w:color="auto"/>
                    <w:left w:val="nil"/>
                    <w:bottom w:val="nil"/>
                    <w:right w:val="nil"/>
                  </w:tcBorders>
                  <w:noWrap/>
                  <w:vAlign w:val="bottom"/>
                  <w:hideMark/>
                </w:tcPr>
                <w:p w14:paraId="063DA06F" w14:textId="77777777"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 </w:t>
                  </w:r>
                </w:p>
              </w:tc>
              <w:tc>
                <w:tcPr>
                  <w:tcW w:w="699" w:type="dxa"/>
                  <w:tcBorders>
                    <w:top w:val="single" w:sz="4" w:space="0" w:color="auto"/>
                    <w:left w:val="nil"/>
                    <w:bottom w:val="nil"/>
                    <w:right w:val="nil"/>
                  </w:tcBorders>
                  <w:noWrap/>
                  <w:vAlign w:val="bottom"/>
                  <w:hideMark/>
                </w:tcPr>
                <w:p w14:paraId="054085EA" w14:textId="21F9236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7</w:t>
                  </w:r>
                </w:p>
              </w:tc>
              <w:tc>
                <w:tcPr>
                  <w:tcW w:w="699" w:type="dxa"/>
                  <w:tcBorders>
                    <w:top w:val="single" w:sz="4" w:space="0" w:color="auto"/>
                    <w:left w:val="nil"/>
                    <w:bottom w:val="nil"/>
                    <w:right w:val="nil"/>
                  </w:tcBorders>
                  <w:noWrap/>
                  <w:vAlign w:val="bottom"/>
                  <w:hideMark/>
                </w:tcPr>
                <w:p w14:paraId="175E0F58" w14:textId="71CF713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single" w:sz="4" w:space="0" w:color="auto"/>
                    <w:left w:val="nil"/>
                    <w:bottom w:val="nil"/>
                    <w:right w:val="nil"/>
                  </w:tcBorders>
                  <w:noWrap/>
                  <w:vAlign w:val="bottom"/>
                  <w:hideMark/>
                </w:tcPr>
                <w:p w14:paraId="0E7F5254" w14:textId="3002947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7</w:t>
                  </w:r>
                </w:p>
              </w:tc>
              <w:tc>
                <w:tcPr>
                  <w:tcW w:w="699" w:type="dxa"/>
                  <w:tcBorders>
                    <w:top w:val="single" w:sz="4" w:space="0" w:color="auto"/>
                    <w:left w:val="nil"/>
                    <w:bottom w:val="nil"/>
                    <w:right w:val="nil"/>
                  </w:tcBorders>
                  <w:noWrap/>
                  <w:vAlign w:val="bottom"/>
                  <w:hideMark/>
                </w:tcPr>
                <w:p w14:paraId="45860C33" w14:textId="30E7430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9</w:t>
                  </w:r>
                </w:p>
              </w:tc>
            </w:tr>
            <w:tr w:rsidR="006B1AFC" w:rsidRPr="00B131B0" w14:paraId="2050D45A" w14:textId="77777777" w:rsidTr="003C4A79">
              <w:trPr>
                <w:trHeight w:val="255"/>
              </w:trPr>
              <w:tc>
                <w:tcPr>
                  <w:tcW w:w="3559" w:type="dxa"/>
                  <w:tcBorders>
                    <w:top w:val="nil"/>
                    <w:left w:val="nil"/>
                    <w:bottom w:val="nil"/>
                    <w:right w:val="nil"/>
                  </w:tcBorders>
                  <w:vAlign w:val="bottom"/>
                  <w:hideMark/>
                </w:tcPr>
                <w:p w14:paraId="7CC3C0AC" w14:textId="2A7CFD09" w:rsidR="006B1AFC" w:rsidRPr="00B131B0" w:rsidRDefault="00742EC2"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 xml:space="preserve">Food and non-alcoholic beverages </w:t>
                  </w:r>
                </w:p>
              </w:tc>
              <w:tc>
                <w:tcPr>
                  <w:tcW w:w="699" w:type="dxa"/>
                  <w:tcBorders>
                    <w:top w:val="nil"/>
                    <w:left w:val="nil"/>
                    <w:bottom w:val="nil"/>
                    <w:right w:val="nil"/>
                  </w:tcBorders>
                  <w:noWrap/>
                  <w:vAlign w:val="bottom"/>
                  <w:hideMark/>
                </w:tcPr>
                <w:p w14:paraId="7CC37A78" w14:textId="0738647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F403B3">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723E54B0" w14:textId="4AA2EA5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5</w:t>
                  </w:r>
                </w:p>
              </w:tc>
              <w:tc>
                <w:tcPr>
                  <w:tcW w:w="699" w:type="dxa"/>
                  <w:tcBorders>
                    <w:top w:val="nil"/>
                    <w:left w:val="nil"/>
                    <w:bottom w:val="nil"/>
                    <w:right w:val="nil"/>
                  </w:tcBorders>
                  <w:noWrap/>
                  <w:vAlign w:val="bottom"/>
                  <w:hideMark/>
                </w:tcPr>
                <w:p w14:paraId="5C43D0F5" w14:textId="4C0D4E7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30B42BEF" w14:textId="41E76A8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184212">
                    <w:rPr>
                      <w:rFonts w:cs="Arial"/>
                      <w:color w:val="000000"/>
                      <w:sz w:val="16"/>
                      <w:szCs w:val="16"/>
                    </w:rPr>
                    <w:t>.</w:t>
                  </w:r>
                  <w:r w:rsidRPr="00B131B0">
                    <w:rPr>
                      <w:rFonts w:cs="Arial"/>
                      <w:color w:val="000000"/>
                      <w:sz w:val="16"/>
                      <w:szCs w:val="16"/>
                    </w:rPr>
                    <w:t>2</w:t>
                  </w:r>
                </w:p>
              </w:tc>
              <w:tc>
                <w:tcPr>
                  <w:tcW w:w="464" w:type="dxa"/>
                  <w:tcBorders>
                    <w:top w:val="nil"/>
                    <w:left w:val="nil"/>
                    <w:bottom w:val="nil"/>
                    <w:right w:val="nil"/>
                  </w:tcBorders>
                  <w:noWrap/>
                  <w:vAlign w:val="bottom"/>
                  <w:hideMark/>
                </w:tcPr>
                <w:p w14:paraId="0B063D01"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095F064A" w14:textId="6438A10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1D80FDD5" w14:textId="69CD4B5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7</w:t>
                  </w:r>
                </w:p>
              </w:tc>
              <w:tc>
                <w:tcPr>
                  <w:tcW w:w="699" w:type="dxa"/>
                  <w:tcBorders>
                    <w:top w:val="nil"/>
                    <w:left w:val="nil"/>
                    <w:bottom w:val="nil"/>
                    <w:right w:val="nil"/>
                  </w:tcBorders>
                  <w:noWrap/>
                  <w:vAlign w:val="bottom"/>
                  <w:hideMark/>
                </w:tcPr>
                <w:p w14:paraId="789689A6" w14:textId="66A190F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4</w:t>
                  </w:r>
                </w:p>
              </w:tc>
              <w:tc>
                <w:tcPr>
                  <w:tcW w:w="699" w:type="dxa"/>
                  <w:tcBorders>
                    <w:top w:val="nil"/>
                    <w:left w:val="nil"/>
                    <w:bottom w:val="nil"/>
                    <w:right w:val="nil"/>
                  </w:tcBorders>
                  <w:noWrap/>
                  <w:vAlign w:val="bottom"/>
                  <w:hideMark/>
                </w:tcPr>
                <w:p w14:paraId="422BAB20" w14:textId="2339120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4</w:t>
                  </w:r>
                </w:p>
              </w:tc>
            </w:tr>
            <w:tr w:rsidR="006B1AFC" w:rsidRPr="00B131B0" w14:paraId="1A7B7AB4" w14:textId="77777777" w:rsidTr="003C4A79">
              <w:trPr>
                <w:trHeight w:val="255"/>
              </w:trPr>
              <w:tc>
                <w:tcPr>
                  <w:tcW w:w="3559" w:type="dxa"/>
                  <w:tcBorders>
                    <w:top w:val="nil"/>
                    <w:left w:val="nil"/>
                    <w:bottom w:val="nil"/>
                    <w:right w:val="nil"/>
                  </w:tcBorders>
                  <w:vAlign w:val="bottom"/>
                  <w:hideMark/>
                </w:tcPr>
                <w:p w14:paraId="57EF3F7C" w14:textId="5EEC2CD3" w:rsidR="006B1AFC" w:rsidRPr="00B131B0" w:rsidRDefault="006B1AFC" w:rsidP="003C4A79">
                  <w:pPr>
                    <w:spacing w:after="0" w:line="240" w:lineRule="auto"/>
                    <w:ind w:firstLine="224"/>
                    <w:jc w:val="left"/>
                    <w:rPr>
                      <w:rFonts w:cs="Arial"/>
                      <w:color w:val="000000"/>
                      <w:sz w:val="16"/>
                      <w:szCs w:val="16"/>
                      <w:lang w:eastAsia="ko-KR"/>
                    </w:rPr>
                  </w:pPr>
                  <w:r w:rsidRPr="00B131B0">
                    <w:rPr>
                      <w:rFonts w:cs="Arial"/>
                      <w:color w:val="000000"/>
                      <w:sz w:val="16"/>
                      <w:szCs w:val="16"/>
                      <w:lang w:eastAsia="ko-KR"/>
                    </w:rPr>
                    <w:t>A</w:t>
                  </w:r>
                  <w:r w:rsidR="00923F80">
                    <w:rPr>
                      <w:rFonts w:cs="Arial"/>
                      <w:color w:val="000000"/>
                      <w:sz w:val="16"/>
                      <w:szCs w:val="16"/>
                      <w:lang w:eastAsia="ko-KR"/>
                    </w:rPr>
                    <w:t>l</w:t>
                  </w:r>
                  <w:r w:rsidR="00742EC2">
                    <w:rPr>
                      <w:rFonts w:cs="Arial"/>
                      <w:color w:val="000000"/>
                      <w:sz w:val="16"/>
                      <w:szCs w:val="16"/>
                      <w:lang w:eastAsia="ko-KR"/>
                    </w:rPr>
                    <w:t>coholic beverages, tobacco</w:t>
                  </w:r>
                </w:p>
              </w:tc>
              <w:tc>
                <w:tcPr>
                  <w:tcW w:w="699" w:type="dxa"/>
                  <w:tcBorders>
                    <w:top w:val="nil"/>
                    <w:left w:val="nil"/>
                    <w:bottom w:val="nil"/>
                    <w:right w:val="nil"/>
                  </w:tcBorders>
                  <w:noWrap/>
                  <w:vAlign w:val="bottom"/>
                  <w:hideMark/>
                </w:tcPr>
                <w:p w14:paraId="10635A22" w14:textId="0E55131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F403B3">
                    <w:rPr>
                      <w:rFonts w:cs="Arial"/>
                      <w:color w:val="000000"/>
                      <w:sz w:val="16"/>
                      <w:szCs w:val="16"/>
                    </w:rPr>
                    <w:t>.</w:t>
                  </w:r>
                  <w:r w:rsidRPr="00B131B0">
                    <w:rPr>
                      <w:rFonts w:cs="Arial"/>
                      <w:color w:val="000000"/>
                      <w:sz w:val="16"/>
                      <w:szCs w:val="16"/>
                    </w:rPr>
                    <w:t>5</w:t>
                  </w:r>
                </w:p>
              </w:tc>
              <w:tc>
                <w:tcPr>
                  <w:tcW w:w="699" w:type="dxa"/>
                  <w:tcBorders>
                    <w:top w:val="nil"/>
                    <w:left w:val="nil"/>
                    <w:bottom w:val="nil"/>
                    <w:right w:val="nil"/>
                  </w:tcBorders>
                  <w:noWrap/>
                  <w:vAlign w:val="bottom"/>
                  <w:hideMark/>
                </w:tcPr>
                <w:p w14:paraId="4E8574E9" w14:textId="23C2D31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70E2EF13" w14:textId="4D8B04A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0</w:t>
                  </w:r>
                </w:p>
              </w:tc>
              <w:tc>
                <w:tcPr>
                  <w:tcW w:w="699" w:type="dxa"/>
                  <w:tcBorders>
                    <w:top w:val="nil"/>
                    <w:left w:val="nil"/>
                    <w:bottom w:val="nil"/>
                    <w:right w:val="nil"/>
                  </w:tcBorders>
                  <w:noWrap/>
                  <w:vAlign w:val="bottom"/>
                  <w:hideMark/>
                </w:tcPr>
                <w:p w14:paraId="4CFAA356" w14:textId="69B505A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184212">
                    <w:rPr>
                      <w:rFonts w:cs="Arial"/>
                      <w:color w:val="000000"/>
                      <w:sz w:val="16"/>
                      <w:szCs w:val="16"/>
                    </w:rPr>
                    <w:t>.</w:t>
                  </w:r>
                  <w:r w:rsidRPr="00B131B0">
                    <w:rPr>
                      <w:rFonts w:cs="Arial"/>
                      <w:color w:val="000000"/>
                      <w:sz w:val="16"/>
                      <w:szCs w:val="16"/>
                    </w:rPr>
                    <w:t>4</w:t>
                  </w:r>
                </w:p>
              </w:tc>
              <w:tc>
                <w:tcPr>
                  <w:tcW w:w="464" w:type="dxa"/>
                  <w:tcBorders>
                    <w:top w:val="nil"/>
                    <w:left w:val="nil"/>
                    <w:bottom w:val="nil"/>
                    <w:right w:val="nil"/>
                  </w:tcBorders>
                  <w:noWrap/>
                  <w:vAlign w:val="bottom"/>
                  <w:hideMark/>
                </w:tcPr>
                <w:p w14:paraId="465908C3"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60B1F79B" w14:textId="082D2F4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2674DC30" w14:textId="1FE0BB9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6C2FDFF9" w14:textId="619147D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8</w:t>
                  </w:r>
                </w:p>
              </w:tc>
              <w:tc>
                <w:tcPr>
                  <w:tcW w:w="699" w:type="dxa"/>
                  <w:tcBorders>
                    <w:top w:val="nil"/>
                    <w:left w:val="nil"/>
                    <w:bottom w:val="nil"/>
                    <w:right w:val="nil"/>
                  </w:tcBorders>
                  <w:noWrap/>
                  <w:vAlign w:val="bottom"/>
                  <w:hideMark/>
                </w:tcPr>
                <w:p w14:paraId="03B038B0" w14:textId="27A446B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5</w:t>
                  </w:r>
                </w:p>
              </w:tc>
            </w:tr>
            <w:tr w:rsidR="006B1AFC" w:rsidRPr="00B131B0" w14:paraId="31D76465" w14:textId="77777777" w:rsidTr="003C4A79">
              <w:trPr>
                <w:trHeight w:val="255"/>
              </w:trPr>
              <w:tc>
                <w:tcPr>
                  <w:tcW w:w="3559" w:type="dxa"/>
                  <w:tcBorders>
                    <w:top w:val="nil"/>
                    <w:left w:val="nil"/>
                    <w:bottom w:val="nil"/>
                    <w:right w:val="nil"/>
                  </w:tcBorders>
                  <w:vAlign w:val="bottom"/>
                  <w:hideMark/>
                </w:tcPr>
                <w:p w14:paraId="0E1EF8CD" w14:textId="544C24BD" w:rsidR="006B1AFC" w:rsidRPr="00B131B0" w:rsidRDefault="00246B57"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Clothing and footwear</w:t>
                  </w:r>
                </w:p>
              </w:tc>
              <w:tc>
                <w:tcPr>
                  <w:tcW w:w="699" w:type="dxa"/>
                  <w:tcBorders>
                    <w:top w:val="nil"/>
                    <w:left w:val="nil"/>
                    <w:bottom w:val="nil"/>
                    <w:right w:val="nil"/>
                  </w:tcBorders>
                  <w:noWrap/>
                  <w:vAlign w:val="bottom"/>
                  <w:hideMark/>
                </w:tcPr>
                <w:p w14:paraId="553B86CB" w14:textId="1F7E41B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F403B3">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67AF0E08" w14:textId="10B036C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0</w:t>
                  </w:r>
                </w:p>
              </w:tc>
              <w:tc>
                <w:tcPr>
                  <w:tcW w:w="699" w:type="dxa"/>
                  <w:tcBorders>
                    <w:top w:val="nil"/>
                    <w:left w:val="nil"/>
                    <w:bottom w:val="nil"/>
                    <w:right w:val="nil"/>
                  </w:tcBorders>
                  <w:noWrap/>
                  <w:vAlign w:val="bottom"/>
                  <w:hideMark/>
                </w:tcPr>
                <w:p w14:paraId="41BA4583" w14:textId="418909B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5</w:t>
                  </w:r>
                </w:p>
              </w:tc>
              <w:tc>
                <w:tcPr>
                  <w:tcW w:w="699" w:type="dxa"/>
                  <w:tcBorders>
                    <w:top w:val="nil"/>
                    <w:left w:val="nil"/>
                    <w:bottom w:val="nil"/>
                    <w:right w:val="nil"/>
                  </w:tcBorders>
                  <w:noWrap/>
                  <w:vAlign w:val="bottom"/>
                  <w:hideMark/>
                </w:tcPr>
                <w:p w14:paraId="22098F0E" w14:textId="0BC89E7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184212">
                    <w:rPr>
                      <w:rFonts w:cs="Arial"/>
                      <w:color w:val="000000"/>
                      <w:sz w:val="16"/>
                      <w:szCs w:val="16"/>
                    </w:rPr>
                    <w:t>.</w:t>
                  </w:r>
                  <w:r w:rsidRPr="00B131B0">
                    <w:rPr>
                      <w:rFonts w:cs="Arial"/>
                      <w:color w:val="000000"/>
                      <w:sz w:val="16"/>
                      <w:szCs w:val="16"/>
                    </w:rPr>
                    <w:t>5</w:t>
                  </w:r>
                </w:p>
              </w:tc>
              <w:tc>
                <w:tcPr>
                  <w:tcW w:w="464" w:type="dxa"/>
                  <w:tcBorders>
                    <w:top w:val="nil"/>
                    <w:left w:val="nil"/>
                    <w:bottom w:val="nil"/>
                    <w:right w:val="nil"/>
                  </w:tcBorders>
                  <w:noWrap/>
                  <w:vAlign w:val="bottom"/>
                  <w:hideMark/>
                </w:tcPr>
                <w:p w14:paraId="63C1C51B"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1BB37F6B" w14:textId="53D9593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502BE0D8" w14:textId="2DB4D0D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D0029C">
                    <w:rPr>
                      <w:rFonts w:cs="Arial"/>
                      <w:color w:val="000000"/>
                      <w:sz w:val="16"/>
                      <w:szCs w:val="16"/>
                      <w:lang w:eastAsia="ko-KR"/>
                    </w:rPr>
                    <w:t>.</w:t>
                  </w:r>
                  <w:r w:rsidRPr="00B131B0">
                    <w:rPr>
                      <w:rFonts w:cs="Arial"/>
                      <w:color w:val="000000"/>
                      <w:sz w:val="16"/>
                      <w:szCs w:val="16"/>
                      <w:lang w:eastAsia="ko-KR"/>
                    </w:rPr>
                    <w:t>3</w:t>
                  </w:r>
                </w:p>
              </w:tc>
              <w:tc>
                <w:tcPr>
                  <w:tcW w:w="699" w:type="dxa"/>
                  <w:tcBorders>
                    <w:top w:val="nil"/>
                    <w:left w:val="nil"/>
                    <w:bottom w:val="nil"/>
                    <w:right w:val="nil"/>
                  </w:tcBorders>
                  <w:noWrap/>
                  <w:vAlign w:val="bottom"/>
                  <w:hideMark/>
                </w:tcPr>
                <w:p w14:paraId="3E5DA86B" w14:textId="5A19FCA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7</w:t>
                  </w:r>
                </w:p>
              </w:tc>
              <w:tc>
                <w:tcPr>
                  <w:tcW w:w="699" w:type="dxa"/>
                  <w:tcBorders>
                    <w:top w:val="nil"/>
                    <w:left w:val="nil"/>
                    <w:bottom w:val="nil"/>
                    <w:right w:val="nil"/>
                  </w:tcBorders>
                  <w:noWrap/>
                  <w:vAlign w:val="bottom"/>
                  <w:hideMark/>
                </w:tcPr>
                <w:p w14:paraId="2A12E491" w14:textId="18CF710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1</w:t>
                  </w:r>
                </w:p>
              </w:tc>
            </w:tr>
            <w:tr w:rsidR="006B1AFC" w:rsidRPr="00B131B0" w14:paraId="0A044222" w14:textId="77777777" w:rsidTr="003C4A79">
              <w:trPr>
                <w:trHeight w:val="255"/>
              </w:trPr>
              <w:tc>
                <w:tcPr>
                  <w:tcW w:w="3559" w:type="dxa"/>
                  <w:tcBorders>
                    <w:top w:val="nil"/>
                    <w:left w:val="nil"/>
                    <w:bottom w:val="nil"/>
                    <w:right w:val="nil"/>
                  </w:tcBorders>
                  <w:vAlign w:val="bottom"/>
                  <w:hideMark/>
                </w:tcPr>
                <w:p w14:paraId="2F3348BD" w14:textId="61D6CE31" w:rsidR="006B1AFC" w:rsidRPr="00B131B0" w:rsidRDefault="00F22047" w:rsidP="003C4A79">
                  <w:pPr>
                    <w:spacing w:after="0" w:line="240" w:lineRule="auto"/>
                    <w:ind w:firstLine="224"/>
                    <w:jc w:val="left"/>
                    <w:rPr>
                      <w:rFonts w:cs="Arial"/>
                      <w:color w:val="000000"/>
                      <w:sz w:val="16"/>
                      <w:szCs w:val="16"/>
                      <w:lang w:eastAsia="ko-KR"/>
                    </w:rPr>
                  </w:pPr>
                  <w:r w:rsidRPr="00F22047">
                    <w:rPr>
                      <w:rFonts w:cs="Arial"/>
                      <w:color w:val="000000"/>
                      <w:sz w:val="16"/>
                      <w:szCs w:val="16"/>
                      <w:lang w:eastAsia="ko-KR"/>
                    </w:rPr>
                    <w:t>Housing, water, electricity, gas and other fuels</w:t>
                  </w:r>
                </w:p>
              </w:tc>
              <w:tc>
                <w:tcPr>
                  <w:tcW w:w="699" w:type="dxa"/>
                  <w:tcBorders>
                    <w:top w:val="nil"/>
                    <w:left w:val="nil"/>
                    <w:bottom w:val="nil"/>
                    <w:right w:val="nil"/>
                  </w:tcBorders>
                  <w:noWrap/>
                  <w:vAlign w:val="bottom"/>
                  <w:hideMark/>
                </w:tcPr>
                <w:p w14:paraId="5D7A5087" w14:textId="067B710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F403B3">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38702B07" w14:textId="7320E18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422F792B" w14:textId="5D809DF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9</w:t>
                  </w:r>
                </w:p>
              </w:tc>
              <w:tc>
                <w:tcPr>
                  <w:tcW w:w="699" w:type="dxa"/>
                  <w:tcBorders>
                    <w:top w:val="nil"/>
                    <w:left w:val="nil"/>
                    <w:bottom w:val="nil"/>
                    <w:right w:val="nil"/>
                  </w:tcBorders>
                  <w:noWrap/>
                  <w:vAlign w:val="bottom"/>
                  <w:hideMark/>
                </w:tcPr>
                <w:p w14:paraId="3248475B" w14:textId="65C34D5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184212">
                    <w:rPr>
                      <w:rFonts w:cs="Arial"/>
                      <w:color w:val="000000"/>
                      <w:sz w:val="16"/>
                      <w:szCs w:val="16"/>
                    </w:rPr>
                    <w:t>.</w:t>
                  </w:r>
                  <w:r w:rsidRPr="00B131B0">
                    <w:rPr>
                      <w:rFonts w:cs="Arial"/>
                      <w:color w:val="000000"/>
                      <w:sz w:val="16"/>
                      <w:szCs w:val="16"/>
                    </w:rPr>
                    <w:t>3</w:t>
                  </w:r>
                </w:p>
              </w:tc>
              <w:tc>
                <w:tcPr>
                  <w:tcW w:w="464" w:type="dxa"/>
                  <w:tcBorders>
                    <w:top w:val="nil"/>
                    <w:left w:val="nil"/>
                    <w:bottom w:val="nil"/>
                    <w:right w:val="nil"/>
                  </w:tcBorders>
                  <w:noWrap/>
                  <w:vAlign w:val="bottom"/>
                  <w:hideMark/>
                </w:tcPr>
                <w:p w14:paraId="19E634A5"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2F7E5577" w14:textId="5D66BF6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1CA18090" w14:textId="573714B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4</w:t>
                  </w:r>
                </w:p>
              </w:tc>
              <w:tc>
                <w:tcPr>
                  <w:tcW w:w="699" w:type="dxa"/>
                  <w:tcBorders>
                    <w:top w:val="nil"/>
                    <w:left w:val="nil"/>
                    <w:bottom w:val="nil"/>
                    <w:right w:val="nil"/>
                  </w:tcBorders>
                  <w:noWrap/>
                  <w:vAlign w:val="bottom"/>
                  <w:hideMark/>
                </w:tcPr>
                <w:p w14:paraId="7ACDCEFA" w14:textId="0E6C45A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448A55A4" w14:textId="77C849F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7</w:t>
                  </w:r>
                </w:p>
              </w:tc>
            </w:tr>
            <w:tr w:rsidR="006B1AFC" w:rsidRPr="00B131B0" w14:paraId="2491F1D0" w14:textId="77777777" w:rsidTr="003C4A79">
              <w:trPr>
                <w:trHeight w:val="255"/>
              </w:trPr>
              <w:tc>
                <w:tcPr>
                  <w:tcW w:w="3559" w:type="dxa"/>
                  <w:tcBorders>
                    <w:top w:val="nil"/>
                    <w:left w:val="nil"/>
                    <w:bottom w:val="nil"/>
                    <w:right w:val="nil"/>
                  </w:tcBorders>
                  <w:vAlign w:val="bottom"/>
                  <w:hideMark/>
                </w:tcPr>
                <w:p w14:paraId="6069C5C0" w14:textId="5C15F0D0" w:rsidR="006B1AFC" w:rsidRPr="00B131B0" w:rsidRDefault="008815BC" w:rsidP="003C4A79">
                  <w:pPr>
                    <w:spacing w:after="0" w:line="240" w:lineRule="auto"/>
                    <w:ind w:firstLine="224"/>
                    <w:jc w:val="left"/>
                    <w:rPr>
                      <w:rFonts w:cs="Arial"/>
                      <w:color w:val="000000"/>
                      <w:sz w:val="16"/>
                      <w:szCs w:val="16"/>
                      <w:lang w:eastAsia="ko-KR"/>
                    </w:rPr>
                  </w:pPr>
                  <w:r w:rsidRPr="008815BC">
                    <w:rPr>
                      <w:rFonts w:cs="Arial"/>
                      <w:color w:val="000000"/>
                      <w:sz w:val="16"/>
                      <w:szCs w:val="16"/>
                      <w:lang w:eastAsia="ko-KR"/>
                    </w:rPr>
                    <w:t>Furnishings, household equipment and routine household maintenance</w:t>
                  </w:r>
                </w:p>
              </w:tc>
              <w:tc>
                <w:tcPr>
                  <w:tcW w:w="699" w:type="dxa"/>
                  <w:tcBorders>
                    <w:top w:val="nil"/>
                    <w:left w:val="nil"/>
                    <w:bottom w:val="nil"/>
                    <w:right w:val="nil"/>
                  </w:tcBorders>
                  <w:noWrap/>
                  <w:vAlign w:val="bottom"/>
                  <w:hideMark/>
                </w:tcPr>
                <w:p w14:paraId="54D447D1" w14:textId="7B2B544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6ED3FA6F" w14:textId="1DDBDD3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553B6889" w14:textId="5D3E2DE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4</w:t>
                  </w:r>
                </w:p>
              </w:tc>
              <w:tc>
                <w:tcPr>
                  <w:tcW w:w="699" w:type="dxa"/>
                  <w:tcBorders>
                    <w:top w:val="nil"/>
                    <w:left w:val="nil"/>
                    <w:bottom w:val="nil"/>
                    <w:right w:val="nil"/>
                  </w:tcBorders>
                  <w:noWrap/>
                  <w:vAlign w:val="bottom"/>
                  <w:hideMark/>
                </w:tcPr>
                <w:p w14:paraId="6326457B" w14:textId="32F1D47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184212">
                    <w:rPr>
                      <w:rFonts w:cs="Arial"/>
                      <w:color w:val="000000"/>
                      <w:sz w:val="16"/>
                      <w:szCs w:val="16"/>
                    </w:rPr>
                    <w:t>.</w:t>
                  </w:r>
                  <w:r w:rsidRPr="00B131B0">
                    <w:rPr>
                      <w:rFonts w:cs="Arial"/>
                      <w:color w:val="000000"/>
                      <w:sz w:val="16"/>
                      <w:szCs w:val="16"/>
                    </w:rPr>
                    <w:t>3</w:t>
                  </w:r>
                </w:p>
              </w:tc>
              <w:tc>
                <w:tcPr>
                  <w:tcW w:w="464" w:type="dxa"/>
                  <w:tcBorders>
                    <w:top w:val="nil"/>
                    <w:left w:val="nil"/>
                    <w:bottom w:val="nil"/>
                    <w:right w:val="nil"/>
                  </w:tcBorders>
                  <w:noWrap/>
                  <w:vAlign w:val="bottom"/>
                  <w:hideMark/>
                </w:tcPr>
                <w:p w14:paraId="4E44673C"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313943B0" w14:textId="00AD675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0</w:t>
                  </w:r>
                </w:p>
              </w:tc>
              <w:tc>
                <w:tcPr>
                  <w:tcW w:w="699" w:type="dxa"/>
                  <w:tcBorders>
                    <w:top w:val="nil"/>
                    <w:left w:val="nil"/>
                    <w:bottom w:val="nil"/>
                    <w:right w:val="nil"/>
                  </w:tcBorders>
                  <w:noWrap/>
                  <w:vAlign w:val="bottom"/>
                  <w:hideMark/>
                </w:tcPr>
                <w:p w14:paraId="7CE67713" w14:textId="719187B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0</w:t>
                  </w:r>
                </w:p>
              </w:tc>
              <w:tc>
                <w:tcPr>
                  <w:tcW w:w="699" w:type="dxa"/>
                  <w:tcBorders>
                    <w:top w:val="nil"/>
                    <w:left w:val="nil"/>
                    <w:bottom w:val="nil"/>
                    <w:right w:val="nil"/>
                  </w:tcBorders>
                  <w:noWrap/>
                  <w:vAlign w:val="bottom"/>
                  <w:hideMark/>
                </w:tcPr>
                <w:p w14:paraId="30730053" w14:textId="4F13D39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46E043B3" w14:textId="7057F07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6</w:t>
                  </w:r>
                </w:p>
              </w:tc>
            </w:tr>
            <w:tr w:rsidR="006B1AFC" w:rsidRPr="00B131B0" w14:paraId="39B93EFF" w14:textId="77777777" w:rsidTr="003C4A79">
              <w:trPr>
                <w:trHeight w:val="255"/>
              </w:trPr>
              <w:tc>
                <w:tcPr>
                  <w:tcW w:w="3559" w:type="dxa"/>
                  <w:tcBorders>
                    <w:top w:val="nil"/>
                    <w:left w:val="nil"/>
                    <w:bottom w:val="nil"/>
                    <w:right w:val="nil"/>
                  </w:tcBorders>
                  <w:vAlign w:val="bottom"/>
                  <w:hideMark/>
                </w:tcPr>
                <w:p w14:paraId="0DF66C7E" w14:textId="6744681B" w:rsidR="006B1AFC" w:rsidRPr="00B131B0" w:rsidRDefault="00246B57"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Health</w:t>
                  </w:r>
                </w:p>
              </w:tc>
              <w:tc>
                <w:tcPr>
                  <w:tcW w:w="699" w:type="dxa"/>
                  <w:tcBorders>
                    <w:top w:val="nil"/>
                    <w:left w:val="nil"/>
                    <w:bottom w:val="nil"/>
                    <w:right w:val="nil"/>
                  </w:tcBorders>
                  <w:noWrap/>
                  <w:vAlign w:val="bottom"/>
                  <w:hideMark/>
                </w:tcPr>
                <w:p w14:paraId="41ACCC87" w14:textId="601BDC9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0</w:t>
                  </w:r>
                </w:p>
              </w:tc>
              <w:tc>
                <w:tcPr>
                  <w:tcW w:w="699" w:type="dxa"/>
                  <w:tcBorders>
                    <w:top w:val="nil"/>
                    <w:left w:val="nil"/>
                    <w:bottom w:val="nil"/>
                    <w:right w:val="nil"/>
                  </w:tcBorders>
                  <w:noWrap/>
                  <w:vAlign w:val="bottom"/>
                  <w:hideMark/>
                </w:tcPr>
                <w:p w14:paraId="1D2F3E12" w14:textId="4318E19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386D0903" w14:textId="4ECAC36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49FF9513" w14:textId="4A6CFD9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184212">
                    <w:rPr>
                      <w:rFonts w:cs="Arial"/>
                      <w:color w:val="000000"/>
                      <w:sz w:val="16"/>
                      <w:szCs w:val="16"/>
                    </w:rPr>
                    <w:t>.</w:t>
                  </w:r>
                  <w:r w:rsidRPr="00B131B0">
                    <w:rPr>
                      <w:rFonts w:cs="Arial"/>
                      <w:color w:val="000000"/>
                      <w:sz w:val="16"/>
                      <w:szCs w:val="16"/>
                    </w:rPr>
                    <w:t>4</w:t>
                  </w:r>
                </w:p>
              </w:tc>
              <w:tc>
                <w:tcPr>
                  <w:tcW w:w="464" w:type="dxa"/>
                  <w:tcBorders>
                    <w:top w:val="nil"/>
                    <w:left w:val="nil"/>
                    <w:bottom w:val="nil"/>
                    <w:right w:val="nil"/>
                  </w:tcBorders>
                  <w:noWrap/>
                  <w:vAlign w:val="bottom"/>
                  <w:hideMark/>
                </w:tcPr>
                <w:p w14:paraId="6D06E3B3"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3C5A3626" w14:textId="108D777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6BDC2DD6" w14:textId="594BC1E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78D7695E" w14:textId="4FA9C8B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7AF23A73" w14:textId="4BD9997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0</w:t>
                  </w:r>
                </w:p>
              </w:tc>
            </w:tr>
            <w:tr w:rsidR="006B1AFC" w:rsidRPr="00B131B0" w14:paraId="57CCDB2E" w14:textId="77777777" w:rsidTr="003C4A79">
              <w:trPr>
                <w:trHeight w:val="255"/>
              </w:trPr>
              <w:tc>
                <w:tcPr>
                  <w:tcW w:w="3559" w:type="dxa"/>
                  <w:tcBorders>
                    <w:top w:val="nil"/>
                    <w:left w:val="nil"/>
                    <w:bottom w:val="nil"/>
                    <w:right w:val="nil"/>
                  </w:tcBorders>
                  <w:vAlign w:val="bottom"/>
                  <w:hideMark/>
                </w:tcPr>
                <w:p w14:paraId="12B281CC" w14:textId="2CC32798" w:rsidR="006B1AFC" w:rsidRPr="00B131B0" w:rsidRDefault="00246B57"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Transport</w:t>
                  </w:r>
                </w:p>
              </w:tc>
              <w:tc>
                <w:tcPr>
                  <w:tcW w:w="699" w:type="dxa"/>
                  <w:tcBorders>
                    <w:top w:val="nil"/>
                    <w:left w:val="nil"/>
                    <w:bottom w:val="nil"/>
                    <w:right w:val="nil"/>
                  </w:tcBorders>
                  <w:noWrap/>
                  <w:vAlign w:val="bottom"/>
                  <w:hideMark/>
                </w:tcPr>
                <w:p w14:paraId="652A3BAF" w14:textId="65F6F1E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20409AD8" w14:textId="2E44035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69810404" w14:textId="301E9B0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15840C76" w14:textId="5A17045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7</w:t>
                  </w:r>
                  <w:r w:rsidR="00184212">
                    <w:rPr>
                      <w:rFonts w:cs="Arial"/>
                      <w:color w:val="000000"/>
                      <w:sz w:val="16"/>
                      <w:szCs w:val="16"/>
                    </w:rPr>
                    <w:t>.</w:t>
                  </w:r>
                  <w:r w:rsidRPr="00B131B0">
                    <w:rPr>
                      <w:rFonts w:cs="Arial"/>
                      <w:color w:val="000000"/>
                      <w:sz w:val="16"/>
                      <w:szCs w:val="16"/>
                    </w:rPr>
                    <w:t>9</w:t>
                  </w:r>
                </w:p>
              </w:tc>
              <w:tc>
                <w:tcPr>
                  <w:tcW w:w="464" w:type="dxa"/>
                  <w:tcBorders>
                    <w:top w:val="nil"/>
                    <w:left w:val="nil"/>
                    <w:bottom w:val="nil"/>
                    <w:right w:val="nil"/>
                  </w:tcBorders>
                  <w:noWrap/>
                  <w:vAlign w:val="bottom"/>
                  <w:hideMark/>
                </w:tcPr>
                <w:p w14:paraId="05DEB9C7"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4C89AF87" w14:textId="67D45EA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591FBCA3" w14:textId="7FC7636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319496F4" w14:textId="0222721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D0029C">
                    <w:rPr>
                      <w:rFonts w:cs="Arial"/>
                      <w:color w:val="000000"/>
                      <w:sz w:val="16"/>
                      <w:szCs w:val="16"/>
                      <w:lang w:eastAsia="ko-KR"/>
                    </w:rPr>
                    <w:t>.</w:t>
                  </w:r>
                  <w:r w:rsidRPr="00B131B0">
                    <w:rPr>
                      <w:rFonts w:cs="Arial"/>
                      <w:color w:val="000000"/>
                      <w:sz w:val="16"/>
                      <w:szCs w:val="16"/>
                      <w:lang w:eastAsia="ko-KR"/>
                    </w:rPr>
                    <w:t>7</w:t>
                  </w:r>
                </w:p>
              </w:tc>
              <w:tc>
                <w:tcPr>
                  <w:tcW w:w="699" w:type="dxa"/>
                  <w:tcBorders>
                    <w:top w:val="nil"/>
                    <w:left w:val="nil"/>
                    <w:bottom w:val="nil"/>
                    <w:right w:val="nil"/>
                  </w:tcBorders>
                  <w:noWrap/>
                  <w:vAlign w:val="bottom"/>
                  <w:hideMark/>
                </w:tcPr>
                <w:p w14:paraId="2C6FCB09" w14:textId="536F31C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053ADA">
                    <w:rPr>
                      <w:rFonts w:cs="Arial"/>
                      <w:color w:val="000000"/>
                      <w:sz w:val="16"/>
                      <w:szCs w:val="16"/>
                      <w:lang w:eastAsia="ko-KR"/>
                    </w:rPr>
                    <w:t>.</w:t>
                  </w:r>
                  <w:r w:rsidRPr="00B131B0">
                    <w:rPr>
                      <w:rFonts w:cs="Arial"/>
                      <w:color w:val="000000"/>
                      <w:sz w:val="16"/>
                      <w:szCs w:val="16"/>
                      <w:lang w:eastAsia="ko-KR"/>
                    </w:rPr>
                    <w:t>0</w:t>
                  </w:r>
                </w:p>
              </w:tc>
            </w:tr>
            <w:tr w:rsidR="006B1AFC" w:rsidRPr="00B131B0" w14:paraId="2BAFCC29" w14:textId="77777777" w:rsidTr="003C4A79">
              <w:trPr>
                <w:trHeight w:val="255"/>
              </w:trPr>
              <w:tc>
                <w:tcPr>
                  <w:tcW w:w="3559" w:type="dxa"/>
                  <w:tcBorders>
                    <w:top w:val="nil"/>
                    <w:left w:val="nil"/>
                    <w:bottom w:val="nil"/>
                    <w:right w:val="nil"/>
                  </w:tcBorders>
                  <w:vAlign w:val="bottom"/>
                  <w:hideMark/>
                </w:tcPr>
                <w:p w14:paraId="6901556A" w14:textId="228AB75F" w:rsidR="006B1AFC" w:rsidRPr="00B131B0" w:rsidRDefault="006B1AFC" w:rsidP="003C4A79">
                  <w:pPr>
                    <w:spacing w:after="0" w:line="240" w:lineRule="auto"/>
                    <w:ind w:firstLine="224"/>
                    <w:jc w:val="left"/>
                    <w:rPr>
                      <w:rFonts w:cs="Arial"/>
                      <w:color w:val="000000"/>
                      <w:sz w:val="16"/>
                      <w:szCs w:val="16"/>
                      <w:lang w:eastAsia="ko-KR"/>
                    </w:rPr>
                  </w:pPr>
                  <w:r w:rsidRPr="00B131B0">
                    <w:rPr>
                      <w:rFonts w:cs="Arial"/>
                      <w:color w:val="000000"/>
                      <w:sz w:val="16"/>
                      <w:szCs w:val="16"/>
                      <w:lang w:eastAsia="ko-KR"/>
                    </w:rPr>
                    <w:t>Inform</w:t>
                  </w:r>
                  <w:r w:rsidR="00246B57">
                    <w:rPr>
                      <w:rFonts w:cs="Arial"/>
                      <w:color w:val="000000"/>
                      <w:sz w:val="16"/>
                      <w:szCs w:val="16"/>
                      <w:lang w:eastAsia="ko-KR"/>
                    </w:rPr>
                    <w:t xml:space="preserve">ation and communication </w:t>
                  </w:r>
                </w:p>
              </w:tc>
              <w:tc>
                <w:tcPr>
                  <w:tcW w:w="699" w:type="dxa"/>
                  <w:tcBorders>
                    <w:top w:val="nil"/>
                    <w:left w:val="nil"/>
                    <w:bottom w:val="nil"/>
                    <w:right w:val="nil"/>
                  </w:tcBorders>
                  <w:noWrap/>
                  <w:vAlign w:val="bottom"/>
                  <w:hideMark/>
                </w:tcPr>
                <w:p w14:paraId="7336BE50" w14:textId="2CE0D45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162FF81A" w14:textId="0982B8E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494DCCCB" w14:textId="7F33E24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3</w:t>
                  </w:r>
                </w:p>
              </w:tc>
              <w:tc>
                <w:tcPr>
                  <w:tcW w:w="699" w:type="dxa"/>
                  <w:tcBorders>
                    <w:top w:val="nil"/>
                    <w:left w:val="nil"/>
                    <w:bottom w:val="nil"/>
                    <w:right w:val="nil"/>
                  </w:tcBorders>
                  <w:noWrap/>
                  <w:vAlign w:val="bottom"/>
                  <w:hideMark/>
                </w:tcPr>
                <w:p w14:paraId="48B66F4C" w14:textId="15037E5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184212">
                    <w:rPr>
                      <w:rFonts w:cs="Arial"/>
                      <w:color w:val="000000"/>
                      <w:sz w:val="16"/>
                      <w:szCs w:val="16"/>
                    </w:rPr>
                    <w:t>.</w:t>
                  </w:r>
                  <w:r w:rsidRPr="00B131B0">
                    <w:rPr>
                      <w:rFonts w:cs="Arial"/>
                      <w:color w:val="000000"/>
                      <w:sz w:val="16"/>
                      <w:szCs w:val="16"/>
                    </w:rPr>
                    <w:t>6</w:t>
                  </w:r>
                </w:p>
              </w:tc>
              <w:tc>
                <w:tcPr>
                  <w:tcW w:w="464" w:type="dxa"/>
                  <w:tcBorders>
                    <w:top w:val="nil"/>
                    <w:left w:val="nil"/>
                    <w:bottom w:val="nil"/>
                    <w:right w:val="nil"/>
                  </w:tcBorders>
                  <w:noWrap/>
                  <w:vAlign w:val="bottom"/>
                  <w:hideMark/>
                </w:tcPr>
                <w:p w14:paraId="19D89180"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24529BA4" w14:textId="31E7AB7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8</w:t>
                  </w:r>
                </w:p>
              </w:tc>
              <w:tc>
                <w:tcPr>
                  <w:tcW w:w="699" w:type="dxa"/>
                  <w:tcBorders>
                    <w:top w:val="nil"/>
                    <w:left w:val="nil"/>
                    <w:bottom w:val="nil"/>
                    <w:right w:val="nil"/>
                  </w:tcBorders>
                  <w:noWrap/>
                  <w:vAlign w:val="bottom"/>
                  <w:hideMark/>
                </w:tcPr>
                <w:p w14:paraId="1029A8A4" w14:textId="1A6A0DD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293748B0" w14:textId="186E8D5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48EC48C0" w14:textId="7766E11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0</w:t>
                  </w:r>
                </w:p>
              </w:tc>
            </w:tr>
            <w:tr w:rsidR="006B1AFC" w:rsidRPr="00B131B0" w14:paraId="3969546F" w14:textId="77777777" w:rsidTr="003C4A79">
              <w:trPr>
                <w:trHeight w:val="255"/>
              </w:trPr>
              <w:tc>
                <w:tcPr>
                  <w:tcW w:w="3559" w:type="dxa"/>
                  <w:tcBorders>
                    <w:top w:val="nil"/>
                    <w:left w:val="nil"/>
                    <w:bottom w:val="nil"/>
                    <w:right w:val="nil"/>
                  </w:tcBorders>
                  <w:vAlign w:val="bottom"/>
                  <w:hideMark/>
                </w:tcPr>
                <w:p w14:paraId="123815A4" w14:textId="3AF12487" w:rsidR="006B1AFC" w:rsidRPr="00B131B0" w:rsidRDefault="006B1AFC" w:rsidP="003C4A79">
                  <w:pPr>
                    <w:spacing w:after="0" w:line="240" w:lineRule="auto"/>
                    <w:ind w:firstLine="224"/>
                    <w:jc w:val="left"/>
                    <w:rPr>
                      <w:rFonts w:cs="Arial"/>
                      <w:color w:val="000000"/>
                      <w:sz w:val="16"/>
                      <w:szCs w:val="16"/>
                      <w:lang w:eastAsia="ko-KR"/>
                    </w:rPr>
                  </w:pPr>
                  <w:r w:rsidRPr="00B131B0">
                    <w:rPr>
                      <w:rFonts w:cs="Arial"/>
                      <w:color w:val="000000"/>
                      <w:sz w:val="16"/>
                      <w:szCs w:val="16"/>
                      <w:lang w:eastAsia="ko-KR"/>
                    </w:rPr>
                    <w:t>Re</w:t>
                  </w:r>
                  <w:r w:rsidR="008B483B">
                    <w:rPr>
                      <w:rFonts w:cs="Arial"/>
                      <w:color w:val="000000"/>
                      <w:sz w:val="16"/>
                      <w:szCs w:val="16"/>
                      <w:lang w:eastAsia="ko-KR"/>
                    </w:rPr>
                    <w:t>creation, sport and culture</w:t>
                  </w:r>
                </w:p>
              </w:tc>
              <w:tc>
                <w:tcPr>
                  <w:tcW w:w="699" w:type="dxa"/>
                  <w:tcBorders>
                    <w:top w:val="nil"/>
                    <w:left w:val="nil"/>
                    <w:bottom w:val="nil"/>
                    <w:right w:val="nil"/>
                  </w:tcBorders>
                  <w:noWrap/>
                  <w:vAlign w:val="bottom"/>
                  <w:hideMark/>
                </w:tcPr>
                <w:p w14:paraId="0CA2F8C4" w14:textId="4A9682D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632E35EB" w14:textId="5D2D209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5</w:t>
                  </w:r>
                </w:p>
              </w:tc>
              <w:tc>
                <w:tcPr>
                  <w:tcW w:w="699" w:type="dxa"/>
                  <w:tcBorders>
                    <w:top w:val="nil"/>
                    <w:left w:val="nil"/>
                    <w:bottom w:val="nil"/>
                    <w:right w:val="nil"/>
                  </w:tcBorders>
                  <w:noWrap/>
                  <w:vAlign w:val="bottom"/>
                  <w:hideMark/>
                </w:tcPr>
                <w:p w14:paraId="7ED7537B" w14:textId="4CFFC24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25AA9118" w14:textId="65AFB5E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184212">
                    <w:rPr>
                      <w:rFonts w:cs="Arial"/>
                      <w:color w:val="000000"/>
                      <w:sz w:val="16"/>
                      <w:szCs w:val="16"/>
                    </w:rPr>
                    <w:t>.</w:t>
                  </w:r>
                  <w:r w:rsidRPr="00B131B0">
                    <w:rPr>
                      <w:rFonts w:cs="Arial"/>
                      <w:color w:val="000000"/>
                      <w:sz w:val="16"/>
                      <w:szCs w:val="16"/>
                    </w:rPr>
                    <w:t>0</w:t>
                  </w:r>
                </w:p>
              </w:tc>
              <w:tc>
                <w:tcPr>
                  <w:tcW w:w="464" w:type="dxa"/>
                  <w:tcBorders>
                    <w:top w:val="nil"/>
                    <w:left w:val="nil"/>
                    <w:bottom w:val="nil"/>
                    <w:right w:val="nil"/>
                  </w:tcBorders>
                  <w:noWrap/>
                  <w:vAlign w:val="bottom"/>
                  <w:hideMark/>
                </w:tcPr>
                <w:p w14:paraId="1B8CFF7E"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0B3239FA" w14:textId="497FA8D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20E6DDF3" w14:textId="022E1DF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w:t>
                  </w:r>
                  <w:r w:rsidR="00D0029C">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53DD7A9C" w14:textId="6B81FDF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72B58983" w14:textId="7241E5D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1</w:t>
                  </w:r>
                </w:p>
              </w:tc>
            </w:tr>
            <w:tr w:rsidR="006B1AFC" w:rsidRPr="00B131B0" w14:paraId="516BAEF9" w14:textId="77777777" w:rsidTr="003C4A79">
              <w:trPr>
                <w:trHeight w:val="255"/>
              </w:trPr>
              <w:tc>
                <w:tcPr>
                  <w:tcW w:w="3559" w:type="dxa"/>
                  <w:tcBorders>
                    <w:top w:val="nil"/>
                    <w:left w:val="nil"/>
                    <w:bottom w:val="nil"/>
                    <w:right w:val="nil"/>
                  </w:tcBorders>
                  <w:vAlign w:val="bottom"/>
                  <w:hideMark/>
                </w:tcPr>
                <w:p w14:paraId="18D90B41" w14:textId="0DD6CBD7" w:rsidR="006B1AFC" w:rsidRPr="00B131B0" w:rsidRDefault="008B483B"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Education</w:t>
                  </w:r>
                </w:p>
              </w:tc>
              <w:tc>
                <w:tcPr>
                  <w:tcW w:w="699" w:type="dxa"/>
                  <w:tcBorders>
                    <w:top w:val="nil"/>
                    <w:left w:val="nil"/>
                    <w:bottom w:val="nil"/>
                    <w:right w:val="nil"/>
                  </w:tcBorders>
                  <w:noWrap/>
                  <w:vAlign w:val="bottom"/>
                  <w:hideMark/>
                </w:tcPr>
                <w:p w14:paraId="599189CA" w14:textId="35397C5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8</w:t>
                  </w:r>
                  <w:r w:rsidR="0006181C">
                    <w:rPr>
                      <w:rFonts w:cs="Arial"/>
                      <w:color w:val="000000"/>
                      <w:sz w:val="16"/>
                      <w:szCs w:val="16"/>
                    </w:rPr>
                    <w:t>.</w:t>
                  </w:r>
                  <w:r w:rsidRPr="00B131B0">
                    <w:rPr>
                      <w:rFonts w:cs="Arial"/>
                      <w:color w:val="000000"/>
                      <w:sz w:val="16"/>
                      <w:szCs w:val="16"/>
                    </w:rPr>
                    <w:t>7</w:t>
                  </w:r>
                </w:p>
              </w:tc>
              <w:tc>
                <w:tcPr>
                  <w:tcW w:w="699" w:type="dxa"/>
                  <w:tcBorders>
                    <w:top w:val="nil"/>
                    <w:left w:val="nil"/>
                    <w:bottom w:val="nil"/>
                    <w:right w:val="nil"/>
                  </w:tcBorders>
                  <w:noWrap/>
                  <w:vAlign w:val="bottom"/>
                  <w:hideMark/>
                </w:tcPr>
                <w:p w14:paraId="3F5FE7AB" w14:textId="7798B9D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5D476A6E" w14:textId="0DC4CDD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0</w:t>
                  </w:r>
                </w:p>
              </w:tc>
              <w:tc>
                <w:tcPr>
                  <w:tcW w:w="699" w:type="dxa"/>
                  <w:tcBorders>
                    <w:top w:val="nil"/>
                    <w:left w:val="nil"/>
                    <w:bottom w:val="nil"/>
                    <w:right w:val="nil"/>
                  </w:tcBorders>
                  <w:noWrap/>
                  <w:vAlign w:val="bottom"/>
                  <w:hideMark/>
                </w:tcPr>
                <w:p w14:paraId="17CAD99A" w14:textId="1BC8DFC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184212">
                    <w:rPr>
                      <w:rFonts w:cs="Arial"/>
                      <w:color w:val="000000"/>
                      <w:sz w:val="16"/>
                      <w:szCs w:val="16"/>
                    </w:rPr>
                    <w:t>.</w:t>
                  </w:r>
                  <w:r w:rsidRPr="00B131B0">
                    <w:rPr>
                      <w:rFonts w:cs="Arial"/>
                      <w:color w:val="000000"/>
                      <w:sz w:val="16"/>
                      <w:szCs w:val="16"/>
                    </w:rPr>
                    <w:t>0</w:t>
                  </w:r>
                </w:p>
              </w:tc>
              <w:tc>
                <w:tcPr>
                  <w:tcW w:w="464" w:type="dxa"/>
                  <w:tcBorders>
                    <w:top w:val="nil"/>
                    <w:left w:val="nil"/>
                    <w:bottom w:val="nil"/>
                    <w:right w:val="nil"/>
                  </w:tcBorders>
                  <w:noWrap/>
                  <w:vAlign w:val="bottom"/>
                  <w:hideMark/>
                </w:tcPr>
                <w:p w14:paraId="5C0AA20A"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1EF74336" w14:textId="7913D6A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0EDA1F79" w14:textId="503FDDE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4</w:t>
                  </w:r>
                </w:p>
              </w:tc>
              <w:tc>
                <w:tcPr>
                  <w:tcW w:w="699" w:type="dxa"/>
                  <w:tcBorders>
                    <w:top w:val="nil"/>
                    <w:left w:val="nil"/>
                    <w:bottom w:val="nil"/>
                    <w:right w:val="nil"/>
                  </w:tcBorders>
                  <w:noWrap/>
                  <w:vAlign w:val="bottom"/>
                  <w:hideMark/>
                </w:tcPr>
                <w:p w14:paraId="60F628EA" w14:textId="1E55B2F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5E8C8F8B" w14:textId="58D3FD6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2</w:t>
                  </w:r>
                </w:p>
              </w:tc>
            </w:tr>
            <w:tr w:rsidR="006B1AFC" w:rsidRPr="00B131B0" w14:paraId="746D0D01" w14:textId="77777777" w:rsidTr="003C4A79">
              <w:trPr>
                <w:trHeight w:val="255"/>
              </w:trPr>
              <w:tc>
                <w:tcPr>
                  <w:tcW w:w="3559" w:type="dxa"/>
                  <w:tcBorders>
                    <w:top w:val="nil"/>
                    <w:left w:val="nil"/>
                    <w:bottom w:val="nil"/>
                    <w:right w:val="nil"/>
                  </w:tcBorders>
                  <w:vAlign w:val="bottom"/>
                  <w:hideMark/>
                </w:tcPr>
                <w:p w14:paraId="2B245A61" w14:textId="1E4202BA" w:rsidR="006B1AFC" w:rsidRPr="00B131B0" w:rsidRDefault="008815BC" w:rsidP="003C4A79">
                  <w:pPr>
                    <w:spacing w:after="0" w:line="240" w:lineRule="auto"/>
                    <w:ind w:firstLine="224"/>
                    <w:jc w:val="left"/>
                    <w:rPr>
                      <w:rFonts w:cs="Arial"/>
                      <w:color w:val="000000"/>
                      <w:sz w:val="16"/>
                      <w:szCs w:val="16"/>
                      <w:lang w:eastAsia="ko-KR"/>
                    </w:rPr>
                  </w:pPr>
                  <w:r w:rsidRPr="008815BC">
                    <w:rPr>
                      <w:rFonts w:cs="Arial"/>
                      <w:color w:val="000000"/>
                      <w:sz w:val="16"/>
                      <w:szCs w:val="16"/>
                      <w:lang w:eastAsia="ko-KR"/>
                    </w:rPr>
                    <w:t>Restaurants and accommodation services</w:t>
                  </w:r>
                </w:p>
              </w:tc>
              <w:tc>
                <w:tcPr>
                  <w:tcW w:w="699" w:type="dxa"/>
                  <w:tcBorders>
                    <w:top w:val="nil"/>
                    <w:left w:val="nil"/>
                    <w:bottom w:val="nil"/>
                    <w:right w:val="nil"/>
                  </w:tcBorders>
                  <w:noWrap/>
                  <w:vAlign w:val="bottom"/>
                  <w:hideMark/>
                </w:tcPr>
                <w:p w14:paraId="2CABFF80" w14:textId="63C6D12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5D75972F" w14:textId="74988C8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7</w:t>
                  </w:r>
                </w:p>
              </w:tc>
              <w:tc>
                <w:tcPr>
                  <w:tcW w:w="699" w:type="dxa"/>
                  <w:tcBorders>
                    <w:top w:val="nil"/>
                    <w:left w:val="nil"/>
                    <w:bottom w:val="nil"/>
                    <w:right w:val="nil"/>
                  </w:tcBorders>
                  <w:noWrap/>
                  <w:vAlign w:val="bottom"/>
                  <w:hideMark/>
                </w:tcPr>
                <w:p w14:paraId="0335BD12" w14:textId="22261E4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3FA30A98" w14:textId="59EE0D5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184212">
                    <w:rPr>
                      <w:rFonts w:cs="Arial"/>
                      <w:color w:val="000000"/>
                      <w:sz w:val="16"/>
                      <w:szCs w:val="16"/>
                    </w:rPr>
                    <w:t>.</w:t>
                  </w:r>
                  <w:r w:rsidRPr="00B131B0">
                    <w:rPr>
                      <w:rFonts w:cs="Arial"/>
                      <w:color w:val="000000"/>
                      <w:sz w:val="16"/>
                      <w:szCs w:val="16"/>
                    </w:rPr>
                    <w:t>4</w:t>
                  </w:r>
                </w:p>
              </w:tc>
              <w:tc>
                <w:tcPr>
                  <w:tcW w:w="464" w:type="dxa"/>
                  <w:tcBorders>
                    <w:top w:val="nil"/>
                    <w:left w:val="nil"/>
                    <w:bottom w:val="nil"/>
                    <w:right w:val="nil"/>
                  </w:tcBorders>
                  <w:noWrap/>
                  <w:vAlign w:val="bottom"/>
                  <w:hideMark/>
                </w:tcPr>
                <w:p w14:paraId="6CDA45C1"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0CB2FA79" w14:textId="10420CA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447D51">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493FA316" w14:textId="1B191FA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8</w:t>
                  </w:r>
                </w:p>
              </w:tc>
              <w:tc>
                <w:tcPr>
                  <w:tcW w:w="699" w:type="dxa"/>
                  <w:tcBorders>
                    <w:top w:val="nil"/>
                    <w:left w:val="nil"/>
                    <w:bottom w:val="nil"/>
                    <w:right w:val="nil"/>
                  </w:tcBorders>
                  <w:noWrap/>
                  <w:vAlign w:val="bottom"/>
                  <w:hideMark/>
                </w:tcPr>
                <w:p w14:paraId="29606680" w14:textId="56FD39F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7248F85D" w14:textId="15F5AB6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4</w:t>
                  </w:r>
                </w:p>
              </w:tc>
            </w:tr>
            <w:tr w:rsidR="006B1AFC" w:rsidRPr="00B131B0" w14:paraId="04751383" w14:textId="77777777" w:rsidTr="003C4A79">
              <w:trPr>
                <w:trHeight w:val="255"/>
              </w:trPr>
              <w:tc>
                <w:tcPr>
                  <w:tcW w:w="3559" w:type="dxa"/>
                  <w:tcBorders>
                    <w:top w:val="nil"/>
                    <w:left w:val="nil"/>
                    <w:bottom w:val="nil"/>
                    <w:right w:val="nil"/>
                  </w:tcBorders>
                  <w:vAlign w:val="bottom"/>
                  <w:hideMark/>
                </w:tcPr>
                <w:p w14:paraId="1698DE12" w14:textId="310F4423" w:rsidR="006B1AFC" w:rsidRPr="00B131B0" w:rsidRDefault="008B483B"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Insurance and financial services</w:t>
                  </w:r>
                </w:p>
              </w:tc>
              <w:tc>
                <w:tcPr>
                  <w:tcW w:w="699" w:type="dxa"/>
                  <w:tcBorders>
                    <w:top w:val="nil"/>
                    <w:left w:val="nil"/>
                    <w:bottom w:val="nil"/>
                    <w:right w:val="nil"/>
                  </w:tcBorders>
                  <w:noWrap/>
                  <w:vAlign w:val="bottom"/>
                  <w:hideMark/>
                </w:tcPr>
                <w:p w14:paraId="018C1203" w14:textId="3E1F384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759BBCC7" w14:textId="5A27E01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5</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72A60744" w14:textId="183FB68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5</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6671B383" w14:textId="5D6A488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184212">
                    <w:rPr>
                      <w:rFonts w:cs="Arial"/>
                      <w:color w:val="000000"/>
                      <w:sz w:val="16"/>
                      <w:szCs w:val="16"/>
                    </w:rPr>
                    <w:t>.</w:t>
                  </w:r>
                  <w:r w:rsidRPr="00B131B0">
                    <w:rPr>
                      <w:rFonts w:cs="Arial"/>
                      <w:color w:val="000000"/>
                      <w:sz w:val="16"/>
                      <w:szCs w:val="16"/>
                    </w:rPr>
                    <w:t>1</w:t>
                  </w:r>
                </w:p>
              </w:tc>
              <w:tc>
                <w:tcPr>
                  <w:tcW w:w="464" w:type="dxa"/>
                  <w:tcBorders>
                    <w:top w:val="nil"/>
                    <w:left w:val="nil"/>
                    <w:bottom w:val="nil"/>
                    <w:right w:val="nil"/>
                  </w:tcBorders>
                  <w:noWrap/>
                  <w:vAlign w:val="bottom"/>
                  <w:hideMark/>
                </w:tcPr>
                <w:p w14:paraId="33009383"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3827EA26" w14:textId="6D815B8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6E4E7A4F" w14:textId="193DFCF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D0029C">
                    <w:rPr>
                      <w:rFonts w:cs="Arial"/>
                      <w:color w:val="000000"/>
                      <w:sz w:val="16"/>
                      <w:szCs w:val="16"/>
                      <w:lang w:eastAsia="ko-KR"/>
                    </w:rPr>
                    <w:t>.</w:t>
                  </w:r>
                  <w:r w:rsidRPr="00B131B0">
                    <w:rPr>
                      <w:rFonts w:cs="Arial"/>
                      <w:color w:val="000000"/>
                      <w:sz w:val="16"/>
                      <w:szCs w:val="16"/>
                      <w:lang w:eastAsia="ko-KR"/>
                    </w:rPr>
                    <w:t>0</w:t>
                  </w:r>
                </w:p>
              </w:tc>
              <w:tc>
                <w:tcPr>
                  <w:tcW w:w="699" w:type="dxa"/>
                  <w:tcBorders>
                    <w:top w:val="nil"/>
                    <w:left w:val="nil"/>
                    <w:bottom w:val="nil"/>
                    <w:right w:val="nil"/>
                  </w:tcBorders>
                  <w:noWrap/>
                  <w:vAlign w:val="bottom"/>
                  <w:hideMark/>
                </w:tcPr>
                <w:p w14:paraId="53B725FA" w14:textId="23A55C6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053ADA">
                    <w:rPr>
                      <w:rFonts w:cs="Arial"/>
                      <w:color w:val="000000"/>
                      <w:sz w:val="16"/>
                      <w:szCs w:val="16"/>
                      <w:lang w:eastAsia="ko-KR"/>
                    </w:rPr>
                    <w:t>.</w:t>
                  </w:r>
                  <w:r w:rsidRPr="00B131B0">
                    <w:rPr>
                      <w:rFonts w:cs="Arial"/>
                      <w:color w:val="000000"/>
                      <w:sz w:val="16"/>
                      <w:szCs w:val="16"/>
                      <w:lang w:eastAsia="ko-KR"/>
                    </w:rPr>
                    <w:t>0</w:t>
                  </w:r>
                </w:p>
              </w:tc>
              <w:tc>
                <w:tcPr>
                  <w:tcW w:w="699" w:type="dxa"/>
                  <w:tcBorders>
                    <w:top w:val="nil"/>
                    <w:left w:val="nil"/>
                    <w:bottom w:val="nil"/>
                    <w:right w:val="nil"/>
                  </w:tcBorders>
                  <w:noWrap/>
                  <w:vAlign w:val="bottom"/>
                  <w:hideMark/>
                </w:tcPr>
                <w:p w14:paraId="3438DCA2" w14:textId="63C9A53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5</w:t>
                  </w:r>
                </w:p>
              </w:tc>
            </w:tr>
            <w:tr w:rsidR="006B1AFC" w:rsidRPr="00B131B0" w14:paraId="5F6343AC" w14:textId="77777777" w:rsidTr="003C4A79">
              <w:trPr>
                <w:trHeight w:val="255"/>
              </w:trPr>
              <w:tc>
                <w:tcPr>
                  <w:tcW w:w="3559" w:type="dxa"/>
                  <w:tcBorders>
                    <w:top w:val="nil"/>
                    <w:left w:val="nil"/>
                    <w:bottom w:val="nil"/>
                    <w:right w:val="nil"/>
                  </w:tcBorders>
                  <w:vAlign w:val="bottom"/>
                  <w:hideMark/>
                </w:tcPr>
                <w:p w14:paraId="1A7A4835" w14:textId="6B12AB2B" w:rsidR="006B1AFC" w:rsidRPr="00B131B0" w:rsidRDefault="006030F6" w:rsidP="00326029">
                  <w:pPr>
                    <w:spacing w:before="100" w:beforeAutospacing="1" w:after="0" w:line="240" w:lineRule="auto"/>
                    <w:ind w:firstLine="227"/>
                    <w:jc w:val="left"/>
                    <w:rPr>
                      <w:rFonts w:cs="Arial"/>
                      <w:color w:val="000000"/>
                      <w:sz w:val="16"/>
                      <w:szCs w:val="16"/>
                      <w:lang w:eastAsia="ko-KR"/>
                    </w:rPr>
                  </w:pPr>
                  <w:r>
                    <w:rPr>
                      <w:rFonts w:cs="Arial"/>
                      <w:color w:val="000000"/>
                      <w:sz w:val="16"/>
                      <w:szCs w:val="16"/>
                      <w:lang w:eastAsia="ko-KR"/>
                    </w:rPr>
                    <w:t>P</w:t>
                  </w:r>
                  <w:r w:rsidR="00A83420">
                    <w:rPr>
                      <w:rFonts w:cs="Arial"/>
                      <w:color w:val="000000"/>
                      <w:sz w:val="16"/>
                      <w:szCs w:val="16"/>
                      <w:lang w:eastAsia="ko-KR"/>
                    </w:rPr>
                    <w:t>ersonal</w:t>
                  </w:r>
                  <w:r w:rsidR="006B1E28">
                    <w:rPr>
                      <w:rFonts w:cs="Arial"/>
                      <w:color w:val="000000"/>
                      <w:sz w:val="16"/>
                      <w:szCs w:val="16"/>
                      <w:lang w:eastAsia="ko-KR"/>
                    </w:rPr>
                    <w:t xml:space="preserve"> care, </w:t>
                  </w:r>
                  <w:r w:rsidR="00A83420">
                    <w:rPr>
                      <w:rFonts w:cs="Arial"/>
                      <w:color w:val="000000"/>
                      <w:sz w:val="16"/>
                      <w:szCs w:val="16"/>
                      <w:lang w:eastAsia="ko-KR"/>
                    </w:rPr>
                    <w:t xml:space="preserve">social </w:t>
                  </w:r>
                  <w:r w:rsidR="006B1E28">
                    <w:rPr>
                      <w:rFonts w:cs="Arial"/>
                      <w:color w:val="000000"/>
                      <w:sz w:val="16"/>
                      <w:szCs w:val="16"/>
                      <w:lang w:eastAsia="ko-KR"/>
                    </w:rPr>
                    <w:t>protection</w:t>
                  </w:r>
                  <w:r w:rsidR="007B71C6">
                    <w:rPr>
                      <w:rFonts w:cs="Arial"/>
                      <w:color w:val="000000"/>
                      <w:sz w:val="16"/>
                      <w:szCs w:val="16"/>
                      <w:lang w:eastAsia="ko-KR"/>
                    </w:rPr>
                    <w:t xml:space="preserve"> and</w:t>
                  </w:r>
                  <w:r w:rsidR="006B1E28">
                    <w:rPr>
                      <w:rFonts w:cs="Arial"/>
                      <w:color w:val="000000"/>
                      <w:sz w:val="16"/>
                      <w:szCs w:val="16"/>
                      <w:lang w:eastAsia="ko-KR"/>
                    </w:rPr>
                    <w:t xml:space="preserve"> </w:t>
                  </w:r>
                  <w:r w:rsidR="001F5B15">
                    <w:rPr>
                      <w:rFonts w:cs="Arial"/>
                      <w:color w:val="000000"/>
                      <w:sz w:val="16"/>
                      <w:szCs w:val="16"/>
                      <w:lang w:eastAsia="ko-KR"/>
                    </w:rPr>
                    <w:t>miscellaneous</w:t>
                  </w:r>
                  <w:r w:rsidR="006B1E28">
                    <w:rPr>
                      <w:rFonts w:cs="Arial"/>
                      <w:color w:val="000000"/>
                      <w:sz w:val="16"/>
                      <w:szCs w:val="16"/>
                      <w:lang w:eastAsia="ko-KR"/>
                    </w:rPr>
                    <w:t xml:space="preserve"> </w:t>
                  </w:r>
                  <w:r w:rsidR="001F5B15">
                    <w:rPr>
                      <w:rFonts w:cs="Arial"/>
                      <w:color w:val="000000"/>
                      <w:sz w:val="16"/>
                      <w:szCs w:val="16"/>
                      <w:lang w:eastAsia="ko-KR"/>
                    </w:rPr>
                    <w:t>goods</w:t>
                  </w:r>
                  <w:r w:rsidR="00014E27">
                    <w:rPr>
                      <w:rFonts w:cs="Arial"/>
                      <w:color w:val="000000"/>
                      <w:sz w:val="16"/>
                      <w:szCs w:val="16"/>
                      <w:lang w:eastAsia="ko-KR"/>
                    </w:rPr>
                    <w:t xml:space="preserve"> and services</w:t>
                  </w:r>
                </w:p>
              </w:tc>
              <w:tc>
                <w:tcPr>
                  <w:tcW w:w="699" w:type="dxa"/>
                  <w:tcBorders>
                    <w:top w:val="nil"/>
                    <w:left w:val="nil"/>
                    <w:bottom w:val="nil"/>
                    <w:right w:val="nil"/>
                  </w:tcBorders>
                  <w:noWrap/>
                  <w:vAlign w:val="bottom"/>
                  <w:hideMark/>
                </w:tcPr>
                <w:p w14:paraId="6030D4E5" w14:textId="33575E6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3</w:t>
                  </w:r>
                </w:p>
              </w:tc>
              <w:tc>
                <w:tcPr>
                  <w:tcW w:w="699" w:type="dxa"/>
                  <w:tcBorders>
                    <w:top w:val="nil"/>
                    <w:left w:val="nil"/>
                    <w:bottom w:val="nil"/>
                    <w:right w:val="nil"/>
                  </w:tcBorders>
                  <w:noWrap/>
                  <w:vAlign w:val="bottom"/>
                  <w:hideMark/>
                </w:tcPr>
                <w:p w14:paraId="4C644582" w14:textId="1CB3035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3DCB70C8" w14:textId="203A801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40B2795B" w14:textId="75FC6C8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184212">
                    <w:rPr>
                      <w:rFonts w:cs="Arial"/>
                      <w:color w:val="000000"/>
                      <w:sz w:val="16"/>
                      <w:szCs w:val="16"/>
                    </w:rPr>
                    <w:t>.</w:t>
                  </w:r>
                  <w:r w:rsidRPr="00B131B0">
                    <w:rPr>
                      <w:rFonts w:cs="Arial"/>
                      <w:color w:val="000000"/>
                      <w:sz w:val="16"/>
                      <w:szCs w:val="16"/>
                    </w:rPr>
                    <w:t>5</w:t>
                  </w:r>
                </w:p>
              </w:tc>
              <w:tc>
                <w:tcPr>
                  <w:tcW w:w="464" w:type="dxa"/>
                  <w:tcBorders>
                    <w:top w:val="nil"/>
                    <w:left w:val="nil"/>
                    <w:bottom w:val="nil"/>
                    <w:right w:val="nil"/>
                  </w:tcBorders>
                  <w:noWrap/>
                  <w:vAlign w:val="bottom"/>
                  <w:hideMark/>
                </w:tcPr>
                <w:p w14:paraId="19E66397"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36874EEE" w14:textId="3D43D9C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7FEBC757" w14:textId="5549F2E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3</w:t>
                  </w:r>
                </w:p>
              </w:tc>
              <w:tc>
                <w:tcPr>
                  <w:tcW w:w="699" w:type="dxa"/>
                  <w:tcBorders>
                    <w:top w:val="nil"/>
                    <w:left w:val="nil"/>
                    <w:bottom w:val="nil"/>
                    <w:right w:val="nil"/>
                  </w:tcBorders>
                  <w:noWrap/>
                  <w:vAlign w:val="bottom"/>
                  <w:hideMark/>
                </w:tcPr>
                <w:p w14:paraId="134B4E5E" w14:textId="522A12E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053ADA">
                    <w:rPr>
                      <w:rFonts w:cs="Arial"/>
                      <w:color w:val="000000"/>
                      <w:sz w:val="16"/>
                      <w:szCs w:val="16"/>
                      <w:lang w:eastAsia="ko-KR"/>
                    </w:rPr>
                    <w:t>.</w:t>
                  </w:r>
                  <w:r w:rsidRPr="00B131B0">
                    <w:rPr>
                      <w:rFonts w:cs="Arial"/>
                      <w:color w:val="000000"/>
                      <w:sz w:val="16"/>
                      <w:szCs w:val="16"/>
                      <w:lang w:eastAsia="ko-KR"/>
                    </w:rPr>
                    <w:t>4</w:t>
                  </w:r>
                </w:p>
              </w:tc>
              <w:tc>
                <w:tcPr>
                  <w:tcW w:w="699" w:type="dxa"/>
                  <w:tcBorders>
                    <w:top w:val="nil"/>
                    <w:left w:val="nil"/>
                    <w:bottom w:val="nil"/>
                    <w:right w:val="nil"/>
                  </w:tcBorders>
                  <w:noWrap/>
                  <w:vAlign w:val="bottom"/>
                  <w:hideMark/>
                </w:tcPr>
                <w:p w14:paraId="4B0A2611" w14:textId="144181A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6</w:t>
                  </w:r>
                </w:p>
              </w:tc>
            </w:tr>
          </w:tbl>
          <w:p w14:paraId="7E281418" w14:textId="77777777" w:rsidR="006B1AFC" w:rsidRPr="00B131B0" w:rsidRDefault="006B1AFC" w:rsidP="003C4A79">
            <w:pPr>
              <w:spacing w:after="120"/>
              <w:rPr>
                <w:lang w:eastAsia="en-US"/>
              </w:rPr>
            </w:pPr>
          </w:p>
        </w:tc>
      </w:tr>
      <w:tr w:rsidR="006B1AFC" w:rsidRPr="00B131B0" w14:paraId="3614F5D3" w14:textId="77777777" w:rsidTr="003C4A79">
        <w:trPr>
          <w:trHeight w:val="145"/>
        </w:trPr>
        <w:tc>
          <w:tcPr>
            <w:tcW w:w="9654" w:type="dxa"/>
            <w:gridSpan w:val="3"/>
          </w:tcPr>
          <w:p w14:paraId="7459DA34" w14:textId="072DCA88" w:rsidR="006B1AFC" w:rsidRPr="00B131B0" w:rsidRDefault="000A3C98" w:rsidP="003C4A79">
            <w:pPr>
              <w:rPr>
                <w:sz w:val="16"/>
                <w:szCs w:val="16"/>
                <w:lang w:eastAsia="en-US"/>
              </w:rPr>
            </w:pPr>
            <w:r>
              <w:rPr>
                <w:sz w:val="16"/>
                <w:szCs w:val="16"/>
                <w:lang w:eastAsia="en-US"/>
              </w:rPr>
              <w:t>Source</w:t>
            </w:r>
            <w:r w:rsidR="006B1AFC" w:rsidRPr="00B131B0">
              <w:rPr>
                <w:sz w:val="16"/>
                <w:szCs w:val="16"/>
                <w:lang w:eastAsia="en-US"/>
              </w:rPr>
              <w:t xml:space="preserve">: </w:t>
            </w:r>
            <w:r>
              <w:rPr>
                <w:sz w:val="16"/>
                <w:szCs w:val="16"/>
                <w:lang w:eastAsia="en-US"/>
              </w:rPr>
              <w:t>CZSO</w:t>
            </w:r>
          </w:p>
        </w:tc>
      </w:tr>
      <w:tr w:rsidR="006B1AFC" w:rsidRPr="00B131B0" w14:paraId="2BF29CE8" w14:textId="77777777" w:rsidTr="003C4A79">
        <w:trPr>
          <w:trHeight w:val="145"/>
        </w:trPr>
        <w:tc>
          <w:tcPr>
            <w:tcW w:w="1812" w:type="dxa"/>
          </w:tcPr>
          <w:p w14:paraId="5D278015" w14:textId="25F78829" w:rsidR="006B1AFC" w:rsidRPr="00B131B0" w:rsidRDefault="00AA792F" w:rsidP="00AA792F">
            <w:pPr>
              <w:pStyle w:val="Marginlie"/>
              <w:rPr>
                <w:spacing w:val="0"/>
                <w:lang w:eastAsia="en-US"/>
              </w:rPr>
            </w:pPr>
            <w:r w:rsidRPr="00AA792F">
              <w:rPr>
                <w:spacing w:val="0"/>
                <w:lang w:eastAsia="en-US"/>
              </w:rPr>
              <w:t>Transport prices were driven up by fuel.</w:t>
            </w:r>
          </w:p>
        </w:tc>
        <w:tc>
          <w:tcPr>
            <w:tcW w:w="213" w:type="dxa"/>
          </w:tcPr>
          <w:p w14:paraId="4F699D10" w14:textId="77777777" w:rsidR="006B1AFC" w:rsidRPr="00B131B0" w:rsidRDefault="006B1AFC" w:rsidP="003C4A79">
            <w:pPr>
              <w:pStyle w:val="Textpoznpodarou1"/>
              <w:jc w:val="both"/>
              <w:rPr>
                <w:lang w:eastAsia="en-US"/>
              </w:rPr>
            </w:pPr>
          </w:p>
        </w:tc>
        <w:tc>
          <w:tcPr>
            <w:tcW w:w="7629" w:type="dxa"/>
          </w:tcPr>
          <w:p w14:paraId="21BB5D2F" w14:textId="61B55937" w:rsidR="006B1AFC" w:rsidRPr="00B131B0" w:rsidRDefault="00582D01" w:rsidP="009D39BC">
            <w:pPr>
              <w:rPr>
                <w:lang w:eastAsia="en-US"/>
              </w:rPr>
            </w:pPr>
            <w:r>
              <w:rPr>
                <w:lang w:val="en" w:eastAsia="en-US"/>
              </w:rPr>
              <w:t>T</w:t>
            </w:r>
            <w:r w:rsidR="009D39BC" w:rsidRPr="009D39BC">
              <w:rPr>
                <w:lang w:val="en" w:eastAsia="en-US"/>
              </w:rPr>
              <w:t>he key influence on price growth in the transport</w:t>
            </w:r>
            <w:r w:rsidR="00D81FB9">
              <w:rPr>
                <w:lang w:val="en" w:eastAsia="en-US"/>
              </w:rPr>
              <w:t xml:space="preserve">ation division </w:t>
            </w:r>
            <w:r w:rsidR="009D39BC" w:rsidRPr="009D39BC">
              <w:rPr>
                <w:lang w:val="en" w:eastAsia="en-US"/>
              </w:rPr>
              <w:t xml:space="preserve">(see Table 9) was fuel prices. Costs of operation of personal transport </w:t>
            </w:r>
            <w:r w:rsidR="00F57EF6">
              <w:rPr>
                <w:lang w:val="en" w:eastAsia="en-US"/>
              </w:rPr>
              <w:t xml:space="preserve">equipment </w:t>
            </w:r>
            <w:r w:rsidR="009D39BC" w:rsidRPr="009D39BC">
              <w:rPr>
                <w:lang w:val="en" w:eastAsia="en-US"/>
              </w:rPr>
              <w:t>increased by 15.3%, y</w:t>
            </w:r>
            <w:r w:rsidR="00F57EF6">
              <w:rPr>
                <w:lang w:val="en" w:eastAsia="en-US"/>
              </w:rPr>
              <w:t>ear</w:t>
            </w:r>
            <w:r w:rsidR="009D39BC" w:rsidRPr="009D39BC">
              <w:rPr>
                <w:lang w:val="en" w:eastAsia="en-US"/>
              </w:rPr>
              <w:t>-o</w:t>
            </w:r>
            <w:r w:rsidR="00F57EF6">
              <w:rPr>
                <w:lang w:val="en" w:eastAsia="en-US"/>
              </w:rPr>
              <w:t>n</w:t>
            </w:r>
            <w:r w:rsidR="009D39BC" w:rsidRPr="009D39BC">
              <w:rPr>
                <w:lang w:val="en" w:eastAsia="en-US"/>
              </w:rPr>
              <w:t>-y</w:t>
            </w:r>
            <w:r w:rsidR="00F57EF6">
              <w:rPr>
                <w:lang w:val="en" w:eastAsia="en-US"/>
              </w:rPr>
              <w:t>ear</w:t>
            </w:r>
            <w:r w:rsidR="009D39BC" w:rsidRPr="009D39BC">
              <w:rPr>
                <w:lang w:val="en" w:eastAsia="en-US"/>
              </w:rPr>
              <w:t xml:space="preserve">, of which fuel prices were higher by 21.9%. The high year-on-year increase </w:t>
            </w:r>
            <w:proofErr w:type="gramStart"/>
            <w:r w:rsidR="003B7535">
              <w:rPr>
                <w:lang w:val="en" w:eastAsia="en-US"/>
              </w:rPr>
              <w:t>of</w:t>
            </w:r>
            <w:proofErr w:type="gramEnd"/>
            <w:r w:rsidR="009D39BC" w:rsidRPr="009D39BC">
              <w:rPr>
                <w:lang w:val="en" w:eastAsia="en-US"/>
              </w:rPr>
              <w:t xml:space="preserve"> fuel prices was the result of a significant month-on-month increase that occurred in March (19.4%) and April (7.3%). </w:t>
            </w:r>
            <w:r w:rsidR="00F57EF6">
              <w:rPr>
                <w:lang w:val="en" w:eastAsia="en-US"/>
              </w:rPr>
              <w:t>P</w:t>
            </w:r>
            <w:r w:rsidR="009D39BC" w:rsidRPr="009D39BC">
              <w:rPr>
                <w:lang w:val="en" w:eastAsia="en-US"/>
              </w:rPr>
              <w:t xml:space="preserve">rices </w:t>
            </w:r>
            <w:proofErr w:type="gramStart"/>
            <w:r w:rsidR="003B7535" w:rsidRPr="009D39BC">
              <w:rPr>
                <w:lang w:val="en" w:eastAsia="en-US"/>
              </w:rPr>
              <w:t>decreased</w:t>
            </w:r>
            <w:r w:rsidR="003B7535">
              <w:rPr>
                <w:lang w:val="en" w:eastAsia="en-US"/>
              </w:rPr>
              <w:t>,</w:t>
            </w:r>
            <w:proofErr w:type="gramEnd"/>
            <w:r w:rsidR="009D39BC" w:rsidRPr="009D39BC">
              <w:rPr>
                <w:lang w:val="en" w:eastAsia="en-US"/>
              </w:rPr>
              <w:t xml:space="preserve"> month-on-month</w:t>
            </w:r>
            <w:r w:rsidR="005B7AF7">
              <w:rPr>
                <w:lang w:val="en" w:eastAsia="en-US"/>
              </w:rPr>
              <w:t>, in the following months</w:t>
            </w:r>
            <w:r w:rsidR="009D39BC" w:rsidRPr="009D39BC">
              <w:rPr>
                <w:lang w:val="en" w:eastAsia="en-US"/>
              </w:rPr>
              <w:t>. Prices of transport</w:t>
            </w:r>
            <w:r w:rsidR="005B7AF7">
              <w:rPr>
                <w:lang w:val="en" w:eastAsia="en-US"/>
              </w:rPr>
              <w:t>ation</w:t>
            </w:r>
            <w:r w:rsidR="009D39BC" w:rsidRPr="009D39BC">
              <w:rPr>
                <w:lang w:val="en" w:eastAsia="en-US"/>
              </w:rPr>
              <w:t xml:space="preserve"> and postal services maintained a significant year-on-year increase (7.8%). In the rest of the division, however, the year-on-year price growth was very moderate and slowed down – in the case of passenger transport prices to 1.6% and in the case of purchases of personal transport </w:t>
            </w:r>
            <w:r w:rsidR="00E200D3">
              <w:rPr>
                <w:lang w:val="en" w:eastAsia="en-US"/>
              </w:rPr>
              <w:t xml:space="preserve">equipment </w:t>
            </w:r>
            <w:r w:rsidR="009D39BC" w:rsidRPr="009D39BC">
              <w:rPr>
                <w:lang w:val="en" w:eastAsia="en-US"/>
              </w:rPr>
              <w:t>to 0.1%.</w:t>
            </w:r>
            <w:r w:rsidR="009D39BC">
              <w:rPr>
                <w:lang w:val="en" w:eastAsia="en-US"/>
              </w:rPr>
              <w:t xml:space="preserve"> </w:t>
            </w:r>
          </w:p>
        </w:tc>
      </w:tr>
      <w:tr w:rsidR="006B1AFC" w:rsidRPr="00B131B0" w14:paraId="670E77F9" w14:textId="77777777" w:rsidTr="003C4A79">
        <w:trPr>
          <w:trHeight w:val="145"/>
        </w:trPr>
        <w:tc>
          <w:tcPr>
            <w:tcW w:w="1812" w:type="dxa"/>
          </w:tcPr>
          <w:p w14:paraId="157A390A" w14:textId="220FD09D" w:rsidR="006B1AFC" w:rsidRPr="00B131B0" w:rsidRDefault="003F11D9" w:rsidP="003F11D9">
            <w:pPr>
              <w:pStyle w:val="Marginlie"/>
              <w:rPr>
                <w:spacing w:val="0"/>
                <w:lang w:eastAsia="en-US"/>
              </w:rPr>
            </w:pPr>
            <w:r w:rsidRPr="003F11D9">
              <w:rPr>
                <w:spacing w:val="0"/>
                <w:lang w:eastAsia="en-US"/>
              </w:rPr>
              <w:lastRenderedPageBreak/>
              <w:t xml:space="preserve">The growth </w:t>
            </w:r>
            <w:r w:rsidR="00043AB6">
              <w:rPr>
                <w:spacing w:val="0"/>
                <w:lang w:eastAsia="en-US"/>
              </w:rPr>
              <w:t>of</w:t>
            </w:r>
            <w:r w:rsidRPr="003F11D9">
              <w:rPr>
                <w:spacing w:val="0"/>
                <w:lang w:eastAsia="en-US"/>
              </w:rPr>
              <w:t xml:space="preserve"> housing costs is mainly affected by imputed rents.</w:t>
            </w:r>
          </w:p>
        </w:tc>
        <w:tc>
          <w:tcPr>
            <w:tcW w:w="213" w:type="dxa"/>
          </w:tcPr>
          <w:p w14:paraId="0CEAF66C" w14:textId="77777777" w:rsidR="006B1AFC" w:rsidRPr="00B131B0" w:rsidRDefault="006B1AFC" w:rsidP="003C4A79">
            <w:pPr>
              <w:pStyle w:val="Textpoznpodarou1"/>
              <w:jc w:val="both"/>
              <w:rPr>
                <w:lang w:eastAsia="en-US"/>
              </w:rPr>
            </w:pPr>
          </w:p>
        </w:tc>
        <w:tc>
          <w:tcPr>
            <w:tcW w:w="7629" w:type="dxa"/>
          </w:tcPr>
          <w:p w14:paraId="2CFC5325" w14:textId="5BB7B486" w:rsidR="006B1AFC" w:rsidRPr="00B131B0" w:rsidRDefault="00043AB6" w:rsidP="00043AB6">
            <w:pPr>
              <w:rPr>
                <w:lang w:eastAsia="en-US"/>
              </w:rPr>
            </w:pPr>
            <w:r w:rsidRPr="00043AB6">
              <w:rPr>
                <w:lang w:eastAsia="en-US"/>
              </w:rPr>
              <w:t xml:space="preserve">The effects of the crisis in the Middle East were limited to transport and have not yet been reflected in housing costs. Price growth in this </w:t>
            </w:r>
            <w:r w:rsidR="00FE2EB4">
              <w:rPr>
                <w:lang w:eastAsia="en-US"/>
              </w:rPr>
              <w:t xml:space="preserve">division </w:t>
            </w:r>
            <w:r w:rsidRPr="00043AB6">
              <w:rPr>
                <w:lang w:eastAsia="en-US"/>
              </w:rPr>
              <w:t>is currently mainly influenced by imputed rents</w:t>
            </w:r>
            <w:r w:rsidR="00FE2EB4" w:rsidRPr="00B131B0">
              <w:rPr>
                <w:rStyle w:val="Znakapoznpodarou"/>
                <w:lang w:eastAsia="en-US"/>
              </w:rPr>
              <w:footnoteReference w:id="2"/>
            </w:r>
            <w:r w:rsidRPr="00043AB6">
              <w:rPr>
                <w:lang w:eastAsia="en-US"/>
              </w:rPr>
              <w:t xml:space="preserve"> (5.3%) and housing rents (6.2%</w:t>
            </w:r>
            <w:r w:rsidR="00FE2EB4">
              <w:rPr>
                <w:lang w:eastAsia="en-US"/>
              </w:rPr>
              <w:t>,</w:t>
            </w:r>
            <w:r w:rsidRPr="00043AB6">
              <w:rPr>
                <w:lang w:eastAsia="en-US"/>
              </w:rPr>
              <w:t xml:space="preserve"> year-on-year). Imputed rents were the group with the second largest impact on </w:t>
            </w:r>
            <w:r w:rsidR="00B76665">
              <w:rPr>
                <w:lang w:eastAsia="en-US"/>
              </w:rPr>
              <w:t xml:space="preserve">total </w:t>
            </w:r>
            <w:r w:rsidRPr="00043AB6">
              <w:rPr>
                <w:lang w:eastAsia="en-US"/>
              </w:rPr>
              <w:t>consumer price growth after the costs of operating transport</w:t>
            </w:r>
            <w:r w:rsidR="00B76665">
              <w:rPr>
                <w:lang w:eastAsia="en-US"/>
              </w:rPr>
              <w:t xml:space="preserve"> equipment</w:t>
            </w:r>
            <w:r w:rsidRPr="00043AB6">
              <w:rPr>
                <w:lang w:eastAsia="en-US"/>
              </w:rPr>
              <w:t xml:space="preserve">. On the </w:t>
            </w:r>
            <w:r w:rsidR="007178A8">
              <w:rPr>
                <w:lang w:eastAsia="en-US"/>
              </w:rPr>
              <w:t>contrary</w:t>
            </w:r>
            <w:r w:rsidRPr="00043AB6">
              <w:rPr>
                <w:lang w:eastAsia="en-US"/>
              </w:rPr>
              <w:t>, prices of electricity, gas and other fuels decreased by 7.0%</w:t>
            </w:r>
            <w:r w:rsidR="001C6497">
              <w:rPr>
                <w:lang w:eastAsia="en-US"/>
              </w:rPr>
              <w:t>,</w:t>
            </w:r>
            <w:r w:rsidRPr="00043AB6">
              <w:rPr>
                <w:lang w:eastAsia="en-US"/>
              </w:rPr>
              <w:t xml:space="preserve"> year-on-year. Smaller items classified as services – minor repairs, maintenance and security of </w:t>
            </w:r>
            <w:r w:rsidR="00C047C7">
              <w:rPr>
                <w:lang w:eastAsia="en-US"/>
              </w:rPr>
              <w:t xml:space="preserve">dwellings </w:t>
            </w:r>
            <w:r w:rsidRPr="00043AB6">
              <w:rPr>
                <w:lang w:eastAsia="en-US"/>
              </w:rPr>
              <w:t xml:space="preserve">(4.5%) and water supply and other housing-related services (3.5%) – maintained rapid growth. </w:t>
            </w:r>
            <w:r w:rsidR="00833FF1">
              <w:rPr>
                <w:lang w:eastAsia="en-US"/>
              </w:rPr>
              <w:t>T</w:t>
            </w:r>
            <w:r w:rsidRPr="00043AB6">
              <w:rPr>
                <w:lang w:eastAsia="en-US"/>
              </w:rPr>
              <w:t>he year-on-year growth continued</w:t>
            </w:r>
            <w:r w:rsidR="00833FF1">
              <w:rPr>
                <w:lang w:eastAsia="en-US"/>
              </w:rPr>
              <w:t xml:space="preserve"> i</w:t>
            </w:r>
            <w:r w:rsidR="00833FF1" w:rsidRPr="00043AB6">
              <w:rPr>
                <w:lang w:eastAsia="en-US"/>
              </w:rPr>
              <w:t xml:space="preserve">n the </w:t>
            </w:r>
            <w:r w:rsidR="00833FF1">
              <w:rPr>
                <w:lang w:eastAsia="en-US"/>
              </w:rPr>
              <w:t xml:space="preserve">division </w:t>
            </w:r>
            <w:r w:rsidR="00833FF1" w:rsidRPr="00043AB6">
              <w:rPr>
                <w:lang w:eastAsia="en-US"/>
              </w:rPr>
              <w:t xml:space="preserve">household </w:t>
            </w:r>
            <w:r w:rsidR="00B804CF">
              <w:rPr>
                <w:lang w:eastAsia="en-US"/>
              </w:rPr>
              <w:t>furnishings</w:t>
            </w:r>
            <w:r w:rsidR="00833FF1" w:rsidRPr="00043AB6">
              <w:rPr>
                <w:lang w:eastAsia="en-US"/>
              </w:rPr>
              <w:t>, equipment and services,</w:t>
            </w:r>
            <w:r w:rsidR="00E54419">
              <w:rPr>
                <w:lang w:eastAsia="en-US"/>
              </w:rPr>
              <w:t xml:space="preserve"> </w:t>
            </w:r>
            <w:r w:rsidRPr="00043AB6">
              <w:rPr>
                <w:lang w:eastAsia="en-US"/>
              </w:rPr>
              <w:t>supported mainly by the development of prices of household textiles (3.4%) and furniture and household equipment (1.7%).</w:t>
            </w:r>
            <w:r w:rsidR="006B1AFC" w:rsidRPr="00B131B0">
              <w:rPr>
                <w:lang w:eastAsia="en-US"/>
              </w:rPr>
              <w:t xml:space="preserve"> </w:t>
            </w:r>
          </w:p>
        </w:tc>
      </w:tr>
      <w:tr w:rsidR="006B1AFC" w:rsidRPr="00B131B0" w14:paraId="0661D07C" w14:textId="77777777" w:rsidTr="003C4A79">
        <w:trPr>
          <w:trHeight w:val="145"/>
        </w:trPr>
        <w:tc>
          <w:tcPr>
            <w:tcW w:w="1812" w:type="dxa"/>
          </w:tcPr>
          <w:p w14:paraId="311D7AE0" w14:textId="39E67B4A" w:rsidR="006B1AFC" w:rsidRPr="00B131B0" w:rsidRDefault="001F67E9" w:rsidP="001F67E9">
            <w:pPr>
              <w:pStyle w:val="Marginlie"/>
              <w:rPr>
                <w:spacing w:val="0"/>
                <w:lang w:eastAsia="en-US"/>
              </w:rPr>
            </w:pPr>
            <w:r w:rsidRPr="001F67E9">
              <w:rPr>
                <w:spacing w:val="0"/>
                <w:lang w:eastAsia="en-US"/>
              </w:rPr>
              <w:t xml:space="preserve">Above-average growth </w:t>
            </w:r>
            <w:r w:rsidR="00D82B11">
              <w:rPr>
                <w:spacing w:val="0"/>
                <w:lang w:eastAsia="en-US"/>
              </w:rPr>
              <w:t>of</w:t>
            </w:r>
            <w:r w:rsidRPr="001F67E9">
              <w:rPr>
                <w:spacing w:val="0"/>
                <w:lang w:eastAsia="en-US"/>
              </w:rPr>
              <w:t xml:space="preserve"> prices of services continued.</w:t>
            </w:r>
          </w:p>
        </w:tc>
        <w:tc>
          <w:tcPr>
            <w:tcW w:w="213" w:type="dxa"/>
          </w:tcPr>
          <w:p w14:paraId="52FFC109" w14:textId="77777777" w:rsidR="006B1AFC" w:rsidRPr="00B131B0" w:rsidRDefault="006B1AFC" w:rsidP="003C4A79">
            <w:pPr>
              <w:pStyle w:val="Textpoznpodarou1"/>
              <w:jc w:val="both"/>
              <w:rPr>
                <w:lang w:eastAsia="en-US"/>
              </w:rPr>
            </w:pPr>
          </w:p>
        </w:tc>
        <w:tc>
          <w:tcPr>
            <w:tcW w:w="7629" w:type="dxa"/>
          </w:tcPr>
          <w:p w14:paraId="389D520F" w14:textId="6329AE9E" w:rsidR="006B1AFC" w:rsidRPr="00B131B0" w:rsidRDefault="00466519" w:rsidP="0072283D">
            <w:pPr>
              <w:rPr>
                <w:lang w:eastAsia="en-US"/>
              </w:rPr>
            </w:pPr>
            <w:r>
              <w:rPr>
                <w:lang w:eastAsia="en-US"/>
              </w:rPr>
              <w:t>Divisions a</w:t>
            </w:r>
            <w:r w:rsidR="0072283D" w:rsidRPr="0072283D">
              <w:rPr>
                <w:lang w:eastAsia="en-US"/>
              </w:rPr>
              <w:t xml:space="preserve">lcoholic beverages and tobacco and </w:t>
            </w:r>
            <w:r w:rsidR="00E02005">
              <w:rPr>
                <w:lang w:eastAsia="en-US"/>
              </w:rPr>
              <w:t>restaurants and hotels</w:t>
            </w:r>
            <w:r w:rsidR="0072283D" w:rsidRPr="0072283D">
              <w:rPr>
                <w:lang w:eastAsia="en-US"/>
              </w:rPr>
              <w:t xml:space="preserve"> continued to have a significant impact in the direction of year-on-year growth </w:t>
            </w:r>
            <w:r>
              <w:rPr>
                <w:lang w:eastAsia="en-US"/>
              </w:rPr>
              <w:t>of</w:t>
            </w:r>
            <w:r w:rsidR="0072283D" w:rsidRPr="0072283D">
              <w:rPr>
                <w:lang w:eastAsia="en-US"/>
              </w:rPr>
              <w:t xml:space="preserve"> consumer prices. Price dynamics also remained above the </w:t>
            </w:r>
            <w:r w:rsidR="00412D98">
              <w:rPr>
                <w:lang w:eastAsia="en-US"/>
              </w:rPr>
              <w:t xml:space="preserve">total </w:t>
            </w:r>
            <w:r w:rsidR="0072283D" w:rsidRPr="0072283D">
              <w:rPr>
                <w:lang w:eastAsia="en-US"/>
              </w:rPr>
              <w:t xml:space="preserve">average in other </w:t>
            </w:r>
            <w:r w:rsidR="004D3967">
              <w:rPr>
                <w:lang w:eastAsia="en-US"/>
              </w:rPr>
              <w:t xml:space="preserve">divisions </w:t>
            </w:r>
            <w:r w:rsidR="0072283D" w:rsidRPr="0072283D">
              <w:rPr>
                <w:lang w:eastAsia="en-US"/>
              </w:rPr>
              <w:t xml:space="preserve">including services such as insurance and financial services and personal </w:t>
            </w:r>
            <w:r w:rsidR="000C303B">
              <w:rPr>
                <w:lang w:eastAsia="en-US"/>
              </w:rPr>
              <w:t xml:space="preserve">care </w:t>
            </w:r>
            <w:r w:rsidR="0072283D" w:rsidRPr="0072283D">
              <w:rPr>
                <w:lang w:eastAsia="en-US"/>
              </w:rPr>
              <w:t xml:space="preserve">and social </w:t>
            </w:r>
            <w:r w:rsidR="000C303B">
              <w:rPr>
                <w:lang w:eastAsia="en-US"/>
              </w:rPr>
              <w:t>protection</w:t>
            </w:r>
            <w:r w:rsidR="0072283D" w:rsidRPr="0072283D">
              <w:rPr>
                <w:lang w:eastAsia="en-US"/>
              </w:rPr>
              <w:t xml:space="preserve">, miscellaneous goods and services. The strengthening of year-on-year growth </w:t>
            </w:r>
            <w:r w:rsidR="005820B6">
              <w:rPr>
                <w:lang w:eastAsia="en-US"/>
              </w:rPr>
              <w:t>of</w:t>
            </w:r>
            <w:r w:rsidR="0072283D" w:rsidRPr="0072283D">
              <w:rPr>
                <w:lang w:eastAsia="en-US"/>
              </w:rPr>
              <w:t xml:space="preserve"> prices of recreation, sport and culture was mainly influenced by </w:t>
            </w:r>
            <w:r w:rsidR="006B2799">
              <w:rPr>
                <w:lang w:eastAsia="en-US"/>
              </w:rPr>
              <w:t xml:space="preserve">package holidays </w:t>
            </w:r>
            <w:r w:rsidR="0072283D" w:rsidRPr="0072283D">
              <w:rPr>
                <w:lang w:eastAsia="en-US"/>
              </w:rPr>
              <w:t>and tours (3.3%) and products for gardens, plants and pets (</w:t>
            </w:r>
            <w:r w:rsidR="003C4C2B">
              <w:rPr>
                <w:lang w:eastAsia="en-US"/>
              </w:rPr>
              <w:t xml:space="preserve">prices </w:t>
            </w:r>
            <w:r w:rsidR="0039192B">
              <w:rPr>
                <w:lang w:eastAsia="en-US"/>
              </w:rPr>
              <w:t xml:space="preserve">shifted from decline to growth of </w:t>
            </w:r>
            <w:r w:rsidR="0072283D" w:rsidRPr="0072283D">
              <w:rPr>
                <w:lang w:eastAsia="en-US"/>
              </w:rPr>
              <w:t>0.7%). In addition, prices of durable goods for recreation (10.1%) and cultural services (7.7%) rose strongly, y</w:t>
            </w:r>
            <w:r w:rsidR="00011630">
              <w:rPr>
                <w:lang w:eastAsia="en-US"/>
              </w:rPr>
              <w:t>ear</w:t>
            </w:r>
            <w:r w:rsidR="0072283D" w:rsidRPr="0072283D">
              <w:rPr>
                <w:lang w:eastAsia="en-US"/>
              </w:rPr>
              <w:t>-o</w:t>
            </w:r>
            <w:r w:rsidR="00011630">
              <w:rPr>
                <w:lang w:eastAsia="en-US"/>
              </w:rPr>
              <w:t>n</w:t>
            </w:r>
            <w:r w:rsidR="0072283D" w:rsidRPr="0072283D">
              <w:rPr>
                <w:lang w:eastAsia="en-US"/>
              </w:rPr>
              <w:t>-y</w:t>
            </w:r>
            <w:r w:rsidR="00011630">
              <w:rPr>
                <w:lang w:eastAsia="en-US"/>
              </w:rPr>
              <w:t>ear</w:t>
            </w:r>
            <w:r w:rsidR="0072283D" w:rsidRPr="0072283D">
              <w:rPr>
                <w:lang w:eastAsia="en-US"/>
              </w:rPr>
              <w:t>.</w:t>
            </w:r>
            <w:r>
              <w:rPr>
                <w:lang w:eastAsia="en-US"/>
              </w:rPr>
              <w:t xml:space="preserve"> </w:t>
            </w:r>
          </w:p>
        </w:tc>
      </w:tr>
      <w:tr w:rsidR="006B1AFC" w:rsidRPr="00B131B0" w14:paraId="37443A3C" w14:textId="77777777" w:rsidTr="003C4A79">
        <w:trPr>
          <w:trHeight w:val="145"/>
        </w:trPr>
        <w:tc>
          <w:tcPr>
            <w:tcW w:w="1812" w:type="dxa"/>
          </w:tcPr>
          <w:p w14:paraId="7187E003" w14:textId="41260880" w:rsidR="006B1AFC" w:rsidRPr="00B131B0" w:rsidRDefault="00AE4270" w:rsidP="00AE4270">
            <w:pPr>
              <w:pStyle w:val="Marginlie"/>
              <w:rPr>
                <w:spacing w:val="0"/>
                <w:lang w:eastAsia="en-US"/>
              </w:rPr>
            </w:pPr>
            <w:r w:rsidRPr="00AE4270">
              <w:rPr>
                <w:spacing w:val="0"/>
                <w:lang w:eastAsia="en-US"/>
              </w:rPr>
              <w:t>Food prices fell</w:t>
            </w:r>
            <w:r w:rsidR="002313F4">
              <w:rPr>
                <w:spacing w:val="0"/>
                <w:lang w:eastAsia="en-US"/>
              </w:rPr>
              <w:t>,</w:t>
            </w:r>
            <w:r w:rsidRPr="00AE4270">
              <w:rPr>
                <w:spacing w:val="0"/>
                <w:lang w:eastAsia="en-US"/>
              </w:rPr>
              <w:t xml:space="preserve"> year-on-year.</w:t>
            </w:r>
          </w:p>
        </w:tc>
        <w:tc>
          <w:tcPr>
            <w:tcW w:w="213" w:type="dxa"/>
          </w:tcPr>
          <w:p w14:paraId="04A9D16C" w14:textId="77777777" w:rsidR="006B1AFC" w:rsidRPr="00B131B0" w:rsidRDefault="006B1AFC" w:rsidP="003C4A79">
            <w:pPr>
              <w:pStyle w:val="Textpoznpodarou1"/>
              <w:jc w:val="both"/>
              <w:rPr>
                <w:lang w:eastAsia="en-US"/>
              </w:rPr>
            </w:pPr>
          </w:p>
        </w:tc>
        <w:tc>
          <w:tcPr>
            <w:tcW w:w="7629" w:type="dxa"/>
          </w:tcPr>
          <w:p w14:paraId="01D3D94E" w14:textId="4E858DCC" w:rsidR="006B1AFC" w:rsidRPr="00B131B0" w:rsidRDefault="006953FB" w:rsidP="006953FB">
            <w:pPr>
              <w:rPr>
                <w:lang w:eastAsia="en-US"/>
              </w:rPr>
            </w:pPr>
            <w:r w:rsidRPr="006953FB">
              <w:rPr>
                <w:lang w:eastAsia="en-US"/>
              </w:rPr>
              <w:t xml:space="preserve">The only </w:t>
            </w:r>
            <w:r w:rsidR="00A04321">
              <w:rPr>
                <w:lang w:eastAsia="en-US"/>
              </w:rPr>
              <w:t xml:space="preserve">divisions </w:t>
            </w:r>
            <w:r w:rsidRPr="006953FB">
              <w:rPr>
                <w:lang w:eastAsia="en-US"/>
              </w:rPr>
              <w:t>where prices fell</w:t>
            </w:r>
            <w:r w:rsidR="00700E03">
              <w:rPr>
                <w:lang w:eastAsia="en-US"/>
              </w:rPr>
              <w:t>,</w:t>
            </w:r>
            <w:r w:rsidRPr="006953FB">
              <w:rPr>
                <w:lang w:eastAsia="en-US"/>
              </w:rPr>
              <w:t xml:space="preserve"> year-on-year</w:t>
            </w:r>
            <w:r w:rsidR="00700E03">
              <w:rPr>
                <w:lang w:eastAsia="en-US"/>
              </w:rPr>
              <w:t>,</w:t>
            </w:r>
            <w:r w:rsidRPr="006953FB">
              <w:rPr>
                <w:lang w:eastAsia="en-US"/>
              </w:rPr>
              <w:t xml:space="preserve"> in Q2 were food and non-alcoholic beverages and clothing and footwear. In the case of food and non-alcoholic beverages, </w:t>
            </w:r>
            <w:r w:rsidR="00C611D4">
              <w:rPr>
                <w:lang w:eastAsia="en-US"/>
              </w:rPr>
              <w:t xml:space="preserve">it presented the </w:t>
            </w:r>
            <w:r w:rsidRPr="006953FB">
              <w:rPr>
                <w:lang w:eastAsia="en-US"/>
              </w:rPr>
              <w:t>first year-on-year dec</w:t>
            </w:r>
            <w:r w:rsidR="00CD2ACE">
              <w:rPr>
                <w:lang w:eastAsia="en-US"/>
              </w:rPr>
              <w:t xml:space="preserve">rease </w:t>
            </w:r>
            <w:r w:rsidRPr="006953FB">
              <w:rPr>
                <w:lang w:eastAsia="en-US"/>
              </w:rPr>
              <w:t xml:space="preserve">in almost five years, and </w:t>
            </w:r>
            <w:r w:rsidR="00AF24B2">
              <w:rPr>
                <w:lang w:eastAsia="en-US"/>
              </w:rPr>
              <w:t xml:space="preserve">the decrease involved </w:t>
            </w:r>
            <w:r w:rsidRPr="006953FB">
              <w:rPr>
                <w:lang w:eastAsia="en-US"/>
              </w:rPr>
              <w:t>most of the groups in the division</w:t>
            </w:r>
            <w:r w:rsidR="00AF24B2">
              <w:rPr>
                <w:lang w:eastAsia="en-US"/>
              </w:rPr>
              <w:t xml:space="preserve">. </w:t>
            </w:r>
            <w:r w:rsidRPr="006953FB">
              <w:rPr>
                <w:lang w:eastAsia="en-US"/>
              </w:rPr>
              <w:t xml:space="preserve">There was a clear connection with the development of agricultural producer prices. The prices of oils and fats (−17.1%) kept the biggest </w:t>
            </w:r>
            <w:r w:rsidR="00C05690">
              <w:rPr>
                <w:lang w:eastAsia="en-US"/>
              </w:rPr>
              <w:t>plunge</w:t>
            </w:r>
            <w:r w:rsidRPr="006953FB">
              <w:rPr>
                <w:lang w:eastAsia="en-US"/>
              </w:rPr>
              <w:t xml:space="preserve"> and the dec</w:t>
            </w:r>
            <w:r w:rsidR="00C05690">
              <w:rPr>
                <w:lang w:eastAsia="en-US"/>
              </w:rPr>
              <w:t xml:space="preserve">rease of </w:t>
            </w:r>
            <w:r w:rsidRPr="006953FB">
              <w:rPr>
                <w:lang w:eastAsia="en-US"/>
              </w:rPr>
              <w:t xml:space="preserve">prices of milk, dairy products and eggs (−5.1%) deepened. The </w:t>
            </w:r>
            <w:r w:rsidR="007D342C">
              <w:rPr>
                <w:lang w:eastAsia="en-US"/>
              </w:rPr>
              <w:t xml:space="preserve">total </w:t>
            </w:r>
            <w:r w:rsidRPr="006953FB">
              <w:rPr>
                <w:lang w:eastAsia="en-US"/>
              </w:rPr>
              <w:t>dec</w:t>
            </w:r>
            <w:r w:rsidR="007D342C">
              <w:rPr>
                <w:lang w:eastAsia="en-US"/>
              </w:rPr>
              <w:t xml:space="preserve">rease of </w:t>
            </w:r>
            <w:r w:rsidRPr="006953FB">
              <w:rPr>
                <w:lang w:eastAsia="en-US"/>
              </w:rPr>
              <w:t xml:space="preserve">food prices was also influenced by a decrease </w:t>
            </w:r>
            <w:r w:rsidR="00564059">
              <w:rPr>
                <w:lang w:eastAsia="en-US"/>
              </w:rPr>
              <w:t>of</w:t>
            </w:r>
            <w:r w:rsidRPr="006953FB">
              <w:rPr>
                <w:lang w:eastAsia="en-US"/>
              </w:rPr>
              <w:t xml:space="preserve"> prices of fruit and nuts (−4.3%) and meat (−2.0%). Only the prices of sugar and confectionery (1.8%) increased, followed by fish and seafood (0.7%).</w:t>
            </w:r>
            <w:r w:rsidR="006B1AFC" w:rsidRPr="00B131B0">
              <w:rPr>
                <w:lang w:eastAsia="en-US"/>
              </w:rPr>
              <w:t xml:space="preserve"> </w:t>
            </w:r>
          </w:p>
        </w:tc>
      </w:tr>
      <w:tr w:rsidR="006B1AFC" w:rsidRPr="00B131B0" w14:paraId="704358F4" w14:textId="77777777" w:rsidTr="003C4A79">
        <w:trPr>
          <w:trHeight w:val="142"/>
        </w:trPr>
        <w:tc>
          <w:tcPr>
            <w:tcW w:w="1812" w:type="dxa"/>
            <w:vMerge w:val="restart"/>
          </w:tcPr>
          <w:p w14:paraId="4F7AF2C7" w14:textId="77777777" w:rsidR="006B1AFC" w:rsidRPr="00B131B0" w:rsidRDefault="006B1AFC" w:rsidP="003C4A79">
            <w:pPr>
              <w:pStyle w:val="Marginlie"/>
              <w:rPr>
                <w:spacing w:val="0"/>
                <w:lang w:eastAsia="en-US"/>
              </w:rPr>
            </w:pPr>
          </w:p>
        </w:tc>
        <w:tc>
          <w:tcPr>
            <w:tcW w:w="213" w:type="dxa"/>
            <w:vMerge w:val="restart"/>
          </w:tcPr>
          <w:p w14:paraId="3AC0AB1D" w14:textId="77777777" w:rsidR="006B1AFC" w:rsidRPr="00B131B0" w:rsidRDefault="006B1AFC" w:rsidP="003C4A79">
            <w:pPr>
              <w:pStyle w:val="Textpoznpodarou1"/>
              <w:jc w:val="both"/>
              <w:rPr>
                <w:lang w:eastAsia="en-US"/>
              </w:rPr>
            </w:pPr>
          </w:p>
        </w:tc>
        <w:tc>
          <w:tcPr>
            <w:tcW w:w="7629" w:type="dxa"/>
          </w:tcPr>
          <w:p w14:paraId="0C7143D1" w14:textId="358738A3" w:rsidR="006B1AFC" w:rsidRPr="00B131B0" w:rsidRDefault="00A8580D" w:rsidP="00A86602">
            <w:pPr>
              <w:spacing w:after="0"/>
              <w:rPr>
                <w:lang w:eastAsia="en-US"/>
              </w:rPr>
            </w:pPr>
            <w:r>
              <w:rPr>
                <w:b/>
                <w:bCs/>
                <w:lang w:eastAsia="en-US"/>
              </w:rPr>
              <w:t xml:space="preserve">Chart </w:t>
            </w:r>
            <w:r w:rsidR="006B1AFC" w:rsidRPr="00B131B0">
              <w:rPr>
                <w:b/>
                <w:bCs/>
                <w:lang w:eastAsia="en-US"/>
              </w:rPr>
              <w:t xml:space="preserve">11 </w:t>
            </w:r>
            <w:r w:rsidR="00A86602" w:rsidRPr="00A86602">
              <w:rPr>
                <w:b/>
                <w:bCs/>
                <w:lang w:eastAsia="en-US"/>
              </w:rPr>
              <w:t xml:space="preserve">Harmonised index of consumer prices in the EU in Q2 2026 </w:t>
            </w:r>
            <w:r w:rsidR="00A86602" w:rsidRPr="00FA5B81">
              <w:rPr>
                <w:lang w:eastAsia="en-US"/>
              </w:rPr>
              <w:t>(</w:t>
            </w:r>
            <w:r w:rsidR="00FA5B81" w:rsidRPr="00FA5B81">
              <w:rPr>
                <w:lang w:eastAsia="en-US"/>
              </w:rPr>
              <w:t xml:space="preserve">in </w:t>
            </w:r>
            <w:r w:rsidR="00A86602" w:rsidRPr="00FA5B81">
              <w:rPr>
                <w:lang w:eastAsia="en-US"/>
              </w:rPr>
              <w:t>%)</w:t>
            </w:r>
            <w:r w:rsidR="00FA5B81">
              <w:rPr>
                <w:b/>
                <w:bCs/>
                <w:lang w:eastAsia="en-US"/>
              </w:rPr>
              <w:t xml:space="preserve"> </w:t>
            </w:r>
          </w:p>
        </w:tc>
      </w:tr>
      <w:tr w:rsidR="006B1AFC" w:rsidRPr="00B131B0" w14:paraId="18F97CD1" w14:textId="77777777" w:rsidTr="00BC595A">
        <w:tblPrEx>
          <w:tblCellMar>
            <w:left w:w="70" w:type="dxa"/>
            <w:right w:w="70" w:type="dxa"/>
          </w:tblCellMar>
        </w:tblPrEx>
        <w:trPr>
          <w:trHeight w:val="142"/>
        </w:trPr>
        <w:tc>
          <w:tcPr>
            <w:tcW w:w="1812" w:type="dxa"/>
            <w:vMerge/>
          </w:tcPr>
          <w:p w14:paraId="62B87309" w14:textId="77777777" w:rsidR="006B1AFC" w:rsidRPr="00B131B0" w:rsidRDefault="006B1AFC" w:rsidP="003C4A79">
            <w:pPr>
              <w:pStyle w:val="Marginlie"/>
              <w:rPr>
                <w:spacing w:val="0"/>
                <w:lang w:eastAsia="en-US"/>
              </w:rPr>
            </w:pPr>
          </w:p>
        </w:tc>
        <w:tc>
          <w:tcPr>
            <w:tcW w:w="213" w:type="dxa"/>
            <w:vMerge/>
          </w:tcPr>
          <w:p w14:paraId="59221DC6" w14:textId="77777777" w:rsidR="006B1AFC" w:rsidRPr="00B131B0" w:rsidRDefault="006B1AFC" w:rsidP="003C4A79">
            <w:pPr>
              <w:pStyle w:val="Textpoznpodarou1"/>
              <w:jc w:val="both"/>
              <w:rPr>
                <w:lang w:eastAsia="en-US"/>
              </w:rPr>
            </w:pPr>
          </w:p>
        </w:tc>
        <w:tc>
          <w:tcPr>
            <w:tcW w:w="7629" w:type="dxa"/>
          </w:tcPr>
          <w:p w14:paraId="0CDD184A" w14:textId="2821ADEF" w:rsidR="006B1AFC" w:rsidRPr="00B131B0" w:rsidRDefault="00BC595A" w:rsidP="003C4A79">
            <w:pPr>
              <w:spacing w:after="0"/>
              <w:rPr>
                <w:lang w:eastAsia="en-US"/>
              </w:rPr>
            </w:pPr>
            <w:r>
              <w:rPr>
                <w:noProof/>
              </w:rPr>
              <w:drawing>
                <wp:inline distT="0" distB="0" distL="0" distR="0" wp14:anchorId="2F1A7175" wp14:editId="7E494399">
                  <wp:extent cx="4737600" cy="2484000"/>
                  <wp:effectExtent l="0" t="0" r="6350" b="0"/>
                  <wp:docPr id="268516736" name="Graf 1">
                    <a:extLst xmlns:a="http://schemas.openxmlformats.org/drawingml/2006/main">
                      <a:ext uri="{FF2B5EF4-FFF2-40B4-BE49-F238E27FC236}">
                        <a16:creationId xmlns:a16="http://schemas.microsoft.com/office/drawing/2014/main" id="{3E79495A-FBC3-4D02-8397-F7D339CCE0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6B1AFC" w:rsidRPr="00B131B0" w14:paraId="167C7E81" w14:textId="77777777" w:rsidTr="003C4A79">
        <w:trPr>
          <w:trHeight w:val="142"/>
        </w:trPr>
        <w:tc>
          <w:tcPr>
            <w:tcW w:w="1812" w:type="dxa"/>
            <w:vMerge/>
          </w:tcPr>
          <w:p w14:paraId="36361EAA" w14:textId="77777777" w:rsidR="006B1AFC" w:rsidRPr="00B131B0" w:rsidRDefault="006B1AFC" w:rsidP="003C4A79">
            <w:pPr>
              <w:pStyle w:val="Marginlie"/>
              <w:rPr>
                <w:spacing w:val="0"/>
                <w:lang w:eastAsia="en-US"/>
              </w:rPr>
            </w:pPr>
          </w:p>
        </w:tc>
        <w:tc>
          <w:tcPr>
            <w:tcW w:w="213" w:type="dxa"/>
            <w:vMerge/>
          </w:tcPr>
          <w:p w14:paraId="55433733" w14:textId="77777777" w:rsidR="006B1AFC" w:rsidRPr="00B131B0" w:rsidRDefault="006B1AFC" w:rsidP="003C4A79">
            <w:pPr>
              <w:pStyle w:val="Textpoznpodarou1"/>
              <w:jc w:val="both"/>
              <w:rPr>
                <w:lang w:eastAsia="en-US"/>
              </w:rPr>
            </w:pPr>
          </w:p>
        </w:tc>
        <w:tc>
          <w:tcPr>
            <w:tcW w:w="7629" w:type="dxa"/>
          </w:tcPr>
          <w:p w14:paraId="0EA97865" w14:textId="00CE5F0F" w:rsidR="00B97499" w:rsidRPr="003451F4" w:rsidRDefault="00E84959" w:rsidP="00BC595A">
            <w:pPr>
              <w:rPr>
                <w:b/>
                <w:bCs/>
                <w:sz w:val="16"/>
                <w:szCs w:val="16"/>
                <w:lang w:eastAsia="en-US"/>
              </w:rPr>
            </w:pPr>
            <w:r>
              <w:rPr>
                <w:sz w:val="16"/>
                <w:szCs w:val="16"/>
                <w:lang w:eastAsia="en-US"/>
              </w:rPr>
              <w:t>Source</w:t>
            </w:r>
            <w:r w:rsidR="006B1AFC" w:rsidRPr="00B131B0">
              <w:rPr>
                <w:sz w:val="16"/>
                <w:szCs w:val="16"/>
                <w:lang w:eastAsia="en-US"/>
              </w:rPr>
              <w:t>: Eurostat</w:t>
            </w:r>
          </w:p>
        </w:tc>
      </w:tr>
      <w:tr w:rsidR="006B1AFC" w:rsidRPr="00B131B0" w14:paraId="1414F33F" w14:textId="77777777" w:rsidTr="003C4A79">
        <w:trPr>
          <w:trHeight w:val="145"/>
        </w:trPr>
        <w:tc>
          <w:tcPr>
            <w:tcW w:w="1812" w:type="dxa"/>
          </w:tcPr>
          <w:p w14:paraId="410DDD1A" w14:textId="1F754414" w:rsidR="006B1AFC" w:rsidRPr="00B131B0" w:rsidRDefault="00211350" w:rsidP="00211350">
            <w:pPr>
              <w:pStyle w:val="Marginlie"/>
              <w:rPr>
                <w:spacing w:val="0"/>
                <w:lang w:eastAsia="en-US"/>
              </w:rPr>
            </w:pPr>
            <w:r w:rsidRPr="00211350">
              <w:rPr>
                <w:spacing w:val="0"/>
                <w:lang w:eastAsia="en-US"/>
              </w:rPr>
              <w:lastRenderedPageBreak/>
              <w:t>Consumer price growth in the EU has accelerated under the influence of transport prices.</w:t>
            </w:r>
          </w:p>
        </w:tc>
        <w:tc>
          <w:tcPr>
            <w:tcW w:w="213" w:type="dxa"/>
          </w:tcPr>
          <w:p w14:paraId="4BE7F7CD" w14:textId="77777777" w:rsidR="006B1AFC" w:rsidRPr="00B131B0" w:rsidRDefault="006B1AFC" w:rsidP="003C4A79">
            <w:pPr>
              <w:pStyle w:val="Textpoznpodarou1"/>
              <w:jc w:val="both"/>
              <w:rPr>
                <w:lang w:eastAsia="en-US"/>
              </w:rPr>
            </w:pPr>
          </w:p>
        </w:tc>
        <w:tc>
          <w:tcPr>
            <w:tcW w:w="7629" w:type="dxa"/>
          </w:tcPr>
          <w:p w14:paraId="1D1A46A5" w14:textId="4905D34A" w:rsidR="006B1AFC" w:rsidRPr="00B131B0" w:rsidRDefault="00E31220" w:rsidP="00E31220">
            <w:pPr>
              <w:rPr>
                <w:lang w:eastAsia="en-US"/>
              </w:rPr>
            </w:pPr>
            <w:r w:rsidRPr="00E31220">
              <w:rPr>
                <w:lang w:eastAsia="en-US"/>
              </w:rPr>
              <w:t xml:space="preserve">The quarter-on-quarter increase </w:t>
            </w:r>
            <w:r w:rsidR="00D8064E">
              <w:rPr>
                <w:lang w:eastAsia="en-US"/>
              </w:rPr>
              <w:t>of</w:t>
            </w:r>
            <w:r w:rsidRPr="00E31220">
              <w:rPr>
                <w:lang w:eastAsia="en-US"/>
              </w:rPr>
              <w:t xml:space="preserve"> the Harmonised Index of Consumer Prices (HICP)</w:t>
            </w:r>
            <w:r w:rsidR="00444CC9" w:rsidRPr="00B131B0">
              <w:rPr>
                <w:rStyle w:val="Znakapoznpodarou"/>
                <w:lang w:eastAsia="en-US"/>
              </w:rPr>
              <w:footnoteReference w:id="3"/>
            </w:r>
            <w:r w:rsidR="00444CC9" w:rsidRPr="00B131B0">
              <w:rPr>
                <w:lang w:eastAsia="en-US"/>
              </w:rPr>
              <w:t xml:space="preserve"> </w:t>
            </w:r>
            <w:r w:rsidRPr="00E31220">
              <w:rPr>
                <w:lang w:eastAsia="en-US"/>
              </w:rPr>
              <w:t xml:space="preserve">in the EU was 1.9%. Prices in all classification </w:t>
            </w:r>
            <w:r w:rsidR="00366F38">
              <w:rPr>
                <w:lang w:eastAsia="en-US"/>
              </w:rPr>
              <w:t xml:space="preserve">divisions </w:t>
            </w:r>
            <w:r w:rsidRPr="00E31220">
              <w:rPr>
                <w:lang w:eastAsia="en-US"/>
              </w:rPr>
              <w:t>were higher</w:t>
            </w:r>
            <w:r w:rsidR="00366F38">
              <w:rPr>
                <w:lang w:eastAsia="en-US"/>
              </w:rPr>
              <w:t>,</w:t>
            </w:r>
            <w:r w:rsidRPr="00E31220">
              <w:rPr>
                <w:lang w:eastAsia="en-US"/>
              </w:rPr>
              <w:t xml:space="preserve"> quarter-on-quarter</w:t>
            </w:r>
            <w:r w:rsidR="00366F38">
              <w:rPr>
                <w:lang w:eastAsia="en-US"/>
              </w:rPr>
              <w:t>,</w:t>
            </w:r>
            <w:r w:rsidRPr="00E31220">
              <w:rPr>
                <w:lang w:eastAsia="en-US"/>
              </w:rPr>
              <w:t xml:space="preserve"> in Q2. The strengthening </w:t>
            </w:r>
            <w:r w:rsidR="00EE2A7B">
              <w:rPr>
                <w:lang w:eastAsia="en-US"/>
              </w:rPr>
              <w:t>of</w:t>
            </w:r>
            <w:r w:rsidRPr="00E31220">
              <w:rPr>
                <w:lang w:eastAsia="en-US"/>
              </w:rPr>
              <w:t xml:space="preserve"> HICP dynamics was mainly related to a sharp increase </w:t>
            </w:r>
            <w:r w:rsidR="00CD3285">
              <w:rPr>
                <w:lang w:eastAsia="en-US"/>
              </w:rPr>
              <w:t>of</w:t>
            </w:r>
            <w:r w:rsidRPr="00E31220">
              <w:rPr>
                <w:lang w:eastAsia="en-US"/>
              </w:rPr>
              <w:t xml:space="preserve"> transport prices (4.4%), but there </w:t>
            </w:r>
            <w:r w:rsidR="007B5A8A" w:rsidRPr="00E31220">
              <w:rPr>
                <w:lang w:eastAsia="en-US"/>
              </w:rPr>
              <w:t>were</w:t>
            </w:r>
            <w:r w:rsidRPr="00E31220">
              <w:rPr>
                <w:lang w:eastAsia="en-US"/>
              </w:rPr>
              <w:t xml:space="preserve"> also a significant increase </w:t>
            </w:r>
            <w:r w:rsidR="007B5A8A">
              <w:rPr>
                <w:lang w:eastAsia="en-US"/>
              </w:rPr>
              <w:t>of</w:t>
            </w:r>
            <w:r w:rsidRPr="00E31220">
              <w:rPr>
                <w:lang w:eastAsia="en-US"/>
              </w:rPr>
              <w:t xml:space="preserve"> prices of </w:t>
            </w:r>
            <w:r w:rsidR="000860FB">
              <w:rPr>
                <w:lang w:eastAsia="en-US"/>
              </w:rPr>
              <w:t>restaurants and hotels</w:t>
            </w:r>
            <w:r w:rsidRPr="00E31220">
              <w:rPr>
                <w:lang w:eastAsia="en-US"/>
              </w:rPr>
              <w:t xml:space="preserve"> (3.3%) and clothing and footwear (7.9%). Prices of recreation, sport and culture (1.7%), housing and energ</w:t>
            </w:r>
            <w:r w:rsidR="001E4382">
              <w:rPr>
                <w:lang w:eastAsia="en-US"/>
              </w:rPr>
              <w:t>ies,</w:t>
            </w:r>
            <w:r w:rsidRPr="00E31220">
              <w:rPr>
                <w:lang w:eastAsia="en-US"/>
              </w:rPr>
              <w:t xml:space="preserve"> insurance and financial services, and personal </w:t>
            </w:r>
            <w:r w:rsidR="00655088">
              <w:rPr>
                <w:lang w:eastAsia="en-US"/>
              </w:rPr>
              <w:t xml:space="preserve">care </w:t>
            </w:r>
            <w:r w:rsidRPr="00E31220">
              <w:rPr>
                <w:lang w:eastAsia="en-US"/>
              </w:rPr>
              <w:t xml:space="preserve">and social </w:t>
            </w:r>
            <w:r w:rsidR="00655088">
              <w:rPr>
                <w:lang w:eastAsia="en-US"/>
              </w:rPr>
              <w:t>protection</w:t>
            </w:r>
            <w:r w:rsidRPr="00E31220">
              <w:rPr>
                <w:lang w:eastAsia="en-US"/>
              </w:rPr>
              <w:t>, miscellaneous goods and services (all by 1.1%) also increased by more than 1.0%</w:t>
            </w:r>
            <w:r w:rsidR="00C97B70">
              <w:rPr>
                <w:lang w:eastAsia="en-US"/>
              </w:rPr>
              <w:t>,</w:t>
            </w:r>
            <w:r w:rsidRPr="00E31220">
              <w:rPr>
                <w:lang w:eastAsia="en-US"/>
              </w:rPr>
              <w:t xml:space="preserve"> quarter-on-quarter</w:t>
            </w:r>
            <w:r w:rsidR="00C97B70">
              <w:rPr>
                <w:lang w:eastAsia="en-US"/>
              </w:rPr>
              <w:t>,</w:t>
            </w:r>
            <w:r w:rsidRPr="00E31220">
              <w:rPr>
                <w:lang w:eastAsia="en-US"/>
              </w:rPr>
              <w:t xml:space="preserve"> in the EU, reflecting persistent inflationary pressures in services. With the exception of Sweden (−0.2%), consumer prices increased</w:t>
            </w:r>
            <w:r w:rsidR="003C11F1">
              <w:rPr>
                <w:lang w:eastAsia="en-US"/>
              </w:rPr>
              <w:t>,</w:t>
            </w:r>
            <w:r w:rsidRPr="00E31220">
              <w:rPr>
                <w:lang w:eastAsia="en-US"/>
              </w:rPr>
              <w:t xml:space="preserve"> quarter-on-quarter</w:t>
            </w:r>
            <w:r w:rsidR="003C11F1">
              <w:rPr>
                <w:lang w:eastAsia="en-US"/>
              </w:rPr>
              <w:t>,</w:t>
            </w:r>
            <w:r w:rsidRPr="00E31220">
              <w:rPr>
                <w:lang w:eastAsia="en-US"/>
              </w:rPr>
              <w:t xml:space="preserve"> in the EU as a whole. </w:t>
            </w:r>
            <w:r w:rsidR="00E64094">
              <w:rPr>
                <w:lang w:eastAsia="en-US"/>
              </w:rPr>
              <w:t>At the same time, t</w:t>
            </w:r>
            <w:r w:rsidRPr="00E31220">
              <w:rPr>
                <w:lang w:eastAsia="en-US"/>
              </w:rPr>
              <w:t xml:space="preserve">he Czech Republic achieved the second lowest price growth in the EU (0.8%, the difference between the HICP and the published consumer price index is due to the absence of </w:t>
            </w:r>
            <w:r w:rsidR="00461115">
              <w:rPr>
                <w:lang w:eastAsia="en-US"/>
              </w:rPr>
              <w:t xml:space="preserve">imputed rents </w:t>
            </w:r>
            <w:r w:rsidRPr="00E31220">
              <w:rPr>
                <w:lang w:eastAsia="en-US"/>
              </w:rPr>
              <w:t xml:space="preserve">in the HICP). </w:t>
            </w:r>
            <w:r w:rsidR="00E40373">
              <w:rPr>
                <w:lang w:eastAsia="en-US"/>
              </w:rPr>
              <w:t xml:space="preserve">Year-on-year </w:t>
            </w:r>
            <w:r w:rsidRPr="00E31220">
              <w:rPr>
                <w:lang w:eastAsia="en-US"/>
              </w:rPr>
              <w:t xml:space="preserve">consumer price growth in the EU strengthened to 3.2% in Q2 (from 2.3% in the previous quarter). The highest increases were recorded </w:t>
            </w:r>
            <w:r w:rsidR="00606F15">
              <w:rPr>
                <w:lang w:eastAsia="en-US"/>
              </w:rPr>
              <w:t>for</w:t>
            </w:r>
            <w:r w:rsidRPr="00E31220">
              <w:rPr>
                <w:lang w:eastAsia="en-US"/>
              </w:rPr>
              <w:t xml:space="preserve"> transport prices (6.4%), education (4.7%), alcoholic beverages and tobacco, and </w:t>
            </w:r>
            <w:r w:rsidR="007248BA">
              <w:rPr>
                <w:lang w:eastAsia="en-US"/>
              </w:rPr>
              <w:t>restaurants and hotels</w:t>
            </w:r>
            <w:r w:rsidRPr="00E31220">
              <w:rPr>
                <w:lang w:eastAsia="en-US"/>
              </w:rPr>
              <w:t xml:space="preserve"> (both by 4.0%). In terms of year-on-year HICP growth, the Czech Republic was one of the countries with the lowest year-on-year growth (1.7%, the </w:t>
            </w:r>
            <w:r w:rsidR="00265D04">
              <w:rPr>
                <w:lang w:eastAsia="en-US"/>
              </w:rPr>
              <w:t>third</w:t>
            </w:r>
            <w:r w:rsidRPr="00E31220">
              <w:rPr>
                <w:lang w:eastAsia="en-US"/>
              </w:rPr>
              <w:t xml:space="preserve"> lowest in the EU).</w:t>
            </w:r>
            <w:r w:rsidR="00F86294">
              <w:rPr>
                <w:lang w:eastAsia="en-US"/>
              </w:rPr>
              <w:t xml:space="preserve"> </w:t>
            </w:r>
          </w:p>
        </w:tc>
      </w:tr>
      <w:tr w:rsidR="006B1AFC" w:rsidRPr="00B131B0" w14:paraId="1BC5C4C9" w14:textId="77777777" w:rsidTr="003C4A79">
        <w:trPr>
          <w:trHeight w:val="145"/>
        </w:trPr>
        <w:tc>
          <w:tcPr>
            <w:tcW w:w="1812" w:type="dxa"/>
          </w:tcPr>
          <w:p w14:paraId="06013F9D" w14:textId="77777777" w:rsidR="006B1AFC" w:rsidRPr="00B131B0" w:rsidRDefault="006B1AFC" w:rsidP="003C4A79">
            <w:pPr>
              <w:pStyle w:val="Marginlie"/>
              <w:rPr>
                <w:spacing w:val="0"/>
                <w:lang w:eastAsia="en-US"/>
              </w:rPr>
            </w:pPr>
          </w:p>
        </w:tc>
        <w:tc>
          <w:tcPr>
            <w:tcW w:w="213" w:type="dxa"/>
          </w:tcPr>
          <w:p w14:paraId="78F2133E" w14:textId="77777777" w:rsidR="006B1AFC" w:rsidRPr="00B131B0" w:rsidRDefault="006B1AFC" w:rsidP="003C4A79">
            <w:pPr>
              <w:pStyle w:val="Textpoznpodarou1"/>
              <w:jc w:val="both"/>
              <w:rPr>
                <w:lang w:eastAsia="en-US"/>
              </w:rPr>
            </w:pPr>
          </w:p>
        </w:tc>
        <w:tc>
          <w:tcPr>
            <w:tcW w:w="7629" w:type="dxa"/>
            <w:hideMark/>
          </w:tcPr>
          <w:p w14:paraId="79D92DFA" w14:textId="73CD7EC3" w:rsidR="006B1AFC" w:rsidRPr="00B131B0" w:rsidRDefault="00F10432" w:rsidP="003C4A79">
            <w:pPr>
              <w:spacing w:after="0"/>
              <w:rPr>
                <w:rStyle w:val="Znakapoznpodarou"/>
              </w:rPr>
            </w:pPr>
            <w:r>
              <w:rPr>
                <w:b/>
                <w:sz w:val="18"/>
                <w:szCs w:val="18"/>
                <w:lang w:eastAsia="en-US"/>
              </w:rPr>
              <w:t xml:space="preserve">Chart </w:t>
            </w:r>
            <w:r w:rsidR="006B1AFC" w:rsidRPr="00B131B0">
              <w:rPr>
                <w:b/>
                <w:sz w:val="18"/>
                <w:szCs w:val="18"/>
                <w:lang w:eastAsia="en-US"/>
              </w:rPr>
              <w:t xml:space="preserve">12 </w:t>
            </w:r>
            <w:r>
              <w:rPr>
                <w:b/>
                <w:sz w:val="18"/>
                <w:szCs w:val="18"/>
                <w:lang w:eastAsia="en-US"/>
              </w:rPr>
              <w:t xml:space="preserve">Real estate prices </w:t>
            </w:r>
            <w:r w:rsidR="006B1AFC" w:rsidRPr="00B131B0">
              <w:rPr>
                <w:sz w:val="18"/>
                <w:szCs w:val="18"/>
                <w:lang w:eastAsia="en-US"/>
              </w:rPr>
              <w:t>(</w:t>
            </w:r>
            <w:r>
              <w:rPr>
                <w:sz w:val="18"/>
                <w:szCs w:val="18"/>
                <w:lang w:eastAsia="en-US"/>
              </w:rPr>
              <w:t xml:space="preserve">year-on-year change, in </w:t>
            </w:r>
            <w:r w:rsidR="006B1AFC" w:rsidRPr="00B131B0">
              <w:rPr>
                <w:sz w:val="18"/>
                <w:szCs w:val="18"/>
                <w:lang w:eastAsia="en-US"/>
              </w:rPr>
              <w:t>%)</w:t>
            </w:r>
          </w:p>
        </w:tc>
      </w:tr>
      <w:tr w:rsidR="006B1AFC" w:rsidRPr="00B131B0" w14:paraId="1853AC74" w14:textId="77777777" w:rsidTr="00956983">
        <w:tblPrEx>
          <w:tblCellMar>
            <w:left w:w="70" w:type="dxa"/>
            <w:right w:w="70" w:type="dxa"/>
          </w:tblCellMar>
        </w:tblPrEx>
        <w:trPr>
          <w:trHeight w:val="145"/>
        </w:trPr>
        <w:tc>
          <w:tcPr>
            <w:tcW w:w="1812" w:type="dxa"/>
          </w:tcPr>
          <w:p w14:paraId="0D1B1B54" w14:textId="77777777" w:rsidR="006B1AFC" w:rsidRPr="00B131B0" w:rsidRDefault="006B1AFC" w:rsidP="003C4A79">
            <w:pPr>
              <w:pStyle w:val="Marginlie"/>
              <w:rPr>
                <w:spacing w:val="0"/>
              </w:rPr>
            </w:pPr>
          </w:p>
        </w:tc>
        <w:tc>
          <w:tcPr>
            <w:tcW w:w="213" w:type="dxa"/>
          </w:tcPr>
          <w:p w14:paraId="63F423DB" w14:textId="77777777" w:rsidR="006B1AFC" w:rsidRPr="00B131B0" w:rsidRDefault="006B1AFC" w:rsidP="003C4A79">
            <w:pPr>
              <w:pStyle w:val="Textpoznpodarou1"/>
              <w:jc w:val="both"/>
              <w:rPr>
                <w:lang w:eastAsia="en-US"/>
              </w:rPr>
            </w:pPr>
          </w:p>
        </w:tc>
        <w:tc>
          <w:tcPr>
            <w:tcW w:w="7629" w:type="dxa"/>
            <w:hideMark/>
          </w:tcPr>
          <w:p w14:paraId="28106732" w14:textId="16C70DBC" w:rsidR="006B1AFC" w:rsidRPr="00B131B0" w:rsidRDefault="00956983" w:rsidP="003C4A79">
            <w:pPr>
              <w:spacing w:after="0"/>
              <w:rPr>
                <w:rStyle w:val="Znakapoznpodarou"/>
              </w:rPr>
            </w:pPr>
            <w:r>
              <w:rPr>
                <w:noProof/>
              </w:rPr>
              <w:drawing>
                <wp:inline distT="0" distB="0" distL="0" distR="0" wp14:anchorId="6D66982C" wp14:editId="71ED8277">
                  <wp:extent cx="4737600" cy="3168000"/>
                  <wp:effectExtent l="0" t="0" r="6350" b="0"/>
                  <wp:docPr id="1963257525" name="Graf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6B1AFC" w:rsidRPr="00B131B0" w14:paraId="5DAEAF72" w14:textId="77777777" w:rsidTr="003C4A79">
        <w:trPr>
          <w:trHeight w:val="145"/>
        </w:trPr>
        <w:tc>
          <w:tcPr>
            <w:tcW w:w="1812" w:type="dxa"/>
          </w:tcPr>
          <w:p w14:paraId="5D0B95F6" w14:textId="77777777" w:rsidR="006B1AFC" w:rsidRPr="00B131B0" w:rsidRDefault="006B1AFC" w:rsidP="003C4A79">
            <w:pPr>
              <w:pStyle w:val="Marginlie"/>
              <w:rPr>
                <w:spacing w:val="0"/>
              </w:rPr>
            </w:pPr>
          </w:p>
        </w:tc>
        <w:tc>
          <w:tcPr>
            <w:tcW w:w="213" w:type="dxa"/>
          </w:tcPr>
          <w:p w14:paraId="2084E492" w14:textId="77777777" w:rsidR="006B1AFC" w:rsidRPr="00B131B0" w:rsidRDefault="006B1AFC" w:rsidP="003C4A79">
            <w:pPr>
              <w:pStyle w:val="Textpoznpodarou1"/>
              <w:jc w:val="both"/>
              <w:rPr>
                <w:lang w:eastAsia="en-US"/>
              </w:rPr>
            </w:pPr>
          </w:p>
        </w:tc>
        <w:tc>
          <w:tcPr>
            <w:tcW w:w="7629" w:type="dxa"/>
            <w:hideMark/>
          </w:tcPr>
          <w:p w14:paraId="25418597" w14:textId="34A9625D" w:rsidR="00193CDC" w:rsidRPr="00857DDE" w:rsidRDefault="00857DDE" w:rsidP="00956983">
            <w:pPr>
              <w:jc w:val="left"/>
              <w:rPr>
                <w:rStyle w:val="Znakapoznpodarou"/>
                <w:b/>
                <w:bCs/>
                <w:sz w:val="16"/>
                <w:szCs w:val="16"/>
              </w:rPr>
            </w:pPr>
            <w:r>
              <w:rPr>
                <w:sz w:val="16"/>
                <w:szCs w:val="16"/>
                <w:lang w:eastAsia="en-US"/>
              </w:rPr>
              <w:t>Source</w:t>
            </w:r>
            <w:r w:rsidR="006B1AFC" w:rsidRPr="00B131B0">
              <w:rPr>
                <w:sz w:val="16"/>
                <w:szCs w:val="16"/>
                <w:lang w:eastAsia="en-US"/>
              </w:rPr>
              <w:t xml:space="preserve">: </w:t>
            </w:r>
            <w:r>
              <w:rPr>
                <w:sz w:val="16"/>
                <w:szCs w:val="16"/>
                <w:lang w:eastAsia="en-US"/>
              </w:rPr>
              <w:t>CZSO</w:t>
            </w:r>
          </w:p>
        </w:tc>
      </w:tr>
      <w:tr w:rsidR="00655088" w:rsidRPr="00B131B0" w14:paraId="2BDC88C1" w14:textId="77777777" w:rsidTr="003C4A79">
        <w:trPr>
          <w:trHeight w:val="145"/>
        </w:trPr>
        <w:tc>
          <w:tcPr>
            <w:tcW w:w="1812" w:type="dxa"/>
          </w:tcPr>
          <w:p w14:paraId="72EEF1BA" w14:textId="77777777" w:rsidR="00655088" w:rsidRPr="00F8143E" w:rsidRDefault="00655088" w:rsidP="00655088">
            <w:pPr>
              <w:pStyle w:val="Marginlie"/>
              <w:rPr>
                <w:lang w:val="en" w:eastAsia="en-US"/>
              </w:rPr>
            </w:pPr>
            <w:r w:rsidRPr="00F8143E">
              <w:rPr>
                <w:lang w:val="en" w:eastAsia="en-US"/>
              </w:rPr>
              <w:t xml:space="preserve">Growth in </w:t>
            </w:r>
            <w:r>
              <w:rPr>
                <w:lang w:val="en" w:eastAsia="en-US"/>
              </w:rPr>
              <w:t xml:space="preserve">catalogue </w:t>
            </w:r>
            <w:r w:rsidRPr="00F8143E">
              <w:rPr>
                <w:lang w:val="en" w:eastAsia="en-US"/>
              </w:rPr>
              <w:t xml:space="preserve">prices of </w:t>
            </w:r>
            <w:r>
              <w:rPr>
                <w:lang w:val="en" w:eastAsia="en-US"/>
              </w:rPr>
              <w:t xml:space="preserve">dwellings </w:t>
            </w:r>
            <w:r w:rsidRPr="00F8143E">
              <w:rPr>
                <w:lang w:val="en" w:eastAsia="en-US"/>
              </w:rPr>
              <w:t>slowed down.</w:t>
            </w:r>
          </w:p>
          <w:p w14:paraId="0DA3FC87" w14:textId="77777777" w:rsidR="00655088" w:rsidRPr="00B131B0" w:rsidRDefault="00655088" w:rsidP="00655088">
            <w:pPr>
              <w:pStyle w:val="Marginlie"/>
              <w:rPr>
                <w:spacing w:val="0"/>
              </w:rPr>
            </w:pPr>
          </w:p>
        </w:tc>
        <w:tc>
          <w:tcPr>
            <w:tcW w:w="213" w:type="dxa"/>
          </w:tcPr>
          <w:p w14:paraId="671B7619" w14:textId="77777777" w:rsidR="00655088" w:rsidRPr="00B131B0" w:rsidRDefault="00655088" w:rsidP="00655088">
            <w:pPr>
              <w:pStyle w:val="Textpoznpodarou1"/>
              <w:jc w:val="both"/>
              <w:rPr>
                <w:lang w:eastAsia="en-US"/>
              </w:rPr>
            </w:pPr>
          </w:p>
        </w:tc>
        <w:tc>
          <w:tcPr>
            <w:tcW w:w="7629" w:type="dxa"/>
          </w:tcPr>
          <w:p w14:paraId="238E799F" w14:textId="53BC588B" w:rsidR="00655088" w:rsidRDefault="00655088" w:rsidP="007248BA">
            <w:pPr>
              <w:rPr>
                <w:sz w:val="16"/>
                <w:szCs w:val="16"/>
                <w:lang w:eastAsia="en-US"/>
              </w:rPr>
            </w:pPr>
            <w:r>
              <w:rPr>
                <w:lang w:eastAsia="en-US"/>
              </w:rPr>
              <w:t xml:space="preserve">Catalogue </w:t>
            </w:r>
            <w:r w:rsidRPr="007256B5">
              <w:rPr>
                <w:lang w:val="en" w:eastAsia="en-US"/>
              </w:rPr>
              <w:t xml:space="preserve">prices of </w:t>
            </w:r>
            <w:r>
              <w:rPr>
                <w:lang w:val="en" w:eastAsia="en-US"/>
              </w:rPr>
              <w:t xml:space="preserve">dwellings </w:t>
            </w:r>
            <w:r w:rsidRPr="007256B5">
              <w:rPr>
                <w:lang w:val="en" w:eastAsia="en-US"/>
              </w:rPr>
              <w:t>in the Czech Republic increased by 1.4%</w:t>
            </w:r>
            <w:r>
              <w:rPr>
                <w:lang w:val="en" w:eastAsia="en-US"/>
              </w:rPr>
              <w:t>,</w:t>
            </w:r>
            <w:r w:rsidRPr="007256B5">
              <w:rPr>
                <w:lang w:val="en" w:eastAsia="en-US"/>
              </w:rPr>
              <w:t xml:space="preserve"> quarter-on-quarter</w:t>
            </w:r>
            <w:r>
              <w:rPr>
                <w:lang w:val="en" w:eastAsia="en-US"/>
              </w:rPr>
              <w:t>,</w:t>
            </w:r>
            <w:r w:rsidRPr="007256B5">
              <w:rPr>
                <w:lang w:val="en" w:eastAsia="en-US"/>
              </w:rPr>
              <w:t xml:space="preserve"> and by 10.7%</w:t>
            </w:r>
            <w:r>
              <w:rPr>
                <w:lang w:val="en" w:eastAsia="en-US"/>
              </w:rPr>
              <w:t>,</w:t>
            </w:r>
            <w:r w:rsidRPr="007256B5">
              <w:rPr>
                <w:lang w:val="en" w:eastAsia="en-US"/>
              </w:rPr>
              <w:t xml:space="preserve"> year-on-year</w:t>
            </w:r>
            <w:r>
              <w:rPr>
                <w:lang w:val="en" w:eastAsia="en-US"/>
              </w:rPr>
              <w:t>,</w:t>
            </w:r>
            <w:r w:rsidRPr="007256B5">
              <w:rPr>
                <w:lang w:val="en" w:eastAsia="en-US"/>
              </w:rPr>
              <w:t xml:space="preserve"> in Q2. Growth slowed down compared to the previous quarter (2.7%</w:t>
            </w:r>
            <w:r>
              <w:rPr>
                <w:lang w:val="en" w:eastAsia="en-US"/>
              </w:rPr>
              <w:t>, quarter-on-quarter</w:t>
            </w:r>
            <w:r w:rsidRPr="007256B5">
              <w:rPr>
                <w:lang w:val="en" w:eastAsia="en-US"/>
              </w:rPr>
              <w:t>, 12.9%</w:t>
            </w:r>
            <w:r>
              <w:rPr>
                <w:lang w:val="en" w:eastAsia="en-US"/>
              </w:rPr>
              <w:t>, year-on-year</w:t>
            </w:r>
            <w:r w:rsidRPr="007256B5">
              <w:rPr>
                <w:lang w:val="en" w:eastAsia="en-US"/>
              </w:rPr>
              <w:t xml:space="preserve">), especially for </w:t>
            </w:r>
            <w:r>
              <w:rPr>
                <w:lang w:val="en" w:eastAsia="en-US"/>
              </w:rPr>
              <w:t xml:space="preserve">dwellings </w:t>
            </w:r>
            <w:r w:rsidRPr="007256B5">
              <w:rPr>
                <w:lang w:val="en" w:eastAsia="en-US"/>
              </w:rPr>
              <w:t xml:space="preserve">outside Prague, where </w:t>
            </w:r>
            <w:r>
              <w:rPr>
                <w:lang w:val="en" w:eastAsia="en-US"/>
              </w:rPr>
              <w:t>catalogue</w:t>
            </w:r>
            <w:r w:rsidRPr="007256B5">
              <w:rPr>
                <w:lang w:val="en" w:eastAsia="en-US"/>
              </w:rPr>
              <w:t xml:space="preserve"> prices increased by 1.2%</w:t>
            </w:r>
            <w:r>
              <w:rPr>
                <w:lang w:val="en" w:eastAsia="en-US"/>
              </w:rPr>
              <w:t>,</w:t>
            </w:r>
            <w:r w:rsidRPr="007256B5">
              <w:rPr>
                <w:lang w:val="en" w:eastAsia="en-US"/>
              </w:rPr>
              <w:t xml:space="preserve"> quarter-on-quarter</w:t>
            </w:r>
            <w:r>
              <w:rPr>
                <w:lang w:val="en" w:eastAsia="en-US"/>
              </w:rPr>
              <w:t>,</w:t>
            </w:r>
            <w:r w:rsidRPr="007256B5">
              <w:rPr>
                <w:lang w:val="en" w:eastAsia="en-US"/>
              </w:rPr>
              <w:t xml:space="preserve"> and by 12.6%</w:t>
            </w:r>
            <w:r>
              <w:rPr>
                <w:lang w:val="en" w:eastAsia="en-US"/>
              </w:rPr>
              <w:t>,</w:t>
            </w:r>
            <w:r w:rsidRPr="007256B5">
              <w:rPr>
                <w:lang w:val="en" w:eastAsia="en-US"/>
              </w:rPr>
              <w:t xml:space="preserve"> year-on-year (after 17.7% from the previous quarter). In Prague, </w:t>
            </w:r>
            <w:r>
              <w:rPr>
                <w:lang w:val="en" w:eastAsia="en-US"/>
              </w:rPr>
              <w:t>catalogue</w:t>
            </w:r>
            <w:r w:rsidRPr="007256B5">
              <w:rPr>
                <w:lang w:val="en" w:eastAsia="en-US"/>
              </w:rPr>
              <w:t xml:space="preserve"> prices of </w:t>
            </w:r>
            <w:r>
              <w:rPr>
                <w:lang w:val="en" w:eastAsia="en-US"/>
              </w:rPr>
              <w:t xml:space="preserve">dwellings </w:t>
            </w:r>
            <w:r w:rsidRPr="007256B5">
              <w:rPr>
                <w:lang w:val="en" w:eastAsia="en-US"/>
              </w:rPr>
              <w:t>increased by 1.6%</w:t>
            </w:r>
            <w:r>
              <w:rPr>
                <w:lang w:val="en" w:eastAsia="en-US"/>
              </w:rPr>
              <w:t>,</w:t>
            </w:r>
            <w:r w:rsidRPr="007256B5">
              <w:rPr>
                <w:lang w:val="en" w:eastAsia="en-US"/>
              </w:rPr>
              <w:t xml:space="preserve"> quarter-on-quarter</w:t>
            </w:r>
            <w:r>
              <w:rPr>
                <w:lang w:val="en" w:eastAsia="en-US"/>
              </w:rPr>
              <w:t>,</w:t>
            </w:r>
            <w:r w:rsidRPr="007256B5">
              <w:rPr>
                <w:lang w:val="en" w:eastAsia="en-US"/>
              </w:rPr>
              <w:t xml:space="preserve"> and by 9.0%</w:t>
            </w:r>
            <w:r>
              <w:rPr>
                <w:lang w:val="en" w:eastAsia="en-US"/>
              </w:rPr>
              <w:t>,</w:t>
            </w:r>
            <w:r w:rsidRPr="007256B5">
              <w:rPr>
                <w:lang w:val="en" w:eastAsia="en-US"/>
              </w:rPr>
              <w:t xml:space="preserve"> year-on-year</w:t>
            </w:r>
            <w:r>
              <w:rPr>
                <w:lang w:val="en" w:eastAsia="en-US"/>
              </w:rPr>
              <w:t>,</w:t>
            </w:r>
            <w:r w:rsidRPr="007256B5">
              <w:rPr>
                <w:lang w:val="en" w:eastAsia="en-US"/>
              </w:rPr>
              <w:t xml:space="preserve"> in </w:t>
            </w:r>
            <w:r>
              <w:rPr>
                <w:lang w:val="en" w:eastAsia="en-US"/>
              </w:rPr>
              <w:t>Q2</w:t>
            </w:r>
            <w:r w:rsidRPr="007256B5">
              <w:rPr>
                <w:lang w:val="en" w:eastAsia="en-US"/>
              </w:rPr>
              <w:t xml:space="preserve">. On the </w:t>
            </w:r>
            <w:r>
              <w:rPr>
                <w:lang w:val="en" w:eastAsia="en-US"/>
              </w:rPr>
              <w:t>contrary</w:t>
            </w:r>
            <w:r w:rsidRPr="007256B5">
              <w:rPr>
                <w:lang w:val="en" w:eastAsia="en-US"/>
              </w:rPr>
              <w:t xml:space="preserve">, quarter-on-quarter growth </w:t>
            </w:r>
            <w:r>
              <w:rPr>
                <w:lang w:val="en" w:eastAsia="en-US"/>
              </w:rPr>
              <w:t>of</w:t>
            </w:r>
            <w:r w:rsidRPr="007256B5">
              <w:rPr>
                <w:lang w:val="en" w:eastAsia="en-US"/>
              </w:rPr>
              <w:t xml:space="preserve"> realized prices of older </w:t>
            </w:r>
            <w:r>
              <w:rPr>
                <w:lang w:val="en" w:eastAsia="en-US"/>
              </w:rPr>
              <w:t>dwellings i</w:t>
            </w:r>
            <w:r w:rsidRPr="007256B5">
              <w:rPr>
                <w:lang w:val="en" w:eastAsia="en-US"/>
              </w:rPr>
              <w:t>n the Czech Republic strengthened to 3.2% in Q2 (year-on-year increase weakened to 14.0%). Realized prices outside Prague were higher by 3.3%</w:t>
            </w:r>
            <w:r>
              <w:rPr>
                <w:lang w:val="en" w:eastAsia="en-US"/>
              </w:rPr>
              <w:t>,</w:t>
            </w:r>
            <w:r w:rsidRPr="007256B5">
              <w:rPr>
                <w:lang w:val="en" w:eastAsia="en-US"/>
              </w:rPr>
              <w:t xml:space="preserve"> quarter-on-quarter (by 14.5%</w:t>
            </w:r>
            <w:r>
              <w:rPr>
                <w:lang w:val="en" w:eastAsia="en-US"/>
              </w:rPr>
              <w:t>, year-on-year</w:t>
            </w:r>
            <w:r w:rsidRPr="007256B5">
              <w:rPr>
                <w:lang w:val="en" w:eastAsia="en-US"/>
              </w:rPr>
              <w:t xml:space="preserve">) and in Prague growth strengthened to </w:t>
            </w:r>
            <w:r w:rsidRPr="007256B5">
              <w:rPr>
                <w:lang w:val="en" w:eastAsia="en-US"/>
              </w:rPr>
              <w:lastRenderedPageBreak/>
              <w:t>2.6%</w:t>
            </w:r>
            <w:r>
              <w:rPr>
                <w:lang w:val="en" w:eastAsia="en-US"/>
              </w:rPr>
              <w:t xml:space="preserve">, quarter-on-quarter </w:t>
            </w:r>
            <w:r w:rsidRPr="007256B5">
              <w:rPr>
                <w:lang w:val="en" w:eastAsia="en-US"/>
              </w:rPr>
              <w:t>and 11.9%</w:t>
            </w:r>
            <w:r>
              <w:rPr>
                <w:lang w:val="en" w:eastAsia="en-US"/>
              </w:rPr>
              <w:t>, year-on-year</w:t>
            </w:r>
            <w:r w:rsidRPr="007256B5">
              <w:rPr>
                <w:lang w:val="en" w:eastAsia="en-US"/>
              </w:rPr>
              <w:t xml:space="preserve">. Realized prices of new </w:t>
            </w:r>
            <w:r>
              <w:rPr>
                <w:lang w:val="en" w:eastAsia="en-US"/>
              </w:rPr>
              <w:t xml:space="preserve">dwellings </w:t>
            </w:r>
            <w:r w:rsidRPr="007256B5">
              <w:rPr>
                <w:lang w:val="en" w:eastAsia="en-US"/>
              </w:rPr>
              <w:t>(only for Prague) fell by 1.0%</w:t>
            </w:r>
            <w:r>
              <w:rPr>
                <w:lang w:val="en" w:eastAsia="en-US"/>
              </w:rPr>
              <w:t>,</w:t>
            </w:r>
            <w:r w:rsidRPr="007256B5">
              <w:rPr>
                <w:lang w:val="en" w:eastAsia="en-US"/>
              </w:rPr>
              <w:t xml:space="preserve"> quarter-on-quarter</w:t>
            </w:r>
            <w:r>
              <w:rPr>
                <w:lang w:val="en" w:eastAsia="en-US"/>
              </w:rPr>
              <w:t>,</w:t>
            </w:r>
            <w:r w:rsidRPr="007256B5">
              <w:rPr>
                <w:lang w:val="en" w:eastAsia="en-US"/>
              </w:rPr>
              <w:t xml:space="preserve"> in Q2 and there was also a significant drop in year-on-year growth to 3.1%.</w:t>
            </w:r>
            <w:r>
              <w:rPr>
                <w:lang w:val="en" w:eastAsia="en-US"/>
              </w:rPr>
              <w:t xml:space="preserve"> </w:t>
            </w:r>
          </w:p>
        </w:tc>
      </w:tr>
      <w:tr w:rsidR="00655088" w:rsidRPr="00B131B0" w14:paraId="7E90F4D9" w14:textId="77777777" w:rsidTr="003C4A79">
        <w:trPr>
          <w:trHeight w:val="145"/>
        </w:trPr>
        <w:tc>
          <w:tcPr>
            <w:tcW w:w="9654" w:type="dxa"/>
            <w:gridSpan w:val="3"/>
          </w:tcPr>
          <w:p w14:paraId="118D8E18" w14:textId="6FE97287" w:rsidR="00655088" w:rsidRPr="00B131B0" w:rsidRDefault="00655088" w:rsidP="00655088">
            <w:pPr>
              <w:pStyle w:val="Nadpis3"/>
              <w:spacing w:after="120"/>
              <w:rPr>
                <w:lang w:val="en-GB" w:eastAsia="en-US"/>
              </w:rPr>
            </w:pPr>
            <w:bookmarkStart w:id="5" w:name="_Toc239947449"/>
            <w:bookmarkStart w:id="6" w:name="_Toc242958690"/>
            <w:r w:rsidRPr="00B131B0">
              <w:rPr>
                <w:lang w:val="en-GB" w:eastAsia="en-US"/>
              </w:rPr>
              <w:lastRenderedPageBreak/>
              <w:t xml:space="preserve">5.2 </w:t>
            </w:r>
            <w:r>
              <w:rPr>
                <w:lang w:val="en-GB" w:eastAsia="en-US"/>
              </w:rPr>
              <w:t>Producer Prices</w:t>
            </w:r>
            <w:bookmarkEnd w:id="5"/>
            <w:bookmarkEnd w:id="6"/>
          </w:p>
        </w:tc>
      </w:tr>
      <w:tr w:rsidR="00655088" w:rsidRPr="00B131B0" w14:paraId="2F96FC4A" w14:textId="77777777" w:rsidTr="003C4A79">
        <w:trPr>
          <w:trHeight w:val="145"/>
        </w:trPr>
        <w:tc>
          <w:tcPr>
            <w:tcW w:w="1812" w:type="dxa"/>
          </w:tcPr>
          <w:p w14:paraId="1A0E29A3" w14:textId="1C2662FF" w:rsidR="00655088" w:rsidRPr="00B131B0" w:rsidRDefault="00655088" w:rsidP="00655088">
            <w:pPr>
              <w:pStyle w:val="Marginlie"/>
              <w:rPr>
                <w:spacing w:val="0"/>
                <w:lang w:eastAsia="en-US"/>
              </w:rPr>
            </w:pPr>
            <w:r w:rsidRPr="00F8279A">
              <w:rPr>
                <w:spacing w:val="0"/>
                <w:lang w:eastAsia="en-US"/>
              </w:rPr>
              <w:t>Industrial producer prices have started to rise again</w:t>
            </w:r>
            <w:r>
              <w:rPr>
                <w:spacing w:val="0"/>
                <w:lang w:eastAsia="en-US"/>
              </w:rPr>
              <w:t>,</w:t>
            </w:r>
            <w:r w:rsidRPr="00F8279A">
              <w:rPr>
                <w:spacing w:val="0"/>
                <w:lang w:eastAsia="en-US"/>
              </w:rPr>
              <w:t xml:space="preserve"> year-on-year.</w:t>
            </w:r>
            <w:r>
              <w:rPr>
                <w:spacing w:val="0"/>
                <w:lang w:eastAsia="en-US"/>
              </w:rPr>
              <w:t xml:space="preserve"> </w:t>
            </w:r>
          </w:p>
        </w:tc>
        <w:tc>
          <w:tcPr>
            <w:tcW w:w="213" w:type="dxa"/>
          </w:tcPr>
          <w:p w14:paraId="2C600EFC" w14:textId="77777777" w:rsidR="00655088" w:rsidRPr="00B131B0" w:rsidRDefault="00655088" w:rsidP="00655088">
            <w:pPr>
              <w:pStyle w:val="Textpoznpodarou1"/>
              <w:jc w:val="both"/>
              <w:rPr>
                <w:lang w:eastAsia="en-US"/>
              </w:rPr>
            </w:pPr>
          </w:p>
        </w:tc>
        <w:tc>
          <w:tcPr>
            <w:tcW w:w="7629" w:type="dxa"/>
          </w:tcPr>
          <w:p w14:paraId="7C2B98EF" w14:textId="3EEA14B1" w:rsidR="00655088" w:rsidRPr="00B131B0" w:rsidRDefault="00655088" w:rsidP="00655088">
            <w:pPr>
              <w:rPr>
                <w:lang w:eastAsia="en-US"/>
              </w:rPr>
            </w:pPr>
            <w:r w:rsidRPr="003A017C">
              <w:rPr>
                <w:lang w:val="en" w:eastAsia="en-US"/>
              </w:rPr>
              <w:t xml:space="preserve">The sharp increase </w:t>
            </w:r>
            <w:r>
              <w:rPr>
                <w:lang w:val="en" w:eastAsia="en-US"/>
              </w:rPr>
              <w:t>in</w:t>
            </w:r>
            <w:r w:rsidRPr="003A017C">
              <w:rPr>
                <w:lang w:val="en" w:eastAsia="en-US"/>
              </w:rPr>
              <w:t xml:space="preserve"> the prices of some raw materials had already affected the end of</w:t>
            </w:r>
            <w:r>
              <w:rPr>
                <w:lang w:val="en" w:eastAsia="en-US"/>
              </w:rPr>
              <w:t xml:space="preserve"> Q</w:t>
            </w:r>
            <w:r w:rsidRPr="003A017C">
              <w:rPr>
                <w:lang w:val="en" w:eastAsia="en-US"/>
              </w:rPr>
              <w:t xml:space="preserve">1, but it did not fully affect industrial producer prices until </w:t>
            </w:r>
            <w:r>
              <w:rPr>
                <w:lang w:val="en" w:eastAsia="en-US"/>
              </w:rPr>
              <w:t>Q</w:t>
            </w:r>
            <w:r w:rsidRPr="003A017C">
              <w:rPr>
                <w:lang w:val="en" w:eastAsia="en-US"/>
              </w:rPr>
              <w:t>2. Industrial producer prices rose by 2.2%</w:t>
            </w:r>
            <w:r>
              <w:rPr>
                <w:lang w:val="en" w:eastAsia="en-US"/>
              </w:rPr>
              <w:t>,</w:t>
            </w:r>
            <w:r w:rsidRPr="003A017C">
              <w:rPr>
                <w:lang w:val="en" w:eastAsia="en-US"/>
              </w:rPr>
              <w:t xml:space="preserve"> quarter-on-quarter</w:t>
            </w:r>
            <w:r>
              <w:rPr>
                <w:lang w:val="en" w:eastAsia="en-US"/>
              </w:rPr>
              <w:t>,</w:t>
            </w:r>
            <w:r w:rsidRPr="003A017C">
              <w:rPr>
                <w:lang w:val="en" w:eastAsia="en-US"/>
              </w:rPr>
              <w:t xml:space="preserve"> and by 1.3%</w:t>
            </w:r>
            <w:r>
              <w:rPr>
                <w:lang w:val="en" w:eastAsia="en-US"/>
              </w:rPr>
              <w:t>,</w:t>
            </w:r>
            <w:r w:rsidRPr="003A017C">
              <w:rPr>
                <w:lang w:val="en" w:eastAsia="en-US"/>
              </w:rPr>
              <w:t xml:space="preserve"> year-on-year</w:t>
            </w:r>
            <w:r>
              <w:rPr>
                <w:lang w:val="en" w:eastAsia="en-US"/>
              </w:rPr>
              <w:t>,</w:t>
            </w:r>
            <w:r w:rsidRPr="003A017C">
              <w:rPr>
                <w:lang w:val="en" w:eastAsia="en-US"/>
              </w:rPr>
              <w:t xml:space="preserve"> in </w:t>
            </w:r>
            <w:r>
              <w:rPr>
                <w:lang w:val="en" w:eastAsia="en-US"/>
              </w:rPr>
              <w:t>Q2</w:t>
            </w:r>
            <w:r w:rsidRPr="003A017C">
              <w:rPr>
                <w:lang w:val="en" w:eastAsia="en-US"/>
              </w:rPr>
              <w:t xml:space="preserve">. The </w:t>
            </w:r>
            <w:r>
              <w:rPr>
                <w:lang w:val="en" w:eastAsia="en-US"/>
              </w:rPr>
              <w:t xml:space="preserve">hike of crude </w:t>
            </w:r>
            <w:r w:rsidRPr="003A017C">
              <w:rPr>
                <w:lang w:val="en" w:eastAsia="en-US"/>
              </w:rPr>
              <w:t>oil prices (by 70.7%</w:t>
            </w:r>
            <w:r>
              <w:rPr>
                <w:lang w:val="en" w:eastAsia="en-US"/>
              </w:rPr>
              <w:t>,</w:t>
            </w:r>
            <w:r w:rsidRPr="003A017C">
              <w:rPr>
                <w:lang w:val="en" w:eastAsia="en-US"/>
              </w:rPr>
              <w:t xml:space="preserve"> quarter-on-quarter</w:t>
            </w:r>
            <w:r>
              <w:rPr>
                <w:lang w:val="en" w:eastAsia="en-US"/>
              </w:rPr>
              <w:t>,</w:t>
            </w:r>
            <w:r w:rsidRPr="003A017C">
              <w:rPr>
                <w:lang w:val="en" w:eastAsia="en-US"/>
              </w:rPr>
              <w:t xml:space="preserve"> and by 50.2%</w:t>
            </w:r>
            <w:r>
              <w:rPr>
                <w:lang w:val="en" w:eastAsia="en-US"/>
              </w:rPr>
              <w:t>,</w:t>
            </w:r>
            <w:r w:rsidRPr="003A017C">
              <w:rPr>
                <w:lang w:val="en" w:eastAsia="en-US"/>
              </w:rPr>
              <w:t xml:space="preserve"> year-on-year) had a key impact on the strengthening of the dynamics of </w:t>
            </w:r>
            <w:r>
              <w:rPr>
                <w:lang w:val="en" w:eastAsia="en-US"/>
              </w:rPr>
              <w:t xml:space="preserve">mining </w:t>
            </w:r>
            <w:r w:rsidRPr="003A017C">
              <w:rPr>
                <w:lang w:val="en" w:eastAsia="en-US"/>
              </w:rPr>
              <w:t>and quarrying prices (see Table 10, prices rose</w:t>
            </w:r>
            <w:r>
              <w:rPr>
                <w:lang w:val="en" w:eastAsia="en-US"/>
              </w:rPr>
              <w:t>,</w:t>
            </w:r>
            <w:r w:rsidRPr="003A017C">
              <w:rPr>
                <w:lang w:val="en" w:eastAsia="en-US"/>
              </w:rPr>
              <w:t xml:space="preserve"> year-on-year</w:t>
            </w:r>
            <w:r>
              <w:rPr>
                <w:lang w:val="en" w:eastAsia="en-US"/>
              </w:rPr>
              <w:t>,</w:t>
            </w:r>
            <w:r w:rsidRPr="003A017C">
              <w:rPr>
                <w:lang w:val="en" w:eastAsia="en-US"/>
              </w:rPr>
              <w:t xml:space="preserve"> for the first time since the end of 2023</w:t>
            </w:r>
            <w:r>
              <w:rPr>
                <w:lang w:val="en" w:eastAsia="en-US"/>
              </w:rPr>
              <w:t xml:space="preserve"> here</w:t>
            </w:r>
            <w:r w:rsidRPr="003A017C">
              <w:rPr>
                <w:lang w:val="en" w:eastAsia="en-US"/>
              </w:rPr>
              <w:t xml:space="preserve">). Growth </w:t>
            </w:r>
            <w:r>
              <w:rPr>
                <w:lang w:val="en" w:eastAsia="en-US"/>
              </w:rPr>
              <w:t>of</w:t>
            </w:r>
            <w:r w:rsidRPr="003A017C">
              <w:rPr>
                <w:lang w:val="en" w:eastAsia="en-US"/>
              </w:rPr>
              <w:t xml:space="preserve"> prices of other </w:t>
            </w:r>
            <w:r>
              <w:rPr>
                <w:lang w:val="en" w:eastAsia="en-US"/>
              </w:rPr>
              <w:t>mining</w:t>
            </w:r>
            <w:r w:rsidRPr="003A017C">
              <w:rPr>
                <w:lang w:val="en" w:eastAsia="en-US"/>
              </w:rPr>
              <w:t xml:space="preserve">, which mainly includes various </w:t>
            </w:r>
            <w:r>
              <w:rPr>
                <w:lang w:val="en" w:eastAsia="en-US"/>
              </w:rPr>
              <w:t>building m</w:t>
            </w:r>
            <w:r w:rsidRPr="003A017C">
              <w:rPr>
                <w:lang w:val="en" w:eastAsia="en-US"/>
              </w:rPr>
              <w:t xml:space="preserve">aterials, also accelerated. So far, the significant increase </w:t>
            </w:r>
            <w:proofErr w:type="gramStart"/>
            <w:r>
              <w:rPr>
                <w:lang w:val="en" w:eastAsia="en-US"/>
              </w:rPr>
              <w:t>of</w:t>
            </w:r>
            <w:proofErr w:type="gramEnd"/>
            <w:r w:rsidRPr="003A017C">
              <w:rPr>
                <w:lang w:val="en" w:eastAsia="en-US"/>
              </w:rPr>
              <w:t xml:space="preserve"> prices has been limited to </w:t>
            </w:r>
            <w:r>
              <w:rPr>
                <w:lang w:val="en" w:eastAsia="en-US"/>
              </w:rPr>
              <w:t xml:space="preserve">crude </w:t>
            </w:r>
            <w:r w:rsidRPr="003A017C">
              <w:rPr>
                <w:lang w:val="en" w:eastAsia="en-US"/>
              </w:rPr>
              <w:t>oil, so the situation for natural gas has been stable (prices increased by 1.0%</w:t>
            </w:r>
            <w:r>
              <w:rPr>
                <w:lang w:val="en" w:eastAsia="en-US"/>
              </w:rPr>
              <w:t>,</w:t>
            </w:r>
            <w:r w:rsidRPr="003A017C">
              <w:rPr>
                <w:lang w:val="en" w:eastAsia="en-US"/>
              </w:rPr>
              <w:t xml:space="preserve"> quarter-on-quarter). Prices of electricity, gas, steam and air conditioning</w:t>
            </w:r>
            <w:r>
              <w:rPr>
                <w:lang w:val="en" w:eastAsia="en-US"/>
              </w:rPr>
              <w:t xml:space="preserve"> </w:t>
            </w:r>
            <w:r w:rsidRPr="003A017C">
              <w:rPr>
                <w:lang w:val="en" w:eastAsia="en-US"/>
              </w:rPr>
              <w:t xml:space="preserve">also maintained a year-on-year decline in Q2 and also </w:t>
            </w:r>
            <w:proofErr w:type="gramStart"/>
            <w:r w:rsidRPr="003A017C">
              <w:rPr>
                <w:lang w:val="en" w:eastAsia="en-US"/>
              </w:rPr>
              <w:t>decreased</w:t>
            </w:r>
            <w:r>
              <w:rPr>
                <w:lang w:val="en" w:eastAsia="en-US"/>
              </w:rPr>
              <w:t>,</w:t>
            </w:r>
            <w:proofErr w:type="gramEnd"/>
            <w:r w:rsidRPr="003A017C">
              <w:rPr>
                <w:lang w:val="en" w:eastAsia="en-US"/>
              </w:rPr>
              <w:t xml:space="preserve"> quarter-on-quarter.</w:t>
            </w:r>
          </w:p>
        </w:tc>
      </w:tr>
      <w:tr w:rsidR="00655088" w:rsidRPr="00B131B0" w14:paraId="598E5CD4" w14:textId="77777777" w:rsidTr="003C4A79">
        <w:trPr>
          <w:trHeight w:val="145"/>
        </w:trPr>
        <w:tc>
          <w:tcPr>
            <w:tcW w:w="9654" w:type="dxa"/>
            <w:gridSpan w:val="3"/>
          </w:tcPr>
          <w:p w14:paraId="4E597946" w14:textId="59E5E54E" w:rsidR="00655088" w:rsidRPr="00B131B0" w:rsidRDefault="00655088" w:rsidP="00655088">
            <w:pPr>
              <w:spacing w:after="0"/>
              <w:rPr>
                <w:rStyle w:val="Znakapoznpodarou"/>
                <w:b/>
                <w:bCs/>
                <w:lang w:eastAsia="en-US"/>
              </w:rPr>
            </w:pPr>
            <w:r w:rsidRPr="00B131B0">
              <w:rPr>
                <w:b/>
                <w:bCs/>
                <w:lang w:eastAsia="en-US"/>
              </w:rPr>
              <w:t>Tab</w:t>
            </w:r>
            <w:r>
              <w:rPr>
                <w:b/>
                <w:bCs/>
                <w:lang w:eastAsia="en-US"/>
              </w:rPr>
              <w:t xml:space="preserve">le </w:t>
            </w:r>
            <w:r w:rsidRPr="00B131B0">
              <w:rPr>
                <w:b/>
                <w:bCs/>
                <w:lang w:eastAsia="en-US"/>
              </w:rPr>
              <w:t xml:space="preserve">10 </w:t>
            </w:r>
            <w:r>
              <w:rPr>
                <w:b/>
                <w:bCs/>
                <w:lang w:eastAsia="en-US"/>
              </w:rPr>
              <w:t xml:space="preserve">Development of industrial producer prices </w:t>
            </w:r>
            <w:r w:rsidRPr="00B131B0">
              <w:rPr>
                <w:b/>
                <w:bCs/>
                <w:lang w:eastAsia="en-US"/>
              </w:rPr>
              <w:t>(</w:t>
            </w:r>
            <w:r>
              <w:rPr>
                <w:b/>
                <w:bCs/>
                <w:lang w:eastAsia="en-US"/>
              </w:rPr>
              <w:t>in</w:t>
            </w:r>
            <w:r w:rsidRPr="00B131B0">
              <w:rPr>
                <w:b/>
                <w:bCs/>
                <w:lang w:eastAsia="en-US"/>
              </w:rPr>
              <w:t xml:space="preserve"> %)</w:t>
            </w:r>
          </w:p>
        </w:tc>
      </w:tr>
      <w:tr w:rsidR="00655088" w:rsidRPr="00B131B0" w14:paraId="23013817" w14:textId="77777777" w:rsidTr="003C4A79">
        <w:trPr>
          <w:trHeight w:val="145"/>
        </w:trPr>
        <w:tc>
          <w:tcPr>
            <w:tcW w:w="9654" w:type="dxa"/>
            <w:gridSpan w:val="3"/>
          </w:tcPr>
          <w:tbl>
            <w:tblPr>
              <w:tblW w:w="9603" w:type="dxa"/>
              <w:tblLayout w:type="fixed"/>
              <w:tblCellMar>
                <w:left w:w="70" w:type="dxa"/>
                <w:right w:w="70" w:type="dxa"/>
              </w:tblCellMar>
              <w:tblLook w:val="04A0" w:firstRow="1" w:lastRow="0" w:firstColumn="1" w:lastColumn="0" w:noHBand="0" w:noVBand="1"/>
            </w:tblPr>
            <w:tblGrid>
              <w:gridCol w:w="3701"/>
              <w:gridCol w:w="696"/>
              <w:gridCol w:w="697"/>
              <w:gridCol w:w="696"/>
              <w:gridCol w:w="697"/>
              <w:gridCol w:w="332"/>
              <w:gridCol w:w="696"/>
              <w:gridCol w:w="696"/>
              <w:gridCol w:w="696"/>
              <w:gridCol w:w="696"/>
            </w:tblGrid>
            <w:tr w:rsidR="00655088" w:rsidRPr="00B131B0" w14:paraId="2248FF36" w14:textId="77777777" w:rsidTr="003C4A79">
              <w:trPr>
                <w:trHeight w:val="255"/>
              </w:trPr>
              <w:tc>
                <w:tcPr>
                  <w:tcW w:w="3701" w:type="dxa"/>
                  <w:tcBorders>
                    <w:top w:val="nil"/>
                    <w:left w:val="nil"/>
                    <w:bottom w:val="nil"/>
                    <w:right w:val="nil"/>
                  </w:tcBorders>
                  <w:noWrap/>
                  <w:vAlign w:val="bottom"/>
                  <w:hideMark/>
                </w:tcPr>
                <w:p w14:paraId="458C0828" w14:textId="77777777" w:rsidR="00655088" w:rsidRPr="00B131B0" w:rsidRDefault="00655088" w:rsidP="00655088">
                  <w:pPr>
                    <w:spacing w:after="0" w:line="240" w:lineRule="auto"/>
                    <w:jc w:val="left"/>
                    <w:rPr>
                      <w:rFonts w:ascii="Times New Roman" w:hAnsi="Times New Roman"/>
                      <w:sz w:val="24"/>
                      <w:szCs w:val="20"/>
                      <w:lang w:eastAsia="ko-KR"/>
                    </w:rPr>
                  </w:pPr>
                </w:p>
              </w:tc>
              <w:tc>
                <w:tcPr>
                  <w:tcW w:w="2786" w:type="dxa"/>
                  <w:gridSpan w:val="4"/>
                  <w:tcBorders>
                    <w:top w:val="nil"/>
                    <w:left w:val="nil"/>
                    <w:bottom w:val="nil"/>
                    <w:right w:val="nil"/>
                  </w:tcBorders>
                  <w:noWrap/>
                  <w:vAlign w:val="bottom"/>
                  <w:hideMark/>
                </w:tcPr>
                <w:p w14:paraId="2821C9E3" w14:textId="6E0DA0DF" w:rsidR="00655088" w:rsidRPr="00B131B0" w:rsidRDefault="00655088" w:rsidP="00655088">
                  <w:pPr>
                    <w:spacing w:after="0" w:line="240" w:lineRule="auto"/>
                    <w:jc w:val="center"/>
                    <w:rPr>
                      <w:rFonts w:cs="Arial"/>
                      <w:color w:val="000000"/>
                      <w:sz w:val="16"/>
                      <w:szCs w:val="16"/>
                      <w:lang w:eastAsia="ko-KR"/>
                    </w:rPr>
                  </w:pPr>
                  <w:r>
                    <w:rPr>
                      <w:rFonts w:cs="Arial"/>
                      <w:color w:val="000000"/>
                      <w:sz w:val="16"/>
                      <w:szCs w:val="16"/>
                      <w:lang w:eastAsia="ko-KR"/>
                    </w:rPr>
                    <w:t>year-on-year</w:t>
                  </w:r>
                </w:p>
              </w:tc>
              <w:tc>
                <w:tcPr>
                  <w:tcW w:w="332" w:type="dxa"/>
                  <w:tcBorders>
                    <w:top w:val="nil"/>
                    <w:left w:val="nil"/>
                    <w:bottom w:val="nil"/>
                    <w:right w:val="nil"/>
                  </w:tcBorders>
                  <w:noWrap/>
                  <w:vAlign w:val="bottom"/>
                  <w:hideMark/>
                </w:tcPr>
                <w:p w14:paraId="334ADDC3" w14:textId="77777777" w:rsidR="00655088" w:rsidRPr="00B131B0" w:rsidRDefault="00655088" w:rsidP="00655088">
                  <w:pPr>
                    <w:spacing w:after="0" w:line="240" w:lineRule="auto"/>
                    <w:jc w:val="center"/>
                    <w:rPr>
                      <w:rFonts w:cs="Arial"/>
                      <w:color w:val="000000"/>
                      <w:sz w:val="16"/>
                      <w:szCs w:val="16"/>
                      <w:lang w:eastAsia="ko-KR"/>
                    </w:rPr>
                  </w:pPr>
                </w:p>
              </w:tc>
              <w:tc>
                <w:tcPr>
                  <w:tcW w:w="2784" w:type="dxa"/>
                  <w:gridSpan w:val="4"/>
                  <w:tcBorders>
                    <w:top w:val="nil"/>
                    <w:left w:val="nil"/>
                    <w:bottom w:val="nil"/>
                    <w:right w:val="nil"/>
                  </w:tcBorders>
                  <w:noWrap/>
                  <w:vAlign w:val="bottom"/>
                  <w:hideMark/>
                </w:tcPr>
                <w:p w14:paraId="5A2A4294" w14:textId="352FDE80" w:rsidR="00655088" w:rsidRPr="00B131B0" w:rsidRDefault="00655088" w:rsidP="00655088">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r>
            <w:tr w:rsidR="00655088" w:rsidRPr="00B131B0" w14:paraId="01671F7F" w14:textId="77777777" w:rsidTr="003C4A79">
              <w:trPr>
                <w:trHeight w:val="255"/>
              </w:trPr>
              <w:tc>
                <w:tcPr>
                  <w:tcW w:w="3701" w:type="dxa"/>
                  <w:tcBorders>
                    <w:top w:val="nil"/>
                    <w:left w:val="nil"/>
                    <w:bottom w:val="nil"/>
                    <w:right w:val="nil"/>
                  </w:tcBorders>
                  <w:noWrap/>
                  <w:vAlign w:val="bottom"/>
                  <w:hideMark/>
                </w:tcPr>
                <w:p w14:paraId="65736D1E" w14:textId="77777777" w:rsidR="00655088" w:rsidRPr="00B131B0" w:rsidRDefault="00655088" w:rsidP="00655088">
                  <w:pPr>
                    <w:spacing w:after="0" w:line="240" w:lineRule="auto"/>
                    <w:jc w:val="center"/>
                    <w:rPr>
                      <w:rFonts w:cs="Arial"/>
                      <w:color w:val="000000"/>
                      <w:sz w:val="16"/>
                      <w:szCs w:val="16"/>
                      <w:lang w:eastAsia="ko-KR"/>
                    </w:rPr>
                  </w:pPr>
                </w:p>
              </w:tc>
              <w:tc>
                <w:tcPr>
                  <w:tcW w:w="696" w:type="dxa"/>
                  <w:tcBorders>
                    <w:top w:val="nil"/>
                    <w:left w:val="nil"/>
                    <w:bottom w:val="nil"/>
                    <w:right w:val="nil"/>
                  </w:tcBorders>
                  <w:noWrap/>
                  <w:vAlign w:val="bottom"/>
                  <w:hideMark/>
                </w:tcPr>
                <w:p w14:paraId="182E0213"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97" w:type="dxa"/>
                  <w:tcBorders>
                    <w:top w:val="nil"/>
                    <w:left w:val="nil"/>
                    <w:bottom w:val="nil"/>
                    <w:right w:val="nil"/>
                  </w:tcBorders>
                  <w:noWrap/>
                  <w:vAlign w:val="bottom"/>
                  <w:hideMark/>
                </w:tcPr>
                <w:p w14:paraId="38125524"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96" w:type="dxa"/>
                  <w:tcBorders>
                    <w:top w:val="nil"/>
                    <w:left w:val="nil"/>
                    <w:bottom w:val="nil"/>
                    <w:right w:val="nil"/>
                  </w:tcBorders>
                  <w:noWrap/>
                  <w:vAlign w:val="bottom"/>
                  <w:hideMark/>
                </w:tcPr>
                <w:p w14:paraId="32590F6F"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97" w:type="dxa"/>
                  <w:tcBorders>
                    <w:top w:val="nil"/>
                    <w:left w:val="nil"/>
                    <w:bottom w:val="nil"/>
                    <w:right w:val="nil"/>
                  </w:tcBorders>
                  <w:noWrap/>
                  <w:vAlign w:val="bottom"/>
                  <w:hideMark/>
                </w:tcPr>
                <w:p w14:paraId="1DB1E87F"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c>
                <w:tcPr>
                  <w:tcW w:w="332" w:type="dxa"/>
                  <w:tcBorders>
                    <w:top w:val="nil"/>
                    <w:left w:val="nil"/>
                    <w:bottom w:val="nil"/>
                    <w:right w:val="nil"/>
                  </w:tcBorders>
                  <w:noWrap/>
                  <w:vAlign w:val="bottom"/>
                  <w:hideMark/>
                </w:tcPr>
                <w:p w14:paraId="4D311B70"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6FF68694"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96" w:type="dxa"/>
                  <w:tcBorders>
                    <w:top w:val="nil"/>
                    <w:left w:val="nil"/>
                    <w:bottom w:val="nil"/>
                    <w:right w:val="nil"/>
                  </w:tcBorders>
                  <w:noWrap/>
                  <w:vAlign w:val="bottom"/>
                  <w:hideMark/>
                </w:tcPr>
                <w:p w14:paraId="5F95D55F"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96" w:type="dxa"/>
                  <w:tcBorders>
                    <w:top w:val="nil"/>
                    <w:left w:val="nil"/>
                    <w:bottom w:val="nil"/>
                    <w:right w:val="nil"/>
                  </w:tcBorders>
                  <w:noWrap/>
                  <w:vAlign w:val="bottom"/>
                  <w:hideMark/>
                </w:tcPr>
                <w:p w14:paraId="12279639"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96" w:type="dxa"/>
                  <w:tcBorders>
                    <w:top w:val="nil"/>
                    <w:left w:val="nil"/>
                    <w:bottom w:val="nil"/>
                    <w:right w:val="nil"/>
                  </w:tcBorders>
                  <w:noWrap/>
                  <w:vAlign w:val="bottom"/>
                  <w:hideMark/>
                </w:tcPr>
                <w:p w14:paraId="13BAD417"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r>
            <w:tr w:rsidR="00655088" w:rsidRPr="00B131B0" w14:paraId="0DCA2B05" w14:textId="77777777" w:rsidTr="003C4A79">
              <w:trPr>
                <w:trHeight w:val="255"/>
              </w:trPr>
              <w:tc>
                <w:tcPr>
                  <w:tcW w:w="3701" w:type="dxa"/>
                  <w:tcBorders>
                    <w:top w:val="single" w:sz="4" w:space="0" w:color="auto"/>
                    <w:left w:val="nil"/>
                    <w:bottom w:val="nil"/>
                    <w:right w:val="nil"/>
                  </w:tcBorders>
                  <w:vAlign w:val="center"/>
                  <w:hideMark/>
                </w:tcPr>
                <w:p w14:paraId="6C2FF3E5" w14:textId="2FBC0D96"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696" w:type="dxa"/>
                  <w:tcBorders>
                    <w:top w:val="single" w:sz="4" w:space="0" w:color="auto"/>
                    <w:left w:val="nil"/>
                    <w:bottom w:val="nil"/>
                    <w:right w:val="nil"/>
                  </w:tcBorders>
                  <w:noWrap/>
                  <w:vAlign w:val="bottom"/>
                  <w:hideMark/>
                </w:tcPr>
                <w:p w14:paraId="06AC9135" w14:textId="3AE3570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single" w:sz="4" w:space="0" w:color="auto"/>
                    <w:left w:val="nil"/>
                    <w:bottom w:val="nil"/>
                    <w:right w:val="nil"/>
                  </w:tcBorders>
                  <w:noWrap/>
                  <w:vAlign w:val="bottom"/>
                  <w:hideMark/>
                </w:tcPr>
                <w:p w14:paraId="254B4465" w14:textId="54DBC6B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single" w:sz="4" w:space="0" w:color="auto"/>
                    <w:left w:val="nil"/>
                    <w:bottom w:val="nil"/>
                    <w:right w:val="nil"/>
                  </w:tcBorders>
                  <w:noWrap/>
                  <w:vAlign w:val="bottom"/>
                  <w:hideMark/>
                </w:tcPr>
                <w:p w14:paraId="538B9BA0" w14:textId="1EFC0EF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single" w:sz="4" w:space="0" w:color="auto"/>
                    <w:left w:val="nil"/>
                    <w:bottom w:val="nil"/>
                    <w:right w:val="nil"/>
                  </w:tcBorders>
                  <w:noWrap/>
                  <w:vAlign w:val="bottom"/>
                  <w:hideMark/>
                </w:tcPr>
                <w:p w14:paraId="2DDE2729" w14:textId="1F2533B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332" w:type="dxa"/>
                  <w:tcBorders>
                    <w:top w:val="single" w:sz="4" w:space="0" w:color="auto"/>
                    <w:left w:val="nil"/>
                    <w:bottom w:val="nil"/>
                    <w:right w:val="nil"/>
                  </w:tcBorders>
                  <w:noWrap/>
                  <w:vAlign w:val="bottom"/>
                  <w:hideMark/>
                </w:tcPr>
                <w:p w14:paraId="3E912829" w14:textId="77777777" w:rsidR="00655088" w:rsidRPr="00B131B0" w:rsidRDefault="00655088" w:rsidP="00655088">
                  <w:pPr>
                    <w:spacing w:after="0" w:line="240" w:lineRule="auto"/>
                    <w:jc w:val="left"/>
                    <w:rPr>
                      <w:rFonts w:cs="Arial"/>
                      <w:color w:val="000000"/>
                      <w:sz w:val="16"/>
                      <w:szCs w:val="16"/>
                      <w:lang w:eastAsia="ko-KR"/>
                    </w:rPr>
                  </w:pPr>
                  <w:r w:rsidRPr="00B131B0">
                    <w:rPr>
                      <w:rFonts w:cs="Arial"/>
                      <w:color w:val="000000"/>
                      <w:sz w:val="16"/>
                      <w:szCs w:val="16"/>
                      <w:lang w:eastAsia="ko-KR"/>
                    </w:rPr>
                    <w:t> </w:t>
                  </w:r>
                </w:p>
              </w:tc>
              <w:tc>
                <w:tcPr>
                  <w:tcW w:w="696" w:type="dxa"/>
                  <w:tcBorders>
                    <w:top w:val="single" w:sz="4" w:space="0" w:color="auto"/>
                    <w:left w:val="nil"/>
                    <w:bottom w:val="nil"/>
                    <w:right w:val="nil"/>
                  </w:tcBorders>
                  <w:noWrap/>
                  <w:vAlign w:val="bottom"/>
                  <w:hideMark/>
                </w:tcPr>
                <w:p w14:paraId="61BE85AF" w14:textId="00E01A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single" w:sz="4" w:space="0" w:color="auto"/>
                    <w:left w:val="nil"/>
                    <w:bottom w:val="nil"/>
                    <w:right w:val="nil"/>
                  </w:tcBorders>
                  <w:noWrap/>
                  <w:vAlign w:val="bottom"/>
                  <w:hideMark/>
                </w:tcPr>
                <w:p w14:paraId="651B6DC7" w14:textId="26DDA1D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single" w:sz="4" w:space="0" w:color="auto"/>
                    <w:left w:val="nil"/>
                    <w:bottom w:val="nil"/>
                    <w:right w:val="nil"/>
                  </w:tcBorders>
                  <w:noWrap/>
                  <w:vAlign w:val="bottom"/>
                  <w:hideMark/>
                </w:tcPr>
                <w:p w14:paraId="684F5803" w14:textId="00C0F0D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single" w:sz="4" w:space="0" w:color="auto"/>
                    <w:left w:val="nil"/>
                    <w:bottom w:val="nil"/>
                    <w:right w:val="nil"/>
                  </w:tcBorders>
                  <w:noWrap/>
                  <w:vAlign w:val="bottom"/>
                  <w:hideMark/>
                </w:tcPr>
                <w:p w14:paraId="46F05A6F" w14:textId="76E613E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75182618" w14:textId="77777777" w:rsidTr="003C4A79">
              <w:trPr>
                <w:trHeight w:val="255"/>
              </w:trPr>
              <w:tc>
                <w:tcPr>
                  <w:tcW w:w="3701" w:type="dxa"/>
                  <w:tcBorders>
                    <w:top w:val="nil"/>
                    <w:left w:val="nil"/>
                    <w:bottom w:val="nil"/>
                    <w:right w:val="nil"/>
                  </w:tcBorders>
                  <w:vAlign w:val="center"/>
                  <w:hideMark/>
                </w:tcPr>
                <w:p w14:paraId="1FE1185D" w14:textId="0BAC887D"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MINING AND QUARRYING</w:t>
                  </w:r>
                </w:p>
              </w:tc>
              <w:tc>
                <w:tcPr>
                  <w:tcW w:w="696" w:type="dxa"/>
                  <w:tcBorders>
                    <w:top w:val="nil"/>
                    <w:left w:val="nil"/>
                    <w:bottom w:val="nil"/>
                    <w:right w:val="nil"/>
                  </w:tcBorders>
                  <w:noWrap/>
                  <w:vAlign w:val="bottom"/>
                  <w:hideMark/>
                </w:tcPr>
                <w:p w14:paraId="19706E72" w14:textId="2039BD5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0949C9E8" w14:textId="235EB32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6ED38F7D" w14:textId="1F64892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bottom"/>
                  <w:hideMark/>
                </w:tcPr>
                <w:p w14:paraId="45348FD1" w14:textId="47B00A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bottom"/>
                  <w:hideMark/>
                </w:tcPr>
                <w:p w14:paraId="0C7E23DD"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5E328E14" w14:textId="799C8B4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4818954" w14:textId="01A41CF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087E4338" w14:textId="195AC72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6EE57DCD" w14:textId="7ABC05B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r>
            <w:tr w:rsidR="00655088" w:rsidRPr="00B131B0" w14:paraId="7FDC23FA" w14:textId="77777777" w:rsidTr="003C4A79">
              <w:trPr>
                <w:trHeight w:val="255"/>
              </w:trPr>
              <w:tc>
                <w:tcPr>
                  <w:tcW w:w="3701" w:type="dxa"/>
                  <w:tcBorders>
                    <w:top w:val="nil"/>
                    <w:left w:val="nil"/>
                    <w:bottom w:val="nil"/>
                    <w:right w:val="nil"/>
                  </w:tcBorders>
                  <w:vAlign w:val="center"/>
                  <w:hideMark/>
                </w:tcPr>
                <w:p w14:paraId="3A7A540A" w14:textId="2695E949"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MANUFACTURING</w:t>
                  </w:r>
                </w:p>
              </w:tc>
              <w:tc>
                <w:tcPr>
                  <w:tcW w:w="696" w:type="dxa"/>
                  <w:tcBorders>
                    <w:top w:val="nil"/>
                    <w:left w:val="nil"/>
                    <w:bottom w:val="nil"/>
                    <w:right w:val="nil"/>
                  </w:tcBorders>
                  <w:noWrap/>
                  <w:vAlign w:val="bottom"/>
                  <w:hideMark/>
                </w:tcPr>
                <w:p w14:paraId="01F6DE13" w14:textId="28E2603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76B23B97" w14:textId="2033B3A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2EA51502" w14:textId="2619FD6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97" w:type="dxa"/>
                  <w:tcBorders>
                    <w:top w:val="nil"/>
                    <w:left w:val="nil"/>
                    <w:bottom w:val="nil"/>
                    <w:right w:val="nil"/>
                  </w:tcBorders>
                  <w:noWrap/>
                  <w:vAlign w:val="bottom"/>
                  <w:hideMark/>
                </w:tcPr>
                <w:p w14:paraId="0E23AF98" w14:textId="697680C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bottom"/>
                  <w:hideMark/>
                </w:tcPr>
                <w:p w14:paraId="0A1400BC"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3C6CEDB6" w14:textId="4FA927D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39E8288C" w14:textId="23CE527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1A685D00" w14:textId="7A8F195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30C4902F" w14:textId="0548B4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r>
            <w:tr w:rsidR="00655088" w:rsidRPr="00B131B0" w14:paraId="1E6F9114" w14:textId="77777777" w:rsidTr="003C4A79">
              <w:trPr>
                <w:trHeight w:val="255"/>
              </w:trPr>
              <w:tc>
                <w:tcPr>
                  <w:tcW w:w="3701" w:type="dxa"/>
                  <w:tcBorders>
                    <w:top w:val="nil"/>
                    <w:left w:val="nil"/>
                    <w:bottom w:val="nil"/>
                    <w:right w:val="nil"/>
                  </w:tcBorders>
                  <w:vAlign w:val="center"/>
                  <w:hideMark/>
                </w:tcPr>
                <w:p w14:paraId="3B5D23E8" w14:textId="1DE73377"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Food products</w:t>
                  </w:r>
                </w:p>
              </w:tc>
              <w:tc>
                <w:tcPr>
                  <w:tcW w:w="696" w:type="dxa"/>
                  <w:tcBorders>
                    <w:top w:val="nil"/>
                    <w:left w:val="nil"/>
                    <w:bottom w:val="nil"/>
                    <w:right w:val="nil"/>
                  </w:tcBorders>
                  <w:noWrap/>
                  <w:vAlign w:val="bottom"/>
                  <w:hideMark/>
                </w:tcPr>
                <w:p w14:paraId="7F375F4F" w14:textId="08C44F1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0A504659" w14:textId="1D2B31F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44A7867E" w14:textId="759D09D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69DF7885" w14:textId="19E4232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bottom"/>
                  <w:hideMark/>
                </w:tcPr>
                <w:p w14:paraId="3D1F83F9"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7D16B262" w14:textId="0E1B9B6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6AC64C04" w14:textId="2F8B3E7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45F1D61" w14:textId="56F2068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5FF6E9AE" w14:textId="7C9037B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r>
            <w:tr w:rsidR="00655088" w:rsidRPr="00B131B0" w14:paraId="381AB51B" w14:textId="77777777" w:rsidTr="003C4A79">
              <w:trPr>
                <w:trHeight w:val="255"/>
              </w:trPr>
              <w:tc>
                <w:tcPr>
                  <w:tcW w:w="3701" w:type="dxa"/>
                  <w:tcBorders>
                    <w:top w:val="nil"/>
                    <w:left w:val="nil"/>
                    <w:bottom w:val="nil"/>
                    <w:right w:val="nil"/>
                  </w:tcBorders>
                  <w:vAlign w:val="center"/>
                  <w:hideMark/>
                </w:tcPr>
                <w:p w14:paraId="391D7014" w14:textId="3FD1F615"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Beverages</w:t>
                  </w:r>
                </w:p>
              </w:tc>
              <w:tc>
                <w:tcPr>
                  <w:tcW w:w="696" w:type="dxa"/>
                  <w:tcBorders>
                    <w:top w:val="nil"/>
                    <w:left w:val="nil"/>
                    <w:bottom w:val="nil"/>
                    <w:right w:val="nil"/>
                  </w:tcBorders>
                  <w:noWrap/>
                  <w:vAlign w:val="bottom"/>
                  <w:hideMark/>
                </w:tcPr>
                <w:p w14:paraId="39617181" w14:textId="25F7C88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6A4C2B37" w14:textId="5F88DD1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0722D685" w14:textId="2C127C2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5E8C5141" w14:textId="3C50A3B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332" w:type="dxa"/>
                  <w:tcBorders>
                    <w:top w:val="nil"/>
                    <w:left w:val="nil"/>
                    <w:bottom w:val="nil"/>
                    <w:right w:val="nil"/>
                  </w:tcBorders>
                  <w:noWrap/>
                  <w:vAlign w:val="bottom"/>
                  <w:hideMark/>
                </w:tcPr>
                <w:p w14:paraId="48161982"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12DD637A" w14:textId="5AA6A9C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523DEB3A" w14:textId="3BF6CC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2C75FAD8" w14:textId="3B0FC88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96" w:type="dxa"/>
                  <w:tcBorders>
                    <w:top w:val="nil"/>
                    <w:left w:val="nil"/>
                    <w:bottom w:val="nil"/>
                    <w:right w:val="nil"/>
                  </w:tcBorders>
                  <w:noWrap/>
                  <w:vAlign w:val="bottom"/>
                  <w:hideMark/>
                </w:tcPr>
                <w:p w14:paraId="45250417" w14:textId="227B82F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5434CD83" w14:textId="77777777" w:rsidTr="003C4A79">
              <w:trPr>
                <w:trHeight w:val="255"/>
              </w:trPr>
              <w:tc>
                <w:tcPr>
                  <w:tcW w:w="3701" w:type="dxa"/>
                  <w:tcBorders>
                    <w:top w:val="nil"/>
                    <w:left w:val="nil"/>
                    <w:bottom w:val="nil"/>
                    <w:right w:val="nil"/>
                  </w:tcBorders>
                  <w:vAlign w:val="center"/>
                  <w:hideMark/>
                </w:tcPr>
                <w:p w14:paraId="73A2A2F9" w14:textId="3D90004C" w:rsidR="00655088" w:rsidRPr="00B131B0" w:rsidRDefault="00655088" w:rsidP="00655088">
                  <w:pPr>
                    <w:spacing w:after="0" w:line="240" w:lineRule="auto"/>
                    <w:ind w:firstLineChars="140" w:firstLine="224"/>
                    <w:jc w:val="left"/>
                    <w:rPr>
                      <w:rFonts w:cs="Arial"/>
                      <w:color w:val="000000"/>
                      <w:sz w:val="16"/>
                      <w:szCs w:val="16"/>
                      <w:lang w:eastAsia="ko-KR"/>
                    </w:rPr>
                  </w:pPr>
                  <w:r w:rsidRPr="00B131B0">
                    <w:rPr>
                      <w:rFonts w:cs="Arial"/>
                      <w:color w:val="000000"/>
                      <w:sz w:val="16"/>
                      <w:szCs w:val="16"/>
                      <w:lang w:eastAsia="ko-KR"/>
                    </w:rPr>
                    <w:t>Text</w:t>
                  </w:r>
                  <w:r>
                    <w:rPr>
                      <w:rFonts w:cs="Arial"/>
                      <w:color w:val="000000"/>
                      <w:sz w:val="16"/>
                      <w:szCs w:val="16"/>
                      <w:lang w:eastAsia="ko-KR"/>
                    </w:rPr>
                    <w:t>iles</w:t>
                  </w:r>
                </w:p>
              </w:tc>
              <w:tc>
                <w:tcPr>
                  <w:tcW w:w="696" w:type="dxa"/>
                  <w:tcBorders>
                    <w:top w:val="nil"/>
                    <w:left w:val="nil"/>
                    <w:bottom w:val="nil"/>
                    <w:right w:val="nil"/>
                  </w:tcBorders>
                  <w:noWrap/>
                  <w:vAlign w:val="bottom"/>
                  <w:hideMark/>
                </w:tcPr>
                <w:p w14:paraId="41532650" w14:textId="5952CE4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7" w:type="dxa"/>
                  <w:tcBorders>
                    <w:top w:val="nil"/>
                    <w:left w:val="nil"/>
                    <w:bottom w:val="nil"/>
                    <w:right w:val="nil"/>
                  </w:tcBorders>
                  <w:noWrap/>
                  <w:vAlign w:val="bottom"/>
                  <w:hideMark/>
                </w:tcPr>
                <w:p w14:paraId="2DF1AEA5" w14:textId="372C1F9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bottom"/>
                  <w:hideMark/>
                </w:tcPr>
                <w:p w14:paraId="2BC5B2C7" w14:textId="50E46D1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c>
                <w:tcPr>
                  <w:tcW w:w="697" w:type="dxa"/>
                  <w:tcBorders>
                    <w:top w:val="nil"/>
                    <w:left w:val="nil"/>
                    <w:bottom w:val="nil"/>
                    <w:right w:val="nil"/>
                  </w:tcBorders>
                  <w:noWrap/>
                  <w:vAlign w:val="bottom"/>
                  <w:hideMark/>
                </w:tcPr>
                <w:p w14:paraId="5A685708" w14:textId="072F84D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332" w:type="dxa"/>
                  <w:tcBorders>
                    <w:top w:val="nil"/>
                    <w:left w:val="nil"/>
                    <w:bottom w:val="nil"/>
                    <w:right w:val="nil"/>
                  </w:tcBorders>
                  <w:noWrap/>
                  <w:vAlign w:val="bottom"/>
                  <w:hideMark/>
                </w:tcPr>
                <w:p w14:paraId="6FDFA678"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72023E41" w14:textId="0411DE8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B1B3CC5" w14:textId="027988B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3EF746D4" w14:textId="1FB7FEF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2F65171F" w14:textId="1DC869D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r>
            <w:tr w:rsidR="00655088" w:rsidRPr="00B131B0" w14:paraId="60FD010C" w14:textId="77777777" w:rsidTr="003C4A79">
              <w:trPr>
                <w:trHeight w:val="255"/>
              </w:trPr>
              <w:tc>
                <w:tcPr>
                  <w:tcW w:w="3701" w:type="dxa"/>
                  <w:tcBorders>
                    <w:top w:val="nil"/>
                    <w:left w:val="nil"/>
                    <w:bottom w:val="nil"/>
                    <w:right w:val="nil"/>
                  </w:tcBorders>
                  <w:vAlign w:val="center"/>
                  <w:hideMark/>
                </w:tcPr>
                <w:p w14:paraId="08BCFED9" w14:textId="1C564617" w:rsidR="00655088" w:rsidRPr="00B131B0" w:rsidRDefault="00AC0732"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Wearing apparel</w:t>
                  </w:r>
                </w:p>
              </w:tc>
              <w:tc>
                <w:tcPr>
                  <w:tcW w:w="696" w:type="dxa"/>
                  <w:tcBorders>
                    <w:top w:val="nil"/>
                    <w:left w:val="nil"/>
                    <w:bottom w:val="nil"/>
                    <w:right w:val="nil"/>
                  </w:tcBorders>
                  <w:noWrap/>
                  <w:vAlign w:val="bottom"/>
                  <w:hideMark/>
                </w:tcPr>
                <w:p w14:paraId="55897FA8" w14:textId="3E19C36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16F32C0C" w14:textId="2598DF4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09ED7DF0" w14:textId="03B9936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77050ECA" w14:textId="78534CA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bottom"/>
                  <w:hideMark/>
                </w:tcPr>
                <w:p w14:paraId="18155AD7"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064A9C89" w14:textId="6C6A41F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7763F09C" w14:textId="24FB444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50127D64" w14:textId="753D593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706154BE" w14:textId="651EF30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77E1BFEC" w14:textId="77777777" w:rsidTr="003C4A79">
              <w:trPr>
                <w:trHeight w:val="255"/>
              </w:trPr>
              <w:tc>
                <w:tcPr>
                  <w:tcW w:w="3701" w:type="dxa"/>
                  <w:tcBorders>
                    <w:top w:val="nil"/>
                    <w:left w:val="nil"/>
                    <w:bottom w:val="nil"/>
                    <w:right w:val="nil"/>
                  </w:tcBorders>
                  <w:vAlign w:val="center"/>
                  <w:hideMark/>
                </w:tcPr>
                <w:p w14:paraId="651E054B" w14:textId="15BF502F"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 xml:space="preserve">Leather and </w:t>
                  </w:r>
                  <w:r w:rsidR="00AC0732">
                    <w:rPr>
                      <w:rFonts w:cs="Arial"/>
                      <w:color w:val="000000"/>
                      <w:sz w:val="16"/>
                      <w:szCs w:val="16"/>
                    </w:rPr>
                    <w:t>related</w:t>
                  </w:r>
                  <w:r w:rsidRPr="00995C95">
                    <w:rPr>
                      <w:rFonts w:cs="Arial"/>
                      <w:color w:val="000000"/>
                      <w:sz w:val="16"/>
                      <w:szCs w:val="16"/>
                    </w:rPr>
                    <w:t xml:space="preserve"> products</w:t>
                  </w:r>
                </w:p>
              </w:tc>
              <w:tc>
                <w:tcPr>
                  <w:tcW w:w="696" w:type="dxa"/>
                  <w:tcBorders>
                    <w:top w:val="nil"/>
                    <w:left w:val="nil"/>
                    <w:bottom w:val="nil"/>
                    <w:right w:val="nil"/>
                  </w:tcBorders>
                  <w:noWrap/>
                  <w:vAlign w:val="bottom"/>
                  <w:hideMark/>
                </w:tcPr>
                <w:p w14:paraId="4BBE0994" w14:textId="563CC94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697" w:type="dxa"/>
                  <w:tcBorders>
                    <w:top w:val="nil"/>
                    <w:left w:val="nil"/>
                    <w:bottom w:val="nil"/>
                    <w:right w:val="nil"/>
                  </w:tcBorders>
                  <w:noWrap/>
                  <w:vAlign w:val="bottom"/>
                  <w:hideMark/>
                </w:tcPr>
                <w:p w14:paraId="54824BDB" w14:textId="26EA570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bottom"/>
                  <w:hideMark/>
                </w:tcPr>
                <w:p w14:paraId="25A4E947" w14:textId="28C0AD6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4295FEAB" w14:textId="484B636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332" w:type="dxa"/>
                  <w:tcBorders>
                    <w:top w:val="nil"/>
                    <w:left w:val="nil"/>
                    <w:bottom w:val="nil"/>
                    <w:right w:val="nil"/>
                  </w:tcBorders>
                  <w:noWrap/>
                  <w:vAlign w:val="bottom"/>
                  <w:hideMark/>
                </w:tcPr>
                <w:p w14:paraId="0F57B09A"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321ECC8D" w14:textId="5335986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629A176F" w14:textId="51064F0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4C81F1D6" w14:textId="6A0FF25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302789E4" w14:textId="17B5C7E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2F41F28F" w14:textId="77777777" w:rsidTr="003C4A79">
              <w:trPr>
                <w:trHeight w:val="255"/>
              </w:trPr>
              <w:tc>
                <w:tcPr>
                  <w:tcW w:w="3701" w:type="dxa"/>
                  <w:tcBorders>
                    <w:top w:val="nil"/>
                    <w:left w:val="nil"/>
                    <w:bottom w:val="nil"/>
                    <w:right w:val="nil"/>
                  </w:tcBorders>
                  <w:vAlign w:val="center"/>
                  <w:hideMark/>
                </w:tcPr>
                <w:p w14:paraId="2A8CC79B" w14:textId="4C1D0972" w:rsidR="00655088" w:rsidRPr="000664E1" w:rsidRDefault="00655088" w:rsidP="00655088">
                  <w:pPr>
                    <w:spacing w:after="0" w:line="240" w:lineRule="auto"/>
                    <w:ind w:firstLineChars="140" w:firstLine="224"/>
                    <w:jc w:val="left"/>
                    <w:rPr>
                      <w:rFonts w:cs="Arial"/>
                      <w:color w:val="000000"/>
                      <w:sz w:val="16"/>
                      <w:szCs w:val="16"/>
                      <w:lang w:val="en-US" w:eastAsia="ko-KR"/>
                    </w:rPr>
                  </w:pPr>
                  <w:r w:rsidRPr="000664E1">
                    <w:rPr>
                      <w:rFonts w:cs="Arial"/>
                      <w:color w:val="000000"/>
                      <w:sz w:val="16"/>
                      <w:szCs w:val="16"/>
                      <w:lang w:val="en-US" w:eastAsia="ko-KR"/>
                    </w:rPr>
                    <w:t xml:space="preserve">Wood and </w:t>
                  </w:r>
                  <w:r w:rsidR="00B70C99">
                    <w:rPr>
                      <w:rFonts w:cs="Arial"/>
                      <w:color w:val="000000"/>
                      <w:sz w:val="16"/>
                      <w:szCs w:val="16"/>
                      <w:lang w:val="en-US" w:eastAsia="ko-KR"/>
                    </w:rPr>
                    <w:t xml:space="preserve">products of </w:t>
                  </w:r>
                  <w:r w:rsidRPr="000664E1">
                    <w:rPr>
                      <w:rFonts w:cs="Arial"/>
                      <w:color w:val="000000"/>
                      <w:sz w:val="16"/>
                      <w:szCs w:val="16"/>
                      <w:lang w:val="en-US" w:eastAsia="ko-KR"/>
                    </w:rPr>
                    <w:t>wood and</w:t>
                  </w:r>
                  <w:r>
                    <w:rPr>
                      <w:rFonts w:cs="Arial"/>
                      <w:color w:val="000000"/>
                      <w:sz w:val="16"/>
                      <w:szCs w:val="16"/>
                      <w:lang w:val="en-US" w:eastAsia="ko-KR"/>
                    </w:rPr>
                    <w:t xml:space="preserve"> cork</w:t>
                  </w:r>
                </w:p>
              </w:tc>
              <w:tc>
                <w:tcPr>
                  <w:tcW w:w="696" w:type="dxa"/>
                  <w:tcBorders>
                    <w:top w:val="nil"/>
                    <w:left w:val="nil"/>
                    <w:bottom w:val="nil"/>
                    <w:right w:val="nil"/>
                  </w:tcBorders>
                  <w:noWrap/>
                  <w:vAlign w:val="bottom"/>
                  <w:hideMark/>
                </w:tcPr>
                <w:p w14:paraId="75D25D59" w14:textId="1B40EE9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22540995" w14:textId="564BE87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bottom"/>
                  <w:hideMark/>
                </w:tcPr>
                <w:p w14:paraId="0D00627D" w14:textId="0E41C8A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bottom"/>
                  <w:hideMark/>
                </w:tcPr>
                <w:p w14:paraId="62CF0237" w14:textId="1BBB57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4</w:t>
                  </w:r>
                </w:p>
              </w:tc>
              <w:tc>
                <w:tcPr>
                  <w:tcW w:w="332" w:type="dxa"/>
                  <w:tcBorders>
                    <w:top w:val="nil"/>
                    <w:left w:val="nil"/>
                    <w:bottom w:val="nil"/>
                    <w:right w:val="nil"/>
                  </w:tcBorders>
                  <w:noWrap/>
                  <w:vAlign w:val="bottom"/>
                  <w:hideMark/>
                </w:tcPr>
                <w:p w14:paraId="3A94E9A6"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7DD44DD5" w14:textId="06996DB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bottom"/>
                  <w:hideMark/>
                </w:tcPr>
                <w:p w14:paraId="54BADDFD" w14:textId="3828640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1FE30542" w14:textId="3DFFC5E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634D805A" w14:textId="2BB713C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r>
            <w:tr w:rsidR="00655088" w:rsidRPr="00B131B0" w14:paraId="0676BCD0" w14:textId="77777777" w:rsidTr="003C4A79">
              <w:trPr>
                <w:trHeight w:val="255"/>
              </w:trPr>
              <w:tc>
                <w:tcPr>
                  <w:tcW w:w="3701" w:type="dxa"/>
                  <w:tcBorders>
                    <w:top w:val="nil"/>
                    <w:left w:val="nil"/>
                    <w:bottom w:val="nil"/>
                    <w:right w:val="nil"/>
                  </w:tcBorders>
                  <w:vAlign w:val="center"/>
                  <w:hideMark/>
                </w:tcPr>
                <w:p w14:paraId="10032714" w14:textId="2E3687F9"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Paper and paper products</w:t>
                  </w:r>
                </w:p>
              </w:tc>
              <w:tc>
                <w:tcPr>
                  <w:tcW w:w="696" w:type="dxa"/>
                  <w:tcBorders>
                    <w:top w:val="nil"/>
                    <w:left w:val="nil"/>
                    <w:bottom w:val="nil"/>
                    <w:right w:val="nil"/>
                  </w:tcBorders>
                  <w:noWrap/>
                  <w:vAlign w:val="bottom"/>
                  <w:hideMark/>
                </w:tcPr>
                <w:p w14:paraId="63FED68C" w14:textId="4D32468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4279A01C" w14:textId="5DEC687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4F00378D" w14:textId="226C784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8</w:t>
                  </w:r>
                </w:p>
              </w:tc>
              <w:tc>
                <w:tcPr>
                  <w:tcW w:w="697" w:type="dxa"/>
                  <w:tcBorders>
                    <w:top w:val="nil"/>
                    <w:left w:val="nil"/>
                    <w:bottom w:val="nil"/>
                    <w:right w:val="nil"/>
                  </w:tcBorders>
                  <w:noWrap/>
                  <w:vAlign w:val="bottom"/>
                  <w:hideMark/>
                </w:tcPr>
                <w:p w14:paraId="565FECD8" w14:textId="708BBBF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332" w:type="dxa"/>
                  <w:tcBorders>
                    <w:top w:val="nil"/>
                    <w:left w:val="nil"/>
                    <w:bottom w:val="nil"/>
                    <w:right w:val="nil"/>
                  </w:tcBorders>
                  <w:noWrap/>
                  <w:vAlign w:val="bottom"/>
                  <w:hideMark/>
                </w:tcPr>
                <w:p w14:paraId="390E056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69F1AEE2" w14:textId="0E4676B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77CF00F8" w14:textId="152FD6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B65275F" w14:textId="72B102C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52A45C53" w14:textId="06446B3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65D44739" w14:textId="77777777" w:rsidTr="003C4A79">
              <w:trPr>
                <w:trHeight w:val="255"/>
              </w:trPr>
              <w:tc>
                <w:tcPr>
                  <w:tcW w:w="3701" w:type="dxa"/>
                  <w:tcBorders>
                    <w:top w:val="nil"/>
                    <w:left w:val="nil"/>
                    <w:bottom w:val="nil"/>
                    <w:right w:val="nil"/>
                  </w:tcBorders>
                  <w:vAlign w:val="center"/>
                  <w:hideMark/>
                </w:tcPr>
                <w:p w14:paraId="1436372E" w14:textId="16E9C947"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Printing and recording services</w:t>
                  </w:r>
                </w:p>
              </w:tc>
              <w:tc>
                <w:tcPr>
                  <w:tcW w:w="696" w:type="dxa"/>
                  <w:tcBorders>
                    <w:top w:val="nil"/>
                    <w:left w:val="nil"/>
                    <w:bottom w:val="nil"/>
                    <w:right w:val="nil"/>
                  </w:tcBorders>
                  <w:noWrap/>
                  <w:vAlign w:val="bottom"/>
                  <w:hideMark/>
                </w:tcPr>
                <w:p w14:paraId="7EEF9B5A" w14:textId="46A1BBE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4927BC03" w14:textId="7C0C19E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1464A3B9" w14:textId="2E734D4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73E9A182" w14:textId="1647C85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4</w:t>
                  </w:r>
                </w:p>
              </w:tc>
              <w:tc>
                <w:tcPr>
                  <w:tcW w:w="332" w:type="dxa"/>
                  <w:tcBorders>
                    <w:top w:val="nil"/>
                    <w:left w:val="nil"/>
                    <w:bottom w:val="nil"/>
                    <w:right w:val="nil"/>
                  </w:tcBorders>
                  <w:noWrap/>
                  <w:vAlign w:val="bottom"/>
                  <w:hideMark/>
                </w:tcPr>
                <w:p w14:paraId="64E5E5FF"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62B54585" w14:textId="255021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5F38F002" w14:textId="0F73223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265C5DC3" w14:textId="1168123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4085BDEF" w14:textId="69C84F3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5FC2857C" w14:textId="77777777" w:rsidTr="003C4A79">
              <w:trPr>
                <w:trHeight w:val="255"/>
              </w:trPr>
              <w:tc>
                <w:tcPr>
                  <w:tcW w:w="3701" w:type="dxa"/>
                  <w:tcBorders>
                    <w:top w:val="nil"/>
                    <w:left w:val="nil"/>
                    <w:bottom w:val="nil"/>
                    <w:right w:val="nil"/>
                  </w:tcBorders>
                  <w:vAlign w:val="center"/>
                  <w:hideMark/>
                </w:tcPr>
                <w:p w14:paraId="1BBD47E6" w14:textId="081B219D" w:rsidR="00655088" w:rsidRPr="00B131B0" w:rsidRDefault="00655088" w:rsidP="00655088">
                  <w:pPr>
                    <w:spacing w:after="0" w:line="240" w:lineRule="auto"/>
                    <w:ind w:firstLineChars="140" w:firstLine="224"/>
                    <w:jc w:val="left"/>
                    <w:rPr>
                      <w:rFonts w:cs="Arial"/>
                      <w:color w:val="000000"/>
                      <w:sz w:val="16"/>
                      <w:szCs w:val="16"/>
                      <w:lang w:eastAsia="ko-KR"/>
                    </w:rPr>
                  </w:pPr>
                  <w:r w:rsidRPr="00B131B0">
                    <w:rPr>
                      <w:rFonts w:cs="Arial"/>
                      <w:color w:val="000000"/>
                      <w:sz w:val="16"/>
                      <w:szCs w:val="16"/>
                      <w:lang w:eastAsia="ko-KR"/>
                    </w:rPr>
                    <w:t>Chemi</w:t>
                  </w:r>
                  <w:r>
                    <w:rPr>
                      <w:rFonts w:cs="Arial"/>
                      <w:color w:val="000000"/>
                      <w:sz w:val="16"/>
                      <w:szCs w:val="16"/>
                      <w:lang w:eastAsia="ko-KR"/>
                    </w:rPr>
                    <w:t>cals and chemical products</w:t>
                  </w:r>
                </w:p>
              </w:tc>
              <w:tc>
                <w:tcPr>
                  <w:tcW w:w="696" w:type="dxa"/>
                  <w:tcBorders>
                    <w:top w:val="nil"/>
                    <w:left w:val="nil"/>
                    <w:bottom w:val="nil"/>
                    <w:right w:val="nil"/>
                  </w:tcBorders>
                  <w:noWrap/>
                  <w:vAlign w:val="bottom"/>
                  <w:hideMark/>
                </w:tcPr>
                <w:p w14:paraId="477C1580" w14:textId="75C454E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bottom"/>
                  <w:hideMark/>
                </w:tcPr>
                <w:p w14:paraId="7E51AC42" w14:textId="7E522AE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1E4A5B3C" w14:textId="5CA3EFB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bottom"/>
                  <w:hideMark/>
                </w:tcPr>
                <w:p w14:paraId="259ADEFF" w14:textId="78B29CD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13</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bottom"/>
                  <w:hideMark/>
                </w:tcPr>
                <w:p w14:paraId="41699A1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0B48C903" w14:textId="7413E7B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96" w:type="dxa"/>
                  <w:tcBorders>
                    <w:top w:val="nil"/>
                    <w:left w:val="nil"/>
                    <w:bottom w:val="nil"/>
                    <w:right w:val="nil"/>
                  </w:tcBorders>
                  <w:noWrap/>
                  <w:vAlign w:val="bottom"/>
                  <w:hideMark/>
                </w:tcPr>
                <w:p w14:paraId="0254201B" w14:textId="3D0B8FC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70605F22" w14:textId="5C0113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3C2E8574" w14:textId="6ECE318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19</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603960E6" w14:textId="77777777" w:rsidTr="003C4A79">
              <w:trPr>
                <w:trHeight w:val="255"/>
              </w:trPr>
              <w:tc>
                <w:tcPr>
                  <w:tcW w:w="3701" w:type="dxa"/>
                  <w:tcBorders>
                    <w:top w:val="nil"/>
                    <w:left w:val="nil"/>
                    <w:bottom w:val="nil"/>
                    <w:right w:val="nil"/>
                  </w:tcBorders>
                  <w:vAlign w:val="center"/>
                  <w:hideMark/>
                </w:tcPr>
                <w:p w14:paraId="4487D7CA" w14:textId="2953B010"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Basic pharmaceutical products</w:t>
                  </w:r>
                </w:p>
              </w:tc>
              <w:tc>
                <w:tcPr>
                  <w:tcW w:w="696" w:type="dxa"/>
                  <w:tcBorders>
                    <w:top w:val="nil"/>
                    <w:left w:val="nil"/>
                    <w:bottom w:val="nil"/>
                    <w:right w:val="nil"/>
                  </w:tcBorders>
                  <w:noWrap/>
                  <w:vAlign w:val="bottom"/>
                  <w:hideMark/>
                </w:tcPr>
                <w:p w14:paraId="2A6E2FE2" w14:textId="0753C40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602FC039" w14:textId="3269725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22EE43B8" w14:textId="69CBEF9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5</w:t>
                  </w:r>
                </w:p>
              </w:tc>
              <w:tc>
                <w:tcPr>
                  <w:tcW w:w="697" w:type="dxa"/>
                  <w:tcBorders>
                    <w:top w:val="nil"/>
                    <w:left w:val="nil"/>
                    <w:bottom w:val="nil"/>
                    <w:right w:val="nil"/>
                  </w:tcBorders>
                  <w:noWrap/>
                  <w:vAlign w:val="bottom"/>
                  <w:hideMark/>
                </w:tcPr>
                <w:p w14:paraId="29A8AABC" w14:textId="5361CCE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1</w:t>
                  </w:r>
                </w:p>
              </w:tc>
              <w:tc>
                <w:tcPr>
                  <w:tcW w:w="332" w:type="dxa"/>
                  <w:tcBorders>
                    <w:top w:val="nil"/>
                    <w:left w:val="nil"/>
                    <w:bottom w:val="nil"/>
                    <w:right w:val="nil"/>
                  </w:tcBorders>
                  <w:noWrap/>
                  <w:vAlign w:val="bottom"/>
                  <w:hideMark/>
                </w:tcPr>
                <w:p w14:paraId="46AAAD50"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1CC7A6B0" w14:textId="14A81A1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32527280" w14:textId="09E5B08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1FFF53B2" w14:textId="6BB2442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213A9A2C" w14:textId="3839B4B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r>
            <w:tr w:rsidR="00655088" w:rsidRPr="00B131B0" w14:paraId="3B3A00F4" w14:textId="77777777" w:rsidTr="003C4A79">
              <w:trPr>
                <w:trHeight w:val="255"/>
              </w:trPr>
              <w:tc>
                <w:tcPr>
                  <w:tcW w:w="3701" w:type="dxa"/>
                  <w:tcBorders>
                    <w:top w:val="nil"/>
                    <w:left w:val="nil"/>
                    <w:bottom w:val="nil"/>
                    <w:right w:val="nil"/>
                  </w:tcBorders>
                  <w:vAlign w:val="center"/>
                  <w:hideMark/>
                </w:tcPr>
                <w:p w14:paraId="14474C5F" w14:textId="553F8C05"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Rubber and plastic products</w:t>
                  </w:r>
                </w:p>
              </w:tc>
              <w:tc>
                <w:tcPr>
                  <w:tcW w:w="696" w:type="dxa"/>
                  <w:tcBorders>
                    <w:top w:val="nil"/>
                    <w:left w:val="nil"/>
                    <w:bottom w:val="nil"/>
                    <w:right w:val="nil"/>
                  </w:tcBorders>
                  <w:noWrap/>
                  <w:vAlign w:val="bottom"/>
                  <w:hideMark/>
                </w:tcPr>
                <w:p w14:paraId="0E4992CF" w14:textId="372A1B8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7" w:type="dxa"/>
                  <w:tcBorders>
                    <w:top w:val="nil"/>
                    <w:left w:val="nil"/>
                    <w:bottom w:val="nil"/>
                    <w:right w:val="nil"/>
                  </w:tcBorders>
                  <w:noWrap/>
                  <w:vAlign w:val="bottom"/>
                  <w:hideMark/>
                </w:tcPr>
                <w:p w14:paraId="3791CED0" w14:textId="59AE0A3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6FB7E391" w14:textId="276AB33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bottom"/>
                  <w:hideMark/>
                </w:tcPr>
                <w:p w14:paraId="7CA221FD" w14:textId="7EAC683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5</w:t>
                  </w:r>
                </w:p>
              </w:tc>
              <w:tc>
                <w:tcPr>
                  <w:tcW w:w="332" w:type="dxa"/>
                  <w:tcBorders>
                    <w:top w:val="nil"/>
                    <w:left w:val="nil"/>
                    <w:bottom w:val="nil"/>
                    <w:right w:val="nil"/>
                  </w:tcBorders>
                  <w:noWrap/>
                  <w:vAlign w:val="bottom"/>
                  <w:hideMark/>
                </w:tcPr>
                <w:p w14:paraId="72FEF1E6"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399302A9" w14:textId="45CCAB6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57D9DBD8" w14:textId="05F3324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5BD3CE20" w14:textId="34EDCC4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6797879A" w14:textId="114A8F4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8</w:t>
                  </w:r>
                </w:p>
              </w:tc>
            </w:tr>
            <w:tr w:rsidR="00655088" w:rsidRPr="00B131B0" w14:paraId="214545E4" w14:textId="77777777" w:rsidTr="003C4A79">
              <w:trPr>
                <w:trHeight w:val="255"/>
              </w:trPr>
              <w:tc>
                <w:tcPr>
                  <w:tcW w:w="3701" w:type="dxa"/>
                  <w:tcBorders>
                    <w:top w:val="nil"/>
                    <w:left w:val="nil"/>
                    <w:bottom w:val="nil"/>
                    <w:right w:val="nil"/>
                  </w:tcBorders>
                  <w:vAlign w:val="center"/>
                  <w:hideMark/>
                </w:tcPr>
                <w:p w14:paraId="3B435A98" w14:textId="1D320A86"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Other non-metal mineral products</w:t>
                  </w:r>
                </w:p>
              </w:tc>
              <w:tc>
                <w:tcPr>
                  <w:tcW w:w="696" w:type="dxa"/>
                  <w:tcBorders>
                    <w:top w:val="nil"/>
                    <w:left w:val="nil"/>
                    <w:bottom w:val="nil"/>
                    <w:right w:val="nil"/>
                  </w:tcBorders>
                  <w:noWrap/>
                  <w:vAlign w:val="bottom"/>
                  <w:hideMark/>
                </w:tcPr>
                <w:p w14:paraId="21F75DC6" w14:textId="6BAA557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bottom"/>
                  <w:hideMark/>
                </w:tcPr>
                <w:p w14:paraId="29D545A1" w14:textId="65DBF6F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75DCFD03" w14:textId="4EECC60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39E35FE4" w14:textId="7D002B3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bottom"/>
                  <w:hideMark/>
                </w:tcPr>
                <w:p w14:paraId="62E274C9"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24A71D63" w14:textId="4258E1C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3A1F14B0" w14:textId="7942338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556986D8" w14:textId="263DE80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4C66DD51" w14:textId="2C8FC0E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44970089" w14:textId="77777777" w:rsidTr="003C4A79">
              <w:trPr>
                <w:trHeight w:val="255"/>
              </w:trPr>
              <w:tc>
                <w:tcPr>
                  <w:tcW w:w="3701" w:type="dxa"/>
                  <w:tcBorders>
                    <w:top w:val="nil"/>
                    <w:left w:val="nil"/>
                    <w:bottom w:val="nil"/>
                    <w:right w:val="nil"/>
                  </w:tcBorders>
                  <w:noWrap/>
                  <w:vAlign w:val="center"/>
                  <w:hideMark/>
                </w:tcPr>
                <w:p w14:paraId="79971105" w14:textId="61FC882A"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Basic metals</w:t>
                  </w:r>
                </w:p>
              </w:tc>
              <w:tc>
                <w:tcPr>
                  <w:tcW w:w="696" w:type="dxa"/>
                  <w:tcBorders>
                    <w:top w:val="nil"/>
                    <w:left w:val="nil"/>
                    <w:bottom w:val="nil"/>
                    <w:right w:val="nil"/>
                  </w:tcBorders>
                  <w:noWrap/>
                  <w:vAlign w:val="bottom"/>
                  <w:hideMark/>
                </w:tcPr>
                <w:p w14:paraId="3374DAD0" w14:textId="18983A4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24FB29EB" w14:textId="5AC2308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5283D35E" w14:textId="0B3FDC9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bottom"/>
                  <w:hideMark/>
                </w:tcPr>
                <w:p w14:paraId="2650A36D" w14:textId="07A316A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c>
                <w:tcPr>
                  <w:tcW w:w="332" w:type="dxa"/>
                  <w:tcBorders>
                    <w:top w:val="nil"/>
                    <w:left w:val="nil"/>
                    <w:bottom w:val="nil"/>
                    <w:right w:val="nil"/>
                  </w:tcBorders>
                  <w:noWrap/>
                  <w:vAlign w:val="bottom"/>
                  <w:hideMark/>
                </w:tcPr>
                <w:p w14:paraId="7E9A641C"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03FF8C5F" w14:textId="4D23965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7DB8D846" w14:textId="18914CF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374DE560" w14:textId="6A8CDEA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426555BD" w14:textId="4C01BB6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r>
            <w:tr w:rsidR="00655088" w:rsidRPr="00B131B0" w14:paraId="5309632A" w14:textId="77777777" w:rsidTr="003C4A79">
              <w:trPr>
                <w:trHeight w:val="255"/>
              </w:trPr>
              <w:tc>
                <w:tcPr>
                  <w:tcW w:w="3701" w:type="dxa"/>
                  <w:tcBorders>
                    <w:top w:val="nil"/>
                    <w:left w:val="nil"/>
                    <w:bottom w:val="nil"/>
                    <w:right w:val="nil"/>
                  </w:tcBorders>
                  <w:noWrap/>
                  <w:vAlign w:val="center"/>
                  <w:hideMark/>
                </w:tcPr>
                <w:p w14:paraId="6FFC6F8B" w14:textId="780972D9" w:rsidR="00655088" w:rsidRPr="00B131B0" w:rsidRDefault="00A624C3" w:rsidP="00655088">
                  <w:pPr>
                    <w:spacing w:after="0" w:line="240" w:lineRule="auto"/>
                    <w:ind w:firstLineChars="140" w:firstLine="224"/>
                    <w:jc w:val="left"/>
                    <w:rPr>
                      <w:rFonts w:cs="Arial"/>
                      <w:color w:val="000000"/>
                      <w:sz w:val="16"/>
                      <w:szCs w:val="16"/>
                      <w:lang w:eastAsia="ko-KR"/>
                    </w:rPr>
                  </w:pPr>
                  <w:r w:rsidRPr="00A624C3">
                    <w:rPr>
                      <w:rFonts w:cs="Arial"/>
                      <w:color w:val="000000"/>
                      <w:sz w:val="16"/>
                      <w:szCs w:val="16"/>
                    </w:rPr>
                    <w:t>Fabricated metal products, except machinery and equipment</w:t>
                  </w:r>
                </w:p>
              </w:tc>
              <w:tc>
                <w:tcPr>
                  <w:tcW w:w="696" w:type="dxa"/>
                  <w:tcBorders>
                    <w:top w:val="nil"/>
                    <w:left w:val="nil"/>
                    <w:bottom w:val="nil"/>
                    <w:right w:val="nil"/>
                  </w:tcBorders>
                  <w:noWrap/>
                  <w:vAlign w:val="bottom"/>
                  <w:hideMark/>
                </w:tcPr>
                <w:p w14:paraId="4250174A" w14:textId="4DC8601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7" w:type="dxa"/>
                  <w:tcBorders>
                    <w:top w:val="nil"/>
                    <w:left w:val="nil"/>
                    <w:bottom w:val="nil"/>
                    <w:right w:val="nil"/>
                  </w:tcBorders>
                  <w:noWrap/>
                  <w:vAlign w:val="bottom"/>
                  <w:hideMark/>
                </w:tcPr>
                <w:p w14:paraId="159A4C06" w14:textId="5989AB3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5B63495C" w14:textId="4546F7B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0B023DB2" w14:textId="3B888C6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bottom"/>
                  <w:hideMark/>
                </w:tcPr>
                <w:p w14:paraId="70057F06"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1DE6ED36" w14:textId="7EABFC6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96" w:type="dxa"/>
                  <w:tcBorders>
                    <w:top w:val="nil"/>
                    <w:left w:val="nil"/>
                    <w:bottom w:val="nil"/>
                    <w:right w:val="nil"/>
                  </w:tcBorders>
                  <w:noWrap/>
                  <w:vAlign w:val="bottom"/>
                  <w:hideMark/>
                </w:tcPr>
                <w:p w14:paraId="3F26F6FA" w14:textId="4C0FF42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4DD9DCD" w14:textId="49F78B8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54FB982A" w14:textId="26F344B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2F698DAA" w14:textId="77777777" w:rsidTr="003C4A79">
              <w:trPr>
                <w:trHeight w:val="255"/>
              </w:trPr>
              <w:tc>
                <w:tcPr>
                  <w:tcW w:w="3701" w:type="dxa"/>
                  <w:tcBorders>
                    <w:top w:val="nil"/>
                    <w:left w:val="nil"/>
                    <w:bottom w:val="nil"/>
                    <w:right w:val="nil"/>
                  </w:tcBorders>
                  <w:noWrap/>
                  <w:vAlign w:val="center"/>
                  <w:hideMark/>
                </w:tcPr>
                <w:p w14:paraId="2A2E2F48" w14:textId="2D9CAAFF" w:rsidR="00655088" w:rsidRPr="00B131B0" w:rsidRDefault="00B21C3C"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Computer, electron</w:t>
                  </w:r>
                  <w:r>
                    <w:rPr>
                      <w:rFonts w:cs="Arial"/>
                      <w:color w:val="000000"/>
                      <w:sz w:val="16"/>
                      <w:szCs w:val="16"/>
                    </w:rPr>
                    <w:t xml:space="preserve">ic </w:t>
                  </w:r>
                  <w:r w:rsidRPr="00995C95">
                    <w:rPr>
                      <w:rFonts w:cs="Arial"/>
                      <w:color w:val="000000"/>
                      <w:sz w:val="16"/>
                      <w:szCs w:val="16"/>
                    </w:rPr>
                    <w:t>and opt</w:t>
                  </w:r>
                  <w:r>
                    <w:rPr>
                      <w:rFonts w:cs="Arial"/>
                      <w:color w:val="000000"/>
                      <w:sz w:val="16"/>
                      <w:szCs w:val="16"/>
                    </w:rPr>
                    <w:t>ical</w:t>
                  </w:r>
                  <w:r w:rsidRPr="00995C95">
                    <w:rPr>
                      <w:rFonts w:cs="Arial"/>
                      <w:color w:val="000000"/>
                      <w:sz w:val="16"/>
                      <w:szCs w:val="16"/>
                    </w:rPr>
                    <w:t xml:space="preserve"> </w:t>
                  </w:r>
                  <w:r>
                    <w:rPr>
                      <w:rFonts w:cs="Arial"/>
                      <w:color w:val="000000"/>
                      <w:sz w:val="16"/>
                      <w:szCs w:val="16"/>
                    </w:rPr>
                    <w:t>products</w:t>
                  </w:r>
                </w:p>
              </w:tc>
              <w:tc>
                <w:tcPr>
                  <w:tcW w:w="696" w:type="dxa"/>
                  <w:tcBorders>
                    <w:top w:val="nil"/>
                    <w:left w:val="nil"/>
                    <w:bottom w:val="nil"/>
                    <w:right w:val="nil"/>
                  </w:tcBorders>
                  <w:noWrap/>
                  <w:vAlign w:val="bottom"/>
                  <w:hideMark/>
                </w:tcPr>
                <w:p w14:paraId="48D89BA5" w14:textId="7769763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38D7F583" w14:textId="401660F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4FF283FF" w14:textId="7C8C1C0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25BEAC93" w14:textId="56307B8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332" w:type="dxa"/>
                  <w:tcBorders>
                    <w:top w:val="nil"/>
                    <w:left w:val="nil"/>
                    <w:bottom w:val="nil"/>
                    <w:right w:val="nil"/>
                  </w:tcBorders>
                  <w:noWrap/>
                  <w:vAlign w:val="bottom"/>
                  <w:hideMark/>
                </w:tcPr>
                <w:p w14:paraId="1EEF3C33"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5AE53E3A" w14:textId="7A99397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27911EC6" w14:textId="32C8D65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05565465" w14:textId="5A6500B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BF05E96" w14:textId="542956F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r>
            <w:tr w:rsidR="00655088" w:rsidRPr="00B131B0" w14:paraId="5F08CBE0" w14:textId="77777777" w:rsidTr="003C4A79">
              <w:trPr>
                <w:trHeight w:val="255"/>
              </w:trPr>
              <w:tc>
                <w:tcPr>
                  <w:tcW w:w="3701" w:type="dxa"/>
                  <w:tcBorders>
                    <w:top w:val="nil"/>
                    <w:left w:val="nil"/>
                    <w:bottom w:val="nil"/>
                    <w:right w:val="nil"/>
                  </w:tcBorders>
                  <w:noWrap/>
                  <w:vAlign w:val="center"/>
                  <w:hideMark/>
                </w:tcPr>
                <w:p w14:paraId="7F6C7F2E" w14:textId="39C0B01E"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Electrical equipment</w:t>
                  </w:r>
                </w:p>
              </w:tc>
              <w:tc>
                <w:tcPr>
                  <w:tcW w:w="696" w:type="dxa"/>
                  <w:tcBorders>
                    <w:top w:val="nil"/>
                    <w:left w:val="nil"/>
                    <w:bottom w:val="nil"/>
                    <w:right w:val="nil"/>
                  </w:tcBorders>
                  <w:noWrap/>
                  <w:vAlign w:val="center"/>
                  <w:hideMark/>
                </w:tcPr>
                <w:p w14:paraId="00581268" w14:textId="1537802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7" w:type="dxa"/>
                  <w:tcBorders>
                    <w:top w:val="nil"/>
                    <w:left w:val="nil"/>
                    <w:bottom w:val="nil"/>
                    <w:right w:val="nil"/>
                  </w:tcBorders>
                  <w:noWrap/>
                  <w:vAlign w:val="center"/>
                  <w:hideMark/>
                </w:tcPr>
                <w:p w14:paraId="4DC6DBA6" w14:textId="0230870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60E54E2A" w14:textId="3344162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97" w:type="dxa"/>
                  <w:tcBorders>
                    <w:top w:val="nil"/>
                    <w:left w:val="nil"/>
                    <w:bottom w:val="nil"/>
                    <w:right w:val="nil"/>
                  </w:tcBorders>
                  <w:noWrap/>
                  <w:vAlign w:val="center"/>
                  <w:hideMark/>
                </w:tcPr>
                <w:p w14:paraId="57F487D5" w14:textId="17F9D58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332" w:type="dxa"/>
                  <w:tcBorders>
                    <w:top w:val="nil"/>
                    <w:left w:val="nil"/>
                    <w:bottom w:val="nil"/>
                    <w:right w:val="nil"/>
                  </w:tcBorders>
                  <w:noWrap/>
                  <w:vAlign w:val="center"/>
                  <w:hideMark/>
                </w:tcPr>
                <w:p w14:paraId="5B0BE9C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7313F9EA" w14:textId="1A533DC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60676D8F" w14:textId="45C9F61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7AE2E1FC" w14:textId="72BB049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center"/>
                  <w:hideMark/>
                </w:tcPr>
                <w:p w14:paraId="6D0474FC" w14:textId="4C3389B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r>
            <w:tr w:rsidR="00655088" w:rsidRPr="00B131B0" w14:paraId="1947A37F" w14:textId="77777777" w:rsidTr="003C4A79">
              <w:trPr>
                <w:trHeight w:val="255"/>
              </w:trPr>
              <w:tc>
                <w:tcPr>
                  <w:tcW w:w="3701" w:type="dxa"/>
                  <w:tcBorders>
                    <w:top w:val="nil"/>
                    <w:left w:val="nil"/>
                    <w:bottom w:val="nil"/>
                    <w:right w:val="nil"/>
                  </w:tcBorders>
                  <w:noWrap/>
                  <w:vAlign w:val="center"/>
                  <w:hideMark/>
                </w:tcPr>
                <w:p w14:paraId="6F82329A" w14:textId="577F89F1"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 xml:space="preserve">Machinery and equipment, </w:t>
                  </w:r>
                  <w:proofErr w:type="spellStart"/>
                  <w:r w:rsidRPr="00995C95">
                    <w:rPr>
                      <w:rFonts w:cs="Arial"/>
                      <w:color w:val="000000"/>
                      <w:sz w:val="16"/>
                      <w:szCs w:val="16"/>
                    </w:rPr>
                    <w:t>n.c.e</w:t>
                  </w:r>
                  <w:proofErr w:type="spellEnd"/>
                  <w:r w:rsidRPr="00995C95">
                    <w:rPr>
                      <w:rFonts w:cs="Arial"/>
                      <w:color w:val="000000"/>
                      <w:sz w:val="16"/>
                      <w:szCs w:val="16"/>
                    </w:rPr>
                    <w:t>.</w:t>
                  </w:r>
                </w:p>
              </w:tc>
              <w:tc>
                <w:tcPr>
                  <w:tcW w:w="696" w:type="dxa"/>
                  <w:tcBorders>
                    <w:top w:val="nil"/>
                    <w:left w:val="nil"/>
                    <w:bottom w:val="nil"/>
                    <w:right w:val="nil"/>
                  </w:tcBorders>
                  <w:noWrap/>
                  <w:vAlign w:val="center"/>
                  <w:hideMark/>
                </w:tcPr>
                <w:p w14:paraId="70DC432A" w14:textId="608F953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97" w:type="dxa"/>
                  <w:tcBorders>
                    <w:top w:val="nil"/>
                    <w:left w:val="nil"/>
                    <w:bottom w:val="nil"/>
                    <w:right w:val="nil"/>
                  </w:tcBorders>
                  <w:noWrap/>
                  <w:vAlign w:val="center"/>
                  <w:hideMark/>
                </w:tcPr>
                <w:p w14:paraId="4D09A0F6" w14:textId="4DCA5E4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0570DD34" w14:textId="1D5491D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center"/>
                  <w:hideMark/>
                </w:tcPr>
                <w:p w14:paraId="55E2D394" w14:textId="272E60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332" w:type="dxa"/>
                  <w:tcBorders>
                    <w:top w:val="nil"/>
                    <w:left w:val="nil"/>
                    <w:bottom w:val="nil"/>
                    <w:right w:val="nil"/>
                  </w:tcBorders>
                  <w:noWrap/>
                  <w:vAlign w:val="center"/>
                  <w:hideMark/>
                </w:tcPr>
                <w:p w14:paraId="79DBBDBD"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7E0AE7DA" w14:textId="6AF8362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036DA17E" w14:textId="2123396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1FD905AA" w14:textId="4E2D29F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center"/>
                  <w:hideMark/>
                </w:tcPr>
                <w:p w14:paraId="63BB08A6" w14:textId="3611A74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1966CF36" w14:textId="77777777" w:rsidTr="003C4A79">
              <w:trPr>
                <w:trHeight w:val="255"/>
              </w:trPr>
              <w:tc>
                <w:tcPr>
                  <w:tcW w:w="3701" w:type="dxa"/>
                  <w:tcBorders>
                    <w:top w:val="nil"/>
                    <w:left w:val="nil"/>
                    <w:bottom w:val="nil"/>
                    <w:right w:val="nil"/>
                  </w:tcBorders>
                  <w:noWrap/>
                  <w:vAlign w:val="center"/>
                  <w:hideMark/>
                </w:tcPr>
                <w:p w14:paraId="6C57F4C8" w14:textId="199EF83E"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Motor vehicles (excl. motorcycles) and parts</w:t>
                  </w:r>
                </w:p>
              </w:tc>
              <w:tc>
                <w:tcPr>
                  <w:tcW w:w="696" w:type="dxa"/>
                  <w:tcBorders>
                    <w:top w:val="nil"/>
                    <w:left w:val="nil"/>
                    <w:bottom w:val="nil"/>
                    <w:right w:val="nil"/>
                  </w:tcBorders>
                  <w:noWrap/>
                  <w:vAlign w:val="center"/>
                  <w:hideMark/>
                </w:tcPr>
                <w:p w14:paraId="05569EF6" w14:textId="37BF380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center"/>
                  <w:hideMark/>
                </w:tcPr>
                <w:p w14:paraId="671CF20C" w14:textId="0FBE4A6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5C7E966B" w14:textId="5F754FB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c>
                <w:tcPr>
                  <w:tcW w:w="697" w:type="dxa"/>
                  <w:tcBorders>
                    <w:top w:val="nil"/>
                    <w:left w:val="nil"/>
                    <w:bottom w:val="nil"/>
                    <w:right w:val="nil"/>
                  </w:tcBorders>
                  <w:noWrap/>
                  <w:vAlign w:val="center"/>
                  <w:hideMark/>
                </w:tcPr>
                <w:p w14:paraId="7F5D5B76" w14:textId="50ADA33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332" w:type="dxa"/>
                  <w:tcBorders>
                    <w:top w:val="nil"/>
                    <w:left w:val="nil"/>
                    <w:bottom w:val="nil"/>
                    <w:right w:val="nil"/>
                  </w:tcBorders>
                  <w:noWrap/>
                  <w:vAlign w:val="center"/>
                  <w:hideMark/>
                </w:tcPr>
                <w:p w14:paraId="3B8AC0D8"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5514E56D" w14:textId="4BD0EF7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center"/>
                  <w:hideMark/>
                </w:tcPr>
                <w:p w14:paraId="1DB260F7" w14:textId="2842822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center"/>
                  <w:hideMark/>
                </w:tcPr>
                <w:p w14:paraId="5F3E9974" w14:textId="4F78824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7F91DA0B" w14:textId="6F5D92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24ADE6A8" w14:textId="77777777" w:rsidTr="003C4A79">
              <w:trPr>
                <w:trHeight w:val="255"/>
              </w:trPr>
              <w:tc>
                <w:tcPr>
                  <w:tcW w:w="3701" w:type="dxa"/>
                  <w:tcBorders>
                    <w:top w:val="nil"/>
                    <w:left w:val="nil"/>
                    <w:bottom w:val="nil"/>
                    <w:right w:val="nil"/>
                  </w:tcBorders>
                  <w:noWrap/>
                  <w:vAlign w:val="center"/>
                  <w:hideMark/>
                </w:tcPr>
                <w:p w14:paraId="1827FDCC" w14:textId="03EE812F"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sz w:val="16"/>
                      <w:szCs w:val="16"/>
                    </w:rPr>
                    <w:t>Other transport equipment</w:t>
                  </w:r>
                </w:p>
              </w:tc>
              <w:tc>
                <w:tcPr>
                  <w:tcW w:w="696" w:type="dxa"/>
                  <w:tcBorders>
                    <w:top w:val="nil"/>
                    <w:left w:val="nil"/>
                    <w:bottom w:val="nil"/>
                    <w:right w:val="nil"/>
                  </w:tcBorders>
                  <w:noWrap/>
                  <w:vAlign w:val="center"/>
                  <w:hideMark/>
                </w:tcPr>
                <w:p w14:paraId="514030E8" w14:textId="2B08A59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697" w:type="dxa"/>
                  <w:tcBorders>
                    <w:top w:val="nil"/>
                    <w:left w:val="nil"/>
                    <w:bottom w:val="nil"/>
                    <w:right w:val="nil"/>
                  </w:tcBorders>
                  <w:noWrap/>
                  <w:vAlign w:val="center"/>
                  <w:hideMark/>
                </w:tcPr>
                <w:p w14:paraId="26A11E28" w14:textId="3CE5E7F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0E0EB143" w14:textId="6E1763C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center"/>
                  <w:hideMark/>
                </w:tcPr>
                <w:p w14:paraId="64B30AD0" w14:textId="4F0D6C9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332" w:type="dxa"/>
                  <w:tcBorders>
                    <w:top w:val="nil"/>
                    <w:left w:val="nil"/>
                    <w:bottom w:val="nil"/>
                    <w:right w:val="nil"/>
                  </w:tcBorders>
                  <w:noWrap/>
                  <w:vAlign w:val="center"/>
                  <w:hideMark/>
                </w:tcPr>
                <w:p w14:paraId="43B2C599"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3C5357F9" w14:textId="0FFD64D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6462B9AE" w14:textId="6406F00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3A7A3A54" w14:textId="53988E8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7E1C747D" w14:textId="5CDF1B4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726D4371" w14:textId="77777777" w:rsidTr="003C4A79">
              <w:trPr>
                <w:trHeight w:val="255"/>
              </w:trPr>
              <w:tc>
                <w:tcPr>
                  <w:tcW w:w="3701" w:type="dxa"/>
                  <w:tcBorders>
                    <w:top w:val="nil"/>
                    <w:left w:val="nil"/>
                    <w:bottom w:val="nil"/>
                    <w:right w:val="nil"/>
                  </w:tcBorders>
                  <w:noWrap/>
                  <w:vAlign w:val="center"/>
                  <w:hideMark/>
                </w:tcPr>
                <w:p w14:paraId="3E768FA0" w14:textId="025647A5"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Furniture</w:t>
                  </w:r>
                </w:p>
              </w:tc>
              <w:tc>
                <w:tcPr>
                  <w:tcW w:w="696" w:type="dxa"/>
                  <w:tcBorders>
                    <w:top w:val="nil"/>
                    <w:left w:val="nil"/>
                    <w:bottom w:val="nil"/>
                    <w:right w:val="nil"/>
                  </w:tcBorders>
                  <w:noWrap/>
                  <w:vAlign w:val="center"/>
                  <w:hideMark/>
                </w:tcPr>
                <w:p w14:paraId="6570C9BC" w14:textId="61FA8B5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6</w:t>
                  </w:r>
                </w:p>
              </w:tc>
              <w:tc>
                <w:tcPr>
                  <w:tcW w:w="697" w:type="dxa"/>
                  <w:tcBorders>
                    <w:top w:val="nil"/>
                    <w:left w:val="nil"/>
                    <w:bottom w:val="nil"/>
                    <w:right w:val="nil"/>
                  </w:tcBorders>
                  <w:noWrap/>
                  <w:vAlign w:val="center"/>
                  <w:hideMark/>
                </w:tcPr>
                <w:p w14:paraId="32F81E9E" w14:textId="3E426C2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73BB6DC2" w14:textId="06B2C9B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center"/>
                  <w:hideMark/>
                </w:tcPr>
                <w:p w14:paraId="786EADEC" w14:textId="2BA5734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center"/>
                  <w:hideMark/>
                </w:tcPr>
                <w:p w14:paraId="4913401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028E1729" w14:textId="66CCB2D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center"/>
                  <w:hideMark/>
                </w:tcPr>
                <w:p w14:paraId="201B35D8" w14:textId="2185016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4EED70EB" w14:textId="09D0102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0611C2DD" w14:textId="1D6393E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1089D9CC" w14:textId="77777777" w:rsidTr="003C4A79">
              <w:trPr>
                <w:trHeight w:val="255"/>
              </w:trPr>
              <w:tc>
                <w:tcPr>
                  <w:tcW w:w="3701" w:type="dxa"/>
                  <w:tcBorders>
                    <w:top w:val="nil"/>
                    <w:left w:val="nil"/>
                    <w:bottom w:val="nil"/>
                    <w:right w:val="nil"/>
                  </w:tcBorders>
                  <w:noWrap/>
                  <w:vAlign w:val="center"/>
                  <w:hideMark/>
                </w:tcPr>
                <w:p w14:paraId="64C137DD" w14:textId="129F632D"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Other manufacturing products</w:t>
                  </w:r>
                </w:p>
              </w:tc>
              <w:tc>
                <w:tcPr>
                  <w:tcW w:w="696" w:type="dxa"/>
                  <w:tcBorders>
                    <w:top w:val="nil"/>
                    <w:left w:val="nil"/>
                    <w:bottom w:val="nil"/>
                    <w:right w:val="nil"/>
                  </w:tcBorders>
                  <w:noWrap/>
                  <w:vAlign w:val="center"/>
                  <w:hideMark/>
                </w:tcPr>
                <w:p w14:paraId="63891630" w14:textId="5542C83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7" w:type="dxa"/>
                  <w:tcBorders>
                    <w:top w:val="nil"/>
                    <w:left w:val="nil"/>
                    <w:bottom w:val="nil"/>
                    <w:right w:val="nil"/>
                  </w:tcBorders>
                  <w:noWrap/>
                  <w:vAlign w:val="center"/>
                  <w:hideMark/>
                </w:tcPr>
                <w:p w14:paraId="1D2527C6" w14:textId="15CA74A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center"/>
                  <w:hideMark/>
                </w:tcPr>
                <w:p w14:paraId="3573A5D5" w14:textId="1A143C1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center"/>
                  <w:hideMark/>
                </w:tcPr>
                <w:p w14:paraId="30AD9A1F" w14:textId="544A035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center"/>
                  <w:hideMark/>
                </w:tcPr>
                <w:p w14:paraId="0EFE648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5062D9D8" w14:textId="7E52860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7B4C0EA7" w14:textId="7173A68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center"/>
                  <w:hideMark/>
                </w:tcPr>
                <w:p w14:paraId="2FDB1F0B" w14:textId="4ED90BE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0442C4F0" w14:textId="31F1283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r>
            <w:tr w:rsidR="00655088" w:rsidRPr="00B131B0" w14:paraId="7AF8FA3E" w14:textId="77777777" w:rsidTr="003C4A79">
              <w:trPr>
                <w:trHeight w:val="255"/>
              </w:trPr>
              <w:tc>
                <w:tcPr>
                  <w:tcW w:w="3701" w:type="dxa"/>
                  <w:tcBorders>
                    <w:top w:val="nil"/>
                    <w:left w:val="nil"/>
                    <w:bottom w:val="nil"/>
                    <w:right w:val="nil"/>
                  </w:tcBorders>
                  <w:noWrap/>
                  <w:vAlign w:val="center"/>
                  <w:hideMark/>
                </w:tcPr>
                <w:p w14:paraId="137519D7" w14:textId="098C6632" w:rsidR="00655088" w:rsidRPr="00B131B0" w:rsidRDefault="00217CAD" w:rsidP="00655088">
                  <w:pPr>
                    <w:spacing w:after="0" w:line="240" w:lineRule="auto"/>
                    <w:ind w:firstLineChars="140" w:firstLine="224"/>
                    <w:jc w:val="left"/>
                    <w:rPr>
                      <w:rFonts w:cs="Arial"/>
                      <w:color w:val="000000"/>
                      <w:sz w:val="16"/>
                      <w:szCs w:val="16"/>
                      <w:lang w:eastAsia="ko-KR"/>
                    </w:rPr>
                  </w:pPr>
                  <w:r w:rsidRPr="00217CAD">
                    <w:rPr>
                      <w:rFonts w:cs="Arial"/>
                      <w:color w:val="000000"/>
                      <w:sz w:val="16"/>
                      <w:szCs w:val="16"/>
                      <w:lang w:eastAsia="ko-KR"/>
                    </w:rPr>
                    <w:t>Repair and installation services of machinery and equipment</w:t>
                  </w:r>
                </w:p>
              </w:tc>
              <w:tc>
                <w:tcPr>
                  <w:tcW w:w="696" w:type="dxa"/>
                  <w:tcBorders>
                    <w:top w:val="nil"/>
                    <w:left w:val="nil"/>
                    <w:bottom w:val="nil"/>
                    <w:right w:val="nil"/>
                  </w:tcBorders>
                  <w:noWrap/>
                  <w:vAlign w:val="center"/>
                  <w:hideMark/>
                </w:tcPr>
                <w:p w14:paraId="0E6CFF76" w14:textId="3ABBBF9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center"/>
                  <w:hideMark/>
                </w:tcPr>
                <w:p w14:paraId="069107BF" w14:textId="0F49A73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center"/>
                  <w:hideMark/>
                </w:tcPr>
                <w:p w14:paraId="04E2CE82" w14:textId="6010C4A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center"/>
                  <w:hideMark/>
                </w:tcPr>
                <w:p w14:paraId="0C18F379" w14:textId="5AFDB3E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center"/>
                  <w:hideMark/>
                </w:tcPr>
                <w:p w14:paraId="34411CCF"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40FAFF5A" w14:textId="4ACB39E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7822E47A" w14:textId="37FA9CF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6DA412C8" w14:textId="6EEEC8A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center"/>
                  <w:hideMark/>
                </w:tcPr>
                <w:p w14:paraId="4A71633D" w14:textId="2F9B24D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6EEAF88F" w14:textId="77777777" w:rsidTr="003C4A79">
              <w:trPr>
                <w:trHeight w:val="255"/>
              </w:trPr>
              <w:tc>
                <w:tcPr>
                  <w:tcW w:w="3701" w:type="dxa"/>
                  <w:tcBorders>
                    <w:top w:val="nil"/>
                    <w:left w:val="nil"/>
                    <w:bottom w:val="nil"/>
                    <w:right w:val="nil"/>
                  </w:tcBorders>
                  <w:noWrap/>
                  <w:vAlign w:val="center"/>
                  <w:hideMark/>
                </w:tcPr>
                <w:p w14:paraId="3CA5099F" w14:textId="59F2392E" w:rsidR="00655088" w:rsidRPr="00B131B0" w:rsidRDefault="00655088" w:rsidP="00655088">
                  <w:pPr>
                    <w:spacing w:after="0" w:line="240" w:lineRule="auto"/>
                    <w:jc w:val="left"/>
                    <w:rPr>
                      <w:rFonts w:cs="Arial"/>
                      <w:color w:val="000000"/>
                      <w:sz w:val="16"/>
                      <w:szCs w:val="16"/>
                      <w:lang w:eastAsia="ko-KR"/>
                    </w:rPr>
                  </w:pPr>
                  <w:r w:rsidRPr="00995C95">
                    <w:rPr>
                      <w:sz w:val="16"/>
                      <w:szCs w:val="16"/>
                    </w:rPr>
                    <w:t>E</w:t>
                  </w:r>
                  <w:r>
                    <w:rPr>
                      <w:sz w:val="16"/>
                      <w:szCs w:val="16"/>
                    </w:rPr>
                    <w:t>LECTRICITY, GAS, STEAM AND AIR CONDITIONING</w:t>
                  </w:r>
                </w:p>
              </w:tc>
              <w:tc>
                <w:tcPr>
                  <w:tcW w:w="696" w:type="dxa"/>
                  <w:tcBorders>
                    <w:top w:val="nil"/>
                    <w:left w:val="nil"/>
                    <w:bottom w:val="nil"/>
                    <w:right w:val="nil"/>
                  </w:tcBorders>
                  <w:noWrap/>
                  <w:vAlign w:val="center"/>
                  <w:hideMark/>
                </w:tcPr>
                <w:p w14:paraId="226EDE39" w14:textId="531454A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2</w:t>
                  </w:r>
                </w:p>
              </w:tc>
              <w:tc>
                <w:tcPr>
                  <w:tcW w:w="697" w:type="dxa"/>
                  <w:tcBorders>
                    <w:top w:val="nil"/>
                    <w:left w:val="nil"/>
                    <w:bottom w:val="nil"/>
                    <w:right w:val="nil"/>
                  </w:tcBorders>
                  <w:noWrap/>
                  <w:vAlign w:val="center"/>
                  <w:hideMark/>
                </w:tcPr>
                <w:p w14:paraId="124FF2CC" w14:textId="153249D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8</w:t>
                  </w:r>
                </w:p>
              </w:tc>
              <w:tc>
                <w:tcPr>
                  <w:tcW w:w="696" w:type="dxa"/>
                  <w:tcBorders>
                    <w:top w:val="nil"/>
                    <w:left w:val="nil"/>
                    <w:bottom w:val="nil"/>
                    <w:right w:val="nil"/>
                  </w:tcBorders>
                  <w:noWrap/>
                  <w:vAlign w:val="center"/>
                  <w:hideMark/>
                </w:tcPr>
                <w:p w14:paraId="20223788" w14:textId="2CCDA8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center"/>
                  <w:hideMark/>
                </w:tcPr>
                <w:p w14:paraId="5BB91174" w14:textId="61E3B7F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6</w:t>
                  </w:r>
                </w:p>
              </w:tc>
              <w:tc>
                <w:tcPr>
                  <w:tcW w:w="332" w:type="dxa"/>
                  <w:tcBorders>
                    <w:top w:val="nil"/>
                    <w:left w:val="nil"/>
                    <w:bottom w:val="nil"/>
                    <w:right w:val="nil"/>
                  </w:tcBorders>
                  <w:noWrap/>
                  <w:vAlign w:val="center"/>
                  <w:hideMark/>
                </w:tcPr>
                <w:p w14:paraId="65DF800E"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4A408F06" w14:textId="7C170C8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center"/>
                  <w:hideMark/>
                </w:tcPr>
                <w:p w14:paraId="29BBAF46" w14:textId="32E6CE8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203FDEF5" w14:textId="1E09DE0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center"/>
                  <w:hideMark/>
                </w:tcPr>
                <w:p w14:paraId="4D591E44" w14:textId="1DAB899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r>
            <w:tr w:rsidR="00655088" w:rsidRPr="00B131B0" w14:paraId="5F5EC1DD" w14:textId="77777777" w:rsidTr="003C4A79">
              <w:trPr>
                <w:trHeight w:val="255"/>
              </w:trPr>
              <w:tc>
                <w:tcPr>
                  <w:tcW w:w="3701" w:type="dxa"/>
                  <w:tcBorders>
                    <w:top w:val="nil"/>
                    <w:left w:val="nil"/>
                    <w:bottom w:val="nil"/>
                    <w:right w:val="nil"/>
                  </w:tcBorders>
                  <w:noWrap/>
                  <w:vAlign w:val="center"/>
                  <w:hideMark/>
                </w:tcPr>
                <w:p w14:paraId="474E6854" w14:textId="374B1369"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WATER SUPPLY AND RELATED SERVICES</w:t>
                  </w:r>
                </w:p>
              </w:tc>
              <w:tc>
                <w:tcPr>
                  <w:tcW w:w="696" w:type="dxa"/>
                  <w:tcBorders>
                    <w:top w:val="nil"/>
                    <w:left w:val="nil"/>
                    <w:bottom w:val="nil"/>
                    <w:right w:val="nil"/>
                  </w:tcBorders>
                  <w:noWrap/>
                  <w:vAlign w:val="center"/>
                  <w:hideMark/>
                </w:tcPr>
                <w:p w14:paraId="26054B63" w14:textId="57CD312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center"/>
                  <w:hideMark/>
                </w:tcPr>
                <w:p w14:paraId="3429EBE2" w14:textId="4A61770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474B0B8D" w14:textId="4F52571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center"/>
                  <w:hideMark/>
                </w:tcPr>
                <w:p w14:paraId="250700E2" w14:textId="3D7BFCC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332" w:type="dxa"/>
                  <w:tcBorders>
                    <w:top w:val="nil"/>
                    <w:left w:val="nil"/>
                    <w:bottom w:val="nil"/>
                    <w:right w:val="nil"/>
                  </w:tcBorders>
                  <w:noWrap/>
                  <w:vAlign w:val="center"/>
                  <w:hideMark/>
                </w:tcPr>
                <w:p w14:paraId="18B99DB8"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23E4577D" w14:textId="78F9CA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09FD205E" w14:textId="4D5EAF0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4ECF7457" w14:textId="72F952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center"/>
                  <w:hideMark/>
                </w:tcPr>
                <w:p w14:paraId="07AEFE4F" w14:textId="3504E72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r>
          </w:tbl>
          <w:p w14:paraId="514018B8" w14:textId="77777777" w:rsidR="00655088" w:rsidRPr="00B131B0" w:rsidRDefault="00655088" w:rsidP="00655088">
            <w:pPr>
              <w:spacing w:after="120"/>
              <w:rPr>
                <w:rStyle w:val="Znakapoznpodarou"/>
                <w:lang w:eastAsia="en-US"/>
              </w:rPr>
            </w:pPr>
          </w:p>
        </w:tc>
      </w:tr>
      <w:tr w:rsidR="00655088" w:rsidRPr="00B131B0" w14:paraId="049DAEF6" w14:textId="77777777" w:rsidTr="003C4A79">
        <w:trPr>
          <w:trHeight w:val="145"/>
        </w:trPr>
        <w:tc>
          <w:tcPr>
            <w:tcW w:w="9654" w:type="dxa"/>
            <w:gridSpan w:val="3"/>
          </w:tcPr>
          <w:p w14:paraId="00D19DC1" w14:textId="1DEC8A02" w:rsidR="00655088" w:rsidRPr="00B131B0" w:rsidRDefault="00655088" w:rsidP="00655088">
            <w:pPr>
              <w:spacing w:before="120"/>
              <w:rPr>
                <w:rStyle w:val="Znakapoznpodarou"/>
                <w:sz w:val="16"/>
                <w:szCs w:val="16"/>
                <w:lang w:eastAsia="en-US"/>
              </w:rPr>
            </w:pPr>
            <w:r>
              <w:rPr>
                <w:sz w:val="16"/>
                <w:szCs w:val="16"/>
                <w:lang w:eastAsia="en-US"/>
              </w:rPr>
              <w:t>Source</w:t>
            </w:r>
            <w:r w:rsidRPr="00B131B0">
              <w:rPr>
                <w:sz w:val="16"/>
                <w:szCs w:val="16"/>
                <w:lang w:eastAsia="en-US"/>
              </w:rPr>
              <w:t xml:space="preserve">: </w:t>
            </w:r>
            <w:r>
              <w:rPr>
                <w:sz w:val="16"/>
                <w:szCs w:val="16"/>
                <w:lang w:eastAsia="en-US"/>
              </w:rPr>
              <w:t>CZSO</w:t>
            </w:r>
          </w:p>
        </w:tc>
      </w:tr>
      <w:tr w:rsidR="00655088" w:rsidRPr="00B131B0" w14:paraId="25FAC2F7" w14:textId="77777777" w:rsidTr="003C4A79">
        <w:trPr>
          <w:trHeight w:val="145"/>
        </w:trPr>
        <w:tc>
          <w:tcPr>
            <w:tcW w:w="1812" w:type="dxa"/>
          </w:tcPr>
          <w:p w14:paraId="304DCF89" w14:textId="7EC0ADD9" w:rsidR="00655088" w:rsidRPr="00B131B0" w:rsidRDefault="00655088" w:rsidP="00655088">
            <w:pPr>
              <w:pStyle w:val="Marginlie"/>
              <w:rPr>
                <w:spacing w:val="0"/>
                <w:lang w:eastAsia="en-US"/>
              </w:rPr>
            </w:pPr>
            <w:r>
              <w:rPr>
                <w:spacing w:val="0"/>
                <w:lang w:eastAsia="en-US"/>
              </w:rPr>
              <w:t>Crude o</w:t>
            </w:r>
            <w:r w:rsidRPr="00522EEA">
              <w:rPr>
                <w:spacing w:val="0"/>
                <w:lang w:eastAsia="en-US"/>
              </w:rPr>
              <w:t>il prices had a major impact on the development of prices in manufacturing</w:t>
            </w:r>
            <w:r>
              <w:rPr>
                <w:spacing w:val="0"/>
                <w:lang w:eastAsia="en-US"/>
              </w:rPr>
              <w:t xml:space="preserve">. </w:t>
            </w:r>
          </w:p>
        </w:tc>
        <w:tc>
          <w:tcPr>
            <w:tcW w:w="213" w:type="dxa"/>
          </w:tcPr>
          <w:p w14:paraId="341F9AA3" w14:textId="77777777" w:rsidR="00655088" w:rsidRPr="00B131B0" w:rsidRDefault="00655088" w:rsidP="00655088">
            <w:pPr>
              <w:pStyle w:val="Textpoznpodarou1"/>
              <w:jc w:val="both"/>
              <w:rPr>
                <w:lang w:eastAsia="en-US"/>
              </w:rPr>
            </w:pPr>
          </w:p>
        </w:tc>
        <w:tc>
          <w:tcPr>
            <w:tcW w:w="7629" w:type="dxa"/>
          </w:tcPr>
          <w:p w14:paraId="3B7C2DED" w14:textId="056F456B" w:rsidR="00655088" w:rsidRPr="00B131B0" w:rsidRDefault="00655088" w:rsidP="00FC3B85">
            <w:pPr>
              <w:rPr>
                <w:lang w:eastAsia="en-US"/>
              </w:rPr>
            </w:pPr>
            <w:r w:rsidRPr="008D27D2">
              <w:rPr>
                <w:lang w:eastAsia="en-US"/>
              </w:rPr>
              <w:t>Prices of manufacturing products and services began to rise again</w:t>
            </w:r>
            <w:r>
              <w:rPr>
                <w:lang w:eastAsia="en-US"/>
              </w:rPr>
              <w:t>,</w:t>
            </w:r>
            <w:r w:rsidRPr="008D27D2">
              <w:rPr>
                <w:lang w:eastAsia="en-US"/>
              </w:rPr>
              <w:t xml:space="preserve"> year-on-year</w:t>
            </w:r>
            <w:r>
              <w:rPr>
                <w:lang w:eastAsia="en-US"/>
              </w:rPr>
              <w:t>,</w:t>
            </w:r>
            <w:r w:rsidRPr="008D27D2">
              <w:rPr>
                <w:lang w:eastAsia="en-US"/>
              </w:rPr>
              <w:t xml:space="preserve"> thanks to a relatively significant quarter-on-quarter increase in Q2. However, the acceleration </w:t>
            </w:r>
            <w:r>
              <w:rPr>
                <w:lang w:eastAsia="en-US"/>
              </w:rPr>
              <w:t>of</w:t>
            </w:r>
            <w:r w:rsidRPr="008D27D2">
              <w:rPr>
                <w:lang w:eastAsia="en-US"/>
              </w:rPr>
              <w:t xml:space="preserve"> dynamics was mainly influenced by several </w:t>
            </w:r>
            <w:r>
              <w:rPr>
                <w:lang w:eastAsia="en-US"/>
              </w:rPr>
              <w:t>divisions,</w:t>
            </w:r>
            <w:r w:rsidRPr="008D27D2">
              <w:rPr>
                <w:lang w:eastAsia="en-US"/>
              </w:rPr>
              <w:t xml:space="preserve"> for which price developments are linked to </w:t>
            </w:r>
            <w:r>
              <w:rPr>
                <w:lang w:eastAsia="en-US"/>
              </w:rPr>
              <w:t xml:space="preserve">crude </w:t>
            </w:r>
            <w:r w:rsidRPr="008D27D2">
              <w:rPr>
                <w:lang w:eastAsia="en-US"/>
              </w:rPr>
              <w:t xml:space="preserve">oil prices. Prices of coke and refined petroleum </w:t>
            </w:r>
            <w:r w:rsidRPr="008D27D2">
              <w:rPr>
                <w:lang w:eastAsia="en-US"/>
              </w:rPr>
              <w:lastRenderedPageBreak/>
              <w:t>products rose strongly</w:t>
            </w:r>
            <w:r w:rsidRPr="00B131B0">
              <w:rPr>
                <w:rStyle w:val="Znakapoznpodarou"/>
                <w:lang w:eastAsia="en-US"/>
              </w:rPr>
              <w:footnoteReference w:id="4"/>
            </w:r>
            <w:r w:rsidRPr="008D27D2">
              <w:rPr>
                <w:lang w:eastAsia="en-US"/>
              </w:rPr>
              <w:t xml:space="preserve">. Year-on-year and quarter-on-quarter growth </w:t>
            </w:r>
            <w:r>
              <w:rPr>
                <w:lang w:eastAsia="en-US"/>
              </w:rPr>
              <w:t>of</w:t>
            </w:r>
            <w:r w:rsidRPr="008D27D2">
              <w:rPr>
                <w:lang w:eastAsia="en-US"/>
              </w:rPr>
              <w:t xml:space="preserve"> prices of chemical</w:t>
            </w:r>
            <w:r>
              <w:rPr>
                <w:lang w:eastAsia="en-US"/>
              </w:rPr>
              <w:t xml:space="preserve"> substances </w:t>
            </w:r>
            <w:r w:rsidRPr="008D27D2">
              <w:rPr>
                <w:lang w:eastAsia="en-US"/>
              </w:rPr>
              <w:t xml:space="preserve">and preparations accelerated to double-digit rates, while the dynamics of prices of rubber and plastic products, other non-metallic mineral products (including various </w:t>
            </w:r>
            <w:r w:rsidRPr="0088128D">
              <w:rPr>
                <w:lang w:eastAsia="en-US"/>
              </w:rPr>
              <w:t xml:space="preserve">building materials, such as asphalt, but </w:t>
            </w:r>
            <w:r>
              <w:rPr>
                <w:lang w:eastAsia="en-US"/>
              </w:rPr>
              <w:t xml:space="preserve">also </w:t>
            </w:r>
            <w:r w:rsidRPr="0088128D">
              <w:rPr>
                <w:lang w:eastAsia="en-US"/>
              </w:rPr>
              <w:t xml:space="preserve">cement, lime and gypsum and </w:t>
            </w:r>
            <w:r>
              <w:rPr>
                <w:lang w:eastAsia="en-US"/>
              </w:rPr>
              <w:t xml:space="preserve">their </w:t>
            </w:r>
            <w:r w:rsidRPr="0088128D">
              <w:rPr>
                <w:lang w:eastAsia="en-US"/>
              </w:rPr>
              <w:t>products) and</w:t>
            </w:r>
            <w:r w:rsidRPr="008D27D2">
              <w:rPr>
                <w:lang w:eastAsia="en-US"/>
              </w:rPr>
              <w:t xml:space="preserve"> basic metals also </w:t>
            </w:r>
            <w:r>
              <w:rPr>
                <w:lang w:eastAsia="en-US"/>
              </w:rPr>
              <w:t xml:space="preserve">considerably </w:t>
            </w:r>
            <w:r w:rsidRPr="008D27D2">
              <w:rPr>
                <w:lang w:eastAsia="en-US"/>
              </w:rPr>
              <w:t xml:space="preserve">increased in price. The </w:t>
            </w:r>
            <w:r>
              <w:rPr>
                <w:lang w:eastAsia="en-US"/>
              </w:rPr>
              <w:t xml:space="preserve">divisions </w:t>
            </w:r>
            <w:r w:rsidRPr="008D27D2">
              <w:rPr>
                <w:lang w:eastAsia="en-US"/>
              </w:rPr>
              <w:t xml:space="preserve">where prices increased significantly (especially quarter-on-quarter) in Q2 also included wood and wood and cork products, printing and recording services, electrical equipment, basic pharmaceutical products and preparations, and </w:t>
            </w:r>
            <w:r w:rsidR="00A9743E">
              <w:rPr>
                <w:lang w:eastAsia="en-US"/>
              </w:rPr>
              <w:t xml:space="preserve">fabricated </w:t>
            </w:r>
            <w:proofErr w:type="gramStart"/>
            <w:r w:rsidR="00A9743E">
              <w:rPr>
                <w:lang w:eastAsia="en-US"/>
              </w:rPr>
              <w:t xml:space="preserve">metal </w:t>
            </w:r>
            <w:r w:rsidRPr="008D27D2">
              <w:rPr>
                <w:lang w:eastAsia="en-US"/>
              </w:rPr>
              <w:t xml:space="preserve"> products</w:t>
            </w:r>
            <w:proofErr w:type="gramEnd"/>
            <w:r w:rsidRPr="008D27D2">
              <w:rPr>
                <w:lang w:eastAsia="en-US"/>
              </w:rPr>
              <w:t>. However, price developments were rather stagnant in a significant part of industrial production. This was the case for manufactur</w:t>
            </w:r>
            <w:r>
              <w:rPr>
                <w:lang w:eastAsia="en-US"/>
              </w:rPr>
              <w:t>ing</w:t>
            </w:r>
            <w:r w:rsidRPr="008D27D2">
              <w:rPr>
                <w:lang w:eastAsia="en-US"/>
              </w:rPr>
              <w:t xml:space="preserve"> of motor vehicles and parts, other transport equipment, or machinery and equipment. A decrease in prices was recorded </w:t>
            </w:r>
            <w:r>
              <w:rPr>
                <w:lang w:eastAsia="en-US"/>
              </w:rPr>
              <w:t xml:space="preserve">for </w:t>
            </w:r>
            <w:r w:rsidRPr="008D27D2">
              <w:rPr>
                <w:lang w:eastAsia="en-US"/>
              </w:rPr>
              <w:t xml:space="preserve">a minority of divisions. After a short-term fluctuation in </w:t>
            </w:r>
            <w:r>
              <w:rPr>
                <w:lang w:eastAsia="en-US"/>
              </w:rPr>
              <w:t xml:space="preserve">Q1, </w:t>
            </w:r>
            <w:r w:rsidRPr="008D27D2">
              <w:rPr>
                <w:lang w:eastAsia="en-US"/>
              </w:rPr>
              <w:t xml:space="preserve">prices of computers, electronic and optical </w:t>
            </w:r>
            <w:r>
              <w:rPr>
                <w:lang w:eastAsia="en-US"/>
              </w:rPr>
              <w:t xml:space="preserve">appliances </w:t>
            </w:r>
            <w:r w:rsidRPr="008D27D2">
              <w:rPr>
                <w:lang w:eastAsia="en-US"/>
              </w:rPr>
              <w:t xml:space="preserve">declined again, and the two previous </w:t>
            </w:r>
            <w:r>
              <w:rPr>
                <w:lang w:eastAsia="en-US"/>
              </w:rPr>
              <w:t xml:space="preserve">slumps </w:t>
            </w:r>
            <w:r w:rsidRPr="008D27D2">
              <w:rPr>
                <w:lang w:eastAsia="en-US"/>
              </w:rPr>
              <w:t xml:space="preserve">were followed by a slight decline </w:t>
            </w:r>
            <w:r>
              <w:rPr>
                <w:lang w:eastAsia="en-US"/>
              </w:rPr>
              <w:t>of</w:t>
            </w:r>
            <w:r w:rsidRPr="008D27D2">
              <w:rPr>
                <w:lang w:eastAsia="en-US"/>
              </w:rPr>
              <w:t xml:space="preserve"> food products.</w:t>
            </w:r>
            <w:r w:rsidRPr="00B131B0">
              <w:rPr>
                <w:lang w:eastAsia="en-US"/>
              </w:rPr>
              <w:t xml:space="preserve"> </w:t>
            </w:r>
          </w:p>
        </w:tc>
      </w:tr>
      <w:tr w:rsidR="00655088" w:rsidRPr="00B131B0" w14:paraId="3DCF1742" w14:textId="77777777" w:rsidTr="003C4A79">
        <w:trPr>
          <w:trHeight w:val="145"/>
        </w:trPr>
        <w:tc>
          <w:tcPr>
            <w:tcW w:w="1812" w:type="dxa"/>
            <w:hideMark/>
          </w:tcPr>
          <w:p w14:paraId="20164211" w14:textId="28246412" w:rsidR="00655088" w:rsidRPr="00B131B0" w:rsidRDefault="00655088" w:rsidP="00655088">
            <w:pPr>
              <w:pStyle w:val="Marginlie"/>
              <w:rPr>
                <w:spacing w:val="0"/>
                <w:lang w:eastAsia="en-US"/>
              </w:rPr>
            </w:pPr>
            <w:r w:rsidRPr="00C8791B">
              <w:rPr>
                <w:spacing w:val="0"/>
                <w:lang w:eastAsia="en-US"/>
              </w:rPr>
              <w:lastRenderedPageBreak/>
              <w:t>Industrial producer prices</w:t>
            </w:r>
            <w:r>
              <w:rPr>
                <w:spacing w:val="0"/>
                <w:lang w:eastAsia="en-US"/>
              </w:rPr>
              <w:t xml:space="preserve"> have been raised</w:t>
            </w:r>
            <w:r w:rsidRPr="00C8791B">
              <w:rPr>
                <w:spacing w:val="0"/>
                <w:lang w:eastAsia="en-US"/>
              </w:rPr>
              <w:t xml:space="preserve"> in the EU</w:t>
            </w:r>
            <w:r>
              <w:rPr>
                <w:spacing w:val="0"/>
                <w:lang w:eastAsia="en-US"/>
              </w:rPr>
              <w:t xml:space="preserve">. </w:t>
            </w:r>
            <w:r w:rsidRPr="00B131B0">
              <w:rPr>
                <w:spacing w:val="0"/>
                <w:lang w:eastAsia="en-US"/>
              </w:rPr>
              <w:t xml:space="preserve"> </w:t>
            </w:r>
          </w:p>
        </w:tc>
        <w:tc>
          <w:tcPr>
            <w:tcW w:w="213" w:type="dxa"/>
          </w:tcPr>
          <w:p w14:paraId="10F152D5" w14:textId="77777777" w:rsidR="00655088" w:rsidRPr="00B131B0" w:rsidRDefault="00655088" w:rsidP="00655088">
            <w:pPr>
              <w:pStyle w:val="Textpoznpodarou1"/>
              <w:jc w:val="both"/>
              <w:rPr>
                <w:lang w:eastAsia="en-US"/>
              </w:rPr>
            </w:pPr>
          </w:p>
        </w:tc>
        <w:tc>
          <w:tcPr>
            <w:tcW w:w="7629" w:type="dxa"/>
            <w:hideMark/>
          </w:tcPr>
          <w:p w14:paraId="150361E4" w14:textId="7FA462E3" w:rsidR="00655088" w:rsidRPr="00B131B0" w:rsidRDefault="00655088" w:rsidP="00655088">
            <w:pPr>
              <w:rPr>
                <w:lang w:eastAsia="en-US"/>
              </w:rPr>
            </w:pPr>
            <w:r w:rsidRPr="00426A0A">
              <w:rPr>
                <w:lang w:eastAsia="en-US"/>
              </w:rPr>
              <w:t>Industrial producer prices in the EU</w:t>
            </w:r>
            <w:r w:rsidRPr="00B131B0">
              <w:rPr>
                <w:rStyle w:val="Znakapoznpodarou"/>
                <w:lang w:eastAsia="en-US"/>
              </w:rPr>
              <w:footnoteReference w:id="5"/>
            </w:r>
            <w:r w:rsidRPr="00426A0A">
              <w:rPr>
                <w:lang w:eastAsia="en-US"/>
              </w:rPr>
              <w:t xml:space="preserve"> rose by 2.7%</w:t>
            </w:r>
            <w:r>
              <w:rPr>
                <w:lang w:eastAsia="en-US"/>
              </w:rPr>
              <w:t>,</w:t>
            </w:r>
            <w:r w:rsidRPr="00426A0A">
              <w:rPr>
                <w:lang w:eastAsia="en-US"/>
              </w:rPr>
              <w:t xml:space="preserve"> quarter-on-quarter</w:t>
            </w:r>
            <w:r>
              <w:rPr>
                <w:lang w:eastAsia="en-US"/>
              </w:rPr>
              <w:t>,</w:t>
            </w:r>
            <w:r w:rsidRPr="00426A0A">
              <w:rPr>
                <w:lang w:eastAsia="en-US"/>
              </w:rPr>
              <w:t xml:space="preserve"> and by 5.1%</w:t>
            </w:r>
            <w:r>
              <w:rPr>
                <w:lang w:eastAsia="en-US"/>
              </w:rPr>
              <w:t>,</w:t>
            </w:r>
            <w:r w:rsidRPr="00426A0A">
              <w:rPr>
                <w:lang w:eastAsia="en-US"/>
              </w:rPr>
              <w:t xml:space="preserve"> year-on-year</w:t>
            </w:r>
            <w:r>
              <w:rPr>
                <w:lang w:eastAsia="en-US"/>
              </w:rPr>
              <w:t>,</w:t>
            </w:r>
            <w:r w:rsidRPr="00426A0A">
              <w:rPr>
                <w:lang w:eastAsia="en-US"/>
              </w:rPr>
              <w:t xml:space="preserve"> in Q2. The increase strengthened significantly compared to the previous quarter, which was already affected by the crisis in the Middle East and the related increase </w:t>
            </w:r>
            <w:r>
              <w:rPr>
                <w:lang w:eastAsia="en-US"/>
              </w:rPr>
              <w:t>of crude</w:t>
            </w:r>
            <w:r w:rsidRPr="00426A0A">
              <w:rPr>
                <w:lang w:eastAsia="en-US"/>
              </w:rPr>
              <w:t xml:space="preserve"> oil and gas prices. Growth </w:t>
            </w:r>
            <w:r>
              <w:rPr>
                <w:lang w:eastAsia="en-US"/>
              </w:rPr>
              <w:t>of</w:t>
            </w:r>
            <w:r w:rsidRPr="00426A0A">
              <w:rPr>
                <w:lang w:eastAsia="en-US"/>
              </w:rPr>
              <w:t xml:space="preserve"> the prices of mining and quarrying (5.4%</w:t>
            </w:r>
            <w:r>
              <w:rPr>
                <w:lang w:eastAsia="en-US"/>
              </w:rPr>
              <w:t>,</w:t>
            </w:r>
            <w:r w:rsidRPr="00426A0A">
              <w:rPr>
                <w:lang w:eastAsia="en-US"/>
              </w:rPr>
              <w:t xml:space="preserve"> quarter-on-quarter</w:t>
            </w:r>
            <w:r>
              <w:rPr>
                <w:lang w:eastAsia="en-US"/>
              </w:rPr>
              <w:t>,</w:t>
            </w:r>
            <w:r w:rsidRPr="00426A0A">
              <w:rPr>
                <w:lang w:eastAsia="en-US"/>
              </w:rPr>
              <w:t xml:space="preserve"> and 8.0%</w:t>
            </w:r>
            <w:r>
              <w:rPr>
                <w:lang w:eastAsia="en-US"/>
              </w:rPr>
              <w:t>, year-on-year</w:t>
            </w:r>
            <w:r w:rsidRPr="00426A0A">
              <w:rPr>
                <w:lang w:eastAsia="en-US"/>
              </w:rPr>
              <w:t>) and manufacturing products and services (3.8%</w:t>
            </w:r>
            <w:r>
              <w:rPr>
                <w:lang w:eastAsia="en-US"/>
              </w:rPr>
              <w:t>,</w:t>
            </w:r>
            <w:r w:rsidRPr="00426A0A">
              <w:rPr>
                <w:lang w:eastAsia="en-US"/>
              </w:rPr>
              <w:t xml:space="preserve"> quarter-on-quarter and 5.5%</w:t>
            </w:r>
            <w:r>
              <w:rPr>
                <w:lang w:eastAsia="en-US"/>
              </w:rPr>
              <w:t>, year-on-year</w:t>
            </w:r>
            <w:r w:rsidRPr="00426A0A">
              <w:rPr>
                <w:lang w:eastAsia="en-US"/>
              </w:rPr>
              <w:t xml:space="preserve">) strengthened. In addition to the increase </w:t>
            </w:r>
            <w:r>
              <w:rPr>
                <w:lang w:eastAsia="en-US"/>
              </w:rPr>
              <w:t>of crude</w:t>
            </w:r>
            <w:r w:rsidRPr="00426A0A">
              <w:rPr>
                <w:lang w:eastAsia="en-US"/>
              </w:rPr>
              <w:t xml:space="preserve"> oil prices and the closely related production of coke and refined petroleum products, the cost shock was also reflected in quarter-on-quarter increases </w:t>
            </w:r>
            <w:r>
              <w:rPr>
                <w:lang w:eastAsia="en-US"/>
              </w:rPr>
              <w:t>of</w:t>
            </w:r>
            <w:r w:rsidRPr="00426A0A">
              <w:rPr>
                <w:lang w:eastAsia="en-US"/>
              </w:rPr>
              <w:t xml:space="preserve"> prices of chemical</w:t>
            </w:r>
            <w:r>
              <w:rPr>
                <w:lang w:eastAsia="en-US"/>
              </w:rPr>
              <w:t xml:space="preserve"> substances </w:t>
            </w:r>
            <w:r w:rsidRPr="00426A0A">
              <w:rPr>
                <w:lang w:eastAsia="en-US"/>
              </w:rPr>
              <w:t>and products, as well as in the manufactur</w:t>
            </w:r>
            <w:r>
              <w:rPr>
                <w:lang w:eastAsia="en-US"/>
              </w:rPr>
              <w:t>ing</w:t>
            </w:r>
            <w:r w:rsidRPr="00426A0A">
              <w:rPr>
                <w:lang w:eastAsia="en-US"/>
              </w:rPr>
              <w:t xml:space="preserve"> of rubber and plastic products. On the </w:t>
            </w:r>
            <w:r>
              <w:rPr>
                <w:lang w:eastAsia="en-US"/>
              </w:rPr>
              <w:t>contrary</w:t>
            </w:r>
            <w:r w:rsidRPr="00426A0A">
              <w:rPr>
                <w:lang w:eastAsia="en-US"/>
              </w:rPr>
              <w:t>, prices of electricity, gas, steam and air-condition</w:t>
            </w:r>
            <w:r>
              <w:rPr>
                <w:lang w:eastAsia="en-US"/>
              </w:rPr>
              <w:t xml:space="preserve">ing </w:t>
            </w:r>
            <w:r w:rsidRPr="00426A0A">
              <w:rPr>
                <w:lang w:eastAsia="en-US"/>
              </w:rPr>
              <w:t>decreased by 1.6%, quarter-on-quarter, and were higher by 4.1%, y</w:t>
            </w:r>
            <w:r>
              <w:rPr>
                <w:lang w:eastAsia="en-US"/>
              </w:rPr>
              <w:t>ear-on-year</w:t>
            </w:r>
            <w:r w:rsidRPr="00426A0A">
              <w:rPr>
                <w:lang w:eastAsia="en-US"/>
              </w:rPr>
              <w:t>. In most EU countries, industrial producer prices increased</w:t>
            </w:r>
            <w:r>
              <w:rPr>
                <w:lang w:eastAsia="en-US"/>
              </w:rPr>
              <w:t>,</w:t>
            </w:r>
            <w:r w:rsidRPr="00426A0A">
              <w:rPr>
                <w:lang w:eastAsia="en-US"/>
              </w:rPr>
              <w:t xml:space="preserve"> quarter-on-quarter</w:t>
            </w:r>
            <w:r>
              <w:rPr>
                <w:lang w:eastAsia="en-US"/>
              </w:rPr>
              <w:t>,</w:t>
            </w:r>
            <w:r w:rsidRPr="00426A0A">
              <w:rPr>
                <w:lang w:eastAsia="en-US"/>
              </w:rPr>
              <w:t xml:space="preserve"> in Q2. The exceptions were Estonia, Latvia, France, Bulgaria, Sweden, Finland and Luxembourg. The Czech Republic was slightly below the EU average with an increase of 2.2%.</w:t>
            </w:r>
            <w:r>
              <w:rPr>
                <w:lang w:eastAsia="en-US"/>
              </w:rPr>
              <w:t xml:space="preserve"> </w:t>
            </w:r>
            <w:r w:rsidRPr="00B131B0">
              <w:rPr>
                <w:lang w:eastAsia="en-US"/>
              </w:rPr>
              <w:t xml:space="preserve">    </w:t>
            </w:r>
          </w:p>
        </w:tc>
      </w:tr>
      <w:tr w:rsidR="00655088" w:rsidRPr="00B131B0" w14:paraId="65388D73" w14:textId="77777777" w:rsidTr="003C4A79">
        <w:trPr>
          <w:trHeight w:val="145"/>
        </w:trPr>
        <w:tc>
          <w:tcPr>
            <w:tcW w:w="1812" w:type="dxa"/>
            <w:hideMark/>
          </w:tcPr>
          <w:p w14:paraId="4CBC17FE" w14:textId="0F823D7D" w:rsidR="00655088" w:rsidRPr="00B131B0" w:rsidRDefault="00655088" w:rsidP="00655088">
            <w:pPr>
              <w:pStyle w:val="Marginlie"/>
              <w:rPr>
                <w:spacing w:val="0"/>
                <w:lang w:eastAsia="en-US"/>
              </w:rPr>
            </w:pPr>
            <w:r w:rsidRPr="00A12E08">
              <w:rPr>
                <w:spacing w:val="0"/>
                <w:lang w:eastAsia="en-US"/>
              </w:rPr>
              <w:t xml:space="preserve">The growth </w:t>
            </w:r>
            <w:r>
              <w:rPr>
                <w:spacing w:val="0"/>
                <w:lang w:eastAsia="en-US"/>
              </w:rPr>
              <w:t>of</w:t>
            </w:r>
            <w:r w:rsidRPr="00A12E08">
              <w:rPr>
                <w:spacing w:val="0"/>
                <w:lang w:eastAsia="en-US"/>
              </w:rPr>
              <w:t xml:space="preserve"> the prices of material inputs to the construction industry accelerated.</w:t>
            </w:r>
          </w:p>
        </w:tc>
        <w:tc>
          <w:tcPr>
            <w:tcW w:w="213" w:type="dxa"/>
          </w:tcPr>
          <w:p w14:paraId="66F13D05" w14:textId="77777777" w:rsidR="00655088" w:rsidRPr="00B131B0" w:rsidRDefault="00655088" w:rsidP="00655088">
            <w:pPr>
              <w:pStyle w:val="Textpoznpodarou1"/>
              <w:jc w:val="both"/>
              <w:rPr>
                <w:lang w:eastAsia="en-US"/>
              </w:rPr>
            </w:pPr>
          </w:p>
        </w:tc>
        <w:tc>
          <w:tcPr>
            <w:tcW w:w="7629" w:type="dxa"/>
            <w:hideMark/>
          </w:tcPr>
          <w:p w14:paraId="4FBEC92C" w14:textId="25036C8B" w:rsidR="00655088" w:rsidRPr="00B131B0" w:rsidRDefault="00655088" w:rsidP="00655088">
            <w:pPr>
              <w:rPr>
                <w:lang w:eastAsia="en-US"/>
              </w:rPr>
            </w:pPr>
            <w:r w:rsidRPr="009E03A3">
              <w:rPr>
                <w:lang w:eastAsia="en-US"/>
              </w:rPr>
              <w:t xml:space="preserve">The </w:t>
            </w:r>
            <w:r>
              <w:rPr>
                <w:lang w:eastAsia="en-US"/>
              </w:rPr>
              <w:t xml:space="preserve">raised </w:t>
            </w:r>
            <w:r w:rsidRPr="009E03A3">
              <w:rPr>
                <w:lang w:eastAsia="en-US"/>
              </w:rPr>
              <w:t xml:space="preserve">prices of some </w:t>
            </w:r>
            <w:r>
              <w:rPr>
                <w:lang w:eastAsia="en-US"/>
              </w:rPr>
              <w:t xml:space="preserve">building </w:t>
            </w:r>
            <w:r w:rsidRPr="009E03A3">
              <w:rPr>
                <w:lang w:eastAsia="en-US"/>
              </w:rPr>
              <w:t xml:space="preserve">materials related to the crisis in the Middle East was reflected in a significant acceleration in the quarter-on-quarter increase </w:t>
            </w:r>
            <w:r>
              <w:rPr>
                <w:lang w:eastAsia="en-US"/>
              </w:rPr>
              <w:t>of</w:t>
            </w:r>
            <w:r w:rsidRPr="009E03A3">
              <w:rPr>
                <w:lang w:eastAsia="en-US"/>
              </w:rPr>
              <w:t xml:space="preserve"> prices of materials and products consumed in construction, which was estimated to have reached 4.2% in Q2. The year-on-year increase then </w:t>
            </w:r>
            <w:r>
              <w:rPr>
                <w:lang w:eastAsia="en-US"/>
              </w:rPr>
              <w:t xml:space="preserve">rose </w:t>
            </w:r>
            <w:r w:rsidRPr="009E03A3">
              <w:rPr>
                <w:lang w:eastAsia="en-US"/>
              </w:rPr>
              <w:t>to 5.9%. On the other hand, the dynamics of construction prices remained quite stable – according to estimates, prices were 1.0% higher in Q2 than in Q1 and increased by 3.6%</w:t>
            </w:r>
            <w:r>
              <w:rPr>
                <w:lang w:eastAsia="en-US"/>
              </w:rPr>
              <w:t>,</w:t>
            </w:r>
            <w:r w:rsidRPr="009E03A3">
              <w:rPr>
                <w:lang w:eastAsia="en-US"/>
              </w:rPr>
              <w:t xml:space="preserve"> year-on-year.</w:t>
            </w:r>
            <w:r>
              <w:rPr>
                <w:lang w:eastAsia="en-US"/>
              </w:rPr>
              <w:t xml:space="preserve"> </w:t>
            </w:r>
          </w:p>
        </w:tc>
      </w:tr>
      <w:tr w:rsidR="00655088" w:rsidRPr="00B131B0" w14:paraId="58DA4765" w14:textId="77777777" w:rsidTr="003C4A79">
        <w:trPr>
          <w:trHeight w:val="145"/>
        </w:trPr>
        <w:tc>
          <w:tcPr>
            <w:tcW w:w="1812" w:type="dxa"/>
            <w:hideMark/>
          </w:tcPr>
          <w:p w14:paraId="45976745" w14:textId="225B9457" w:rsidR="00655088" w:rsidRPr="00B131B0" w:rsidRDefault="00655088" w:rsidP="00655088">
            <w:pPr>
              <w:pStyle w:val="Marginlie"/>
              <w:rPr>
                <w:spacing w:val="0"/>
                <w:lang w:eastAsia="en-US"/>
              </w:rPr>
            </w:pPr>
            <w:r w:rsidRPr="00352E3D">
              <w:rPr>
                <w:spacing w:val="0"/>
                <w:lang w:eastAsia="en-US"/>
              </w:rPr>
              <w:t xml:space="preserve">Advertising services had a significant impact on the </w:t>
            </w:r>
            <w:r>
              <w:rPr>
                <w:spacing w:val="0"/>
                <w:lang w:eastAsia="en-US"/>
              </w:rPr>
              <w:t xml:space="preserve">total </w:t>
            </w:r>
            <w:r w:rsidRPr="00352E3D">
              <w:rPr>
                <w:spacing w:val="0"/>
                <w:lang w:eastAsia="en-US"/>
              </w:rPr>
              <w:t>growth of market services</w:t>
            </w:r>
            <w:r>
              <w:rPr>
                <w:spacing w:val="0"/>
                <w:lang w:eastAsia="en-US"/>
              </w:rPr>
              <w:t xml:space="preserve"> prices</w:t>
            </w:r>
            <w:r w:rsidRPr="00352E3D">
              <w:rPr>
                <w:spacing w:val="0"/>
                <w:lang w:eastAsia="en-US"/>
              </w:rPr>
              <w:t>.</w:t>
            </w:r>
          </w:p>
        </w:tc>
        <w:tc>
          <w:tcPr>
            <w:tcW w:w="213" w:type="dxa"/>
          </w:tcPr>
          <w:p w14:paraId="5C618A85" w14:textId="77777777" w:rsidR="00655088" w:rsidRPr="00B131B0" w:rsidRDefault="00655088" w:rsidP="00655088">
            <w:pPr>
              <w:pStyle w:val="Textpoznpodarou1"/>
              <w:jc w:val="both"/>
              <w:rPr>
                <w:lang w:eastAsia="en-US"/>
              </w:rPr>
            </w:pPr>
          </w:p>
        </w:tc>
        <w:tc>
          <w:tcPr>
            <w:tcW w:w="7629" w:type="dxa"/>
            <w:hideMark/>
          </w:tcPr>
          <w:p w14:paraId="250C02F5" w14:textId="46A9B3ED" w:rsidR="00655088" w:rsidRPr="00B131B0" w:rsidRDefault="00655088" w:rsidP="00655088">
            <w:pPr>
              <w:rPr>
                <w:lang w:eastAsia="en-US"/>
              </w:rPr>
            </w:pPr>
            <w:r w:rsidRPr="00981ED4">
              <w:rPr>
                <w:lang w:eastAsia="en-US"/>
              </w:rPr>
              <w:t xml:space="preserve">Despite a relatively strong quarter-on-quarter increase of 1.9%, the year-on-year increase </w:t>
            </w:r>
            <w:r>
              <w:rPr>
                <w:lang w:eastAsia="en-US"/>
              </w:rPr>
              <w:t>of</w:t>
            </w:r>
            <w:r w:rsidRPr="00981ED4">
              <w:rPr>
                <w:lang w:eastAsia="en-US"/>
              </w:rPr>
              <w:t xml:space="preserve"> prices of market services weakened again to 3.1%. The significant quarter-on-quarter increase </w:t>
            </w:r>
            <w:r>
              <w:rPr>
                <w:lang w:eastAsia="en-US"/>
              </w:rPr>
              <w:t>of</w:t>
            </w:r>
            <w:r w:rsidRPr="00981ED4">
              <w:rPr>
                <w:lang w:eastAsia="en-US"/>
              </w:rPr>
              <w:t xml:space="preserve"> prices was mainly influenced by a sharp </w:t>
            </w:r>
            <w:r>
              <w:rPr>
                <w:lang w:eastAsia="en-US"/>
              </w:rPr>
              <w:t>jump of</w:t>
            </w:r>
            <w:r w:rsidRPr="00981ED4">
              <w:rPr>
                <w:lang w:eastAsia="en-US"/>
              </w:rPr>
              <w:t xml:space="preserve"> prices of advertising services and market research (17.7%). Year-on-year price dynamics weakened for a large part of services, while the transition from growth to decline in architectural and engineering </w:t>
            </w:r>
            <w:r>
              <w:rPr>
                <w:lang w:eastAsia="en-US"/>
              </w:rPr>
              <w:t>activities</w:t>
            </w:r>
            <w:r w:rsidRPr="00981ED4">
              <w:rPr>
                <w:lang w:eastAsia="en-US"/>
              </w:rPr>
              <w:t xml:space="preserve">, technical tests and analyses (−2.2%) had the greatest impact on the </w:t>
            </w:r>
            <w:r>
              <w:rPr>
                <w:lang w:eastAsia="en-US"/>
              </w:rPr>
              <w:t>total</w:t>
            </w:r>
            <w:r w:rsidRPr="00981ED4">
              <w:rPr>
                <w:lang w:eastAsia="en-US"/>
              </w:rPr>
              <w:t xml:space="preserve"> index. A slowdown in advertising services and market research (15.7%), prices of warehousing and support </w:t>
            </w:r>
            <w:r>
              <w:rPr>
                <w:lang w:eastAsia="en-US"/>
              </w:rPr>
              <w:t xml:space="preserve">activities for </w:t>
            </w:r>
            <w:r w:rsidRPr="00981ED4">
              <w:rPr>
                <w:lang w:eastAsia="en-US"/>
              </w:rPr>
              <w:t>transport</w:t>
            </w:r>
            <w:r>
              <w:rPr>
                <w:lang w:eastAsia="en-US"/>
              </w:rPr>
              <w:t>ation</w:t>
            </w:r>
            <w:r w:rsidRPr="00981ED4">
              <w:rPr>
                <w:lang w:eastAsia="en-US"/>
              </w:rPr>
              <w:t xml:space="preserve"> (1.3%), </w:t>
            </w:r>
            <w:r>
              <w:rPr>
                <w:lang w:eastAsia="en-US"/>
              </w:rPr>
              <w:t xml:space="preserve">computer </w:t>
            </w:r>
            <w:r w:rsidRPr="00981ED4">
              <w:rPr>
                <w:lang w:eastAsia="en-US"/>
              </w:rPr>
              <w:t>programming</w:t>
            </w:r>
            <w:r>
              <w:rPr>
                <w:lang w:eastAsia="en-US"/>
              </w:rPr>
              <w:t xml:space="preserve">, </w:t>
            </w:r>
            <w:r w:rsidRPr="00981ED4">
              <w:rPr>
                <w:lang w:eastAsia="en-US"/>
              </w:rPr>
              <w:t>consultancy</w:t>
            </w:r>
            <w:r>
              <w:rPr>
                <w:lang w:eastAsia="en-US"/>
              </w:rPr>
              <w:t xml:space="preserve"> and related</w:t>
            </w:r>
            <w:r w:rsidRPr="00981ED4">
              <w:rPr>
                <w:lang w:eastAsia="en-US"/>
              </w:rPr>
              <w:t xml:space="preserve"> </w:t>
            </w:r>
            <w:r>
              <w:rPr>
                <w:lang w:eastAsia="en-US"/>
              </w:rPr>
              <w:t xml:space="preserve">activities </w:t>
            </w:r>
            <w:r w:rsidRPr="00981ED4">
              <w:rPr>
                <w:lang w:eastAsia="en-US"/>
              </w:rPr>
              <w:t xml:space="preserve">(2.5%) and </w:t>
            </w:r>
            <w:r>
              <w:rPr>
                <w:lang w:eastAsia="en-US"/>
              </w:rPr>
              <w:t xml:space="preserve">programming and broadcasting activities </w:t>
            </w:r>
            <w:r w:rsidRPr="00981ED4">
              <w:rPr>
                <w:lang w:eastAsia="en-US"/>
              </w:rPr>
              <w:t xml:space="preserve">(7.5%) also had an impact. On the </w:t>
            </w:r>
            <w:r>
              <w:rPr>
                <w:lang w:eastAsia="en-US"/>
              </w:rPr>
              <w:t>contrary</w:t>
            </w:r>
            <w:r w:rsidRPr="00981ED4">
              <w:rPr>
                <w:lang w:eastAsia="en-US"/>
              </w:rPr>
              <w:t xml:space="preserve">, prices of land and pipeline transport (1.6%) and telecommunications services (2.1%) acted in the direction of accelerating the year-on-year growth </w:t>
            </w:r>
            <w:r>
              <w:rPr>
                <w:lang w:eastAsia="en-US"/>
              </w:rPr>
              <w:t>of market services</w:t>
            </w:r>
            <w:r w:rsidRPr="00981ED4">
              <w:rPr>
                <w:lang w:eastAsia="en-US"/>
              </w:rPr>
              <w:t xml:space="preserve"> prices</w:t>
            </w:r>
            <w:r>
              <w:rPr>
                <w:lang w:eastAsia="en-US"/>
              </w:rPr>
              <w:t xml:space="preserve"> in Q</w:t>
            </w:r>
            <w:r w:rsidRPr="00981ED4">
              <w:rPr>
                <w:lang w:eastAsia="en-US"/>
              </w:rPr>
              <w:t xml:space="preserve">2. In addition to the above, prices of </w:t>
            </w:r>
            <w:r>
              <w:rPr>
                <w:lang w:eastAsia="en-US"/>
              </w:rPr>
              <w:t xml:space="preserve">employment activities </w:t>
            </w:r>
            <w:r w:rsidRPr="00981ED4">
              <w:rPr>
                <w:lang w:eastAsia="en-US"/>
              </w:rPr>
              <w:t xml:space="preserve">(8.3%), security and </w:t>
            </w:r>
            <w:r>
              <w:rPr>
                <w:lang w:eastAsia="en-US"/>
              </w:rPr>
              <w:lastRenderedPageBreak/>
              <w:t xml:space="preserve">investigation activities </w:t>
            </w:r>
            <w:r w:rsidRPr="00981ED4">
              <w:rPr>
                <w:lang w:eastAsia="en-US"/>
              </w:rPr>
              <w:t>(6.2%) and information services (5.3%) also increased strongly</w:t>
            </w:r>
            <w:r>
              <w:rPr>
                <w:lang w:eastAsia="en-US"/>
              </w:rPr>
              <w:t>,</w:t>
            </w:r>
            <w:r w:rsidRPr="00981ED4">
              <w:rPr>
                <w:lang w:eastAsia="en-US"/>
              </w:rPr>
              <w:t xml:space="preserve"> year-on-year.</w:t>
            </w:r>
            <w:r w:rsidRPr="00B131B0">
              <w:rPr>
                <w:lang w:eastAsia="en-US"/>
              </w:rPr>
              <w:t xml:space="preserve"> </w:t>
            </w:r>
          </w:p>
        </w:tc>
      </w:tr>
      <w:tr w:rsidR="00655088" w:rsidRPr="00B131B0" w14:paraId="00FBC180" w14:textId="77777777" w:rsidTr="003C4A79">
        <w:trPr>
          <w:trHeight w:val="170"/>
        </w:trPr>
        <w:tc>
          <w:tcPr>
            <w:tcW w:w="9654" w:type="dxa"/>
            <w:gridSpan w:val="3"/>
          </w:tcPr>
          <w:p w14:paraId="48F1D817" w14:textId="62E38041" w:rsidR="00655088" w:rsidRPr="00B131B0" w:rsidRDefault="00655088" w:rsidP="00655088">
            <w:pPr>
              <w:spacing w:after="0"/>
              <w:rPr>
                <w:lang w:eastAsia="en-US"/>
              </w:rPr>
            </w:pPr>
            <w:r w:rsidRPr="00B131B0">
              <w:rPr>
                <w:b/>
                <w:bCs/>
                <w:lang w:eastAsia="en-US"/>
              </w:rPr>
              <w:lastRenderedPageBreak/>
              <w:t>Tab</w:t>
            </w:r>
            <w:r>
              <w:rPr>
                <w:b/>
                <w:bCs/>
                <w:lang w:eastAsia="en-US"/>
              </w:rPr>
              <w:t xml:space="preserve">le </w:t>
            </w:r>
            <w:r w:rsidRPr="00B131B0">
              <w:rPr>
                <w:b/>
                <w:bCs/>
                <w:lang w:eastAsia="en-US"/>
              </w:rPr>
              <w:t xml:space="preserve">11 </w:t>
            </w:r>
            <w:r>
              <w:rPr>
                <w:b/>
                <w:bCs/>
                <w:lang w:eastAsia="en-US"/>
              </w:rPr>
              <w:t xml:space="preserve">Development of agricultural producer prices </w:t>
            </w:r>
            <w:r w:rsidRPr="00B131B0">
              <w:rPr>
                <w:b/>
                <w:bCs/>
                <w:lang w:eastAsia="en-US"/>
              </w:rPr>
              <w:t>(</w:t>
            </w:r>
            <w:r>
              <w:rPr>
                <w:b/>
                <w:bCs/>
                <w:lang w:eastAsia="en-US"/>
              </w:rPr>
              <w:t xml:space="preserve">year-on-year in </w:t>
            </w:r>
            <w:r w:rsidRPr="00B131B0">
              <w:rPr>
                <w:b/>
                <w:bCs/>
                <w:lang w:eastAsia="en-US"/>
              </w:rPr>
              <w:t>%)</w:t>
            </w:r>
          </w:p>
        </w:tc>
      </w:tr>
      <w:tr w:rsidR="00655088" w:rsidRPr="00B131B0" w14:paraId="7764C293" w14:textId="77777777" w:rsidTr="003C4A79">
        <w:trPr>
          <w:trHeight w:val="170"/>
        </w:trPr>
        <w:tc>
          <w:tcPr>
            <w:tcW w:w="9654" w:type="dxa"/>
            <w:gridSpan w:val="3"/>
          </w:tcPr>
          <w:tbl>
            <w:tblPr>
              <w:tblW w:w="9480" w:type="dxa"/>
              <w:tblLayout w:type="fixed"/>
              <w:tblCellMar>
                <w:left w:w="70" w:type="dxa"/>
                <w:right w:w="70" w:type="dxa"/>
              </w:tblCellMar>
              <w:tblLook w:val="04A0" w:firstRow="1" w:lastRow="0" w:firstColumn="1" w:lastColumn="0" w:noHBand="0" w:noVBand="1"/>
            </w:tblPr>
            <w:tblGrid>
              <w:gridCol w:w="3880"/>
              <w:gridCol w:w="700"/>
              <w:gridCol w:w="700"/>
              <w:gridCol w:w="700"/>
              <w:gridCol w:w="700"/>
              <w:gridCol w:w="700"/>
              <w:gridCol w:w="700"/>
              <w:gridCol w:w="700"/>
              <w:gridCol w:w="700"/>
            </w:tblGrid>
            <w:tr w:rsidR="00655088" w:rsidRPr="00B131B0" w14:paraId="70352FEE" w14:textId="77777777" w:rsidTr="003C4A79">
              <w:trPr>
                <w:trHeight w:val="255"/>
              </w:trPr>
              <w:tc>
                <w:tcPr>
                  <w:tcW w:w="3880" w:type="dxa"/>
                  <w:tcBorders>
                    <w:top w:val="nil"/>
                    <w:left w:val="nil"/>
                    <w:bottom w:val="nil"/>
                    <w:right w:val="nil"/>
                  </w:tcBorders>
                  <w:noWrap/>
                  <w:vAlign w:val="bottom"/>
                  <w:hideMark/>
                </w:tcPr>
                <w:p w14:paraId="553B087E" w14:textId="77777777" w:rsidR="00655088" w:rsidRPr="00B131B0" w:rsidRDefault="00655088" w:rsidP="00655088">
                  <w:pPr>
                    <w:spacing w:after="0" w:line="240" w:lineRule="auto"/>
                    <w:jc w:val="left"/>
                    <w:rPr>
                      <w:rFonts w:ascii="Times New Roman" w:hAnsi="Times New Roman"/>
                      <w:sz w:val="24"/>
                      <w:szCs w:val="20"/>
                      <w:lang w:eastAsia="ko-KR"/>
                    </w:rPr>
                  </w:pPr>
                </w:p>
              </w:tc>
              <w:tc>
                <w:tcPr>
                  <w:tcW w:w="1400" w:type="dxa"/>
                  <w:gridSpan w:val="2"/>
                  <w:tcBorders>
                    <w:top w:val="nil"/>
                    <w:left w:val="nil"/>
                    <w:bottom w:val="nil"/>
                    <w:right w:val="nil"/>
                  </w:tcBorders>
                  <w:noWrap/>
                  <w:vAlign w:val="bottom"/>
                  <w:hideMark/>
                </w:tcPr>
                <w:p w14:paraId="54C19E11" w14:textId="77777777" w:rsidR="00655088" w:rsidRPr="00B131B0" w:rsidRDefault="00655088" w:rsidP="00655088">
                  <w:pPr>
                    <w:spacing w:after="0" w:line="240" w:lineRule="auto"/>
                    <w:jc w:val="center"/>
                    <w:rPr>
                      <w:rFonts w:cs="Arial"/>
                      <w:color w:val="000000"/>
                      <w:sz w:val="16"/>
                      <w:szCs w:val="16"/>
                      <w:lang w:eastAsia="ko-KR"/>
                    </w:rPr>
                  </w:pPr>
                  <w:r w:rsidRPr="00B131B0">
                    <w:rPr>
                      <w:rFonts w:cs="Arial"/>
                      <w:color w:val="000000"/>
                      <w:sz w:val="16"/>
                      <w:szCs w:val="16"/>
                      <w:lang w:eastAsia="ko-KR"/>
                    </w:rPr>
                    <w:t>2024</w:t>
                  </w:r>
                </w:p>
              </w:tc>
              <w:tc>
                <w:tcPr>
                  <w:tcW w:w="2800" w:type="dxa"/>
                  <w:gridSpan w:val="4"/>
                  <w:tcBorders>
                    <w:top w:val="nil"/>
                    <w:left w:val="nil"/>
                    <w:bottom w:val="nil"/>
                    <w:right w:val="nil"/>
                  </w:tcBorders>
                  <w:noWrap/>
                  <w:vAlign w:val="bottom"/>
                  <w:hideMark/>
                </w:tcPr>
                <w:p w14:paraId="22D9E4BE" w14:textId="77777777" w:rsidR="00655088" w:rsidRPr="00B131B0" w:rsidRDefault="00655088" w:rsidP="00655088">
                  <w:pPr>
                    <w:spacing w:after="0" w:line="240" w:lineRule="auto"/>
                    <w:jc w:val="center"/>
                    <w:rPr>
                      <w:rFonts w:cs="Arial"/>
                      <w:color w:val="000000"/>
                      <w:sz w:val="16"/>
                      <w:szCs w:val="16"/>
                      <w:lang w:eastAsia="ko-KR"/>
                    </w:rPr>
                  </w:pPr>
                  <w:r w:rsidRPr="00B131B0">
                    <w:rPr>
                      <w:rFonts w:cs="Arial"/>
                      <w:color w:val="000000"/>
                      <w:sz w:val="16"/>
                      <w:szCs w:val="16"/>
                      <w:lang w:eastAsia="ko-KR"/>
                    </w:rPr>
                    <w:t>2025</w:t>
                  </w:r>
                </w:p>
              </w:tc>
              <w:tc>
                <w:tcPr>
                  <w:tcW w:w="1400" w:type="dxa"/>
                  <w:gridSpan w:val="2"/>
                  <w:tcBorders>
                    <w:top w:val="nil"/>
                    <w:left w:val="nil"/>
                    <w:bottom w:val="nil"/>
                    <w:right w:val="nil"/>
                  </w:tcBorders>
                  <w:noWrap/>
                  <w:vAlign w:val="bottom"/>
                  <w:hideMark/>
                </w:tcPr>
                <w:p w14:paraId="1C291C73" w14:textId="77777777" w:rsidR="00655088" w:rsidRPr="00B131B0" w:rsidRDefault="00655088" w:rsidP="00655088">
                  <w:pPr>
                    <w:spacing w:after="0" w:line="240" w:lineRule="auto"/>
                    <w:jc w:val="center"/>
                    <w:rPr>
                      <w:rFonts w:cs="Arial"/>
                      <w:color w:val="000000"/>
                      <w:sz w:val="16"/>
                      <w:szCs w:val="16"/>
                      <w:lang w:eastAsia="ko-KR"/>
                    </w:rPr>
                  </w:pPr>
                  <w:r w:rsidRPr="00B131B0">
                    <w:rPr>
                      <w:rFonts w:cs="Arial"/>
                      <w:color w:val="000000"/>
                      <w:sz w:val="16"/>
                      <w:szCs w:val="16"/>
                      <w:lang w:eastAsia="ko-KR"/>
                    </w:rPr>
                    <w:t>2026</w:t>
                  </w:r>
                </w:p>
              </w:tc>
            </w:tr>
            <w:tr w:rsidR="00655088" w:rsidRPr="00B131B0" w14:paraId="4187A071" w14:textId="77777777" w:rsidTr="003C4A79">
              <w:trPr>
                <w:trHeight w:val="255"/>
              </w:trPr>
              <w:tc>
                <w:tcPr>
                  <w:tcW w:w="3880" w:type="dxa"/>
                  <w:tcBorders>
                    <w:top w:val="nil"/>
                    <w:left w:val="nil"/>
                    <w:bottom w:val="nil"/>
                    <w:right w:val="nil"/>
                  </w:tcBorders>
                  <w:noWrap/>
                  <w:vAlign w:val="bottom"/>
                  <w:hideMark/>
                </w:tcPr>
                <w:p w14:paraId="437CBA97" w14:textId="77777777" w:rsidR="00655088" w:rsidRPr="00B131B0" w:rsidRDefault="00655088" w:rsidP="00655088">
                  <w:pPr>
                    <w:spacing w:after="0" w:line="240" w:lineRule="auto"/>
                    <w:jc w:val="center"/>
                    <w:rPr>
                      <w:rFonts w:cs="Arial"/>
                      <w:color w:val="000000"/>
                      <w:sz w:val="16"/>
                      <w:szCs w:val="16"/>
                      <w:lang w:eastAsia="ko-KR"/>
                    </w:rPr>
                  </w:pPr>
                </w:p>
              </w:tc>
              <w:tc>
                <w:tcPr>
                  <w:tcW w:w="700" w:type="dxa"/>
                  <w:tcBorders>
                    <w:top w:val="nil"/>
                    <w:left w:val="nil"/>
                    <w:bottom w:val="nil"/>
                    <w:right w:val="nil"/>
                  </w:tcBorders>
                  <w:noWrap/>
                  <w:vAlign w:val="bottom"/>
                  <w:hideMark/>
                </w:tcPr>
                <w:p w14:paraId="230F19E2"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Q3</w:t>
                  </w:r>
                </w:p>
              </w:tc>
              <w:tc>
                <w:tcPr>
                  <w:tcW w:w="700" w:type="dxa"/>
                  <w:tcBorders>
                    <w:top w:val="nil"/>
                    <w:left w:val="nil"/>
                    <w:bottom w:val="nil"/>
                    <w:right w:val="nil"/>
                  </w:tcBorders>
                  <w:noWrap/>
                  <w:vAlign w:val="bottom"/>
                  <w:hideMark/>
                </w:tcPr>
                <w:p w14:paraId="1560C394"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Q4</w:t>
                  </w:r>
                </w:p>
              </w:tc>
              <w:tc>
                <w:tcPr>
                  <w:tcW w:w="700" w:type="dxa"/>
                  <w:tcBorders>
                    <w:top w:val="nil"/>
                    <w:left w:val="nil"/>
                    <w:bottom w:val="nil"/>
                    <w:right w:val="nil"/>
                  </w:tcBorders>
                  <w:noWrap/>
                  <w:vAlign w:val="bottom"/>
                  <w:hideMark/>
                </w:tcPr>
                <w:p w14:paraId="3C3BBB64"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Q1</w:t>
                  </w:r>
                </w:p>
              </w:tc>
              <w:tc>
                <w:tcPr>
                  <w:tcW w:w="700" w:type="dxa"/>
                  <w:tcBorders>
                    <w:top w:val="nil"/>
                    <w:left w:val="nil"/>
                    <w:bottom w:val="nil"/>
                    <w:right w:val="nil"/>
                  </w:tcBorders>
                  <w:noWrap/>
                  <w:vAlign w:val="bottom"/>
                  <w:hideMark/>
                </w:tcPr>
                <w:p w14:paraId="5A90AEC3"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Q2</w:t>
                  </w:r>
                </w:p>
              </w:tc>
              <w:tc>
                <w:tcPr>
                  <w:tcW w:w="700" w:type="dxa"/>
                  <w:tcBorders>
                    <w:top w:val="nil"/>
                    <w:left w:val="nil"/>
                    <w:bottom w:val="nil"/>
                    <w:right w:val="nil"/>
                  </w:tcBorders>
                  <w:noWrap/>
                  <w:vAlign w:val="bottom"/>
                  <w:hideMark/>
                </w:tcPr>
                <w:p w14:paraId="7B8D5AF5"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Q3</w:t>
                  </w:r>
                </w:p>
              </w:tc>
              <w:tc>
                <w:tcPr>
                  <w:tcW w:w="700" w:type="dxa"/>
                  <w:tcBorders>
                    <w:top w:val="nil"/>
                    <w:left w:val="nil"/>
                    <w:bottom w:val="nil"/>
                    <w:right w:val="nil"/>
                  </w:tcBorders>
                  <w:noWrap/>
                  <w:vAlign w:val="bottom"/>
                  <w:hideMark/>
                </w:tcPr>
                <w:p w14:paraId="78E76D53"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Q4</w:t>
                  </w:r>
                </w:p>
              </w:tc>
              <w:tc>
                <w:tcPr>
                  <w:tcW w:w="700" w:type="dxa"/>
                  <w:tcBorders>
                    <w:top w:val="nil"/>
                    <w:left w:val="nil"/>
                    <w:bottom w:val="nil"/>
                    <w:right w:val="nil"/>
                  </w:tcBorders>
                  <w:noWrap/>
                  <w:vAlign w:val="bottom"/>
                  <w:hideMark/>
                </w:tcPr>
                <w:p w14:paraId="615A00F6"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Q1</w:t>
                  </w:r>
                </w:p>
              </w:tc>
              <w:tc>
                <w:tcPr>
                  <w:tcW w:w="700" w:type="dxa"/>
                  <w:tcBorders>
                    <w:top w:val="nil"/>
                    <w:left w:val="nil"/>
                    <w:bottom w:val="nil"/>
                    <w:right w:val="nil"/>
                  </w:tcBorders>
                  <w:noWrap/>
                  <w:vAlign w:val="bottom"/>
                  <w:hideMark/>
                </w:tcPr>
                <w:p w14:paraId="54E3C84A"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Q2</w:t>
                  </w:r>
                </w:p>
              </w:tc>
            </w:tr>
            <w:tr w:rsidR="00655088" w:rsidRPr="00B131B0" w14:paraId="3685DF29" w14:textId="77777777" w:rsidTr="003C4A79">
              <w:trPr>
                <w:trHeight w:val="255"/>
              </w:trPr>
              <w:tc>
                <w:tcPr>
                  <w:tcW w:w="3880" w:type="dxa"/>
                  <w:tcBorders>
                    <w:top w:val="single" w:sz="4" w:space="0" w:color="auto"/>
                    <w:left w:val="nil"/>
                    <w:bottom w:val="nil"/>
                    <w:right w:val="nil"/>
                  </w:tcBorders>
                  <w:vAlign w:val="center"/>
                  <w:hideMark/>
                </w:tcPr>
                <w:p w14:paraId="0B22D590" w14:textId="7699A478"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700" w:type="dxa"/>
                  <w:tcBorders>
                    <w:top w:val="single" w:sz="4" w:space="0" w:color="auto"/>
                    <w:left w:val="nil"/>
                    <w:bottom w:val="nil"/>
                    <w:right w:val="nil"/>
                  </w:tcBorders>
                  <w:noWrap/>
                  <w:vAlign w:val="bottom"/>
                  <w:hideMark/>
                </w:tcPr>
                <w:p w14:paraId="5267A5DE" w14:textId="05F5BD1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single" w:sz="4" w:space="0" w:color="auto"/>
                    <w:left w:val="nil"/>
                    <w:bottom w:val="nil"/>
                    <w:right w:val="nil"/>
                  </w:tcBorders>
                  <w:noWrap/>
                  <w:vAlign w:val="bottom"/>
                  <w:hideMark/>
                </w:tcPr>
                <w:p w14:paraId="6D530419" w14:textId="04B93E7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single" w:sz="4" w:space="0" w:color="auto"/>
                    <w:left w:val="nil"/>
                    <w:bottom w:val="nil"/>
                    <w:right w:val="nil"/>
                  </w:tcBorders>
                  <w:noWrap/>
                  <w:vAlign w:val="bottom"/>
                  <w:hideMark/>
                </w:tcPr>
                <w:p w14:paraId="24D113BE" w14:textId="25F3DFB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single" w:sz="4" w:space="0" w:color="auto"/>
                    <w:left w:val="nil"/>
                    <w:bottom w:val="nil"/>
                    <w:right w:val="nil"/>
                  </w:tcBorders>
                  <w:noWrap/>
                  <w:vAlign w:val="bottom"/>
                  <w:hideMark/>
                </w:tcPr>
                <w:p w14:paraId="03EF1FCB" w14:textId="6C0CDF4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single" w:sz="4" w:space="0" w:color="auto"/>
                    <w:left w:val="nil"/>
                    <w:bottom w:val="nil"/>
                    <w:right w:val="nil"/>
                  </w:tcBorders>
                  <w:noWrap/>
                  <w:vAlign w:val="bottom"/>
                  <w:hideMark/>
                </w:tcPr>
                <w:p w14:paraId="07A351F7" w14:textId="515B8D7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single" w:sz="4" w:space="0" w:color="auto"/>
                    <w:left w:val="nil"/>
                    <w:bottom w:val="nil"/>
                    <w:right w:val="nil"/>
                  </w:tcBorders>
                  <w:noWrap/>
                  <w:vAlign w:val="bottom"/>
                  <w:hideMark/>
                </w:tcPr>
                <w:p w14:paraId="1F8C3272" w14:textId="4EDA0D3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single" w:sz="4" w:space="0" w:color="auto"/>
                    <w:left w:val="nil"/>
                    <w:bottom w:val="nil"/>
                    <w:right w:val="nil"/>
                  </w:tcBorders>
                  <w:noWrap/>
                  <w:vAlign w:val="bottom"/>
                  <w:hideMark/>
                </w:tcPr>
                <w:p w14:paraId="6077FE5A" w14:textId="4B80F8D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single" w:sz="4" w:space="0" w:color="auto"/>
                    <w:left w:val="nil"/>
                    <w:bottom w:val="nil"/>
                    <w:right w:val="nil"/>
                  </w:tcBorders>
                  <w:noWrap/>
                  <w:vAlign w:val="bottom"/>
                  <w:hideMark/>
                </w:tcPr>
                <w:p w14:paraId="7665B2B6" w14:textId="3D46F8C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4</w:t>
                  </w:r>
                </w:p>
              </w:tc>
            </w:tr>
            <w:tr w:rsidR="00655088" w:rsidRPr="00B131B0" w14:paraId="507016E8" w14:textId="77777777" w:rsidTr="003C4A79">
              <w:trPr>
                <w:trHeight w:val="255"/>
              </w:trPr>
              <w:tc>
                <w:tcPr>
                  <w:tcW w:w="3880" w:type="dxa"/>
                  <w:tcBorders>
                    <w:top w:val="nil"/>
                    <w:left w:val="nil"/>
                    <w:bottom w:val="nil"/>
                    <w:right w:val="nil"/>
                  </w:tcBorders>
                  <w:vAlign w:val="center"/>
                  <w:hideMark/>
                </w:tcPr>
                <w:p w14:paraId="48CF093A" w14:textId="4078194C" w:rsidR="00655088" w:rsidRPr="00B131B0" w:rsidRDefault="001842AC" w:rsidP="00655088">
                  <w:pPr>
                    <w:spacing w:after="0" w:line="240" w:lineRule="auto"/>
                    <w:ind w:firstLine="82"/>
                    <w:jc w:val="left"/>
                    <w:rPr>
                      <w:rFonts w:cs="Arial"/>
                      <w:color w:val="000000"/>
                      <w:sz w:val="16"/>
                      <w:szCs w:val="16"/>
                      <w:lang w:eastAsia="ko-KR"/>
                    </w:rPr>
                  </w:pPr>
                  <w:r>
                    <w:rPr>
                      <w:rFonts w:cs="Arial"/>
                      <w:color w:val="000000"/>
                      <w:sz w:val="16"/>
                      <w:szCs w:val="16"/>
                      <w:lang w:eastAsia="ko-KR"/>
                    </w:rPr>
                    <w:t>Crop</w:t>
                  </w:r>
                  <w:r w:rsidR="00655088">
                    <w:rPr>
                      <w:rFonts w:cs="Arial"/>
                      <w:color w:val="000000"/>
                      <w:sz w:val="16"/>
                      <w:szCs w:val="16"/>
                      <w:lang w:eastAsia="ko-KR"/>
                    </w:rPr>
                    <w:t xml:space="preserve"> product</w:t>
                  </w:r>
                  <w:r>
                    <w:rPr>
                      <w:rFonts w:cs="Arial"/>
                      <w:color w:val="000000"/>
                      <w:sz w:val="16"/>
                      <w:szCs w:val="16"/>
                      <w:lang w:eastAsia="ko-KR"/>
                    </w:rPr>
                    <w:t>s</w:t>
                  </w:r>
                </w:p>
              </w:tc>
              <w:tc>
                <w:tcPr>
                  <w:tcW w:w="700" w:type="dxa"/>
                  <w:tcBorders>
                    <w:top w:val="nil"/>
                    <w:left w:val="nil"/>
                    <w:bottom w:val="nil"/>
                    <w:right w:val="nil"/>
                  </w:tcBorders>
                  <w:noWrap/>
                  <w:vAlign w:val="bottom"/>
                  <w:hideMark/>
                </w:tcPr>
                <w:p w14:paraId="49A1CE09" w14:textId="0EBBB3C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5F6A128C" w14:textId="529CB0E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0356788D" w14:textId="7FC1C0B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275B7E15" w14:textId="353394D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7C00C2B1" w14:textId="476A895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443A030D" w14:textId="4E6E627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0093E238" w14:textId="4805C20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−13</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445A1F50" w14:textId="6C27207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29D2D5EC" w14:textId="77777777" w:rsidTr="003C4A79">
              <w:trPr>
                <w:trHeight w:val="255"/>
              </w:trPr>
              <w:tc>
                <w:tcPr>
                  <w:tcW w:w="3880" w:type="dxa"/>
                  <w:tcBorders>
                    <w:top w:val="nil"/>
                    <w:left w:val="nil"/>
                    <w:bottom w:val="nil"/>
                    <w:right w:val="nil"/>
                  </w:tcBorders>
                  <w:vAlign w:val="center"/>
                  <w:hideMark/>
                </w:tcPr>
                <w:p w14:paraId="772B9539" w14:textId="636BF58B"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Cereals</w:t>
                  </w:r>
                </w:p>
              </w:tc>
              <w:tc>
                <w:tcPr>
                  <w:tcW w:w="700" w:type="dxa"/>
                  <w:tcBorders>
                    <w:top w:val="nil"/>
                    <w:left w:val="nil"/>
                    <w:bottom w:val="nil"/>
                    <w:right w:val="nil"/>
                  </w:tcBorders>
                  <w:noWrap/>
                  <w:vAlign w:val="bottom"/>
                  <w:hideMark/>
                </w:tcPr>
                <w:p w14:paraId="5E08AED4" w14:textId="5147326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0E27F66D" w14:textId="73AC23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2E256D4B" w14:textId="1589C70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6CDEAAD6" w14:textId="4FC8137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354CD6B8" w14:textId="55486BF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5FD617CD" w14:textId="25D78E9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335BEDD6" w14:textId="5499D43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68C006D4" w14:textId="52E04BC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−16</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4908D9E3" w14:textId="77777777" w:rsidTr="003C4A79">
              <w:trPr>
                <w:trHeight w:val="255"/>
              </w:trPr>
              <w:tc>
                <w:tcPr>
                  <w:tcW w:w="3880" w:type="dxa"/>
                  <w:tcBorders>
                    <w:top w:val="nil"/>
                    <w:left w:val="nil"/>
                    <w:bottom w:val="nil"/>
                    <w:right w:val="nil"/>
                  </w:tcBorders>
                  <w:vAlign w:val="center"/>
                  <w:hideMark/>
                </w:tcPr>
                <w:p w14:paraId="18658F96" w14:textId="264CE2EF"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Industrial crop</w:t>
                  </w:r>
                  <w:r w:rsidR="00845975">
                    <w:rPr>
                      <w:rFonts w:cs="Arial"/>
                      <w:color w:val="000000"/>
                      <w:sz w:val="16"/>
                      <w:szCs w:val="16"/>
                      <w:lang w:eastAsia="ko-KR"/>
                    </w:rPr>
                    <w:t>s</w:t>
                  </w:r>
                </w:p>
              </w:tc>
              <w:tc>
                <w:tcPr>
                  <w:tcW w:w="700" w:type="dxa"/>
                  <w:tcBorders>
                    <w:top w:val="nil"/>
                    <w:left w:val="nil"/>
                    <w:bottom w:val="nil"/>
                    <w:right w:val="nil"/>
                  </w:tcBorders>
                  <w:noWrap/>
                  <w:vAlign w:val="bottom"/>
                  <w:hideMark/>
                </w:tcPr>
                <w:p w14:paraId="0B422099" w14:textId="44B0243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02E93C6B" w14:textId="7A9C00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48BF7624" w14:textId="31C4D58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21</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74240F6E" w14:textId="754AD42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22</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2670E354" w14:textId="3173CE4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53CDC470" w14:textId="31ACE57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17F5DC00" w14:textId="4AF05EA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4E05A146" w14:textId="49A306F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0AC2ED9A" w14:textId="77777777" w:rsidTr="003C4A79">
              <w:trPr>
                <w:trHeight w:val="255"/>
              </w:trPr>
              <w:tc>
                <w:tcPr>
                  <w:tcW w:w="3880" w:type="dxa"/>
                  <w:tcBorders>
                    <w:top w:val="nil"/>
                    <w:left w:val="nil"/>
                    <w:bottom w:val="nil"/>
                    <w:right w:val="nil"/>
                  </w:tcBorders>
                  <w:vAlign w:val="center"/>
                  <w:hideMark/>
                </w:tcPr>
                <w:p w14:paraId="739BC309" w14:textId="15E412CA"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F</w:t>
                  </w:r>
                  <w:r w:rsidR="00845975">
                    <w:rPr>
                      <w:rFonts w:cs="Arial"/>
                      <w:color w:val="000000"/>
                      <w:sz w:val="16"/>
                      <w:szCs w:val="16"/>
                      <w:lang w:eastAsia="ko-KR"/>
                    </w:rPr>
                    <w:t>orage plants</w:t>
                  </w:r>
                </w:p>
              </w:tc>
              <w:tc>
                <w:tcPr>
                  <w:tcW w:w="700" w:type="dxa"/>
                  <w:tcBorders>
                    <w:top w:val="nil"/>
                    <w:left w:val="nil"/>
                    <w:bottom w:val="nil"/>
                    <w:right w:val="nil"/>
                  </w:tcBorders>
                  <w:noWrap/>
                  <w:vAlign w:val="bottom"/>
                  <w:hideMark/>
                </w:tcPr>
                <w:p w14:paraId="39962DDA" w14:textId="4FA2A30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5169C828" w14:textId="27F611C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623076B4" w14:textId="10EDEAB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7846BEDD" w14:textId="61A10EB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4D151E91" w14:textId="51BCECF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3E428B4D" w14:textId="205CDD8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19E6CEA9" w14:textId="26CC989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4692DA06" w14:textId="3696A13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123F7E7E" w14:textId="77777777" w:rsidTr="003C4A79">
              <w:trPr>
                <w:trHeight w:val="255"/>
              </w:trPr>
              <w:tc>
                <w:tcPr>
                  <w:tcW w:w="3880" w:type="dxa"/>
                  <w:tcBorders>
                    <w:top w:val="nil"/>
                    <w:left w:val="nil"/>
                    <w:bottom w:val="nil"/>
                    <w:right w:val="nil"/>
                  </w:tcBorders>
                  <w:vAlign w:val="center"/>
                  <w:hideMark/>
                </w:tcPr>
                <w:p w14:paraId="7321E31E" w14:textId="20B707D3"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 xml:space="preserve">Vegetables and </w:t>
                  </w:r>
                  <w:r w:rsidR="00845975">
                    <w:rPr>
                      <w:rFonts w:cs="Arial"/>
                      <w:color w:val="000000"/>
                      <w:sz w:val="16"/>
                      <w:szCs w:val="16"/>
                      <w:lang w:eastAsia="ko-KR"/>
                    </w:rPr>
                    <w:t>horticultural</w:t>
                  </w:r>
                  <w:r>
                    <w:rPr>
                      <w:rFonts w:cs="Arial"/>
                      <w:color w:val="000000"/>
                      <w:sz w:val="16"/>
                      <w:szCs w:val="16"/>
                      <w:lang w:eastAsia="ko-KR"/>
                    </w:rPr>
                    <w:t xml:space="preserve"> products</w:t>
                  </w:r>
                </w:p>
              </w:tc>
              <w:tc>
                <w:tcPr>
                  <w:tcW w:w="700" w:type="dxa"/>
                  <w:tcBorders>
                    <w:top w:val="nil"/>
                    <w:left w:val="nil"/>
                    <w:bottom w:val="nil"/>
                    <w:right w:val="nil"/>
                  </w:tcBorders>
                  <w:noWrap/>
                  <w:vAlign w:val="bottom"/>
                  <w:hideMark/>
                </w:tcPr>
                <w:p w14:paraId="7612DC3F" w14:textId="2B6ADC7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4C9861E2" w14:textId="0493904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0CF004D4" w14:textId="01640A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6EF5F7CE" w14:textId="03B4F18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6D307BEA" w14:textId="7CADAEA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780EB75E" w14:textId="43AC0C2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679D789F" w14:textId="37F0D0C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1F29661F" w14:textId="3F00006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r>
            <w:tr w:rsidR="00655088" w:rsidRPr="00B131B0" w14:paraId="2CF70C4E" w14:textId="77777777" w:rsidTr="003C4A79">
              <w:trPr>
                <w:trHeight w:val="255"/>
              </w:trPr>
              <w:tc>
                <w:tcPr>
                  <w:tcW w:w="3880" w:type="dxa"/>
                  <w:tcBorders>
                    <w:top w:val="nil"/>
                    <w:left w:val="nil"/>
                    <w:bottom w:val="nil"/>
                    <w:right w:val="nil"/>
                  </w:tcBorders>
                  <w:vAlign w:val="center"/>
                  <w:hideMark/>
                </w:tcPr>
                <w:p w14:paraId="28E46956" w14:textId="3C65BCD1"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 xml:space="preserve">Potatoes </w:t>
                  </w:r>
                  <w:r w:rsidRPr="00B131B0">
                    <w:rPr>
                      <w:rFonts w:cs="Arial"/>
                      <w:color w:val="000000"/>
                      <w:sz w:val="16"/>
                      <w:szCs w:val="16"/>
                      <w:lang w:eastAsia="ko-KR"/>
                    </w:rPr>
                    <w:t>(</w:t>
                  </w:r>
                  <w:r>
                    <w:rPr>
                      <w:rFonts w:cs="Arial"/>
                      <w:color w:val="000000"/>
                      <w:sz w:val="16"/>
                      <w:szCs w:val="16"/>
                      <w:lang w:eastAsia="ko-KR"/>
                    </w:rPr>
                    <w:t>including seeds</w:t>
                  </w:r>
                  <w:r w:rsidRPr="00B131B0">
                    <w:rPr>
                      <w:rFonts w:cs="Arial"/>
                      <w:color w:val="000000"/>
                      <w:sz w:val="16"/>
                      <w:szCs w:val="16"/>
                      <w:lang w:eastAsia="ko-KR"/>
                    </w:rPr>
                    <w:t>)</w:t>
                  </w:r>
                </w:p>
              </w:tc>
              <w:tc>
                <w:tcPr>
                  <w:tcW w:w="700" w:type="dxa"/>
                  <w:tcBorders>
                    <w:top w:val="nil"/>
                    <w:left w:val="nil"/>
                    <w:bottom w:val="nil"/>
                    <w:right w:val="nil"/>
                  </w:tcBorders>
                  <w:noWrap/>
                  <w:vAlign w:val="bottom"/>
                  <w:hideMark/>
                </w:tcPr>
                <w:p w14:paraId="5DA9DF9B" w14:textId="2758BB7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−21</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58F43591" w14:textId="04AAAC0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2BB7E9F9" w14:textId="47A9F08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−18</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4997B752" w14:textId="2C68C5B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−23</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5C6091AA" w14:textId="16A036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−20</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7FC10E88" w14:textId="3F8BCB5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−18</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2C576733" w14:textId="5E21195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−23</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301EE9AB" w14:textId="17C704A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7B80ED34" w14:textId="77777777" w:rsidTr="003C4A79">
              <w:trPr>
                <w:trHeight w:val="255"/>
              </w:trPr>
              <w:tc>
                <w:tcPr>
                  <w:tcW w:w="3880" w:type="dxa"/>
                  <w:tcBorders>
                    <w:top w:val="nil"/>
                    <w:left w:val="nil"/>
                    <w:bottom w:val="nil"/>
                    <w:right w:val="nil"/>
                  </w:tcBorders>
                  <w:vAlign w:val="center"/>
                  <w:hideMark/>
                </w:tcPr>
                <w:p w14:paraId="1C9FD53E" w14:textId="26096197"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Fruit</w:t>
                  </w:r>
                  <w:r w:rsidR="00523FCE">
                    <w:rPr>
                      <w:rFonts w:cs="Arial"/>
                      <w:color w:val="000000"/>
                      <w:sz w:val="16"/>
                      <w:szCs w:val="16"/>
                      <w:lang w:eastAsia="ko-KR"/>
                    </w:rPr>
                    <w:t>s</w:t>
                  </w:r>
                </w:p>
              </w:tc>
              <w:tc>
                <w:tcPr>
                  <w:tcW w:w="700" w:type="dxa"/>
                  <w:tcBorders>
                    <w:top w:val="nil"/>
                    <w:left w:val="nil"/>
                    <w:bottom w:val="nil"/>
                    <w:right w:val="nil"/>
                  </w:tcBorders>
                  <w:noWrap/>
                  <w:vAlign w:val="bottom"/>
                  <w:hideMark/>
                </w:tcPr>
                <w:p w14:paraId="3AC47B3F" w14:textId="789F5A5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32</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1EB903EB" w14:textId="65085E2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31</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3AD814A8" w14:textId="068C399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25</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0E9D330C" w14:textId="4A75AE7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28</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3FBC07CF" w14:textId="58A91AC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2B846FBC" w14:textId="571B60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−19</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12BF497B" w14:textId="3897C3A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−36</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4F72A06A" w14:textId="00DEC5A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8</w:t>
                  </w:r>
                </w:p>
              </w:tc>
            </w:tr>
            <w:tr w:rsidR="00655088" w:rsidRPr="00B131B0" w14:paraId="4C28A6B3" w14:textId="77777777" w:rsidTr="003C4A79">
              <w:trPr>
                <w:trHeight w:val="255"/>
              </w:trPr>
              <w:tc>
                <w:tcPr>
                  <w:tcW w:w="3880" w:type="dxa"/>
                  <w:tcBorders>
                    <w:top w:val="nil"/>
                    <w:left w:val="nil"/>
                    <w:bottom w:val="nil"/>
                    <w:right w:val="nil"/>
                  </w:tcBorders>
                  <w:vAlign w:val="center"/>
                  <w:hideMark/>
                </w:tcPr>
                <w:p w14:paraId="1C18D6E8" w14:textId="2199840A" w:rsidR="00655088" w:rsidRPr="00B131B0" w:rsidRDefault="00655088" w:rsidP="00655088">
                  <w:pPr>
                    <w:spacing w:after="0" w:line="240" w:lineRule="auto"/>
                    <w:ind w:firstLine="82"/>
                    <w:jc w:val="left"/>
                    <w:rPr>
                      <w:rFonts w:cs="Arial"/>
                      <w:color w:val="000000"/>
                      <w:sz w:val="16"/>
                      <w:szCs w:val="16"/>
                      <w:lang w:eastAsia="ko-KR"/>
                    </w:rPr>
                  </w:pPr>
                  <w:r>
                    <w:rPr>
                      <w:rFonts w:cs="Arial"/>
                      <w:color w:val="000000"/>
                      <w:sz w:val="16"/>
                      <w:szCs w:val="16"/>
                      <w:lang w:eastAsia="ko-KR"/>
                    </w:rPr>
                    <w:t>Livestock production</w:t>
                  </w:r>
                </w:p>
              </w:tc>
              <w:tc>
                <w:tcPr>
                  <w:tcW w:w="700" w:type="dxa"/>
                  <w:tcBorders>
                    <w:top w:val="nil"/>
                    <w:left w:val="nil"/>
                    <w:bottom w:val="nil"/>
                    <w:right w:val="nil"/>
                  </w:tcBorders>
                  <w:noWrap/>
                  <w:vAlign w:val="bottom"/>
                  <w:hideMark/>
                </w:tcPr>
                <w:p w14:paraId="7FF95539" w14:textId="51EB617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1B476ED6" w14:textId="35531F7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1E73B66D" w14:textId="784707B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582A2D4B" w14:textId="4898B7D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15</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65186AD7" w14:textId="2D7E889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18</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74C796B7" w14:textId="416CC61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27EDD7CD" w14:textId="1B4DF1A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6A7CADE9" w14:textId="324F610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9</w:t>
                  </w:r>
                </w:p>
              </w:tc>
            </w:tr>
            <w:tr w:rsidR="00655088" w:rsidRPr="00B131B0" w14:paraId="608556E2" w14:textId="77777777" w:rsidTr="003C4A79">
              <w:trPr>
                <w:trHeight w:val="255"/>
              </w:trPr>
              <w:tc>
                <w:tcPr>
                  <w:tcW w:w="3880" w:type="dxa"/>
                  <w:tcBorders>
                    <w:top w:val="nil"/>
                    <w:left w:val="nil"/>
                    <w:bottom w:val="nil"/>
                    <w:right w:val="nil"/>
                  </w:tcBorders>
                  <w:vAlign w:val="center"/>
                  <w:hideMark/>
                </w:tcPr>
                <w:p w14:paraId="4E8FFFD0" w14:textId="51095AF5"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Cattle</w:t>
                  </w:r>
                </w:p>
              </w:tc>
              <w:tc>
                <w:tcPr>
                  <w:tcW w:w="700" w:type="dxa"/>
                  <w:tcBorders>
                    <w:top w:val="nil"/>
                    <w:left w:val="nil"/>
                    <w:bottom w:val="nil"/>
                    <w:right w:val="nil"/>
                  </w:tcBorders>
                  <w:noWrap/>
                  <w:vAlign w:val="bottom"/>
                  <w:hideMark/>
                </w:tcPr>
                <w:p w14:paraId="05559FCA" w14:textId="2640698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40DFB7F6" w14:textId="090F392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13</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61A13F51" w14:textId="270691E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20</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0206F64C" w14:textId="7B00968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28</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60237C5A" w14:textId="45F2F01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38</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4C66721F" w14:textId="468EEBC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39</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1134EF8C" w14:textId="34356CC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30</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36D690FF" w14:textId="7B5E5FB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7</w:t>
                  </w:r>
                </w:p>
              </w:tc>
            </w:tr>
            <w:tr w:rsidR="00655088" w:rsidRPr="00B131B0" w14:paraId="4AE51100" w14:textId="77777777" w:rsidTr="003C4A79">
              <w:trPr>
                <w:trHeight w:val="255"/>
              </w:trPr>
              <w:tc>
                <w:tcPr>
                  <w:tcW w:w="3880" w:type="dxa"/>
                  <w:tcBorders>
                    <w:top w:val="nil"/>
                    <w:left w:val="nil"/>
                    <w:bottom w:val="nil"/>
                    <w:right w:val="nil"/>
                  </w:tcBorders>
                  <w:vAlign w:val="center"/>
                  <w:hideMark/>
                </w:tcPr>
                <w:p w14:paraId="76630A8B" w14:textId="5B7C6EA6"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Pigs and piglets</w:t>
                  </w:r>
                </w:p>
              </w:tc>
              <w:tc>
                <w:tcPr>
                  <w:tcW w:w="700" w:type="dxa"/>
                  <w:tcBorders>
                    <w:top w:val="nil"/>
                    <w:left w:val="nil"/>
                    <w:bottom w:val="nil"/>
                    <w:right w:val="nil"/>
                  </w:tcBorders>
                  <w:noWrap/>
                  <w:vAlign w:val="bottom"/>
                  <w:hideMark/>
                </w:tcPr>
                <w:p w14:paraId="50986CA8" w14:textId="4349AC1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028D541C" w14:textId="0EEC556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02E058F1" w14:textId="2899532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73C0D3D1" w14:textId="5EB49B2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478AE797" w14:textId="4CDB88F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36E368FE" w14:textId="0E4E635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−13</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4D3FA9A5" w14:textId="2F1601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1E5C02D3" w14:textId="49AE031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−18</w:t>
                  </w:r>
                  <w:r>
                    <w:rPr>
                      <w:rFonts w:cs="Arial"/>
                      <w:color w:val="000000"/>
                      <w:sz w:val="16"/>
                      <w:szCs w:val="16"/>
                      <w:lang w:eastAsia="ko-KR"/>
                    </w:rPr>
                    <w:t>.</w:t>
                  </w:r>
                  <w:r w:rsidRPr="00B131B0">
                    <w:rPr>
                      <w:rFonts w:cs="Arial"/>
                      <w:color w:val="000000"/>
                      <w:sz w:val="16"/>
                      <w:szCs w:val="16"/>
                      <w:lang w:eastAsia="ko-KR"/>
                    </w:rPr>
                    <w:t>8</w:t>
                  </w:r>
                </w:p>
              </w:tc>
            </w:tr>
            <w:tr w:rsidR="00655088" w:rsidRPr="00B131B0" w14:paraId="38CEF0ED" w14:textId="77777777" w:rsidTr="003C4A79">
              <w:trPr>
                <w:trHeight w:val="255"/>
              </w:trPr>
              <w:tc>
                <w:tcPr>
                  <w:tcW w:w="3880" w:type="dxa"/>
                  <w:tcBorders>
                    <w:top w:val="nil"/>
                    <w:left w:val="nil"/>
                    <w:bottom w:val="nil"/>
                    <w:right w:val="nil"/>
                  </w:tcBorders>
                  <w:vAlign w:val="center"/>
                  <w:hideMark/>
                </w:tcPr>
                <w:p w14:paraId="50C9F741" w14:textId="788C0AE8"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Poultry</w:t>
                  </w:r>
                </w:p>
              </w:tc>
              <w:tc>
                <w:tcPr>
                  <w:tcW w:w="700" w:type="dxa"/>
                  <w:tcBorders>
                    <w:top w:val="nil"/>
                    <w:left w:val="nil"/>
                    <w:bottom w:val="nil"/>
                    <w:right w:val="nil"/>
                  </w:tcBorders>
                  <w:noWrap/>
                  <w:vAlign w:val="bottom"/>
                  <w:hideMark/>
                </w:tcPr>
                <w:p w14:paraId="6F1F52AD" w14:textId="7E0F9B0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1FB39D6D" w14:textId="2BB5355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48AB2BB3" w14:textId="20C5929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69B84858" w14:textId="09D7911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5DBC3B66" w14:textId="2A8529B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193F9352" w14:textId="38E18BE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37036D68" w14:textId="7B744D3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1989069A" w14:textId="0EC5A0B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8</w:t>
                  </w:r>
                </w:p>
              </w:tc>
            </w:tr>
            <w:tr w:rsidR="00655088" w:rsidRPr="00B131B0" w14:paraId="23A248B1" w14:textId="77777777" w:rsidTr="003C4A79">
              <w:trPr>
                <w:trHeight w:val="255"/>
              </w:trPr>
              <w:tc>
                <w:tcPr>
                  <w:tcW w:w="3880" w:type="dxa"/>
                  <w:tcBorders>
                    <w:top w:val="nil"/>
                    <w:left w:val="nil"/>
                    <w:bottom w:val="nil"/>
                    <w:right w:val="nil"/>
                  </w:tcBorders>
                  <w:vAlign w:val="center"/>
                  <w:hideMark/>
                </w:tcPr>
                <w:p w14:paraId="75FD89AA" w14:textId="196E4B26"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Milk</w:t>
                  </w:r>
                </w:p>
              </w:tc>
              <w:tc>
                <w:tcPr>
                  <w:tcW w:w="700" w:type="dxa"/>
                  <w:tcBorders>
                    <w:top w:val="nil"/>
                    <w:left w:val="nil"/>
                    <w:bottom w:val="nil"/>
                    <w:right w:val="nil"/>
                  </w:tcBorders>
                  <w:noWrap/>
                  <w:vAlign w:val="bottom"/>
                  <w:hideMark/>
                </w:tcPr>
                <w:p w14:paraId="1A97293C" w14:textId="016090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34159A9F" w14:textId="60008E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3BD9859A" w14:textId="12ADE89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22E7357F" w14:textId="4B5BCC7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19</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1AFC06BB" w14:textId="6306D84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19</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519AF33F" w14:textId="0D791B8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4072A462" w14:textId="55402DC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09191E0B" w14:textId="557FD16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−24</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04650E8C" w14:textId="77777777" w:rsidTr="003C4A79">
              <w:trPr>
                <w:trHeight w:val="255"/>
              </w:trPr>
              <w:tc>
                <w:tcPr>
                  <w:tcW w:w="3880" w:type="dxa"/>
                  <w:tcBorders>
                    <w:top w:val="nil"/>
                    <w:left w:val="nil"/>
                    <w:bottom w:val="nil"/>
                    <w:right w:val="nil"/>
                  </w:tcBorders>
                  <w:vAlign w:val="center"/>
                  <w:hideMark/>
                </w:tcPr>
                <w:p w14:paraId="23CB66B9" w14:textId="34078D72"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Eggs</w:t>
                  </w:r>
                </w:p>
              </w:tc>
              <w:tc>
                <w:tcPr>
                  <w:tcW w:w="700" w:type="dxa"/>
                  <w:tcBorders>
                    <w:top w:val="nil"/>
                    <w:left w:val="nil"/>
                    <w:bottom w:val="nil"/>
                    <w:right w:val="nil"/>
                  </w:tcBorders>
                  <w:noWrap/>
                  <w:vAlign w:val="bottom"/>
                  <w:hideMark/>
                </w:tcPr>
                <w:p w14:paraId="4D30986E" w14:textId="7FD8AF7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5C5489E7" w14:textId="31F137C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323B49DF" w14:textId="5507AD7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25</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278DB985" w14:textId="4E8CE5A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41</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0312DE10" w14:textId="6560B60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43</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05DDCEE1" w14:textId="69CF740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35</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295630A9" w14:textId="5D702EF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21</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6A95803A" w14:textId="1AA690E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6</w:t>
                  </w:r>
                </w:p>
              </w:tc>
            </w:tr>
          </w:tbl>
          <w:p w14:paraId="33EBC802" w14:textId="77777777" w:rsidR="00655088" w:rsidRPr="00B131B0" w:rsidRDefault="00655088" w:rsidP="00655088">
            <w:pPr>
              <w:rPr>
                <w:lang w:eastAsia="en-US"/>
              </w:rPr>
            </w:pPr>
          </w:p>
        </w:tc>
      </w:tr>
      <w:tr w:rsidR="00655088" w:rsidRPr="00B131B0" w14:paraId="07A89B5E" w14:textId="77777777" w:rsidTr="003C4A79">
        <w:trPr>
          <w:trHeight w:val="170"/>
        </w:trPr>
        <w:tc>
          <w:tcPr>
            <w:tcW w:w="9654" w:type="dxa"/>
            <w:gridSpan w:val="3"/>
          </w:tcPr>
          <w:p w14:paraId="6F89770A" w14:textId="426FAF59" w:rsidR="00655088" w:rsidRPr="00B131B0" w:rsidRDefault="00655088" w:rsidP="00655088">
            <w:pPr>
              <w:spacing w:before="80" w:after="0"/>
              <w:rPr>
                <w:lang w:eastAsia="en-US"/>
              </w:rPr>
            </w:pPr>
            <w:r>
              <w:rPr>
                <w:sz w:val="16"/>
                <w:szCs w:val="16"/>
                <w:lang w:eastAsia="en-US"/>
              </w:rPr>
              <w:t>Source</w:t>
            </w:r>
            <w:r w:rsidRPr="00B131B0">
              <w:rPr>
                <w:sz w:val="16"/>
                <w:szCs w:val="16"/>
                <w:lang w:eastAsia="en-US"/>
              </w:rPr>
              <w:t xml:space="preserve">: </w:t>
            </w:r>
            <w:r>
              <w:rPr>
                <w:sz w:val="16"/>
                <w:szCs w:val="16"/>
                <w:lang w:eastAsia="en-US"/>
              </w:rPr>
              <w:t>CZSO</w:t>
            </w:r>
          </w:p>
        </w:tc>
      </w:tr>
      <w:tr w:rsidR="00655088" w:rsidRPr="00B131B0" w14:paraId="3D6BEAA2" w14:textId="77777777" w:rsidTr="003C4A79">
        <w:trPr>
          <w:trHeight w:val="145"/>
        </w:trPr>
        <w:tc>
          <w:tcPr>
            <w:tcW w:w="1812" w:type="dxa"/>
            <w:hideMark/>
          </w:tcPr>
          <w:p w14:paraId="6A5D2BCE" w14:textId="28312007" w:rsidR="00655088" w:rsidRPr="00B131B0" w:rsidRDefault="00655088" w:rsidP="00655088">
            <w:pPr>
              <w:pStyle w:val="Marginlie"/>
              <w:rPr>
                <w:spacing w:val="0"/>
                <w:lang w:eastAsia="en-US"/>
              </w:rPr>
            </w:pPr>
            <w:r w:rsidRPr="00D160F5">
              <w:rPr>
                <w:spacing w:val="0"/>
                <w:lang w:eastAsia="en-US"/>
              </w:rPr>
              <w:t>The year-on-year dec</w:t>
            </w:r>
            <w:r>
              <w:rPr>
                <w:spacing w:val="0"/>
                <w:lang w:eastAsia="en-US"/>
              </w:rPr>
              <w:t xml:space="preserve">rease of </w:t>
            </w:r>
            <w:r w:rsidRPr="00D160F5">
              <w:rPr>
                <w:spacing w:val="0"/>
                <w:lang w:eastAsia="en-US"/>
              </w:rPr>
              <w:t>agricultural producer prices deepened.</w:t>
            </w:r>
          </w:p>
        </w:tc>
        <w:tc>
          <w:tcPr>
            <w:tcW w:w="213" w:type="dxa"/>
          </w:tcPr>
          <w:p w14:paraId="136662B1" w14:textId="77777777" w:rsidR="00655088" w:rsidRPr="00B131B0" w:rsidRDefault="00655088" w:rsidP="00655088">
            <w:pPr>
              <w:pStyle w:val="Textpoznpodarou1"/>
              <w:jc w:val="both"/>
              <w:rPr>
                <w:lang w:eastAsia="en-US"/>
              </w:rPr>
            </w:pPr>
          </w:p>
        </w:tc>
        <w:tc>
          <w:tcPr>
            <w:tcW w:w="7629" w:type="dxa"/>
            <w:hideMark/>
          </w:tcPr>
          <w:p w14:paraId="59E4E682" w14:textId="23B24244" w:rsidR="00655088" w:rsidRPr="00B131B0" w:rsidRDefault="00655088" w:rsidP="00655088">
            <w:pPr>
              <w:rPr>
                <w:lang w:eastAsia="en-US"/>
              </w:rPr>
            </w:pPr>
            <w:r w:rsidRPr="002E6113">
              <w:rPr>
                <w:lang w:eastAsia="en-US"/>
              </w:rPr>
              <w:t>The year-on-year dec</w:t>
            </w:r>
            <w:r>
              <w:rPr>
                <w:lang w:eastAsia="en-US"/>
              </w:rPr>
              <w:t xml:space="preserve">rease of </w:t>
            </w:r>
            <w:r w:rsidRPr="002E6113">
              <w:rPr>
                <w:lang w:eastAsia="en-US"/>
              </w:rPr>
              <w:t xml:space="preserve">agricultural producer prices deepened to 12.4% in </w:t>
            </w:r>
            <w:r>
              <w:rPr>
                <w:lang w:eastAsia="en-US"/>
              </w:rPr>
              <w:t>Q2</w:t>
            </w:r>
            <w:r w:rsidRPr="002E6113">
              <w:rPr>
                <w:lang w:eastAsia="en-US"/>
              </w:rPr>
              <w:t xml:space="preserve">. Crop production prices maintained a double-digit </w:t>
            </w:r>
            <w:r>
              <w:rPr>
                <w:lang w:eastAsia="en-US"/>
              </w:rPr>
              <w:t>slide</w:t>
            </w:r>
            <w:r w:rsidRPr="002E6113">
              <w:rPr>
                <w:lang w:eastAsia="en-US"/>
              </w:rPr>
              <w:t xml:space="preserve">. With the exception of vegetables and horticultural products (see Table 11), other parts of crop production showed a year-on-year decline </w:t>
            </w:r>
            <w:r>
              <w:rPr>
                <w:lang w:eastAsia="en-US"/>
              </w:rPr>
              <w:t>of</w:t>
            </w:r>
            <w:r w:rsidRPr="002E6113">
              <w:rPr>
                <w:lang w:eastAsia="en-US"/>
              </w:rPr>
              <w:t xml:space="preserve"> prices. As regards cereals, the prices of wheat (−17.9%), barley (−14.0%), corn (−13.9%) and oats (−12.4%) fell the most. The dec</w:t>
            </w:r>
            <w:r>
              <w:rPr>
                <w:lang w:eastAsia="en-US"/>
              </w:rPr>
              <w:t xml:space="preserve">rease of </w:t>
            </w:r>
            <w:r w:rsidRPr="002E6113">
              <w:rPr>
                <w:lang w:eastAsia="en-US"/>
              </w:rPr>
              <w:t>oilseed</w:t>
            </w:r>
            <w:r w:rsidR="000262C7">
              <w:rPr>
                <w:lang w:eastAsia="en-US"/>
              </w:rPr>
              <w:t>s</w:t>
            </w:r>
            <w:r w:rsidRPr="002E6113">
              <w:rPr>
                <w:lang w:eastAsia="en-US"/>
              </w:rPr>
              <w:t xml:space="preserve"> prices was influenced by rapeseed (−9.4%), </w:t>
            </w:r>
            <w:r>
              <w:rPr>
                <w:lang w:eastAsia="en-US"/>
              </w:rPr>
              <w:t xml:space="preserve">however </w:t>
            </w:r>
            <w:r w:rsidRPr="002E6113">
              <w:rPr>
                <w:lang w:eastAsia="en-US"/>
              </w:rPr>
              <w:t xml:space="preserve">also by a significant deepening of the fall </w:t>
            </w:r>
            <w:r>
              <w:rPr>
                <w:lang w:eastAsia="en-US"/>
              </w:rPr>
              <w:t>of</w:t>
            </w:r>
            <w:r w:rsidRPr="002E6113">
              <w:rPr>
                <w:lang w:eastAsia="en-US"/>
              </w:rPr>
              <w:t xml:space="preserve"> poppy</w:t>
            </w:r>
            <w:r w:rsidR="00523FCE">
              <w:rPr>
                <w:lang w:eastAsia="en-US"/>
              </w:rPr>
              <w:t xml:space="preserve"> seed</w:t>
            </w:r>
            <w:r w:rsidR="000262C7">
              <w:rPr>
                <w:lang w:eastAsia="en-US"/>
              </w:rPr>
              <w:t>s</w:t>
            </w:r>
            <w:r w:rsidRPr="002E6113">
              <w:rPr>
                <w:lang w:eastAsia="en-US"/>
              </w:rPr>
              <w:t xml:space="preserve"> prices (−19.8%). The dec</w:t>
            </w:r>
            <w:r>
              <w:rPr>
                <w:lang w:eastAsia="en-US"/>
              </w:rPr>
              <w:t xml:space="preserve">rease of </w:t>
            </w:r>
            <w:r w:rsidRPr="002E6113">
              <w:rPr>
                <w:lang w:eastAsia="en-US"/>
              </w:rPr>
              <w:t xml:space="preserve">potato prices moderated significantly compared to the previous quarter due to the entry of new consumer production. </w:t>
            </w:r>
            <w:r>
              <w:rPr>
                <w:lang w:eastAsia="en-US"/>
              </w:rPr>
              <w:t>T</w:t>
            </w:r>
            <w:r w:rsidRPr="002E6113">
              <w:rPr>
                <w:lang w:eastAsia="en-US"/>
              </w:rPr>
              <w:t>he year-on-year dec</w:t>
            </w:r>
            <w:r>
              <w:rPr>
                <w:lang w:eastAsia="en-US"/>
              </w:rPr>
              <w:t>rease of p</w:t>
            </w:r>
            <w:r w:rsidRPr="002E6113">
              <w:rPr>
                <w:lang w:eastAsia="en-US"/>
              </w:rPr>
              <w:t xml:space="preserve">rices </w:t>
            </w:r>
            <w:r>
              <w:rPr>
                <w:lang w:eastAsia="en-US"/>
              </w:rPr>
              <w:t>of</w:t>
            </w:r>
            <w:r w:rsidRPr="002E6113">
              <w:rPr>
                <w:lang w:eastAsia="en-US"/>
              </w:rPr>
              <w:t xml:space="preserve"> livestock production </w:t>
            </w:r>
            <w:r>
              <w:rPr>
                <w:lang w:eastAsia="en-US"/>
              </w:rPr>
              <w:t xml:space="preserve">sank </w:t>
            </w:r>
            <w:r w:rsidRPr="002E6113">
              <w:rPr>
                <w:lang w:eastAsia="en-US"/>
              </w:rPr>
              <w:t>significantly</w:t>
            </w:r>
            <w:r>
              <w:rPr>
                <w:lang w:eastAsia="en-US"/>
              </w:rPr>
              <w:t xml:space="preserve"> in Q2</w:t>
            </w:r>
            <w:r w:rsidRPr="002E6113">
              <w:rPr>
                <w:lang w:eastAsia="en-US"/>
              </w:rPr>
              <w:t xml:space="preserve">, and this had a key impact on the </w:t>
            </w:r>
            <w:r>
              <w:rPr>
                <w:lang w:eastAsia="en-US"/>
              </w:rPr>
              <w:t xml:space="preserve">total </w:t>
            </w:r>
            <w:r w:rsidRPr="002E6113">
              <w:rPr>
                <w:lang w:eastAsia="en-US"/>
              </w:rPr>
              <w:t>development of agricultural producer prices. The significant year-on-year dec</w:t>
            </w:r>
            <w:r>
              <w:rPr>
                <w:lang w:eastAsia="en-US"/>
              </w:rPr>
              <w:t xml:space="preserve">rease of </w:t>
            </w:r>
            <w:r w:rsidRPr="002E6113">
              <w:rPr>
                <w:lang w:eastAsia="en-US"/>
              </w:rPr>
              <w:t xml:space="preserve">prices of pigs and piglets continued, </w:t>
            </w:r>
            <w:r>
              <w:rPr>
                <w:lang w:eastAsia="en-US"/>
              </w:rPr>
              <w:t xml:space="preserve">however </w:t>
            </w:r>
            <w:r w:rsidRPr="002E6113">
              <w:rPr>
                <w:lang w:eastAsia="en-US"/>
              </w:rPr>
              <w:t xml:space="preserve">the growth </w:t>
            </w:r>
            <w:r>
              <w:rPr>
                <w:lang w:eastAsia="en-US"/>
              </w:rPr>
              <w:t xml:space="preserve">of </w:t>
            </w:r>
            <w:r w:rsidRPr="002E6113">
              <w:rPr>
                <w:lang w:eastAsia="en-US"/>
              </w:rPr>
              <w:t>prices of other animals – cattle (bulls, heifers and calves) and poultry – also moderated. The year-on-year dec</w:t>
            </w:r>
            <w:r>
              <w:rPr>
                <w:lang w:eastAsia="en-US"/>
              </w:rPr>
              <w:t xml:space="preserve">rease in Q1 </w:t>
            </w:r>
            <w:r w:rsidRPr="002E6113">
              <w:rPr>
                <w:lang w:eastAsia="en-US"/>
              </w:rPr>
              <w:t>was followed by a further deepening of the dec</w:t>
            </w:r>
            <w:r>
              <w:rPr>
                <w:lang w:eastAsia="en-US"/>
              </w:rPr>
              <w:t xml:space="preserve">rease of </w:t>
            </w:r>
            <w:r w:rsidRPr="002E6113">
              <w:rPr>
                <w:lang w:eastAsia="en-US"/>
              </w:rPr>
              <w:t>milk prices, and egg price growth also moderated significantly.</w:t>
            </w:r>
            <w:r w:rsidRPr="00B131B0">
              <w:rPr>
                <w:lang w:eastAsia="en-US"/>
              </w:rPr>
              <w:t xml:space="preserve"> </w:t>
            </w:r>
          </w:p>
        </w:tc>
      </w:tr>
      <w:tr w:rsidR="00655088" w:rsidRPr="00B131B0" w14:paraId="76A4292D" w14:textId="77777777" w:rsidTr="003C4A79">
        <w:trPr>
          <w:trHeight w:val="145"/>
        </w:trPr>
        <w:tc>
          <w:tcPr>
            <w:tcW w:w="9654" w:type="dxa"/>
            <w:gridSpan w:val="3"/>
          </w:tcPr>
          <w:p w14:paraId="701527C8" w14:textId="09D31DE2" w:rsidR="00655088" w:rsidRPr="00B131B0" w:rsidRDefault="00655088" w:rsidP="00655088">
            <w:pPr>
              <w:pStyle w:val="Nadpis3"/>
              <w:spacing w:after="120"/>
              <w:rPr>
                <w:rStyle w:val="Znakapoznpodarou"/>
                <w:b w:val="0"/>
                <w:bCs w:val="0"/>
                <w:lang w:val="en-GB" w:eastAsia="en-US"/>
              </w:rPr>
            </w:pPr>
            <w:bookmarkStart w:id="7" w:name="_Toc239947450"/>
            <w:bookmarkStart w:id="8" w:name="_Toc242958691"/>
            <w:r w:rsidRPr="00B131B0">
              <w:rPr>
                <w:lang w:val="en-GB" w:eastAsia="en-US"/>
              </w:rPr>
              <w:t xml:space="preserve">5.3 </w:t>
            </w:r>
            <w:r>
              <w:rPr>
                <w:lang w:val="en-GB" w:eastAsia="en-US"/>
              </w:rPr>
              <w:t>International Trade Prices</w:t>
            </w:r>
            <w:bookmarkEnd w:id="7"/>
            <w:bookmarkEnd w:id="8"/>
          </w:p>
        </w:tc>
      </w:tr>
      <w:tr w:rsidR="00655088" w:rsidRPr="00B131B0" w14:paraId="2EDDA31B" w14:textId="77777777" w:rsidTr="003C4A79">
        <w:trPr>
          <w:trHeight w:val="145"/>
        </w:trPr>
        <w:tc>
          <w:tcPr>
            <w:tcW w:w="1812" w:type="dxa"/>
            <w:hideMark/>
          </w:tcPr>
          <w:p w14:paraId="11EB329D" w14:textId="6BAA725E" w:rsidR="00655088" w:rsidRPr="00B131B0" w:rsidRDefault="00655088" w:rsidP="00655088">
            <w:pPr>
              <w:pStyle w:val="Marginlie"/>
              <w:rPr>
                <w:spacing w:val="0"/>
                <w:lang w:eastAsia="en-US"/>
              </w:rPr>
            </w:pPr>
            <w:r>
              <w:rPr>
                <w:spacing w:val="0"/>
                <w:lang w:eastAsia="en-US"/>
              </w:rPr>
              <w:t xml:space="preserve">International </w:t>
            </w:r>
            <w:r w:rsidRPr="007250FE">
              <w:rPr>
                <w:spacing w:val="0"/>
                <w:lang w:eastAsia="en-US"/>
              </w:rPr>
              <w:t xml:space="preserve">trade prices were significantly affected by the increase </w:t>
            </w:r>
            <w:r>
              <w:rPr>
                <w:spacing w:val="0"/>
                <w:lang w:eastAsia="en-US"/>
              </w:rPr>
              <w:t>of</w:t>
            </w:r>
            <w:r w:rsidRPr="007250FE">
              <w:rPr>
                <w:spacing w:val="0"/>
                <w:lang w:eastAsia="en-US"/>
              </w:rPr>
              <w:t xml:space="preserve"> </w:t>
            </w:r>
            <w:r>
              <w:rPr>
                <w:spacing w:val="0"/>
                <w:lang w:eastAsia="en-US"/>
              </w:rPr>
              <w:t xml:space="preserve">crude </w:t>
            </w:r>
            <w:r w:rsidRPr="007250FE">
              <w:rPr>
                <w:spacing w:val="0"/>
                <w:lang w:eastAsia="en-US"/>
              </w:rPr>
              <w:t>oil prices.</w:t>
            </w:r>
          </w:p>
        </w:tc>
        <w:tc>
          <w:tcPr>
            <w:tcW w:w="213" w:type="dxa"/>
          </w:tcPr>
          <w:p w14:paraId="07016184" w14:textId="77777777" w:rsidR="00655088" w:rsidRPr="00B131B0" w:rsidRDefault="00655088" w:rsidP="00655088">
            <w:pPr>
              <w:pStyle w:val="Textpoznpodarou1"/>
              <w:jc w:val="both"/>
              <w:rPr>
                <w:lang w:eastAsia="en-US"/>
              </w:rPr>
            </w:pPr>
          </w:p>
        </w:tc>
        <w:tc>
          <w:tcPr>
            <w:tcW w:w="7629" w:type="dxa"/>
            <w:hideMark/>
          </w:tcPr>
          <w:p w14:paraId="5B06CC6F" w14:textId="091844DA" w:rsidR="00655088" w:rsidRPr="00B131B0" w:rsidRDefault="00655088" w:rsidP="00655088">
            <w:pPr>
              <w:rPr>
                <w:lang w:eastAsia="en-US"/>
              </w:rPr>
            </w:pPr>
            <w:r w:rsidRPr="007250FE">
              <w:rPr>
                <w:lang w:eastAsia="en-US"/>
              </w:rPr>
              <w:t xml:space="preserve">The increase </w:t>
            </w:r>
            <w:r>
              <w:rPr>
                <w:lang w:eastAsia="en-US"/>
              </w:rPr>
              <w:t>of crude</w:t>
            </w:r>
            <w:r w:rsidRPr="007250FE">
              <w:rPr>
                <w:lang w:eastAsia="en-US"/>
              </w:rPr>
              <w:t xml:space="preserve"> oil prices also had a significant impact on </w:t>
            </w:r>
            <w:r>
              <w:rPr>
                <w:lang w:eastAsia="en-US"/>
              </w:rPr>
              <w:t xml:space="preserve">international </w:t>
            </w:r>
            <w:r w:rsidRPr="007250FE">
              <w:rPr>
                <w:lang w:eastAsia="en-US"/>
              </w:rPr>
              <w:t xml:space="preserve">trade </w:t>
            </w:r>
            <w:r>
              <w:rPr>
                <w:lang w:eastAsia="en-US"/>
              </w:rPr>
              <w:t xml:space="preserve">with </w:t>
            </w:r>
            <w:r w:rsidRPr="007250FE">
              <w:rPr>
                <w:lang w:eastAsia="en-US"/>
              </w:rPr>
              <w:t xml:space="preserve">goods. The quarter-on-quarter increase </w:t>
            </w:r>
            <w:r>
              <w:rPr>
                <w:lang w:eastAsia="en-US"/>
              </w:rPr>
              <w:t>of</w:t>
            </w:r>
            <w:r w:rsidRPr="007250FE">
              <w:rPr>
                <w:lang w:eastAsia="en-US"/>
              </w:rPr>
              <w:t xml:space="preserve"> prices of exports of goods accelerated to 2.4% in Q2 and prices rose by 0.7%</w:t>
            </w:r>
            <w:r>
              <w:rPr>
                <w:lang w:eastAsia="en-US"/>
              </w:rPr>
              <w:t>,</w:t>
            </w:r>
            <w:r w:rsidRPr="007250FE">
              <w:rPr>
                <w:lang w:eastAsia="en-US"/>
              </w:rPr>
              <w:t xml:space="preserve"> year-on-year</w:t>
            </w:r>
            <w:r>
              <w:rPr>
                <w:lang w:eastAsia="en-US"/>
              </w:rPr>
              <w:t>,</w:t>
            </w:r>
            <w:r w:rsidRPr="007250FE">
              <w:rPr>
                <w:lang w:eastAsia="en-US"/>
              </w:rPr>
              <w:t xml:space="preserve"> for the first time since Q1 2025. The exchange rate of the koruna against the euro and the dollar strengthened</w:t>
            </w:r>
            <w:r>
              <w:rPr>
                <w:lang w:eastAsia="en-US"/>
              </w:rPr>
              <w:t>,</w:t>
            </w:r>
            <w:r w:rsidRPr="007250FE">
              <w:rPr>
                <w:lang w:eastAsia="en-US"/>
              </w:rPr>
              <w:t xml:space="preserve"> year-on-year</w:t>
            </w:r>
            <w:r w:rsidRPr="00B131B0">
              <w:rPr>
                <w:rStyle w:val="Znakapoznpodarou"/>
                <w:lang w:eastAsia="en-US"/>
              </w:rPr>
              <w:footnoteReference w:id="6"/>
            </w:r>
            <w:r w:rsidRPr="007250FE">
              <w:rPr>
                <w:lang w:eastAsia="en-US"/>
              </w:rPr>
              <w:t xml:space="preserve">, which had an anti-inflationary effect on the year-on-year growth of </w:t>
            </w:r>
            <w:r>
              <w:rPr>
                <w:lang w:eastAsia="en-US"/>
              </w:rPr>
              <w:t xml:space="preserve">international </w:t>
            </w:r>
            <w:r w:rsidRPr="007250FE">
              <w:rPr>
                <w:lang w:eastAsia="en-US"/>
              </w:rPr>
              <w:t xml:space="preserve">trade prices. On the export side, the impact of </w:t>
            </w:r>
            <w:r>
              <w:rPr>
                <w:lang w:eastAsia="en-US"/>
              </w:rPr>
              <w:t xml:space="preserve">crude </w:t>
            </w:r>
            <w:r w:rsidRPr="007250FE">
              <w:rPr>
                <w:lang w:eastAsia="en-US"/>
              </w:rPr>
              <w:t xml:space="preserve">oil prices was evident mainly in the acceleration of quarter-on-quarter growth </w:t>
            </w:r>
            <w:r>
              <w:rPr>
                <w:lang w:eastAsia="en-US"/>
              </w:rPr>
              <w:t>of</w:t>
            </w:r>
            <w:r w:rsidRPr="007250FE">
              <w:rPr>
                <w:lang w:eastAsia="en-US"/>
              </w:rPr>
              <w:t xml:space="preserve"> product prices in manufacturing (see Table 12), while export prices in mining and quarrying returned to decline and prices of electricity, gas, steam and air-condition</w:t>
            </w:r>
            <w:r>
              <w:rPr>
                <w:lang w:eastAsia="en-US"/>
              </w:rPr>
              <w:t xml:space="preserve">ing </w:t>
            </w:r>
            <w:r w:rsidRPr="007250FE">
              <w:rPr>
                <w:lang w:eastAsia="en-US"/>
              </w:rPr>
              <w:t xml:space="preserve">were also lower. Among other </w:t>
            </w:r>
            <w:r>
              <w:rPr>
                <w:lang w:eastAsia="en-US"/>
              </w:rPr>
              <w:t xml:space="preserve">divisions </w:t>
            </w:r>
            <w:r w:rsidRPr="007250FE">
              <w:rPr>
                <w:lang w:eastAsia="en-US"/>
              </w:rPr>
              <w:t xml:space="preserve">of manufacturing, the quarter-on-quarter and year-on-year increase </w:t>
            </w:r>
            <w:r>
              <w:rPr>
                <w:lang w:eastAsia="en-US"/>
              </w:rPr>
              <w:t>of</w:t>
            </w:r>
            <w:r w:rsidRPr="007250FE">
              <w:rPr>
                <w:lang w:eastAsia="en-US"/>
              </w:rPr>
              <w:t xml:space="preserve"> prices of coke and refined petroleum products and chemical substances and preparations stood out. A significant quarter-on-quarter increase </w:t>
            </w:r>
            <w:r>
              <w:rPr>
                <w:lang w:eastAsia="en-US"/>
              </w:rPr>
              <w:t>of</w:t>
            </w:r>
            <w:r w:rsidRPr="007250FE">
              <w:rPr>
                <w:lang w:eastAsia="en-US"/>
              </w:rPr>
              <w:t xml:space="preserve"> prices was also recorded in </w:t>
            </w:r>
            <w:r>
              <w:rPr>
                <w:lang w:eastAsia="en-US"/>
              </w:rPr>
              <w:t>Q</w:t>
            </w:r>
            <w:r w:rsidRPr="007250FE">
              <w:rPr>
                <w:lang w:eastAsia="en-US"/>
              </w:rPr>
              <w:t>2</w:t>
            </w:r>
            <w:r>
              <w:rPr>
                <w:lang w:eastAsia="en-US"/>
              </w:rPr>
              <w:t xml:space="preserve"> </w:t>
            </w:r>
            <w:r w:rsidRPr="007250FE">
              <w:rPr>
                <w:lang w:eastAsia="en-US"/>
              </w:rPr>
              <w:t xml:space="preserve">in the case of basic metals, textiles, wood and wood products, computers, electronic and optical </w:t>
            </w:r>
            <w:r>
              <w:rPr>
                <w:lang w:eastAsia="en-US"/>
              </w:rPr>
              <w:lastRenderedPageBreak/>
              <w:t>appliances</w:t>
            </w:r>
            <w:r w:rsidRPr="007250FE">
              <w:rPr>
                <w:lang w:eastAsia="en-US"/>
              </w:rPr>
              <w:t xml:space="preserve">, rubber and plastic products, </w:t>
            </w:r>
            <w:r w:rsidR="00DD5277">
              <w:rPr>
                <w:lang w:eastAsia="en-US"/>
              </w:rPr>
              <w:t xml:space="preserve">fabricated </w:t>
            </w:r>
            <w:r w:rsidRPr="007250FE">
              <w:rPr>
                <w:lang w:eastAsia="en-US"/>
              </w:rPr>
              <w:t>metal</w:t>
            </w:r>
            <w:r w:rsidR="00DD5277">
              <w:rPr>
                <w:lang w:eastAsia="en-US"/>
              </w:rPr>
              <w:t xml:space="preserve"> </w:t>
            </w:r>
            <w:r w:rsidRPr="007250FE">
              <w:rPr>
                <w:lang w:eastAsia="en-US"/>
              </w:rPr>
              <w:t>products and electrical equipment. Quarter-on-quarter prices decreased only for a minority of products.</w:t>
            </w:r>
            <w:r w:rsidRPr="00B131B0">
              <w:rPr>
                <w:lang w:eastAsia="en-US"/>
              </w:rPr>
              <w:t xml:space="preserve"> </w:t>
            </w:r>
          </w:p>
        </w:tc>
      </w:tr>
      <w:tr w:rsidR="00E00AB3" w:rsidRPr="00B131B0" w14:paraId="7ACA8BCE" w14:textId="77777777" w:rsidTr="00E00AB3">
        <w:trPr>
          <w:trHeight w:val="142"/>
        </w:trPr>
        <w:tc>
          <w:tcPr>
            <w:tcW w:w="9654" w:type="dxa"/>
            <w:gridSpan w:val="3"/>
          </w:tcPr>
          <w:p w14:paraId="79DBA80A" w14:textId="0BB12CBA" w:rsidR="00E00AB3" w:rsidRPr="007250FE" w:rsidRDefault="00E00AB3" w:rsidP="00E00AB3">
            <w:pPr>
              <w:spacing w:after="0"/>
              <w:rPr>
                <w:lang w:eastAsia="en-US"/>
              </w:rPr>
            </w:pPr>
            <w:r w:rsidRPr="00B131B0">
              <w:rPr>
                <w:b/>
                <w:bCs/>
                <w:lang w:eastAsia="en-US"/>
              </w:rPr>
              <w:lastRenderedPageBreak/>
              <w:t>Tab</w:t>
            </w:r>
            <w:r>
              <w:rPr>
                <w:b/>
                <w:bCs/>
                <w:lang w:eastAsia="en-US"/>
              </w:rPr>
              <w:t xml:space="preserve">le </w:t>
            </w:r>
            <w:r w:rsidRPr="00B131B0">
              <w:rPr>
                <w:b/>
                <w:bCs/>
                <w:lang w:eastAsia="en-US"/>
              </w:rPr>
              <w:t xml:space="preserve">12 </w:t>
            </w:r>
            <w:r>
              <w:rPr>
                <w:b/>
                <w:bCs/>
                <w:lang w:eastAsia="en-US"/>
              </w:rPr>
              <w:t xml:space="preserve">Development of prices of international trade with goods in Q2 </w:t>
            </w:r>
            <w:r w:rsidRPr="00B131B0">
              <w:rPr>
                <w:b/>
                <w:bCs/>
                <w:lang w:eastAsia="en-US"/>
              </w:rPr>
              <w:t>2026 (</w:t>
            </w:r>
            <w:r>
              <w:rPr>
                <w:b/>
                <w:bCs/>
                <w:lang w:eastAsia="en-US"/>
              </w:rPr>
              <w:t>in</w:t>
            </w:r>
            <w:r w:rsidRPr="00B131B0">
              <w:rPr>
                <w:b/>
                <w:bCs/>
                <w:lang w:eastAsia="en-US"/>
              </w:rPr>
              <w:t xml:space="preserve"> %)</w:t>
            </w:r>
          </w:p>
        </w:tc>
      </w:tr>
      <w:tr w:rsidR="00E00AB3" w:rsidRPr="00B131B0" w14:paraId="09CE1F1C" w14:textId="77777777" w:rsidTr="00E00AB3">
        <w:trPr>
          <w:trHeight w:val="142"/>
        </w:trPr>
        <w:tc>
          <w:tcPr>
            <w:tcW w:w="9654" w:type="dxa"/>
            <w:gridSpan w:val="3"/>
          </w:tcPr>
          <w:tbl>
            <w:tblPr>
              <w:tblW w:w="9593" w:type="dxa"/>
              <w:tblLayout w:type="fixed"/>
              <w:tblCellMar>
                <w:left w:w="70" w:type="dxa"/>
                <w:right w:w="70" w:type="dxa"/>
              </w:tblCellMar>
              <w:tblLook w:val="04A0" w:firstRow="1" w:lastRow="0" w:firstColumn="1" w:lastColumn="0" w:noHBand="0" w:noVBand="1"/>
            </w:tblPr>
            <w:tblGrid>
              <w:gridCol w:w="4265"/>
              <w:gridCol w:w="888"/>
              <w:gridCol w:w="888"/>
              <w:gridCol w:w="888"/>
              <w:gridCol w:w="888"/>
              <w:gridCol w:w="888"/>
              <w:gridCol w:w="888"/>
            </w:tblGrid>
            <w:tr w:rsidR="00E00AB3" w:rsidRPr="00B131B0" w14:paraId="413878A4" w14:textId="77777777" w:rsidTr="002F70D5">
              <w:trPr>
                <w:trHeight w:val="255"/>
              </w:trPr>
              <w:tc>
                <w:tcPr>
                  <w:tcW w:w="4265" w:type="dxa"/>
                  <w:tcBorders>
                    <w:top w:val="nil"/>
                    <w:left w:val="nil"/>
                    <w:bottom w:val="nil"/>
                    <w:right w:val="nil"/>
                  </w:tcBorders>
                  <w:noWrap/>
                  <w:vAlign w:val="bottom"/>
                  <w:hideMark/>
                </w:tcPr>
                <w:p w14:paraId="270D89CE" w14:textId="77777777" w:rsidR="00E00AB3" w:rsidRPr="00B131B0" w:rsidRDefault="00E00AB3" w:rsidP="00E00AB3">
                  <w:pPr>
                    <w:spacing w:after="0" w:line="240" w:lineRule="auto"/>
                    <w:jc w:val="left"/>
                    <w:rPr>
                      <w:rFonts w:ascii="Times New Roman" w:hAnsi="Times New Roman"/>
                      <w:sz w:val="24"/>
                      <w:szCs w:val="20"/>
                      <w:lang w:eastAsia="ko-KR"/>
                    </w:rPr>
                  </w:pPr>
                </w:p>
              </w:tc>
              <w:tc>
                <w:tcPr>
                  <w:tcW w:w="2664" w:type="dxa"/>
                  <w:gridSpan w:val="3"/>
                  <w:tcBorders>
                    <w:top w:val="nil"/>
                    <w:left w:val="nil"/>
                    <w:bottom w:val="nil"/>
                    <w:right w:val="nil"/>
                  </w:tcBorders>
                  <w:noWrap/>
                  <w:vAlign w:val="center"/>
                  <w:hideMark/>
                </w:tcPr>
                <w:p w14:paraId="4D6C5A15"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c>
                <w:tcPr>
                  <w:tcW w:w="2664" w:type="dxa"/>
                  <w:gridSpan w:val="3"/>
                  <w:tcBorders>
                    <w:top w:val="nil"/>
                    <w:left w:val="nil"/>
                    <w:bottom w:val="nil"/>
                    <w:right w:val="nil"/>
                  </w:tcBorders>
                  <w:noWrap/>
                  <w:vAlign w:val="center"/>
                  <w:hideMark/>
                </w:tcPr>
                <w:p w14:paraId="50C8C4F3"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Year-on-year</w:t>
                  </w:r>
                </w:p>
              </w:tc>
            </w:tr>
            <w:tr w:rsidR="00E00AB3" w:rsidRPr="00B131B0" w14:paraId="2D839F1E" w14:textId="77777777" w:rsidTr="002F70D5">
              <w:trPr>
                <w:trHeight w:val="255"/>
              </w:trPr>
              <w:tc>
                <w:tcPr>
                  <w:tcW w:w="4265" w:type="dxa"/>
                  <w:tcBorders>
                    <w:top w:val="nil"/>
                    <w:left w:val="nil"/>
                    <w:bottom w:val="nil"/>
                    <w:right w:val="nil"/>
                  </w:tcBorders>
                  <w:noWrap/>
                  <w:vAlign w:val="bottom"/>
                  <w:hideMark/>
                </w:tcPr>
                <w:p w14:paraId="2E7907AB" w14:textId="77777777" w:rsidR="00E00AB3" w:rsidRPr="00B131B0" w:rsidRDefault="00E00AB3" w:rsidP="00E00AB3">
                  <w:pPr>
                    <w:spacing w:after="0" w:line="240" w:lineRule="auto"/>
                    <w:jc w:val="center"/>
                    <w:rPr>
                      <w:rFonts w:cs="Arial"/>
                      <w:color w:val="000000"/>
                      <w:sz w:val="16"/>
                      <w:szCs w:val="16"/>
                      <w:lang w:eastAsia="ko-KR"/>
                    </w:rPr>
                  </w:pPr>
                </w:p>
              </w:tc>
              <w:tc>
                <w:tcPr>
                  <w:tcW w:w="888" w:type="dxa"/>
                  <w:tcBorders>
                    <w:top w:val="nil"/>
                    <w:left w:val="nil"/>
                    <w:bottom w:val="nil"/>
                    <w:right w:val="nil"/>
                  </w:tcBorders>
                  <w:noWrap/>
                  <w:vAlign w:val="center"/>
                  <w:hideMark/>
                </w:tcPr>
                <w:p w14:paraId="7427E7A9"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export</w:t>
                  </w:r>
                </w:p>
              </w:tc>
              <w:tc>
                <w:tcPr>
                  <w:tcW w:w="888" w:type="dxa"/>
                  <w:tcBorders>
                    <w:top w:val="nil"/>
                    <w:left w:val="nil"/>
                    <w:bottom w:val="nil"/>
                    <w:right w:val="nil"/>
                  </w:tcBorders>
                  <w:noWrap/>
                  <w:vAlign w:val="center"/>
                  <w:hideMark/>
                </w:tcPr>
                <w:p w14:paraId="39EF359B"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import</w:t>
                  </w:r>
                </w:p>
              </w:tc>
              <w:tc>
                <w:tcPr>
                  <w:tcW w:w="888" w:type="dxa"/>
                  <w:tcBorders>
                    <w:top w:val="nil"/>
                    <w:left w:val="nil"/>
                    <w:bottom w:val="nil"/>
                    <w:right w:val="nil"/>
                  </w:tcBorders>
                  <w:noWrap/>
                  <w:vAlign w:val="center"/>
                  <w:hideMark/>
                </w:tcPr>
                <w:p w14:paraId="28E854DA"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terms of trade</w:t>
                  </w:r>
                </w:p>
              </w:tc>
              <w:tc>
                <w:tcPr>
                  <w:tcW w:w="888" w:type="dxa"/>
                  <w:tcBorders>
                    <w:top w:val="nil"/>
                    <w:left w:val="nil"/>
                    <w:bottom w:val="nil"/>
                    <w:right w:val="nil"/>
                  </w:tcBorders>
                  <w:noWrap/>
                  <w:vAlign w:val="center"/>
                  <w:hideMark/>
                </w:tcPr>
                <w:p w14:paraId="740BE4FE"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export</w:t>
                  </w:r>
                </w:p>
              </w:tc>
              <w:tc>
                <w:tcPr>
                  <w:tcW w:w="888" w:type="dxa"/>
                  <w:tcBorders>
                    <w:top w:val="nil"/>
                    <w:left w:val="nil"/>
                    <w:bottom w:val="nil"/>
                    <w:right w:val="nil"/>
                  </w:tcBorders>
                  <w:noWrap/>
                  <w:vAlign w:val="center"/>
                  <w:hideMark/>
                </w:tcPr>
                <w:p w14:paraId="075CCE27"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import</w:t>
                  </w:r>
                </w:p>
              </w:tc>
              <w:tc>
                <w:tcPr>
                  <w:tcW w:w="888" w:type="dxa"/>
                  <w:tcBorders>
                    <w:top w:val="nil"/>
                    <w:left w:val="nil"/>
                    <w:bottom w:val="single" w:sz="4" w:space="0" w:color="auto"/>
                    <w:right w:val="nil"/>
                  </w:tcBorders>
                  <w:noWrap/>
                  <w:vAlign w:val="center"/>
                  <w:hideMark/>
                </w:tcPr>
                <w:p w14:paraId="0E5D549C"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terms of trade</w:t>
                  </w:r>
                </w:p>
              </w:tc>
            </w:tr>
            <w:tr w:rsidR="00E00AB3" w:rsidRPr="00B131B0" w14:paraId="6F230B05" w14:textId="77777777" w:rsidTr="002F70D5">
              <w:trPr>
                <w:trHeight w:val="255"/>
              </w:trPr>
              <w:tc>
                <w:tcPr>
                  <w:tcW w:w="4265" w:type="dxa"/>
                  <w:tcBorders>
                    <w:top w:val="single" w:sz="4" w:space="0" w:color="auto"/>
                    <w:left w:val="nil"/>
                    <w:bottom w:val="nil"/>
                    <w:right w:val="nil"/>
                  </w:tcBorders>
                  <w:noWrap/>
                  <w:vAlign w:val="center"/>
                  <w:hideMark/>
                </w:tcPr>
                <w:p w14:paraId="2D7C0F73"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888" w:type="dxa"/>
                  <w:tcBorders>
                    <w:top w:val="single" w:sz="4" w:space="0" w:color="auto"/>
                    <w:left w:val="nil"/>
                    <w:bottom w:val="nil"/>
                    <w:right w:val="nil"/>
                  </w:tcBorders>
                  <w:noWrap/>
                  <w:vAlign w:val="bottom"/>
                  <w:hideMark/>
                </w:tcPr>
                <w:p w14:paraId="0B69888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single" w:sz="4" w:space="0" w:color="auto"/>
                    <w:left w:val="nil"/>
                    <w:bottom w:val="nil"/>
                    <w:right w:val="nil"/>
                  </w:tcBorders>
                  <w:noWrap/>
                  <w:vAlign w:val="bottom"/>
                  <w:hideMark/>
                </w:tcPr>
                <w:p w14:paraId="6AA8073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single" w:sz="4" w:space="0" w:color="auto"/>
                    <w:left w:val="nil"/>
                    <w:bottom w:val="nil"/>
                    <w:right w:val="nil"/>
                  </w:tcBorders>
                  <w:noWrap/>
                  <w:vAlign w:val="bottom"/>
                  <w:hideMark/>
                </w:tcPr>
                <w:p w14:paraId="4B290D0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single" w:sz="4" w:space="0" w:color="auto"/>
                    <w:left w:val="nil"/>
                    <w:bottom w:val="nil"/>
                    <w:right w:val="nil"/>
                  </w:tcBorders>
                  <w:noWrap/>
                  <w:vAlign w:val="bottom"/>
                  <w:hideMark/>
                </w:tcPr>
                <w:p w14:paraId="00E6067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0,7</w:t>
                  </w:r>
                </w:p>
              </w:tc>
              <w:tc>
                <w:tcPr>
                  <w:tcW w:w="888" w:type="dxa"/>
                  <w:tcBorders>
                    <w:top w:val="single" w:sz="4" w:space="0" w:color="auto"/>
                    <w:left w:val="nil"/>
                    <w:bottom w:val="nil"/>
                    <w:right w:val="nil"/>
                  </w:tcBorders>
                  <w:noWrap/>
                  <w:vAlign w:val="bottom"/>
                  <w:hideMark/>
                </w:tcPr>
                <w:p w14:paraId="1393925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1F61346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98</w:t>
                  </w:r>
                  <w:r>
                    <w:rPr>
                      <w:rFonts w:cs="Arial"/>
                      <w:color w:val="000000"/>
                      <w:sz w:val="16"/>
                      <w:szCs w:val="16"/>
                      <w:lang w:eastAsia="ko-KR"/>
                    </w:rPr>
                    <w:t>.</w:t>
                  </w:r>
                  <w:r w:rsidRPr="00B131B0">
                    <w:rPr>
                      <w:rFonts w:cs="Arial"/>
                      <w:color w:val="000000"/>
                      <w:sz w:val="16"/>
                      <w:szCs w:val="16"/>
                      <w:lang w:eastAsia="ko-KR"/>
                    </w:rPr>
                    <w:t>0</w:t>
                  </w:r>
                </w:p>
              </w:tc>
            </w:tr>
            <w:tr w:rsidR="00E00AB3" w:rsidRPr="00B131B0" w14:paraId="2AED0147" w14:textId="77777777" w:rsidTr="002F70D5">
              <w:trPr>
                <w:trHeight w:val="255"/>
              </w:trPr>
              <w:tc>
                <w:tcPr>
                  <w:tcW w:w="4265" w:type="dxa"/>
                  <w:tcBorders>
                    <w:top w:val="nil"/>
                    <w:left w:val="nil"/>
                    <w:bottom w:val="nil"/>
                    <w:right w:val="nil"/>
                  </w:tcBorders>
                  <w:noWrap/>
                  <w:vAlign w:val="center"/>
                  <w:hideMark/>
                </w:tcPr>
                <w:p w14:paraId="2E6AB398" w14:textId="77777777" w:rsidR="00E00AB3" w:rsidRPr="00B131B0" w:rsidRDefault="00E00AB3" w:rsidP="00E00AB3">
                  <w:pPr>
                    <w:spacing w:after="0" w:line="240" w:lineRule="auto"/>
                    <w:jc w:val="left"/>
                    <w:rPr>
                      <w:rFonts w:cs="Arial"/>
                      <w:color w:val="000000"/>
                      <w:sz w:val="16"/>
                      <w:szCs w:val="16"/>
                      <w:lang w:eastAsia="ko-KR"/>
                    </w:rPr>
                  </w:pPr>
                  <w:r w:rsidRPr="00B131B0">
                    <w:rPr>
                      <w:rFonts w:cs="Arial"/>
                      <w:color w:val="000000"/>
                      <w:sz w:val="16"/>
                      <w:szCs w:val="16"/>
                      <w:lang w:eastAsia="ko-KR"/>
                    </w:rPr>
                    <w:t>PROD.</w:t>
                  </w:r>
                  <w:r>
                    <w:rPr>
                      <w:rFonts w:cs="Arial"/>
                      <w:color w:val="000000"/>
                      <w:sz w:val="16"/>
                      <w:szCs w:val="16"/>
                      <w:lang w:eastAsia="ko-KR"/>
                    </w:rPr>
                    <w:t xml:space="preserve"> OF AGRICULTURE, FORESTRY AND FISHING</w:t>
                  </w:r>
                </w:p>
              </w:tc>
              <w:tc>
                <w:tcPr>
                  <w:tcW w:w="888" w:type="dxa"/>
                  <w:tcBorders>
                    <w:top w:val="nil"/>
                    <w:left w:val="nil"/>
                    <w:bottom w:val="nil"/>
                    <w:right w:val="nil"/>
                  </w:tcBorders>
                  <w:noWrap/>
                  <w:vAlign w:val="bottom"/>
                  <w:hideMark/>
                </w:tcPr>
                <w:p w14:paraId="4E78985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0378744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3F11B69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2597715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1,7</w:t>
                  </w:r>
                </w:p>
              </w:tc>
              <w:tc>
                <w:tcPr>
                  <w:tcW w:w="888" w:type="dxa"/>
                  <w:tcBorders>
                    <w:top w:val="nil"/>
                    <w:left w:val="nil"/>
                    <w:bottom w:val="nil"/>
                    <w:right w:val="nil"/>
                  </w:tcBorders>
                  <w:noWrap/>
                  <w:vAlign w:val="bottom"/>
                  <w:hideMark/>
                </w:tcPr>
                <w:p w14:paraId="3DE2E07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3C9AC8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96</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6081DF14" w14:textId="77777777" w:rsidTr="002F70D5">
              <w:trPr>
                <w:trHeight w:val="255"/>
              </w:trPr>
              <w:tc>
                <w:tcPr>
                  <w:tcW w:w="4265" w:type="dxa"/>
                  <w:tcBorders>
                    <w:top w:val="nil"/>
                    <w:left w:val="nil"/>
                    <w:bottom w:val="nil"/>
                    <w:right w:val="nil"/>
                  </w:tcBorders>
                  <w:noWrap/>
                  <w:vAlign w:val="center"/>
                  <w:hideMark/>
                </w:tcPr>
                <w:p w14:paraId="6156BDC8"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MINING AND QUARRYING</w:t>
                  </w:r>
                </w:p>
              </w:tc>
              <w:tc>
                <w:tcPr>
                  <w:tcW w:w="888" w:type="dxa"/>
                  <w:tcBorders>
                    <w:top w:val="nil"/>
                    <w:left w:val="nil"/>
                    <w:bottom w:val="nil"/>
                    <w:right w:val="nil"/>
                  </w:tcBorders>
                  <w:noWrap/>
                  <w:vAlign w:val="bottom"/>
                  <w:hideMark/>
                </w:tcPr>
                <w:p w14:paraId="57BB9C5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5368902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25</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6D6F72B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78</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679015E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−3,9</w:t>
                  </w:r>
                </w:p>
              </w:tc>
              <w:tc>
                <w:tcPr>
                  <w:tcW w:w="888" w:type="dxa"/>
                  <w:tcBorders>
                    <w:top w:val="nil"/>
                    <w:left w:val="nil"/>
                    <w:bottom w:val="nil"/>
                    <w:right w:val="nil"/>
                  </w:tcBorders>
                  <w:noWrap/>
                  <w:vAlign w:val="bottom"/>
                  <w:hideMark/>
                </w:tcPr>
                <w:p w14:paraId="1DA4B62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21</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52ECC65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79</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565A5987" w14:textId="77777777" w:rsidTr="002F70D5">
              <w:trPr>
                <w:trHeight w:val="255"/>
              </w:trPr>
              <w:tc>
                <w:tcPr>
                  <w:tcW w:w="4265" w:type="dxa"/>
                  <w:tcBorders>
                    <w:top w:val="nil"/>
                    <w:left w:val="nil"/>
                    <w:bottom w:val="nil"/>
                    <w:right w:val="nil"/>
                  </w:tcBorders>
                  <w:noWrap/>
                  <w:vAlign w:val="center"/>
                  <w:hideMark/>
                </w:tcPr>
                <w:p w14:paraId="7157FC8C"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MANUFACTURING PRODUCTS</w:t>
                  </w:r>
                </w:p>
              </w:tc>
              <w:tc>
                <w:tcPr>
                  <w:tcW w:w="888" w:type="dxa"/>
                  <w:tcBorders>
                    <w:top w:val="nil"/>
                    <w:left w:val="nil"/>
                    <w:bottom w:val="nil"/>
                    <w:right w:val="nil"/>
                  </w:tcBorders>
                  <w:noWrap/>
                  <w:vAlign w:val="bottom"/>
                  <w:hideMark/>
                </w:tcPr>
                <w:p w14:paraId="5780717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758E67C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733127C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3FD08E8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0,2</w:t>
                  </w:r>
                </w:p>
              </w:tc>
              <w:tc>
                <w:tcPr>
                  <w:tcW w:w="888" w:type="dxa"/>
                  <w:tcBorders>
                    <w:top w:val="nil"/>
                    <w:left w:val="nil"/>
                    <w:bottom w:val="nil"/>
                    <w:right w:val="nil"/>
                  </w:tcBorders>
                  <w:noWrap/>
                  <w:vAlign w:val="bottom"/>
                  <w:hideMark/>
                </w:tcPr>
                <w:p w14:paraId="3EF9C88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0F8E04C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98</w:t>
                  </w:r>
                  <w:r>
                    <w:rPr>
                      <w:rFonts w:cs="Arial"/>
                      <w:color w:val="000000"/>
                      <w:sz w:val="16"/>
                      <w:szCs w:val="16"/>
                      <w:lang w:eastAsia="ko-KR"/>
                    </w:rPr>
                    <w:t>.</w:t>
                  </w:r>
                  <w:r w:rsidRPr="00B131B0">
                    <w:rPr>
                      <w:rFonts w:cs="Arial"/>
                      <w:color w:val="000000"/>
                      <w:sz w:val="16"/>
                      <w:szCs w:val="16"/>
                      <w:lang w:eastAsia="ko-KR"/>
                    </w:rPr>
                    <w:t>9</w:t>
                  </w:r>
                </w:p>
              </w:tc>
            </w:tr>
            <w:tr w:rsidR="00E00AB3" w:rsidRPr="00B131B0" w14:paraId="779F42F1" w14:textId="77777777" w:rsidTr="002F70D5">
              <w:trPr>
                <w:trHeight w:val="255"/>
              </w:trPr>
              <w:tc>
                <w:tcPr>
                  <w:tcW w:w="4265" w:type="dxa"/>
                  <w:tcBorders>
                    <w:top w:val="nil"/>
                    <w:left w:val="nil"/>
                    <w:bottom w:val="nil"/>
                    <w:right w:val="nil"/>
                  </w:tcBorders>
                  <w:noWrap/>
                  <w:vAlign w:val="center"/>
                  <w:hideMark/>
                </w:tcPr>
                <w:p w14:paraId="632966F5"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Food products</w:t>
                  </w:r>
                </w:p>
              </w:tc>
              <w:tc>
                <w:tcPr>
                  <w:tcW w:w="888" w:type="dxa"/>
                  <w:tcBorders>
                    <w:top w:val="nil"/>
                    <w:left w:val="nil"/>
                    <w:bottom w:val="nil"/>
                    <w:right w:val="nil"/>
                  </w:tcBorders>
                  <w:noWrap/>
                  <w:vAlign w:val="bottom"/>
                  <w:hideMark/>
                </w:tcPr>
                <w:p w14:paraId="465FB9D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6168679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7D5AA51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197CDED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−7,8</w:t>
                  </w:r>
                </w:p>
              </w:tc>
              <w:tc>
                <w:tcPr>
                  <w:tcW w:w="888" w:type="dxa"/>
                  <w:tcBorders>
                    <w:top w:val="nil"/>
                    <w:left w:val="nil"/>
                    <w:bottom w:val="nil"/>
                    <w:right w:val="nil"/>
                  </w:tcBorders>
                  <w:noWrap/>
                  <w:vAlign w:val="bottom"/>
                  <w:hideMark/>
                </w:tcPr>
                <w:p w14:paraId="667CC1E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5B26B94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0750D92E" w14:textId="77777777" w:rsidTr="002F70D5">
              <w:trPr>
                <w:trHeight w:val="255"/>
              </w:trPr>
              <w:tc>
                <w:tcPr>
                  <w:tcW w:w="4265" w:type="dxa"/>
                  <w:tcBorders>
                    <w:top w:val="nil"/>
                    <w:left w:val="nil"/>
                    <w:bottom w:val="nil"/>
                    <w:right w:val="nil"/>
                  </w:tcBorders>
                  <w:noWrap/>
                  <w:vAlign w:val="center"/>
                  <w:hideMark/>
                </w:tcPr>
                <w:p w14:paraId="33D80971"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Beverages</w:t>
                  </w:r>
                </w:p>
              </w:tc>
              <w:tc>
                <w:tcPr>
                  <w:tcW w:w="888" w:type="dxa"/>
                  <w:tcBorders>
                    <w:top w:val="nil"/>
                    <w:left w:val="nil"/>
                    <w:bottom w:val="nil"/>
                    <w:right w:val="nil"/>
                  </w:tcBorders>
                  <w:noWrap/>
                  <w:vAlign w:val="bottom"/>
                  <w:hideMark/>
                </w:tcPr>
                <w:p w14:paraId="01EF117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4B7EAF4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5617A3A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63EDC1C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−5,6</w:t>
                  </w:r>
                </w:p>
              </w:tc>
              <w:tc>
                <w:tcPr>
                  <w:tcW w:w="888" w:type="dxa"/>
                  <w:tcBorders>
                    <w:top w:val="nil"/>
                    <w:left w:val="nil"/>
                    <w:bottom w:val="nil"/>
                    <w:right w:val="nil"/>
                  </w:tcBorders>
                  <w:noWrap/>
                  <w:vAlign w:val="bottom"/>
                  <w:hideMark/>
                </w:tcPr>
                <w:p w14:paraId="33303BD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5C74C90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92</w:t>
                  </w:r>
                  <w:r>
                    <w:rPr>
                      <w:rFonts w:cs="Arial"/>
                      <w:color w:val="000000"/>
                      <w:sz w:val="16"/>
                      <w:szCs w:val="16"/>
                      <w:lang w:eastAsia="ko-KR"/>
                    </w:rPr>
                    <w:t>.</w:t>
                  </w:r>
                  <w:r w:rsidRPr="00B131B0">
                    <w:rPr>
                      <w:rFonts w:cs="Arial"/>
                      <w:color w:val="000000"/>
                      <w:sz w:val="16"/>
                      <w:szCs w:val="16"/>
                      <w:lang w:eastAsia="ko-KR"/>
                    </w:rPr>
                    <w:t>9</w:t>
                  </w:r>
                </w:p>
              </w:tc>
            </w:tr>
            <w:tr w:rsidR="00E00AB3" w:rsidRPr="00B131B0" w14:paraId="616D5C2F" w14:textId="77777777" w:rsidTr="002F70D5">
              <w:trPr>
                <w:trHeight w:val="255"/>
              </w:trPr>
              <w:tc>
                <w:tcPr>
                  <w:tcW w:w="4265" w:type="dxa"/>
                  <w:tcBorders>
                    <w:top w:val="nil"/>
                    <w:left w:val="nil"/>
                    <w:bottom w:val="nil"/>
                    <w:right w:val="nil"/>
                  </w:tcBorders>
                  <w:noWrap/>
                  <w:vAlign w:val="center"/>
                  <w:hideMark/>
                </w:tcPr>
                <w:p w14:paraId="43A85FB3" w14:textId="77777777" w:rsidR="00E00AB3" w:rsidRPr="00B131B0" w:rsidRDefault="00E00AB3" w:rsidP="00E00AB3">
                  <w:pPr>
                    <w:spacing w:after="0" w:line="240" w:lineRule="auto"/>
                    <w:ind w:left="82"/>
                    <w:jc w:val="left"/>
                    <w:rPr>
                      <w:rFonts w:cs="Arial"/>
                      <w:color w:val="000000"/>
                      <w:sz w:val="16"/>
                      <w:szCs w:val="16"/>
                      <w:lang w:eastAsia="ko-KR"/>
                    </w:rPr>
                  </w:pPr>
                  <w:r w:rsidRPr="00B131B0">
                    <w:rPr>
                      <w:rFonts w:cs="Arial"/>
                      <w:color w:val="000000"/>
                      <w:sz w:val="16"/>
                      <w:szCs w:val="16"/>
                      <w:lang w:eastAsia="ko-KR"/>
                    </w:rPr>
                    <w:t>Text</w:t>
                  </w:r>
                  <w:r>
                    <w:rPr>
                      <w:rFonts w:cs="Arial"/>
                      <w:color w:val="000000"/>
                      <w:sz w:val="16"/>
                      <w:szCs w:val="16"/>
                      <w:lang w:eastAsia="ko-KR"/>
                    </w:rPr>
                    <w:t>iles</w:t>
                  </w:r>
                </w:p>
              </w:tc>
              <w:tc>
                <w:tcPr>
                  <w:tcW w:w="888" w:type="dxa"/>
                  <w:tcBorders>
                    <w:top w:val="nil"/>
                    <w:left w:val="nil"/>
                    <w:bottom w:val="nil"/>
                    <w:right w:val="nil"/>
                  </w:tcBorders>
                  <w:noWrap/>
                  <w:vAlign w:val="bottom"/>
                  <w:hideMark/>
                </w:tcPr>
                <w:p w14:paraId="2D6C336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2AFC433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2AAC790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35AC547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−0,6</w:t>
                  </w:r>
                </w:p>
              </w:tc>
              <w:tc>
                <w:tcPr>
                  <w:tcW w:w="888" w:type="dxa"/>
                  <w:tcBorders>
                    <w:top w:val="nil"/>
                    <w:left w:val="nil"/>
                    <w:bottom w:val="nil"/>
                    <w:right w:val="nil"/>
                  </w:tcBorders>
                  <w:noWrap/>
                  <w:vAlign w:val="bottom"/>
                  <w:hideMark/>
                </w:tcPr>
                <w:p w14:paraId="2F313F4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0F55962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103</w:t>
                  </w:r>
                  <w:r>
                    <w:rPr>
                      <w:rFonts w:cs="Arial"/>
                      <w:color w:val="000000"/>
                      <w:sz w:val="16"/>
                      <w:szCs w:val="16"/>
                      <w:lang w:eastAsia="ko-KR"/>
                    </w:rPr>
                    <w:t>.</w:t>
                  </w:r>
                  <w:r w:rsidRPr="00B131B0">
                    <w:rPr>
                      <w:rFonts w:cs="Arial"/>
                      <w:color w:val="000000"/>
                      <w:sz w:val="16"/>
                      <w:szCs w:val="16"/>
                      <w:lang w:eastAsia="ko-KR"/>
                    </w:rPr>
                    <w:t>0</w:t>
                  </w:r>
                </w:p>
              </w:tc>
            </w:tr>
            <w:tr w:rsidR="00E00AB3" w:rsidRPr="00B131B0" w14:paraId="7FF3691C" w14:textId="77777777" w:rsidTr="002F70D5">
              <w:trPr>
                <w:trHeight w:val="255"/>
              </w:trPr>
              <w:tc>
                <w:tcPr>
                  <w:tcW w:w="4265" w:type="dxa"/>
                  <w:tcBorders>
                    <w:top w:val="nil"/>
                    <w:left w:val="nil"/>
                    <w:bottom w:val="nil"/>
                    <w:right w:val="nil"/>
                  </w:tcBorders>
                  <w:noWrap/>
                  <w:vAlign w:val="center"/>
                  <w:hideMark/>
                </w:tcPr>
                <w:p w14:paraId="3B765C01"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Wearing apparel</w:t>
                  </w:r>
                </w:p>
              </w:tc>
              <w:tc>
                <w:tcPr>
                  <w:tcW w:w="888" w:type="dxa"/>
                  <w:tcBorders>
                    <w:top w:val="nil"/>
                    <w:left w:val="nil"/>
                    <w:bottom w:val="nil"/>
                    <w:right w:val="nil"/>
                  </w:tcBorders>
                  <w:noWrap/>
                  <w:vAlign w:val="bottom"/>
                  <w:hideMark/>
                </w:tcPr>
                <w:p w14:paraId="46B45F8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10C20E6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7FAFFE2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1DB7065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−1,5</w:t>
                  </w:r>
                </w:p>
              </w:tc>
              <w:tc>
                <w:tcPr>
                  <w:tcW w:w="888" w:type="dxa"/>
                  <w:tcBorders>
                    <w:top w:val="nil"/>
                    <w:left w:val="nil"/>
                    <w:bottom w:val="nil"/>
                    <w:right w:val="nil"/>
                  </w:tcBorders>
                  <w:noWrap/>
                  <w:vAlign w:val="bottom"/>
                  <w:hideMark/>
                </w:tcPr>
                <w:p w14:paraId="117B63D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45B305D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108</w:t>
                  </w:r>
                  <w:r>
                    <w:rPr>
                      <w:rFonts w:cs="Arial"/>
                      <w:color w:val="000000"/>
                      <w:sz w:val="16"/>
                      <w:szCs w:val="16"/>
                      <w:lang w:eastAsia="ko-KR"/>
                    </w:rPr>
                    <w:t>.</w:t>
                  </w:r>
                  <w:r w:rsidRPr="00B131B0">
                    <w:rPr>
                      <w:rFonts w:cs="Arial"/>
                      <w:color w:val="000000"/>
                      <w:sz w:val="16"/>
                      <w:szCs w:val="16"/>
                      <w:lang w:eastAsia="ko-KR"/>
                    </w:rPr>
                    <w:t>3</w:t>
                  </w:r>
                </w:p>
              </w:tc>
            </w:tr>
            <w:tr w:rsidR="00E00AB3" w:rsidRPr="00B131B0" w14:paraId="3140CA17" w14:textId="77777777" w:rsidTr="002F70D5">
              <w:trPr>
                <w:trHeight w:val="255"/>
              </w:trPr>
              <w:tc>
                <w:tcPr>
                  <w:tcW w:w="4265" w:type="dxa"/>
                  <w:tcBorders>
                    <w:top w:val="nil"/>
                    <w:left w:val="nil"/>
                    <w:bottom w:val="nil"/>
                    <w:right w:val="nil"/>
                  </w:tcBorders>
                  <w:noWrap/>
                  <w:vAlign w:val="center"/>
                  <w:hideMark/>
                </w:tcPr>
                <w:p w14:paraId="381441DF"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Leather and related products</w:t>
                  </w:r>
                </w:p>
              </w:tc>
              <w:tc>
                <w:tcPr>
                  <w:tcW w:w="888" w:type="dxa"/>
                  <w:tcBorders>
                    <w:top w:val="nil"/>
                    <w:left w:val="nil"/>
                    <w:bottom w:val="nil"/>
                    <w:right w:val="nil"/>
                  </w:tcBorders>
                  <w:noWrap/>
                  <w:vAlign w:val="bottom"/>
                  <w:hideMark/>
                </w:tcPr>
                <w:p w14:paraId="7C2FD4A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51FE50A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2468066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45CB90E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−4,0</w:t>
                  </w:r>
                </w:p>
              </w:tc>
              <w:tc>
                <w:tcPr>
                  <w:tcW w:w="888" w:type="dxa"/>
                  <w:tcBorders>
                    <w:top w:val="nil"/>
                    <w:left w:val="nil"/>
                    <w:bottom w:val="nil"/>
                    <w:right w:val="nil"/>
                  </w:tcBorders>
                  <w:noWrap/>
                  <w:vAlign w:val="bottom"/>
                  <w:hideMark/>
                </w:tcPr>
                <w:p w14:paraId="2D832A8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1C02C4B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93</w:t>
                  </w:r>
                  <w:r>
                    <w:rPr>
                      <w:rFonts w:cs="Arial"/>
                      <w:color w:val="000000"/>
                      <w:sz w:val="16"/>
                      <w:szCs w:val="16"/>
                      <w:lang w:eastAsia="ko-KR"/>
                    </w:rPr>
                    <w:t>.</w:t>
                  </w:r>
                  <w:r w:rsidRPr="00B131B0">
                    <w:rPr>
                      <w:rFonts w:cs="Arial"/>
                      <w:color w:val="000000"/>
                      <w:sz w:val="16"/>
                      <w:szCs w:val="16"/>
                      <w:lang w:eastAsia="ko-KR"/>
                    </w:rPr>
                    <w:t>8</w:t>
                  </w:r>
                </w:p>
              </w:tc>
            </w:tr>
            <w:tr w:rsidR="00E00AB3" w:rsidRPr="00B131B0" w14:paraId="22FD7149" w14:textId="77777777" w:rsidTr="002F70D5">
              <w:trPr>
                <w:trHeight w:val="255"/>
              </w:trPr>
              <w:tc>
                <w:tcPr>
                  <w:tcW w:w="4265" w:type="dxa"/>
                  <w:tcBorders>
                    <w:top w:val="nil"/>
                    <w:left w:val="nil"/>
                    <w:bottom w:val="nil"/>
                    <w:right w:val="nil"/>
                  </w:tcBorders>
                  <w:noWrap/>
                  <w:vAlign w:val="center"/>
                  <w:hideMark/>
                </w:tcPr>
                <w:p w14:paraId="1D959DA3"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Wood and products of wood and cork, except for furniture</w:t>
                  </w:r>
                </w:p>
              </w:tc>
              <w:tc>
                <w:tcPr>
                  <w:tcW w:w="888" w:type="dxa"/>
                  <w:tcBorders>
                    <w:top w:val="nil"/>
                    <w:left w:val="nil"/>
                    <w:bottom w:val="nil"/>
                    <w:right w:val="nil"/>
                  </w:tcBorders>
                  <w:noWrap/>
                  <w:vAlign w:val="bottom"/>
                  <w:hideMark/>
                </w:tcPr>
                <w:p w14:paraId="0FCD426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5079D24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6C8575C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5703B6F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5,5</w:t>
                  </w:r>
                </w:p>
              </w:tc>
              <w:tc>
                <w:tcPr>
                  <w:tcW w:w="888" w:type="dxa"/>
                  <w:tcBorders>
                    <w:top w:val="nil"/>
                    <w:left w:val="nil"/>
                    <w:bottom w:val="nil"/>
                    <w:right w:val="nil"/>
                  </w:tcBorders>
                  <w:noWrap/>
                  <w:vAlign w:val="bottom"/>
                  <w:hideMark/>
                </w:tcPr>
                <w:p w14:paraId="448F2F1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40F88B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103</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19C7E700" w14:textId="77777777" w:rsidTr="002F70D5">
              <w:trPr>
                <w:trHeight w:val="255"/>
              </w:trPr>
              <w:tc>
                <w:tcPr>
                  <w:tcW w:w="4265" w:type="dxa"/>
                  <w:tcBorders>
                    <w:top w:val="nil"/>
                    <w:left w:val="nil"/>
                    <w:bottom w:val="nil"/>
                    <w:right w:val="nil"/>
                  </w:tcBorders>
                  <w:noWrap/>
                  <w:vAlign w:val="center"/>
                  <w:hideMark/>
                </w:tcPr>
                <w:p w14:paraId="6FEFC0F4" w14:textId="77777777" w:rsidR="00E00AB3" w:rsidRPr="00B131B0" w:rsidRDefault="00E00AB3" w:rsidP="00E00AB3">
                  <w:pPr>
                    <w:spacing w:after="0" w:line="240" w:lineRule="auto"/>
                    <w:ind w:left="82"/>
                    <w:jc w:val="left"/>
                    <w:rPr>
                      <w:rFonts w:cs="Arial"/>
                      <w:color w:val="000000"/>
                      <w:sz w:val="16"/>
                      <w:szCs w:val="16"/>
                      <w:lang w:eastAsia="ko-KR"/>
                    </w:rPr>
                  </w:pPr>
                  <w:r w:rsidRPr="00B131B0">
                    <w:rPr>
                      <w:rFonts w:cs="Arial"/>
                      <w:color w:val="000000"/>
                      <w:sz w:val="16"/>
                      <w:szCs w:val="16"/>
                      <w:lang w:eastAsia="ko-KR"/>
                    </w:rPr>
                    <w:t>Pap</w:t>
                  </w:r>
                  <w:r>
                    <w:rPr>
                      <w:rFonts w:cs="Arial"/>
                      <w:color w:val="000000"/>
                      <w:sz w:val="16"/>
                      <w:szCs w:val="16"/>
                      <w:lang w:eastAsia="ko-KR"/>
                    </w:rPr>
                    <w:t>er and paper products</w:t>
                  </w:r>
                </w:p>
              </w:tc>
              <w:tc>
                <w:tcPr>
                  <w:tcW w:w="888" w:type="dxa"/>
                  <w:tcBorders>
                    <w:top w:val="nil"/>
                    <w:left w:val="nil"/>
                    <w:bottom w:val="nil"/>
                    <w:right w:val="nil"/>
                  </w:tcBorders>
                  <w:noWrap/>
                  <w:vAlign w:val="bottom"/>
                  <w:hideMark/>
                </w:tcPr>
                <w:p w14:paraId="5BCA3CC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7889E2D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5CD183A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6CB4038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−6,4</w:t>
                  </w:r>
                </w:p>
              </w:tc>
              <w:tc>
                <w:tcPr>
                  <w:tcW w:w="888" w:type="dxa"/>
                  <w:tcBorders>
                    <w:top w:val="nil"/>
                    <w:left w:val="nil"/>
                    <w:bottom w:val="nil"/>
                    <w:right w:val="nil"/>
                  </w:tcBorders>
                  <w:noWrap/>
                  <w:vAlign w:val="bottom"/>
                  <w:hideMark/>
                </w:tcPr>
                <w:p w14:paraId="50F7D01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4DF70D5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96</w:t>
                  </w:r>
                  <w:r>
                    <w:rPr>
                      <w:rFonts w:cs="Arial"/>
                      <w:color w:val="000000"/>
                      <w:sz w:val="16"/>
                      <w:szCs w:val="16"/>
                      <w:lang w:eastAsia="ko-KR"/>
                    </w:rPr>
                    <w:t>.</w:t>
                  </w:r>
                  <w:r w:rsidRPr="00B131B0">
                    <w:rPr>
                      <w:rFonts w:cs="Arial"/>
                      <w:color w:val="000000"/>
                      <w:sz w:val="16"/>
                      <w:szCs w:val="16"/>
                      <w:lang w:eastAsia="ko-KR"/>
                    </w:rPr>
                    <w:t>0</w:t>
                  </w:r>
                </w:p>
              </w:tc>
            </w:tr>
            <w:tr w:rsidR="00E00AB3" w:rsidRPr="00B131B0" w14:paraId="6BE64FDA" w14:textId="77777777" w:rsidTr="002F70D5">
              <w:trPr>
                <w:trHeight w:val="255"/>
              </w:trPr>
              <w:tc>
                <w:tcPr>
                  <w:tcW w:w="4265" w:type="dxa"/>
                  <w:tcBorders>
                    <w:top w:val="nil"/>
                    <w:left w:val="nil"/>
                    <w:bottom w:val="nil"/>
                    <w:right w:val="nil"/>
                  </w:tcBorders>
                  <w:noWrap/>
                  <w:vAlign w:val="center"/>
                  <w:hideMark/>
                </w:tcPr>
                <w:p w14:paraId="24F5B269" w14:textId="77777777" w:rsidR="00E00AB3" w:rsidRPr="00C80971" w:rsidRDefault="00E00AB3" w:rsidP="00E00AB3">
                  <w:pPr>
                    <w:spacing w:after="0" w:line="240" w:lineRule="auto"/>
                    <w:ind w:left="82"/>
                    <w:jc w:val="left"/>
                    <w:rPr>
                      <w:rFonts w:cs="Arial"/>
                      <w:color w:val="000000"/>
                      <w:sz w:val="16"/>
                      <w:szCs w:val="16"/>
                      <w:lang w:val="en-US" w:eastAsia="ko-KR"/>
                    </w:rPr>
                  </w:pPr>
                  <w:r w:rsidRPr="00C80971">
                    <w:rPr>
                      <w:rFonts w:cs="Arial"/>
                      <w:color w:val="000000"/>
                      <w:sz w:val="16"/>
                      <w:szCs w:val="16"/>
                      <w:lang w:val="en-US" w:eastAsia="ko-KR"/>
                    </w:rPr>
                    <w:t>Coke and refined petroleum produc</w:t>
                  </w:r>
                  <w:r>
                    <w:rPr>
                      <w:rFonts w:cs="Arial"/>
                      <w:color w:val="000000"/>
                      <w:sz w:val="16"/>
                      <w:szCs w:val="16"/>
                      <w:lang w:val="en-US" w:eastAsia="ko-KR"/>
                    </w:rPr>
                    <w:t>ts</w:t>
                  </w:r>
                </w:p>
              </w:tc>
              <w:tc>
                <w:tcPr>
                  <w:tcW w:w="888" w:type="dxa"/>
                  <w:tcBorders>
                    <w:top w:val="nil"/>
                    <w:left w:val="nil"/>
                    <w:bottom w:val="nil"/>
                    <w:right w:val="nil"/>
                  </w:tcBorders>
                  <w:noWrap/>
                  <w:vAlign w:val="bottom"/>
                  <w:hideMark/>
                </w:tcPr>
                <w:p w14:paraId="00CA1D9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35</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64DE139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45</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36A1F9E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93</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7EFD99E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43,2</w:t>
                  </w:r>
                </w:p>
              </w:tc>
              <w:tc>
                <w:tcPr>
                  <w:tcW w:w="888" w:type="dxa"/>
                  <w:tcBorders>
                    <w:top w:val="nil"/>
                    <w:left w:val="nil"/>
                    <w:bottom w:val="nil"/>
                    <w:right w:val="nil"/>
                  </w:tcBorders>
                  <w:noWrap/>
                  <w:vAlign w:val="bottom"/>
                  <w:hideMark/>
                </w:tcPr>
                <w:p w14:paraId="6206954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59</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3199949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89</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7DD5CC80" w14:textId="77777777" w:rsidTr="002F70D5">
              <w:trPr>
                <w:trHeight w:val="255"/>
              </w:trPr>
              <w:tc>
                <w:tcPr>
                  <w:tcW w:w="4265" w:type="dxa"/>
                  <w:tcBorders>
                    <w:top w:val="nil"/>
                    <w:left w:val="nil"/>
                    <w:bottom w:val="nil"/>
                    <w:right w:val="nil"/>
                  </w:tcBorders>
                  <w:noWrap/>
                  <w:vAlign w:val="center"/>
                  <w:hideMark/>
                </w:tcPr>
                <w:p w14:paraId="7D9246B8" w14:textId="77777777" w:rsidR="00E00AB3" w:rsidRPr="00B131B0" w:rsidRDefault="00E00AB3" w:rsidP="00E00AB3">
                  <w:pPr>
                    <w:spacing w:after="0" w:line="240" w:lineRule="auto"/>
                    <w:ind w:left="82"/>
                    <w:jc w:val="left"/>
                    <w:rPr>
                      <w:rFonts w:cs="Arial"/>
                      <w:color w:val="000000"/>
                      <w:sz w:val="16"/>
                      <w:szCs w:val="16"/>
                      <w:lang w:eastAsia="ko-KR"/>
                    </w:rPr>
                  </w:pPr>
                  <w:r w:rsidRPr="00B131B0">
                    <w:rPr>
                      <w:rFonts w:cs="Arial"/>
                      <w:color w:val="000000"/>
                      <w:sz w:val="16"/>
                      <w:szCs w:val="16"/>
                      <w:lang w:eastAsia="ko-KR"/>
                    </w:rPr>
                    <w:t>Chem</w:t>
                  </w:r>
                  <w:r>
                    <w:rPr>
                      <w:rFonts w:cs="Arial"/>
                      <w:color w:val="000000"/>
                      <w:sz w:val="16"/>
                      <w:szCs w:val="16"/>
                      <w:lang w:eastAsia="ko-KR"/>
                    </w:rPr>
                    <w:t>icals and chemical products</w:t>
                  </w:r>
                </w:p>
              </w:tc>
              <w:tc>
                <w:tcPr>
                  <w:tcW w:w="888" w:type="dxa"/>
                  <w:tcBorders>
                    <w:top w:val="nil"/>
                    <w:left w:val="nil"/>
                    <w:bottom w:val="nil"/>
                    <w:right w:val="nil"/>
                  </w:tcBorders>
                  <w:noWrap/>
                  <w:vAlign w:val="bottom"/>
                  <w:hideMark/>
                </w:tcPr>
                <w:p w14:paraId="6FAFE9A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15</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4AA4237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15F10D5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103</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5B9A2B5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7,0</w:t>
                  </w:r>
                </w:p>
              </w:tc>
              <w:tc>
                <w:tcPr>
                  <w:tcW w:w="888" w:type="dxa"/>
                  <w:tcBorders>
                    <w:top w:val="nil"/>
                    <w:left w:val="nil"/>
                    <w:bottom w:val="nil"/>
                    <w:right w:val="nil"/>
                  </w:tcBorders>
                  <w:noWrap/>
                  <w:vAlign w:val="bottom"/>
                  <w:hideMark/>
                </w:tcPr>
                <w:p w14:paraId="447D3C7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138559E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5</w:t>
                  </w:r>
                </w:p>
              </w:tc>
            </w:tr>
            <w:tr w:rsidR="00E00AB3" w:rsidRPr="00B131B0" w14:paraId="7972C62A" w14:textId="77777777" w:rsidTr="002F70D5">
              <w:trPr>
                <w:trHeight w:val="255"/>
              </w:trPr>
              <w:tc>
                <w:tcPr>
                  <w:tcW w:w="4265" w:type="dxa"/>
                  <w:tcBorders>
                    <w:top w:val="nil"/>
                    <w:left w:val="nil"/>
                    <w:bottom w:val="nil"/>
                    <w:right w:val="nil"/>
                  </w:tcBorders>
                  <w:noWrap/>
                  <w:vAlign w:val="center"/>
                  <w:hideMark/>
                </w:tcPr>
                <w:p w14:paraId="0E133A72"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Basic pharmaceutical products</w:t>
                  </w:r>
                </w:p>
              </w:tc>
              <w:tc>
                <w:tcPr>
                  <w:tcW w:w="888" w:type="dxa"/>
                  <w:tcBorders>
                    <w:top w:val="nil"/>
                    <w:left w:val="nil"/>
                    <w:bottom w:val="nil"/>
                    <w:right w:val="nil"/>
                  </w:tcBorders>
                  <w:noWrap/>
                  <w:vAlign w:val="bottom"/>
                  <w:hideMark/>
                </w:tcPr>
                <w:p w14:paraId="12B5E94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67C315A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22328E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59E4C8F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w:t>
                  </w:r>
                </w:p>
              </w:tc>
              <w:tc>
                <w:tcPr>
                  <w:tcW w:w="888" w:type="dxa"/>
                  <w:tcBorders>
                    <w:top w:val="nil"/>
                    <w:left w:val="nil"/>
                    <w:bottom w:val="nil"/>
                    <w:right w:val="nil"/>
                  </w:tcBorders>
                  <w:noWrap/>
                  <w:vAlign w:val="bottom"/>
                  <w:hideMark/>
                </w:tcPr>
                <w:p w14:paraId="38FF45B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3421381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98</w:t>
                  </w:r>
                  <w:r>
                    <w:rPr>
                      <w:rFonts w:cs="Arial"/>
                      <w:color w:val="000000"/>
                      <w:sz w:val="16"/>
                      <w:szCs w:val="16"/>
                      <w:lang w:eastAsia="ko-KR"/>
                    </w:rPr>
                    <w:t>.</w:t>
                  </w:r>
                  <w:r w:rsidRPr="00B131B0">
                    <w:rPr>
                      <w:rFonts w:cs="Arial"/>
                      <w:color w:val="000000"/>
                      <w:sz w:val="16"/>
                      <w:szCs w:val="16"/>
                      <w:lang w:eastAsia="ko-KR"/>
                    </w:rPr>
                    <w:t>2</w:t>
                  </w:r>
                </w:p>
              </w:tc>
            </w:tr>
            <w:tr w:rsidR="00E00AB3" w:rsidRPr="00B131B0" w14:paraId="243B39CB" w14:textId="77777777" w:rsidTr="002F70D5">
              <w:trPr>
                <w:trHeight w:val="255"/>
              </w:trPr>
              <w:tc>
                <w:tcPr>
                  <w:tcW w:w="4265" w:type="dxa"/>
                  <w:tcBorders>
                    <w:top w:val="nil"/>
                    <w:left w:val="nil"/>
                    <w:bottom w:val="nil"/>
                    <w:right w:val="nil"/>
                  </w:tcBorders>
                  <w:noWrap/>
                  <w:vAlign w:val="center"/>
                  <w:hideMark/>
                </w:tcPr>
                <w:p w14:paraId="43292F58"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Rubber and plastic products</w:t>
                  </w:r>
                </w:p>
              </w:tc>
              <w:tc>
                <w:tcPr>
                  <w:tcW w:w="888" w:type="dxa"/>
                  <w:tcBorders>
                    <w:top w:val="nil"/>
                    <w:left w:val="nil"/>
                    <w:bottom w:val="nil"/>
                    <w:right w:val="nil"/>
                  </w:tcBorders>
                  <w:noWrap/>
                  <w:vAlign w:val="bottom"/>
                  <w:hideMark/>
                </w:tcPr>
                <w:p w14:paraId="1E0A270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0686F14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01E33F8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06091F3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−1,3</w:t>
                  </w:r>
                </w:p>
              </w:tc>
              <w:tc>
                <w:tcPr>
                  <w:tcW w:w="888" w:type="dxa"/>
                  <w:tcBorders>
                    <w:top w:val="nil"/>
                    <w:left w:val="nil"/>
                    <w:bottom w:val="nil"/>
                    <w:right w:val="nil"/>
                  </w:tcBorders>
                  <w:noWrap/>
                  <w:vAlign w:val="bottom"/>
                  <w:hideMark/>
                </w:tcPr>
                <w:p w14:paraId="26FF86E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33E646E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5</w:t>
                  </w:r>
                </w:p>
              </w:tc>
            </w:tr>
            <w:tr w:rsidR="00E00AB3" w:rsidRPr="00B131B0" w14:paraId="4401D1CC" w14:textId="77777777" w:rsidTr="002F70D5">
              <w:trPr>
                <w:trHeight w:val="255"/>
              </w:trPr>
              <w:tc>
                <w:tcPr>
                  <w:tcW w:w="4265" w:type="dxa"/>
                  <w:tcBorders>
                    <w:top w:val="nil"/>
                    <w:left w:val="nil"/>
                    <w:bottom w:val="nil"/>
                    <w:right w:val="nil"/>
                  </w:tcBorders>
                  <w:noWrap/>
                  <w:vAlign w:val="center"/>
                  <w:hideMark/>
                </w:tcPr>
                <w:p w14:paraId="0F24D41D"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Other non-meta</w:t>
                  </w:r>
                  <w:r>
                    <w:rPr>
                      <w:rFonts w:cs="Arial"/>
                      <w:color w:val="000000"/>
                      <w:sz w:val="16"/>
                      <w:szCs w:val="16"/>
                    </w:rPr>
                    <w:t>l</w:t>
                  </w:r>
                  <w:r w:rsidRPr="00995C95">
                    <w:rPr>
                      <w:rFonts w:cs="Arial"/>
                      <w:color w:val="000000"/>
                      <w:sz w:val="16"/>
                      <w:szCs w:val="16"/>
                    </w:rPr>
                    <w:t>l</w:t>
                  </w:r>
                  <w:r>
                    <w:rPr>
                      <w:rFonts w:cs="Arial"/>
                      <w:color w:val="000000"/>
                      <w:sz w:val="16"/>
                      <w:szCs w:val="16"/>
                    </w:rPr>
                    <w:t>ic</w:t>
                  </w:r>
                  <w:r w:rsidRPr="00995C95">
                    <w:rPr>
                      <w:rFonts w:cs="Arial"/>
                      <w:color w:val="000000"/>
                      <w:sz w:val="16"/>
                      <w:szCs w:val="16"/>
                    </w:rPr>
                    <w:t xml:space="preserve"> mineral products</w:t>
                  </w:r>
                </w:p>
              </w:tc>
              <w:tc>
                <w:tcPr>
                  <w:tcW w:w="888" w:type="dxa"/>
                  <w:tcBorders>
                    <w:top w:val="nil"/>
                    <w:left w:val="nil"/>
                    <w:bottom w:val="nil"/>
                    <w:right w:val="nil"/>
                  </w:tcBorders>
                  <w:noWrap/>
                  <w:vAlign w:val="bottom"/>
                  <w:hideMark/>
                </w:tcPr>
                <w:p w14:paraId="12EA109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388AA3C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39BA706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40773D3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−1,7</w:t>
                  </w:r>
                </w:p>
              </w:tc>
              <w:tc>
                <w:tcPr>
                  <w:tcW w:w="888" w:type="dxa"/>
                  <w:tcBorders>
                    <w:top w:val="nil"/>
                    <w:left w:val="nil"/>
                    <w:bottom w:val="nil"/>
                    <w:right w:val="nil"/>
                  </w:tcBorders>
                  <w:noWrap/>
                  <w:vAlign w:val="bottom"/>
                  <w:hideMark/>
                </w:tcPr>
                <w:p w14:paraId="3974555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3EFB268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330B4E6F" w14:textId="77777777" w:rsidTr="002F70D5">
              <w:trPr>
                <w:trHeight w:val="255"/>
              </w:trPr>
              <w:tc>
                <w:tcPr>
                  <w:tcW w:w="4265" w:type="dxa"/>
                  <w:tcBorders>
                    <w:top w:val="nil"/>
                    <w:left w:val="nil"/>
                    <w:bottom w:val="nil"/>
                    <w:right w:val="nil"/>
                  </w:tcBorders>
                  <w:noWrap/>
                  <w:vAlign w:val="center"/>
                  <w:hideMark/>
                </w:tcPr>
                <w:p w14:paraId="14DA6743"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Basic metals</w:t>
                  </w:r>
                </w:p>
              </w:tc>
              <w:tc>
                <w:tcPr>
                  <w:tcW w:w="888" w:type="dxa"/>
                  <w:tcBorders>
                    <w:top w:val="nil"/>
                    <w:left w:val="nil"/>
                    <w:bottom w:val="nil"/>
                    <w:right w:val="nil"/>
                  </w:tcBorders>
                  <w:noWrap/>
                  <w:vAlign w:val="bottom"/>
                  <w:hideMark/>
                </w:tcPr>
                <w:p w14:paraId="19B83B4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BC5CBC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7E27A71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5241619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2,9</w:t>
                  </w:r>
                </w:p>
              </w:tc>
              <w:tc>
                <w:tcPr>
                  <w:tcW w:w="888" w:type="dxa"/>
                  <w:tcBorders>
                    <w:top w:val="nil"/>
                    <w:left w:val="nil"/>
                    <w:bottom w:val="nil"/>
                    <w:right w:val="nil"/>
                  </w:tcBorders>
                  <w:noWrap/>
                  <w:vAlign w:val="bottom"/>
                  <w:hideMark/>
                </w:tcPr>
                <w:p w14:paraId="3148AD4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4C2B453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96</w:t>
                  </w:r>
                  <w:r>
                    <w:rPr>
                      <w:rFonts w:cs="Arial"/>
                      <w:color w:val="000000"/>
                      <w:sz w:val="16"/>
                      <w:szCs w:val="16"/>
                      <w:lang w:eastAsia="ko-KR"/>
                    </w:rPr>
                    <w:t>.</w:t>
                  </w:r>
                  <w:r w:rsidRPr="00B131B0">
                    <w:rPr>
                      <w:rFonts w:cs="Arial"/>
                      <w:color w:val="000000"/>
                      <w:sz w:val="16"/>
                      <w:szCs w:val="16"/>
                      <w:lang w:eastAsia="ko-KR"/>
                    </w:rPr>
                    <w:t>3</w:t>
                  </w:r>
                </w:p>
              </w:tc>
            </w:tr>
            <w:tr w:rsidR="00E00AB3" w:rsidRPr="00B131B0" w14:paraId="11A65412" w14:textId="77777777" w:rsidTr="002F70D5">
              <w:trPr>
                <w:trHeight w:val="255"/>
              </w:trPr>
              <w:tc>
                <w:tcPr>
                  <w:tcW w:w="4265" w:type="dxa"/>
                  <w:tcBorders>
                    <w:top w:val="nil"/>
                    <w:left w:val="nil"/>
                    <w:bottom w:val="nil"/>
                    <w:right w:val="nil"/>
                  </w:tcBorders>
                  <w:noWrap/>
                  <w:vAlign w:val="center"/>
                  <w:hideMark/>
                </w:tcPr>
                <w:p w14:paraId="53CCD10A" w14:textId="77777777" w:rsidR="00E00AB3" w:rsidRPr="00B131B0" w:rsidRDefault="00E00AB3" w:rsidP="00E00AB3">
                  <w:pPr>
                    <w:spacing w:after="0" w:line="240" w:lineRule="auto"/>
                    <w:ind w:left="82"/>
                    <w:jc w:val="left"/>
                    <w:rPr>
                      <w:rFonts w:cs="Arial"/>
                      <w:color w:val="000000"/>
                      <w:sz w:val="16"/>
                      <w:szCs w:val="16"/>
                      <w:lang w:eastAsia="ko-KR"/>
                    </w:rPr>
                  </w:pPr>
                  <w:r w:rsidRPr="00A624C3">
                    <w:rPr>
                      <w:rFonts w:cs="Arial"/>
                      <w:color w:val="000000"/>
                      <w:sz w:val="16"/>
                      <w:szCs w:val="16"/>
                    </w:rPr>
                    <w:t>Fabricated metal products, except machinery and equipment</w:t>
                  </w:r>
                </w:p>
              </w:tc>
              <w:tc>
                <w:tcPr>
                  <w:tcW w:w="888" w:type="dxa"/>
                  <w:tcBorders>
                    <w:top w:val="nil"/>
                    <w:left w:val="nil"/>
                    <w:bottom w:val="nil"/>
                    <w:right w:val="nil"/>
                  </w:tcBorders>
                  <w:noWrap/>
                  <w:vAlign w:val="bottom"/>
                  <w:hideMark/>
                </w:tcPr>
                <w:p w14:paraId="737C48D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02045D7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7C83738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59F3EA3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−2,1</w:t>
                  </w:r>
                </w:p>
              </w:tc>
              <w:tc>
                <w:tcPr>
                  <w:tcW w:w="888" w:type="dxa"/>
                  <w:tcBorders>
                    <w:top w:val="nil"/>
                    <w:left w:val="nil"/>
                    <w:bottom w:val="nil"/>
                    <w:right w:val="nil"/>
                  </w:tcBorders>
                  <w:noWrap/>
                  <w:vAlign w:val="bottom"/>
                  <w:hideMark/>
                </w:tcPr>
                <w:p w14:paraId="7D6C5D2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413E649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98</w:t>
                  </w:r>
                  <w:r>
                    <w:rPr>
                      <w:rFonts w:cs="Arial"/>
                      <w:color w:val="000000"/>
                      <w:sz w:val="16"/>
                      <w:szCs w:val="16"/>
                      <w:lang w:eastAsia="ko-KR"/>
                    </w:rPr>
                    <w:t>.</w:t>
                  </w:r>
                  <w:r w:rsidRPr="00B131B0">
                    <w:rPr>
                      <w:rFonts w:cs="Arial"/>
                      <w:color w:val="000000"/>
                      <w:sz w:val="16"/>
                      <w:szCs w:val="16"/>
                      <w:lang w:eastAsia="ko-KR"/>
                    </w:rPr>
                    <w:t>7</w:t>
                  </w:r>
                </w:p>
              </w:tc>
            </w:tr>
            <w:tr w:rsidR="00E00AB3" w:rsidRPr="00B131B0" w14:paraId="3D87C281" w14:textId="77777777" w:rsidTr="002F70D5">
              <w:trPr>
                <w:trHeight w:val="255"/>
              </w:trPr>
              <w:tc>
                <w:tcPr>
                  <w:tcW w:w="4265" w:type="dxa"/>
                  <w:tcBorders>
                    <w:top w:val="nil"/>
                    <w:left w:val="nil"/>
                    <w:bottom w:val="nil"/>
                    <w:right w:val="nil"/>
                  </w:tcBorders>
                  <w:noWrap/>
                  <w:vAlign w:val="center"/>
                  <w:hideMark/>
                </w:tcPr>
                <w:p w14:paraId="34F3EE23"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Computer, electron</w:t>
                  </w:r>
                  <w:r>
                    <w:rPr>
                      <w:rFonts w:cs="Arial"/>
                      <w:color w:val="000000"/>
                      <w:sz w:val="16"/>
                      <w:szCs w:val="16"/>
                    </w:rPr>
                    <w:t xml:space="preserve">ic </w:t>
                  </w:r>
                  <w:r w:rsidRPr="00995C95">
                    <w:rPr>
                      <w:rFonts w:cs="Arial"/>
                      <w:color w:val="000000"/>
                      <w:sz w:val="16"/>
                      <w:szCs w:val="16"/>
                    </w:rPr>
                    <w:t>and opt</w:t>
                  </w:r>
                  <w:r>
                    <w:rPr>
                      <w:rFonts w:cs="Arial"/>
                      <w:color w:val="000000"/>
                      <w:sz w:val="16"/>
                      <w:szCs w:val="16"/>
                    </w:rPr>
                    <w:t>ical</w:t>
                  </w:r>
                  <w:r w:rsidRPr="00995C95">
                    <w:rPr>
                      <w:rFonts w:cs="Arial"/>
                      <w:color w:val="000000"/>
                      <w:sz w:val="16"/>
                      <w:szCs w:val="16"/>
                    </w:rPr>
                    <w:t xml:space="preserve"> </w:t>
                  </w:r>
                  <w:r>
                    <w:rPr>
                      <w:rFonts w:cs="Arial"/>
                      <w:color w:val="000000"/>
                      <w:sz w:val="16"/>
                      <w:szCs w:val="16"/>
                    </w:rPr>
                    <w:t>products</w:t>
                  </w:r>
                </w:p>
              </w:tc>
              <w:tc>
                <w:tcPr>
                  <w:tcW w:w="888" w:type="dxa"/>
                  <w:tcBorders>
                    <w:top w:val="nil"/>
                    <w:left w:val="nil"/>
                    <w:bottom w:val="nil"/>
                    <w:right w:val="nil"/>
                  </w:tcBorders>
                  <w:noWrap/>
                  <w:vAlign w:val="bottom"/>
                  <w:hideMark/>
                </w:tcPr>
                <w:p w14:paraId="0D03860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5B38FE0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347528D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0DAC3D4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2,9</w:t>
                  </w:r>
                </w:p>
              </w:tc>
              <w:tc>
                <w:tcPr>
                  <w:tcW w:w="888" w:type="dxa"/>
                  <w:tcBorders>
                    <w:top w:val="nil"/>
                    <w:left w:val="nil"/>
                    <w:bottom w:val="nil"/>
                    <w:right w:val="nil"/>
                  </w:tcBorders>
                  <w:noWrap/>
                  <w:vAlign w:val="bottom"/>
                  <w:hideMark/>
                </w:tcPr>
                <w:p w14:paraId="23B6EA9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3B516B2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3ADFBBDE" w14:textId="77777777" w:rsidTr="002F70D5">
              <w:trPr>
                <w:trHeight w:val="255"/>
              </w:trPr>
              <w:tc>
                <w:tcPr>
                  <w:tcW w:w="4265" w:type="dxa"/>
                  <w:tcBorders>
                    <w:top w:val="nil"/>
                    <w:left w:val="nil"/>
                    <w:bottom w:val="nil"/>
                    <w:right w:val="nil"/>
                  </w:tcBorders>
                  <w:noWrap/>
                  <w:vAlign w:val="center"/>
                  <w:hideMark/>
                </w:tcPr>
                <w:p w14:paraId="1C3DAFD3"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Electrical equipment</w:t>
                  </w:r>
                </w:p>
              </w:tc>
              <w:tc>
                <w:tcPr>
                  <w:tcW w:w="888" w:type="dxa"/>
                  <w:tcBorders>
                    <w:top w:val="nil"/>
                    <w:left w:val="nil"/>
                    <w:bottom w:val="nil"/>
                    <w:right w:val="nil"/>
                  </w:tcBorders>
                  <w:noWrap/>
                  <w:vAlign w:val="bottom"/>
                  <w:hideMark/>
                </w:tcPr>
                <w:p w14:paraId="058EE6C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563831D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44DBEA6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43BB61B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1,4</w:t>
                  </w:r>
                </w:p>
              </w:tc>
              <w:tc>
                <w:tcPr>
                  <w:tcW w:w="888" w:type="dxa"/>
                  <w:tcBorders>
                    <w:top w:val="nil"/>
                    <w:left w:val="nil"/>
                    <w:bottom w:val="nil"/>
                    <w:right w:val="nil"/>
                  </w:tcBorders>
                  <w:noWrap/>
                  <w:vAlign w:val="bottom"/>
                  <w:hideMark/>
                </w:tcPr>
                <w:p w14:paraId="06A027C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4922107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68B7FFD5" w14:textId="77777777" w:rsidTr="002F70D5">
              <w:trPr>
                <w:trHeight w:val="255"/>
              </w:trPr>
              <w:tc>
                <w:tcPr>
                  <w:tcW w:w="4265" w:type="dxa"/>
                  <w:tcBorders>
                    <w:top w:val="nil"/>
                    <w:left w:val="nil"/>
                    <w:bottom w:val="nil"/>
                    <w:right w:val="nil"/>
                  </w:tcBorders>
                  <w:noWrap/>
                  <w:vAlign w:val="center"/>
                  <w:hideMark/>
                </w:tcPr>
                <w:p w14:paraId="3437046C"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 xml:space="preserve">Machinery and equipment, </w:t>
                  </w:r>
                  <w:proofErr w:type="spellStart"/>
                  <w:r w:rsidRPr="00995C95">
                    <w:rPr>
                      <w:rFonts w:cs="Arial"/>
                      <w:color w:val="000000"/>
                      <w:sz w:val="16"/>
                      <w:szCs w:val="16"/>
                    </w:rPr>
                    <w:t>n.c.e</w:t>
                  </w:r>
                  <w:proofErr w:type="spellEnd"/>
                  <w:r w:rsidRPr="00995C95">
                    <w:rPr>
                      <w:rFonts w:cs="Arial"/>
                      <w:color w:val="000000"/>
                      <w:sz w:val="16"/>
                      <w:szCs w:val="16"/>
                    </w:rPr>
                    <w:t>.</w:t>
                  </w:r>
                </w:p>
              </w:tc>
              <w:tc>
                <w:tcPr>
                  <w:tcW w:w="888" w:type="dxa"/>
                  <w:tcBorders>
                    <w:top w:val="nil"/>
                    <w:left w:val="nil"/>
                    <w:bottom w:val="nil"/>
                    <w:right w:val="nil"/>
                  </w:tcBorders>
                  <w:noWrap/>
                  <w:vAlign w:val="bottom"/>
                  <w:hideMark/>
                </w:tcPr>
                <w:p w14:paraId="3DB175B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5BFE603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48BF3E8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6BCDD11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0,1</w:t>
                  </w:r>
                </w:p>
              </w:tc>
              <w:tc>
                <w:tcPr>
                  <w:tcW w:w="888" w:type="dxa"/>
                  <w:tcBorders>
                    <w:top w:val="nil"/>
                    <w:left w:val="nil"/>
                    <w:bottom w:val="nil"/>
                    <w:right w:val="nil"/>
                  </w:tcBorders>
                  <w:noWrap/>
                  <w:vAlign w:val="bottom"/>
                  <w:hideMark/>
                </w:tcPr>
                <w:p w14:paraId="51DB9E0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714B16D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103</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11CB5A45" w14:textId="77777777" w:rsidTr="002F70D5">
              <w:trPr>
                <w:trHeight w:val="255"/>
              </w:trPr>
              <w:tc>
                <w:tcPr>
                  <w:tcW w:w="4265" w:type="dxa"/>
                  <w:tcBorders>
                    <w:top w:val="nil"/>
                    <w:left w:val="nil"/>
                    <w:bottom w:val="nil"/>
                    <w:right w:val="nil"/>
                  </w:tcBorders>
                  <w:noWrap/>
                  <w:vAlign w:val="center"/>
                  <w:hideMark/>
                </w:tcPr>
                <w:p w14:paraId="75DE8463"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Motor vehicles (excl. motorcycles) and parts</w:t>
                  </w:r>
                </w:p>
              </w:tc>
              <w:tc>
                <w:tcPr>
                  <w:tcW w:w="888" w:type="dxa"/>
                  <w:tcBorders>
                    <w:top w:val="nil"/>
                    <w:left w:val="nil"/>
                    <w:bottom w:val="nil"/>
                    <w:right w:val="nil"/>
                  </w:tcBorders>
                  <w:noWrap/>
                  <w:vAlign w:val="bottom"/>
                  <w:hideMark/>
                </w:tcPr>
                <w:p w14:paraId="7489CD6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65993FE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433490C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52A1F2C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−1,2</w:t>
                  </w:r>
                </w:p>
              </w:tc>
              <w:tc>
                <w:tcPr>
                  <w:tcW w:w="888" w:type="dxa"/>
                  <w:tcBorders>
                    <w:top w:val="nil"/>
                    <w:left w:val="nil"/>
                    <w:bottom w:val="nil"/>
                    <w:right w:val="nil"/>
                  </w:tcBorders>
                  <w:noWrap/>
                  <w:vAlign w:val="bottom"/>
                  <w:hideMark/>
                </w:tcPr>
                <w:p w14:paraId="29ECDFF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7F58EEB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8</w:t>
                  </w:r>
                </w:p>
              </w:tc>
            </w:tr>
            <w:tr w:rsidR="00E00AB3" w:rsidRPr="00B131B0" w14:paraId="7BF64EBD" w14:textId="77777777" w:rsidTr="002F70D5">
              <w:trPr>
                <w:trHeight w:val="255"/>
              </w:trPr>
              <w:tc>
                <w:tcPr>
                  <w:tcW w:w="4265" w:type="dxa"/>
                  <w:tcBorders>
                    <w:top w:val="nil"/>
                    <w:left w:val="nil"/>
                    <w:bottom w:val="nil"/>
                    <w:right w:val="nil"/>
                  </w:tcBorders>
                  <w:noWrap/>
                  <w:vAlign w:val="center"/>
                  <w:hideMark/>
                </w:tcPr>
                <w:p w14:paraId="4152D6EB" w14:textId="77777777" w:rsidR="00E00AB3" w:rsidRPr="00B131B0" w:rsidRDefault="00E00AB3" w:rsidP="00E00AB3">
                  <w:pPr>
                    <w:spacing w:after="0" w:line="240" w:lineRule="auto"/>
                    <w:ind w:left="82"/>
                    <w:jc w:val="left"/>
                    <w:rPr>
                      <w:rFonts w:cs="Arial"/>
                      <w:color w:val="000000"/>
                      <w:sz w:val="16"/>
                      <w:szCs w:val="16"/>
                      <w:lang w:eastAsia="ko-KR"/>
                    </w:rPr>
                  </w:pPr>
                  <w:r w:rsidRPr="00995C95">
                    <w:rPr>
                      <w:sz w:val="16"/>
                      <w:szCs w:val="16"/>
                    </w:rPr>
                    <w:t>Other transport equipment</w:t>
                  </w:r>
                </w:p>
              </w:tc>
              <w:tc>
                <w:tcPr>
                  <w:tcW w:w="888" w:type="dxa"/>
                  <w:tcBorders>
                    <w:top w:val="nil"/>
                    <w:left w:val="nil"/>
                    <w:bottom w:val="nil"/>
                    <w:right w:val="nil"/>
                  </w:tcBorders>
                  <w:noWrap/>
                  <w:vAlign w:val="bottom"/>
                  <w:hideMark/>
                </w:tcPr>
                <w:p w14:paraId="220BC4A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3883CE8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3396C9B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3AC44B1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−4,7</w:t>
                  </w:r>
                </w:p>
              </w:tc>
              <w:tc>
                <w:tcPr>
                  <w:tcW w:w="888" w:type="dxa"/>
                  <w:tcBorders>
                    <w:top w:val="nil"/>
                    <w:left w:val="nil"/>
                    <w:bottom w:val="nil"/>
                    <w:right w:val="nil"/>
                  </w:tcBorders>
                  <w:noWrap/>
                  <w:vAlign w:val="bottom"/>
                  <w:hideMark/>
                </w:tcPr>
                <w:p w14:paraId="178094C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3AD7983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9</w:t>
                  </w:r>
                </w:p>
              </w:tc>
            </w:tr>
            <w:tr w:rsidR="00E00AB3" w:rsidRPr="00B131B0" w14:paraId="44ABDE52" w14:textId="77777777" w:rsidTr="002F70D5">
              <w:trPr>
                <w:trHeight w:val="255"/>
              </w:trPr>
              <w:tc>
                <w:tcPr>
                  <w:tcW w:w="4265" w:type="dxa"/>
                  <w:tcBorders>
                    <w:top w:val="nil"/>
                    <w:left w:val="nil"/>
                    <w:bottom w:val="nil"/>
                    <w:right w:val="nil"/>
                  </w:tcBorders>
                  <w:noWrap/>
                  <w:vAlign w:val="center"/>
                  <w:hideMark/>
                </w:tcPr>
                <w:p w14:paraId="333798AE"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Furniture</w:t>
                  </w:r>
                </w:p>
              </w:tc>
              <w:tc>
                <w:tcPr>
                  <w:tcW w:w="888" w:type="dxa"/>
                  <w:tcBorders>
                    <w:top w:val="nil"/>
                    <w:left w:val="nil"/>
                    <w:bottom w:val="nil"/>
                    <w:right w:val="nil"/>
                  </w:tcBorders>
                  <w:noWrap/>
                  <w:vAlign w:val="bottom"/>
                  <w:hideMark/>
                </w:tcPr>
                <w:p w14:paraId="76E913F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66AFD2E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0239EE2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03726E5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−4,5</w:t>
                  </w:r>
                </w:p>
              </w:tc>
              <w:tc>
                <w:tcPr>
                  <w:tcW w:w="888" w:type="dxa"/>
                  <w:tcBorders>
                    <w:top w:val="nil"/>
                    <w:left w:val="nil"/>
                    <w:bottom w:val="nil"/>
                    <w:right w:val="nil"/>
                  </w:tcBorders>
                  <w:noWrap/>
                  <w:vAlign w:val="bottom"/>
                  <w:hideMark/>
                </w:tcPr>
                <w:p w14:paraId="5800CCF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31C3EEC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94</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36828CD9" w14:textId="77777777" w:rsidTr="002F70D5">
              <w:trPr>
                <w:trHeight w:val="255"/>
              </w:trPr>
              <w:tc>
                <w:tcPr>
                  <w:tcW w:w="4265" w:type="dxa"/>
                  <w:tcBorders>
                    <w:top w:val="nil"/>
                    <w:left w:val="nil"/>
                    <w:bottom w:val="nil"/>
                    <w:right w:val="nil"/>
                  </w:tcBorders>
                  <w:noWrap/>
                  <w:vAlign w:val="center"/>
                  <w:hideMark/>
                </w:tcPr>
                <w:p w14:paraId="107CD911"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Other manufacturing products</w:t>
                  </w:r>
                  <w:r w:rsidRPr="00B131B0">
                    <w:rPr>
                      <w:rFonts w:cs="Arial"/>
                      <w:color w:val="000000"/>
                      <w:sz w:val="16"/>
                      <w:szCs w:val="16"/>
                      <w:lang w:eastAsia="ko-KR"/>
                    </w:rPr>
                    <w:t xml:space="preserve"> </w:t>
                  </w:r>
                </w:p>
              </w:tc>
              <w:tc>
                <w:tcPr>
                  <w:tcW w:w="888" w:type="dxa"/>
                  <w:tcBorders>
                    <w:top w:val="nil"/>
                    <w:left w:val="nil"/>
                    <w:bottom w:val="nil"/>
                    <w:right w:val="nil"/>
                  </w:tcBorders>
                  <w:noWrap/>
                  <w:vAlign w:val="bottom"/>
                  <w:hideMark/>
                </w:tcPr>
                <w:p w14:paraId="20A01C8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3972EEC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093E7D8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3D62002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−2,8</w:t>
                  </w:r>
                </w:p>
              </w:tc>
              <w:tc>
                <w:tcPr>
                  <w:tcW w:w="888" w:type="dxa"/>
                  <w:tcBorders>
                    <w:top w:val="nil"/>
                    <w:left w:val="nil"/>
                    <w:bottom w:val="nil"/>
                    <w:right w:val="nil"/>
                  </w:tcBorders>
                  <w:noWrap/>
                  <w:vAlign w:val="bottom"/>
                  <w:hideMark/>
                </w:tcPr>
                <w:p w14:paraId="73ACB1C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32D28C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7</w:t>
                  </w:r>
                </w:p>
              </w:tc>
            </w:tr>
            <w:tr w:rsidR="00E00AB3" w:rsidRPr="00B131B0" w14:paraId="6EF5C887" w14:textId="77777777" w:rsidTr="002F70D5">
              <w:trPr>
                <w:trHeight w:val="255"/>
              </w:trPr>
              <w:tc>
                <w:tcPr>
                  <w:tcW w:w="4265" w:type="dxa"/>
                  <w:tcBorders>
                    <w:top w:val="nil"/>
                    <w:left w:val="nil"/>
                    <w:bottom w:val="nil"/>
                    <w:right w:val="nil"/>
                  </w:tcBorders>
                  <w:noWrap/>
                  <w:vAlign w:val="center"/>
                  <w:hideMark/>
                </w:tcPr>
                <w:p w14:paraId="496234E7"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ELECTRICITY, GAS, STEAM AND AIR CONDITIONING</w:t>
                  </w:r>
                </w:p>
              </w:tc>
              <w:tc>
                <w:tcPr>
                  <w:tcW w:w="888" w:type="dxa"/>
                  <w:tcBorders>
                    <w:top w:val="nil"/>
                    <w:left w:val="nil"/>
                    <w:bottom w:val="nil"/>
                    <w:right w:val="nil"/>
                  </w:tcBorders>
                  <w:noWrap/>
                  <w:vAlign w:val="bottom"/>
                  <w:hideMark/>
                </w:tcPr>
                <w:p w14:paraId="5794541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706BC05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70BEA15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5C40A1C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15,5</w:t>
                  </w:r>
                </w:p>
              </w:tc>
              <w:tc>
                <w:tcPr>
                  <w:tcW w:w="888" w:type="dxa"/>
                  <w:tcBorders>
                    <w:top w:val="nil"/>
                    <w:left w:val="nil"/>
                    <w:bottom w:val="nil"/>
                    <w:right w:val="nil"/>
                  </w:tcBorders>
                  <w:noWrap/>
                  <w:vAlign w:val="bottom"/>
                  <w:hideMark/>
                </w:tcPr>
                <w:p w14:paraId="368B566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27</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1A7E00E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90</w:t>
                  </w:r>
                  <w:r>
                    <w:rPr>
                      <w:rFonts w:cs="Arial"/>
                      <w:color w:val="000000"/>
                      <w:sz w:val="16"/>
                      <w:szCs w:val="16"/>
                      <w:lang w:eastAsia="ko-KR"/>
                    </w:rPr>
                    <w:t>.</w:t>
                  </w:r>
                  <w:r w:rsidRPr="00B131B0">
                    <w:rPr>
                      <w:rFonts w:cs="Arial"/>
                      <w:color w:val="000000"/>
                      <w:sz w:val="16"/>
                      <w:szCs w:val="16"/>
                      <w:lang w:eastAsia="ko-KR"/>
                    </w:rPr>
                    <w:t>3</w:t>
                  </w:r>
                </w:p>
              </w:tc>
            </w:tr>
            <w:tr w:rsidR="00E00AB3" w:rsidRPr="00B131B0" w14:paraId="7CAB2995" w14:textId="77777777" w:rsidTr="002F70D5">
              <w:trPr>
                <w:trHeight w:val="255"/>
              </w:trPr>
              <w:tc>
                <w:tcPr>
                  <w:tcW w:w="4265" w:type="dxa"/>
                  <w:tcBorders>
                    <w:top w:val="nil"/>
                    <w:left w:val="nil"/>
                    <w:bottom w:val="nil"/>
                    <w:right w:val="nil"/>
                  </w:tcBorders>
                  <w:noWrap/>
                  <w:vAlign w:val="center"/>
                  <w:hideMark/>
                </w:tcPr>
                <w:p w14:paraId="661AD3BC"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WATER SUPPLY AND RELATED SERVICES</w:t>
                  </w:r>
                </w:p>
              </w:tc>
              <w:tc>
                <w:tcPr>
                  <w:tcW w:w="888" w:type="dxa"/>
                  <w:tcBorders>
                    <w:top w:val="nil"/>
                    <w:left w:val="nil"/>
                    <w:bottom w:val="nil"/>
                    <w:right w:val="nil"/>
                  </w:tcBorders>
                  <w:noWrap/>
                  <w:vAlign w:val="bottom"/>
                  <w:hideMark/>
                </w:tcPr>
                <w:p w14:paraId="2E39B45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76C7DCF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x</w:t>
                  </w:r>
                </w:p>
              </w:tc>
              <w:tc>
                <w:tcPr>
                  <w:tcW w:w="888" w:type="dxa"/>
                  <w:tcBorders>
                    <w:top w:val="nil"/>
                    <w:left w:val="nil"/>
                    <w:bottom w:val="nil"/>
                    <w:right w:val="nil"/>
                  </w:tcBorders>
                  <w:noWrap/>
                  <w:vAlign w:val="bottom"/>
                  <w:hideMark/>
                </w:tcPr>
                <w:p w14:paraId="6C7509D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x</w:t>
                  </w:r>
                </w:p>
              </w:tc>
              <w:tc>
                <w:tcPr>
                  <w:tcW w:w="888" w:type="dxa"/>
                  <w:tcBorders>
                    <w:top w:val="nil"/>
                    <w:left w:val="nil"/>
                    <w:bottom w:val="nil"/>
                    <w:right w:val="nil"/>
                  </w:tcBorders>
                  <w:noWrap/>
                  <w:vAlign w:val="bottom"/>
                  <w:hideMark/>
                </w:tcPr>
                <w:p w14:paraId="610808D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4,0</w:t>
                  </w:r>
                </w:p>
              </w:tc>
              <w:tc>
                <w:tcPr>
                  <w:tcW w:w="888" w:type="dxa"/>
                  <w:tcBorders>
                    <w:top w:val="nil"/>
                    <w:left w:val="nil"/>
                    <w:bottom w:val="nil"/>
                    <w:right w:val="nil"/>
                  </w:tcBorders>
                  <w:noWrap/>
                  <w:vAlign w:val="bottom"/>
                  <w:hideMark/>
                </w:tcPr>
                <w:p w14:paraId="0C4760A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x</w:t>
                  </w:r>
                </w:p>
              </w:tc>
              <w:tc>
                <w:tcPr>
                  <w:tcW w:w="888" w:type="dxa"/>
                  <w:tcBorders>
                    <w:top w:val="nil"/>
                    <w:left w:val="nil"/>
                    <w:bottom w:val="nil"/>
                    <w:right w:val="nil"/>
                  </w:tcBorders>
                  <w:noWrap/>
                  <w:vAlign w:val="bottom"/>
                  <w:hideMark/>
                </w:tcPr>
                <w:p w14:paraId="2953533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x</w:t>
                  </w:r>
                </w:p>
              </w:tc>
            </w:tr>
          </w:tbl>
          <w:p w14:paraId="0968854A" w14:textId="77777777" w:rsidR="00E00AB3" w:rsidRPr="007250FE" w:rsidRDefault="00E00AB3" w:rsidP="00E00AB3">
            <w:pPr>
              <w:rPr>
                <w:lang w:eastAsia="en-US"/>
              </w:rPr>
            </w:pPr>
          </w:p>
        </w:tc>
      </w:tr>
      <w:tr w:rsidR="00E00AB3" w:rsidRPr="00B131B0" w14:paraId="723FA2A3" w14:textId="77777777" w:rsidTr="00E00AB3">
        <w:trPr>
          <w:trHeight w:val="142"/>
        </w:trPr>
        <w:tc>
          <w:tcPr>
            <w:tcW w:w="9654" w:type="dxa"/>
            <w:gridSpan w:val="3"/>
          </w:tcPr>
          <w:p w14:paraId="438C23A1" w14:textId="4D672E77" w:rsidR="00E00AB3" w:rsidRPr="007250FE" w:rsidRDefault="00E00AB3" w:rsidP="00E00AB3">
            <w:pPr>
              <w:rPr>
                <w:lang w:eastAsia="en-US"/>
              </w:rPr>
            </w:pPr>
            <w:r>
              <w:rPr>
                <w:sz w:val="16"/>
                <w:szCs w:val="16"/>
                <w:lang w:eastAsia="en-US"/>
              </w:rPr>
              <w:t>Source</w:t>
            </w:r>
            <w:r w:rsidRPr="00B131B0">
              <w:rPr>
                <w:sz w:val="16"/>
                <w:szCs w:val="16"/>
                <w:lang w:eastAsia="en-US"/>
              </w:rPr>
              <w:t xml:space="preserve">: </w:t>
            </w:r>
            <w:r>
              <w:rPr>
                <w:sz w:val="16"/>
                <w:szCs w:val="16"/>
                <w:lang w:eastAsia="en-US"/>
              </w:rPr>
              <w:t>CZSO</w:t>
            </w:r>
          </w:p>
        </w:tc>
      </w:tr>
      <w:tr w:rsidR="00E00AB3" w:rsidRPr="00B131B0" w14:paraId="5D714302" w14:textId="77777777" w:rsidTr="003C4A79">
        <w:trPr>
          <w:trHeight w:val="145"/>
        </w:trPr>
        <w:tc>
          <w:tcPr>
            <w:tcW w:w="1812" w:type="dxa"/>
          </w:tcPr>
          <w:p w14:paraId="07C7020D" w14:textId="5870D83F" w:rsidR="00E00AB3" w:rsidRPr="00B131B0" w:rsidRDefault="00E00AB3" w:rsidP="00E00AB3">
            <w:pPr>
              <w:pStyle w:val="Marginlie"/>
              <w:rPr>
                <w:spacing w:val="0"/>
                <w:lang w:eastAsia="en-US"/>
              </w:rPr>
            </w:pPr>
            <w:r w:rsidRPr="008F069A">
              <w:rPr>
                <w:spacing w:val="0"/>
                <w:lang w:eastAsia="en-US"/>
              </w:rPr>
              <w:t xml:space="preserve">The terms of exchange of </w:t>
            </w:r>
            <w:r>
              <w:rPr>
                <w:spacing w:val="0"/>
                <w:lang w:eastAsia="en-US"/>
              </w:rPr>
              <w:t xml:space="preserve">international </w:t>
            </w:r>
            <w:r w:rsidRPr="008F069A">
              <w:rPr>
                <w:spacing w:val="0"/>
                <w:lang w:eastAsia="en-US"/>
              </w:rPr>
              <w:t xml:space="preserve">trade </w:t>
            </w:r>
            <w:r>
              <w:rPr>
                <w:spacing w:val="0"/>
                <w:lang w:eastAsia="en-US"/>
              </w:rPr>
              <w:t xml:space="preserve">with </w:t>
            </w:r>
            <w:r w:rsidRPr="008F069A">
              <w:rPr>
                <w:spacing w:val="0"/>
                <w:lang w:eastAsia="en-US"/>
              </w:rPr>
              <w:t>goods were negative.</w:t>
            </w:r>
          </w:p>
        </w:tc>
        <w:tc>
          <w:tcPr>
            <w:tcW w:w="213" w:type="dxa"/>
          </w:tcPr>
          <w:p w14:paraId="78A66BE2" w14:textId="77777777" w:rsidR="00E00AB3" w:rsidRPr="00B131B0" w:rsidRDefault="00E00AB3" w:rsidP="00E00AB3">
            <w:pPr>
              <w:pStyle w:val="Textpoznpodarou1"/>
              <w:jc w:val="both"/>
              <w:rPr>
                <w:lang w:eastAsia="en-US"/>
              </w:rPr>
            </w:pPr>
          </w:p>
        </w:tc>
        <w:tc>
          <w:tcPr>
            <w:tcW w:w="7629" w:type="dxa"/>
          </w:tcPr>
          <w:p w14:paraId="2385C207" w14:textId="62C9F564" w:rsidR="00E00AB3" w:rsidRPr="00B131B0" w:rsidRDefault="00E00AB3" w:rsidP="00E00AB3">
            <w:pPr>
              <w:rPr>
                <w:lang w:eastAsia="en-US"/>
              </w:rPr>
            </w:pPr>
            <w:r w:rsidRPr="008F069A">
              <w:rPr>
                <w:lang w:eastAsia="en-US"/>
              </w:rPr>
              <w:t xml:space="preserve">Import prices rose more sharply than export prices in </w:t>
            </w:r>
            <w:r>
              <w:rPr>
                <w:lang w:eastAsia="en-US"/>
              </w:rPr>
              <w:t>Q</w:t>
            </w:r>
            <w:r w:rsidRPr="008F069A">
              <w:rPr>
                <w:lang w:eastAsia="en-US"/>
              </w:rPr>
              <w:t xml:space="preserve">2, reflecting a more significant role of raw materials in the </w:t>
            </w:r>
            <w:r>
              <w:rPr>
                <w:lang w:eastAsia="en-US"/>
              </w:rPr>
              <w:t xml:space="preserve">total </w:t>
            </w:r>
            <w:r w:rsidRPr="008F069A">
              <w:rPr>
                <w:lang w:eastAsia="en-US"/>
              </w:rPr>
              <w:t>composition of imports. Quarter-on-quarter</w:t>
            </w:r>
            <w:r>
              <w:rPr>
                <w:lang w:eastAsia="en-US"/>
              </w:rPr>
              <w:t>,</w:t>
            </w:r>
            <w:r w:rsidRPr="008F069A">
              <w:rPr>
                <w:lang w:eastAsia="en-US"/>
              </w:rPr>
              <w:t xml:space="preserve"> prices of imports of goods were higher by 4.7% and 2.8%</w:t>
            </w:r>
            <w:r>
              <w:rPr>
                <w:lang w:eastAsia="en-US"/>
              </w:rPr>
              <w:t>,</w:t>
            </w:r>
            <w:r w:rsidRPr="008F069A">
              <w:rPr>
                <w:lang w:eastAsia="en-US"/>
              </w:rPr>
              <w:t xml:space="preserve"> year-on-year. Under the influence of </w:t>
            </w:r>
            <w:r>
              <w:rPr>
                <w:lang w:eastAsia="en-US"/>
              </w:rPr>
              <w:t xml:space="preserve">crude </w:t>
            </w:r>
            <w:r w:rsidRPr="008F069A">
              <w:rPr>
                <w:lang w:eastAsia="en-US"/>
              </w:rPr>
              <w:t xml:space="preserve">oil and natural gas, import prices in mining and quarrying increased sharply. On the </w:t>
            </w:r>
            <w:r>
              <w:rPr>
                <w:lang w:eastAsia="en-US"/>
              </w:rPr>
              <w:t>contrary</w:t>
            </w:r>
            <w:r w:rsidRPr="008F069A">
              <w:rPr>
                <w:lang w:eastAsia="en-US"/>
              </w:rPr>
              <w:t>, prices of electricity, gas, steam and air-condition</w:t>
            </w:r>
            <w:r>
              <w:rPr>
                <w:lang w:eastAsia="en-US"/>
              </w:rPr>
              <w:t xml:space="preserve">ing </w:t>
            </w:r>
            <w:r w:rsidRPr="008F069A">
              <w:rPr>
                <w:lang w:eastAsia="en-US"/>
              </w:rPr>
              <w:t>declined</w:t>
            </w:r>
            <w:r>
              <w:rPr>
                <w:lang w:eastAsia="en-US"/>
              </w:rPr>
              <w:t>,</w:t>
            </w:r>
            <w:r w:rsidRPr="008F069A">
              <w:rPr>
                <w:lang w:eastAsia="en-US"/>
              </w:rPr>
              <w:t xml:space="preserve"> quarter-on-quarter. Prices of manufacturing products were higher and the dynamics within the </w:t>
            </w:r>
            <w:r>
              <w:rPr>
                <w:lang w:eastAsia="en-US"/>
              </w:rPr>
              <w:t xml:space="preserve">division </w:t>
            </w:r>
            <w:r w:rsidRPr="008F069A">
              <w:rPr>
                <w:lang w:eastAsia="en-US"/>
              </w:rPr>
              <w:t xml:space="preserve">were similar to exports – prices of coke and refined petroleum products and chemical substances and preparations </w:t>
            </w:r>
            <w:r>
              <w:rPr>
                <w:lang w:eastAsia="en-US"/>
              </w:rPr>
              <w:t>hiked up</w:t>
            </w:r>
            <w:r w:rsidRPr="008F069A">
              <w:rPr>
                <w:lang w:eastAsia="en-US"/>
              </w:rPr>
              <w:t xml:space="preserve">, and prices rose at least slightly in most other divisions. Quarter-on-quarter terms of </w:t>
            </w:r>
            <w:r>
              <w:rPr>
                <w:lang w:eastAsia="en-US"/>
              </w:rPr>
              <w:t xml:space="preserve">international </w:t>
            </w:r>
            <w:r w:rsidRPr="008F069A">
              <w:rPr>
                <w:lang w:eastAsia="en-US"/>
              </w:rPr>
              <w:t xml:space="preserve">trade </w:t>
            </w:r>
            <w:r>
              <w:rPr>
                <w:lang w:eastAsia="en-US"/>
              </w:rPr>
              <w:t xml:space="preserve">with </w:t>
            </w:r>
            <w:r w:rsidRPr="008F069A">
              <w:rPr>
                <w:lang w:eastAsia="en-US"/>
              </w:rPr>
              <w:t xml:space="preserve">goods reached 97.8%, reflecting in particular the significantly negative result in mining and quarrying. However, trade </w:t>
            </w:r>
            <w:r>
              <w:rPr>
                <w:lang w:eastAsia="en-US"/>
              </w:rPr>
              <w:t>with</w:t>
            </w:r>
            <w:r w:rsidRPr="008F069A">
              <w:rPr>
                <w:lang w:eastAsia="en-US"/>
              </w:rPr>
              <w:t xml:space="preserve"> manufacturing products (mainly coke and refined petroleum products) were also slightly negative. </w:t>
            </w:r>
            <w:r>
              <w:rPr>
                <w:lang w:eastAsia="en-US"/>
              </w:rPr>
              <w:t xml:space="preserve">By contrast, </w:t>
            </w:r>
            <w:r w:rsidRPr="008F069A">
              <w:rPr>
                <w:lang w:eastAsia="en-US"/>
              </w:rPr>
              <w:t xml:space="preserve">quarter-on-quarter terms of trade </w:t>
            </w:r>
            <w:r>
              <w:rPr>
                <w:lang w:eastAsia="en-US"/>
              </w:rPr>
              <w:t xml:space="preserve">with </w:t>
            </w:r>
            <w:r w:rsidRPr="008F069A">
              <w:rPr>
                <w:lang w:eastAsia="en-US"/>
              </w:rPr>
              <w:t xml:space="preserve">electricity were positive. </w:t>
            </w:r>
            <w:r>
              <w:rPr>
                <w:lang w:eastAsia="en-US"/>
              </w:rPr>
              <w:t xml:space="preserve">Year-on-year </w:t>
            </w:r>
            <w:r w:rsidRPr="008F069A">
              <w:rPr>
                <w:lang w:eastAsia="en-US"/>
              </w:rPr>
              <w:t xml:space="preserve">terms of trade reached 98.0% and were negative for the first time since </w:t>
            </w:r>
            <w:r>
              <w:rPr>
                <w:lang w:eastAsia="en-US"/>
              </w:rPr>
              <w:t>Q</w:t>
            </w:r>
            <w:r w:rsidRPr="008F069A">
              <w:rPr>
                <w:lang w:eastAsia="en-US"/>
              </w:rPr>
              <w:t>4</w:t>
            </w:r>
            <w:r>
              <w:rPr>
                <w:lang w:eastAsia="en-US"/>
              </w:rPr>
              <w:t xml:space="preserve"> </w:t>
            </w:r>
            <w:r w:rsidRPr="008F069A">
              <w:rPr>
                <w:lang w:eastAsia="en-US"/>
              </w:rPr>
              <w:t xml:space="preserve">2022. Relations of trade </w:t>
            </w:r>
            <w:r>
              <w:rPr>
                <w:lang w:eastAsia="en-US"/>
              </w:rPr>
              <w:t xml:space="preserve">with </w:t>
            </w:r>
            <w:r w:rsidRPr="008F069A">
              <w:rPr>
                <w:lang w:eastAsia="en-US"/>
              </w:rPr>
              <w:t>products of agriculture, forestry and fishing, mining and quarrying, products of manufacturing and electricity, gas, steam and air-condition</w:t>
            </w:r>
            <w:r>
              <w:rPr>
                <w:lang w:eastAsia="en-US"/>
              </w:rPr>
              <w:t xml:space="preserve">ing </w:t>
            </w:r>
            <w:r w:rsidRPr="008F069A">
              <w:rPr>
                <w:lang w:eastAsia="en-US"/>
              </w:rPr>
              <w:t>were negative.</w:t>
            </w:r>
            <w:r>
              <w:rPr>
                <w:lang w:eastAsia="en-US"/>
              </w:rPr>
              <w:t xml:space="preserve"> </w:t>
            </w:r>
          </w:p>
        </w:tc>
      </w:tr>
    </w:tbl>
    <w:p w14:paraId="389BDE08" w14:textId="77777777" w:rsidR="006B1AFC" w:rsidRPr="00B131B0" w:rsidRDefault="006B1AFC" w:rsidP="009324EF">
      <w:pPr>
        <w:spacing w:after="0" w:line="240" w:lineRule="auto"/>
        <w:jc w:val="left"/>
        <w:rPr>
          <w:rFonts w:eastAsia="MS Gothic"/>
          <w:b/>
          <w:bCs/>
          <w:color w:val="86BF5E"/>
          <w:sz w:val="32"/>
          <w:szCs w:val="28"/>
          <w:highlight w:val="yellow"/>
        </w:rPr>
      </w:pPr>
      <w:r w:rsidRPr="00B131B0">
        <w:rPr>
          <w:highlight w:val="yellow"/>
        </w:rPr>
        <w:br w:type="page"/>
      </w:r>
      <w:bookmarkEnd w:id="0"/>
    </w:p>
    <w:sectPr w:rsidR="006B1AFC" w:rsidRPr="00B131B0" w:rsidSect="00D9561D">
      <w:headerReference w:type="even" r:id="rId13"/>
      <w:headerReference w:type="default" r:id="rId14"/>
      <w:footerReference w:type="even" r:id="rId15"/>
      <w:footerReference w:type="default" r:id="rId16"/>
      <w:pgSz w:w="11906" w:h="16838" w:code="9"/>
      <w:pgMar w:top="1134" w:right="1134" w:bottom="1418" w:left="1134" w:header="680" w:footer="680" w:gutter="0"/>
      <w:pgNumType w:start="2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D232B" w14:textId="77777777" w:rsidR="001636E9" w:rsidRPr="00B131B0" w:rsidRDefault="001636E9" w:rsidP="00E71A58">
      <w:r w:rsidRPr="00B131B0">
        <w:separator/>
      </w:r>
    </w:p>
  </w:endnote>
  <w:endnote w:type="continuationSeparator" w:id="0">
    <w:p w14:paraId="53DBBE54" w14:textId="77777777" w:rsidR="001636E9" w:rsidRPr="00B131B0" w:rsidRDefault="001636E9" w:rsidP="00E71A58">
      <w:r w:rsidRPr="00B13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6754" w14:textId="600D31C7" w:rsidR="00763B85" w:rsidRPr="00B131B0" w:rsidRDefault="00763B85" w:rsidP="00A418BC">
    <w:pPr>
      <w:pStyle w:val="Zpat"/>
      <w:rPr>
        <w:noProof w:val="0"/>
        <w:szCs w:val="16"/>
        <w:lang w:val="en-GB"/>
      </w:rPr>
    </w:pPr>
    <w:r w:rsidRPr="00B131B0">
      <w:rPr>
        <w:noProof w:val="0"/>
        <w:szCs w:val="16"/>
        <w:lang w:val="en-GB"/>
      </w:rPr>
      <w:fldChar w:fldCharType="begin"/>
    </w:r>
    <w:r w:rsidRPr="00B131B0">
      <w:rPr>
        <w:noProof w:val="0"/>
        <w:szCs w:val="16"/>
        <w:lang w:val="en-GB"/>
      </w:rPr>
      <w:instrText>PAGE   \* MERGEFORMAT</w:instrText>
    </w:r>
    <w:r w:rsidRPr="00B131B0">
      <w:rPr>
        <w:noProof w:val="0"/>
        <w:szCs w:val="16"/>
        <w:lang w:val="en-GB"/>
      </w:rPr>
      <w:fldChar w:fldCharType="separate"/>
    </w:r>
    <w:r w:rsidR="00C35666" w:rsidRPr="00B131B0">
      <w:rPr>
        <w:noProof w:val="0"/>
        <w:szCs w:val="16"/>
        <w:lang w:val="en-GB"/>
      </w:rPr>
      <w:t>8</w:t>
    </w:r>
    <w:r w:rsidRPr="00B131B0">
      <w:rPr>
        <w:noProof w:val="0"/>
        <w:szCs w:val="16"/>
        <w:lang w:val="en-GB"/>
      </w:rPr>
      <w:fldChar w:fldCharType="end"/>
    </w:r>
    <w:r w:rsidRPr="00B131B0">
      <w:rPr>
        <w:noProof w:val="0"/>
        <w:szCs w:val="16"/>
        <w:lang w:val="en-GB"/>
      </w:rPr>
      <w:tab/>
    </w:r>
    <w:r w:rsidR="00E92DFE" w:rsidRPr="00B131B0">
      <w:rPr>
        <w:noProof w:val="0"/>
        <w:szCs w:val="16"/>
        <w:lang w:val="en-GB"/>
      </w:rPr>
      <w:t xml:space="preserve">First half of </w:t>
    </w:r>
    <w:r w:rsidR="009203C8" w:rsidRPr="00B131B0">
      <w:rPr>
        <w:noProof w:val="0"/>
        <w:szCs w:val="16"/>
        <w:lang w:val="en-GB"/>
      </w:rPr>
      <w:t>2026</w:t>
    </w:r>
    <w:r w:rsidR="002B4121" w:rsidRPr="00B131B0">
      <w:rPr>
        <w:noProof w:val="0"/>
        <w:szCs w:val="16"/>
        <w:lang w:val="en-GB"/>
      </w:rPr>
      <w:tab/>
    </w:r>
    <w:r w:rsidR="00966AEE" w:rsidRPr="00B131B0">
      <w:rPr>
        <w:noProof w:val="0"/>
        <w:szCs w:val="16"/>
        <w:lang w:val="en-GB"/>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FA4F" w14:textId="23B79C87" w:rsidR="00763B85" w:rsidRPr="00B131B0" w:rsidRDefault="00964F1A" w:rsidP="00A418BC">
    <w:pPr>
      <w:pStyle w:val="Zpat"/>
      <w:rPr>
        <w:noProof w:val="0"/>
        <w:szCs w:val="16"/>
        <w:lang w:val="en-GB"/>
      </w:rPr>
    </w:pPr>
    <w:r w:rsidRPr="00B131B0">
      <w:rPr>
        <w:noProof w:val="0"/>
        <w:szCs w:val="16"/>
        <w:lang w:val="en-GB"/>
      </w:rPr>
      <w:t>CZSO</w:t>
    </w:r>
    <w:r w:rsidR="00763B85" w:rsidRPr="00B131B0">
      <w:rPr>
        <w:noProof w:val="0"/>
        <w:szCs w:val="16"/>
        <w:lang w:val="en-GB"/>
      </w:rPr>
      <w:tab/>
    </w:r>
    <w:r w:rsidRPr="00B131B0">
      <w:rPr>
        <w:noProof w:val="0"/>
        <w:szCs w:val="16"/>
        <w:lang w:val="en-GB"/>
      </w:rPr>
      <w:t xml:space="preserve">First half of </w:t>
    </w:r>
    <w:r w:rsidR="009203C8" w:rsidRPr="00B131B0">
      <w:rPr>
        <w:noProof w:val="0"/>
        <w:szCs w:val="16"/>
        <w:lang w:val="en-GB"/>
      </w:rPr>
      <w:t>2026</w:t>
    </w:r>
    <w:r w:rsidR="00763B85" w:rsidRPr="00B131B0">
      <w:rPr>
        <w:noProof w:val="0"/>
        <w:szCs w:val="16"/>
        <w:lang w:val="en-GB"/>
      </w:rPr>
      <w:tab/>
    </w:r>
    <w:r w:rsidR="00763B85" w:rsidRPr="00B131B0">
      <w:rPr>
        <w:rStyle w:val="ZpatChar"/>
        <w:noProof w:val="0"/>
        <w:szCs w:val="16"/>
        <w:lang w:val="en-GB"/>
      </w:rPr>
      <w:fldChar w:fldCharType="begin"/>
    </w:r>
    <w:r w:rsidR="00763B85" w:rsidRPr="00B131B0">
      <w:rPr>
        <w:rStyle w:val="ZpatChar"/>
        <w:noProof w:val="0"/>
        <w:szCs w:val="16"/>
        <w:lang w:val="en-GB"/>
      </w:rPr>
      <w:instrText>PAGE   \* MERGEFORMAT</w:instrText>
    </w:r>
    <w:r w:rsidR="00763B85" w:rsidRPr="00B131B0">
      <w:rPr>
        <w:rStyle w:val="ZpatChar"/>
        <w:noProof w:val="0"/>
        <w:szCs w:val="16"/>
        <w:lang w:val="en-GB"/>
      </w:rPr>
      <w:fldChar w:fldCharType="separate"/>
    </w:r>
    <w:r w:rsidR="00C35666" w:rsidRPr="00B131B0">
      <w:rPr>
        <w:rStyle w:val="ZpatChar"/>
        <w:noProof w:val="0"/>
        <w:szCs w:val="16"/>
        <w:lang w:val="en-GB"/>
      </w:rPr>
      <w:t>3</w:t>
    </w:r>
    <w:r w:rsidR="00763B85" w:rsidRPr="00B131B0">
      <w:rPr>
        <w:rStyle w:val="ZpatChar"/>
        <w:noProof w:val="0"/>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B537C" w14:textId="77777777" w:rsidR="001636E9" w:rsidRPr="00B131B0" w:rsidRDefault="001636E9" w:rsidP="00BB2F43">
      <w:pPr>
        <w:pStyle w:val="Zpat"/>
        <w:rPr>
          <w:noProof w:val="0"/>
          <w:lang w:val="en-GB"/>
        </w:rPr>
      </w:pPr>
      <w:r w:rsidRPr="00B131B0">
        <w:rPr>
          <w:noProof w:val="0"/>
          <w:lang w:val="en-GB"/>
        </w:rPr>
        <w:separator/>
      </w:r>
    </w:p>
  </w:footnote>
  <w:footnote w:type="continuationSeparator" w:id="0">
    <w:p w14:paraId="76BBE168" w14:textId="77777777" w:rsidR="001636E9" w:rsidRPr="00B131B0" w:rsidRDefault="001636E9" w:rsidP="00E71A58">
      <w:r w:rsidRPr="00B131B0">
        <w:continuationSeparator/>
      </w:r>
    </w:p>
  </w:footnote>
  <w:footnote w:id="1">
    <w:p w14:paraId="1A3D9CF4" w14:textId="2E5736C6" w:rsidR="00570DC6" w:rsidRPr="00196F3D" w:rsidRDefault="00570DC6" w:rsidP="00B43255">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B43255" w:rsidRPr="00B43255">
        <w:rPr>
          <w:sz w:val="16"/>
          <w:szCs w:val="16"/>
        </w:rPr>
        <w:t xml:space="preserve">Since January 2026, detailed consumer price indices have been calculated on the basis of the updated COICOP 2018 classification. </w:t>
      </w:r>
      <w:r w:rsidR="00981831">
        <w:rPr>
          <w:sz w:val="16"/>
          <w:szCs w:val="16"/>
        </w:rPr>
        <w:t>T</w:t>
      </w:r>
      <w:r w:rsidR="00B43255" w:rsidRPr="00B43255">
        <w:rPr>
          <w:sz w:val="16"/>
          <w:szCs w:val="16"/>
        </w:rPr>
        <w:t xml:space="preserve">he weights have been updated </w:t>
      </w:r>
      <w:r w:rsidR="00196F3D" w:rsidRPr="00B43255">
        <w:rPr>
          <w:sz w:val="16"/>
          <w:szCs w:val="16"/>
        </w:rPr>
        <w:t>based on</w:t>
      </w:r>
      <w:r w:rsidR="00B43255" w:rsidRPr="00B43255">
        <w:rPr>
          <w:sz w:val="16"/>
          <w:szCs w:val="16"/>
        </w:rPr>
        <w:t xml:space="preserve"> household expenditure of national accounts statistics</w:t>
      </w:r>
      <w:r w:rsidR="00981831">
        <w:rPr>
          <w:sz w:val="16"/>
          <w:szCs w:val="16"/>
        </w:rPr>
        <w:t xml:space="preserve"> from January 2026</w:t>
      </w:r>
      <w:r w:rsidR="00B43255" w:rsidRPr="00B43255">
        <w:rPr>
          <w:sz w:val="16"/>
          <w:szCs w:val="16"/>
        </w:rPr>
        <w:t xml:space="preserve">. A significant change is the </w:t>
      </w:r>
      <w:r w:rsidR="00575218">
        <w:rPr>
          <w:sz w:val="16"/>
          <w:szCs w:val="16"/>
        </w:rPr>
        <w:t xml:space="preserve">splitting </w:t>
      </w:r>
      <w:r w:rsidR="00B43255" w:rsidRPr="00B43255">
        <w:rPr>
          <w:sz w:val="16"/>
          <w:szCs w:val="16"/>
        </w:rPr>
        <w:t xml:space="preserve">of the original </w:t>
      </w:r>
      <w:r w:rsidR="00182FAC">
        <w:rPr>
          <w:sz w:val="16"/>
          <w:szCs w:val="16"/>
        </w:rPr>
        <w:t xml:space="preserve">division </w:t>
      </w:r>
      <w:r w:rsidR="00B43255" w:rsidRPr="00B43255">
        <w:rPr>
          <w:sz w:val="16"/>
          <w:szCs w:val="16"/>
        </w:rPr>
        <w:t xml:space="preserve">12 </w:t>
      </w:r>
      <w:r w:rsidR="00DD3153">
        <w:rPr>
          <w:sz w:val="16"/>
          <w:szCs w:val="16"/>
        </w:rPr>
        <w:t xml:space="preserve">Miscellaneous </w:t>
      </w:r>
      <w:r w:rsidR="00B43255" w:rsidRPr="00B43255">
        <w:rPr>
          <w:sz w:val="16"/>
          <w:szCs w:val="16"/>
        </w:rPr>
        <w:t xml:space="preserve">goods and services into two </w:t>
      </w:r>
      <w:r w:rsidR="00575218">
        <w:rPr>
          <w:sz w:val="16"/>
          <w:szCs w:val="16"/>
        </w:rPr>
        <w:t>divisions</w:t>
      </w:r>
      <w:r w:rsidR="00B43255" w:rsidRPr="00B43255">
        <w:rPr>
          <w:sz w:val="16"/>
          <w:szCs w:val="16"/>
        </w:rPr>
        <w:t xml:space="preserve">: 12 Insurance and financial services and 13 Personal care, </w:t>
      </w:r>
      <w:r w:rsidR="00DD3153">
        <w:rPr>
          <w:sz w:val="16"/>
          <w:szCs w:val="16"/>
        </w:rPr>
        <w:t xml:space="preserve">social protection, </w:t>
      </w:r>
      <w:r w:rsidR="00196F3D">
        <w:rPr>
          <w:sz w:val="16"/>
          <w:szCs w:val="16"/>
        </w:rPr>
        <w:t xml:space="preserve">and </w:t>
      </w:r>
      <w:r w:rsidR="00B43255" w:rsidRPr="00B43255">
        <w:rPr>
          <w:sz w:val="16"/>
          <w:szCs w:val="16"/>
        </w:rPr>
        <w:t>miscellaneous goods and services. More on</w:t>
      </w:r>
      <w:r w:rsidR="00196F3D">
        <w:rPr>
          <w:sz w:val="16"/>
          <w:szCs w:val="16"/>
        </w:rPr>
        <w:t xml:space="preserve"> </w:t>
      </w:r>
      <w:hyperlink r:id="rId1" w:history="1">
        <w:r w:rsidRPr="00196F3D">
          <w:rPr>
            <w:rStyle w:val="Hypertextovodkaz"/>
            <w:sz w:val="16"/>
            <w:szCs w:val="16"/>
            <w:lang w:val="en-US"/>
          </w:rPr>
          <w:t>https://csu.gov.cz/kdyz_se_rekne_inflace_resp_mira_inflace</w:t>
        </w:r>
      </w:hyperlink>
      <w:r w:rsidRPr="00196F3D">
        <w:rPr>
          <w:sz w:val="16"/>
          <w:szCs w:val="16"/>
          <w:lang w:val="en-US"/>
        </w:rPr>
        <w:t xml:space="preserve"> a </w:t>
      </w:r>
      <w:hyperlink r:id="rId2" w:history="1">
        <w:r w:rsidRPr="00196F3D">
          <w:rPr>
            <w:rStyle w:val="Hypertextovodkaz"/>
            <w:sz w:val="16"/>
            <w:szCs w:val="16"/>
            <w:lang w:val="en-US"/>
          </w:rPr>
          <w:t>https://csu.gov.cz/indexy_spotrebitelskych_cen_revize</w:t>
        </w:r>
      </w:hyperlink>
      <w:r w:rsidRPr="00196F3D">
        <w:rPr>
          <w:sz w:val="16"/>
          <w:szCs w:val="16"/>
          <w:lang w:val="en-US"/>
        </w:rPr>
        <w:t xml:space="preserve"> </w:t>
      </w:r>
    </w:p>
  </w:footnote>
  <w:footnote w:id="2">
    <w:p w14:paraId="25E3883B" w14:textId="77777777" w:rsidR="00B97499" w:rsidRPr="00ED5A87" w:rsidRDefault="00FE2EB4" w:rsidP="00B97499">
      <w:pPr>
        <w:pStyle w:val="Textpoznpodarou"/>
        <w:jc w:val="both"/>
        <w:rPr>
          <w:sz w:val="16"/>
          <w:szCs w:val="16"/>
        </w:rPr>
      </w:pPr>
      <w:r w:rsidRPr="00B131B0">
        <w:rPr>
          <w:rStyle w:val="Znakapoznpodarou"/>
          <w:sz w:val="16"/>
          <w:szCs w:val="16"/>
        </w:rPr>
        <w:footnoteRef/>
      </w:r>
      <w:r w:rsidRPr="00FE2EB4">
        <w:rPr>
          <w:sz w:val="16"/>
          <w:szCs w:val="16"/>
          <w:lang w:val="en-US"/>
        </w:rPr>
        <w:t xml:space="preserve"> </w:t>
      </w:r>
      <w:r w:rsidR="00B97499" w:rsidRPr="00ED5A87">
        <w:rPr>
          <w:sz w:val="16"/>
          <w:szCs w:val="16"/>
        </w:rPr>
        <w:t xml:space="preserve">Imputed rent expresses the cost of owner living. Apart from prices of housing themselves, it also contains the cost of construction and renovation and further fees. For more see: </w:t>
      </w:r>
      <w:hyperlink r:id="rId3" w:history="1">
        <w:r w:rsidR="00B97499" w:rsidRPr="00ED5A87">
          <w:rPr>
            <w:rStyle w:val="Hypertextovodkaz"/>
            <w:sz w:val="16"/>
            <w:szCs w:val="16"/>
          </w:rPr>
          <w:t>https://csu.gov.cz/methodological-note-to-consumer-price-index-imputed-rentals</w:t>
        </w:r>
      </w:hyperlink>
      <w:r w:rsidR="00B97499" w:rsidRPr="00ED5A87">
        <w:rPr>
          <w:sz w:val="16"/>
          <w:szCs w:val="16"/>
        </w:rPr>
        <w:t>.</w:t>
      </w:r>
    </w:p>
    <w:p w14:paraId="57474712" w14:textId="75CBF786" w:rsidR="00FE2EB4" w:rsidRPr="007250FE" w:rsidRDefault="00FE2EB4" w:rsidP="00FE2EB4">
      <w:pPr>
        <w:pStyle w:val="Textpoznpodarou"/>
        <w:rPr>
          <w:sz w:val="16"/>
          <w:szCs w:val="16"/>
          <w:lang w:val="en-US"/>
        </w:rPr>
      </w:pPr>
    </w:p>
  </w:footnote>
  <w:footnote w:id="3">
    <w:p w14:paraId="112902B5" w14:textId="77777777" w:rsidR="00635191" w:rsidRPr="00ED5A87" w:rsidRDefault="00444CC9" w:rsidP="00635191">
      <w:pPr>
        <w:pStyle w:val="Textpoznpodarou"/>
        <w:jc w:val="both"/>
        <w:rPr>
          <w:sz w:val="16"/>
          <w:szCs w:val="16"/>
        </w:rPr>
      </w:pPr>
      <w:r w:rsidRPr="00B131B0">
        <w:rPr>
          <w:rStyle w:val="Znakapoznpodarou"/>
          <w:sz w:val="16"/>
          <w:szCs w:val="16"/>
        </w:rPr>
        <w:footnoteRef/>
      </w:r>
      <w:r w:rsidRPr="00635191">
        <w:rPr>
          <w:sz w:val="16"/>
          <w:szCs w:val="16"/>
          <w:lang w:val="en-US"/>
        </w:rPr>
        <w:t xml:space="preserve"> </w:t>
      </w:r>
      <w:r w:rsidR="00635191" w:rsidRPr="00ED5A87">
        <w:rPr>
          <w:sz w:val="16"/>
          <w:szCs w:val="16"/>
        </w:rPr>
        <w:t xml:space="preserve">Contrary to the consumer price index, which the CZSO compiles for the Czech economy, HICP does not contain imputed rent, which is the main reason for the difference between the HICP and Consumer price index. </w:t>
      </w:r>
    </w:p>
    <w:p w14:paraId="501059C9" w14:textId="20A81C3C" w:rsidR="00444CC9" w:rsidRPr="00635191" w:rsidRDefault="00444CC9" w:rsidP="00444CC9">
      <w:pPr>
        <w:pStyle w:val="Textpoznpodarou"/>
        <w:rPr>
          <w:sz w:val="16"/>
          <w:szCs w:val="16"/>
        </w:rPr>
      </w:pPr>
    </w:p>
  </w:footnote>
  <w:footnote w:id="4">
    <w:p w14:paraId="32C6C858" w14:textId="16915B46" w:rsidR="00655088" w:rsidRPr="008D27D2" w:rsidRDefault="00655088" w:rsidP="001F7DD4">
      <w:pPr>
        <w:pStyle w:val="Textpoznpodarou"/>
        <w:rPr>
          <w:sz w:val="16"/>
          <w:szCs w:val="16"/>
        </w:rPr>
      </w:pPr>
      <w:r w:rsidRPr="00B131B0">
        <w:rPr>
          <w:rStyle w:val="Znakapoznpodarou"/>
          <w:sz w:val="16"/>
          <w:szCs w:val="16"/>
        </w:rPr>
        <w:footnoteRef/>
      </w:r>
      <w:r w:rsidRPr="008D27D2">
        <w:rPr>
          <w:sz w:val="16"/>
          <w:szCs w:val="16"/>
        </w:rPr>
        <w:t xml:space="preserve"> Indiv</w:t>
      </w:r>
      <w:r>
        <w:rPr>
          <w:sz w:val="16"/>
          <w:szCs w:val="16"/>
        </w:rPr>
        <w:t>idual data</w:t>
      </w:r>
    </w:p>
  </w:footnote>
  <w:footnote w:id="5">
    <w:p w14:paraId="025CED8D" w14:textId="77777777" w:rsidR="00655088" w:rsidRPr="008D27D2" w:rsidRDefault="00655088" w:rsidP="0029592F">
      <w:pPr>
        <w:pStyle w:val="Textpoznpodarou"/>
        <w:rPr>
          <w:sz w:val="16"/>
          <w:szCs w:val="16"/>
        </w:rPr>
      </w:pPr>
      <w:r w:rsidRPr="00B131B0">
        <w:rPr>
          <w:rStyle w:val="Znakapoznpodarou"/>
          <w:sz w:val="16"/>
          <w:szCs w:val="16"/>
        </w:rPr>
        <w:footnoteRef/>
      </w:r>
      <w:r w:rsidRPr="008D27D2">
        <w:rPr>
          <w:sz w:val="16"/>
          <w:szCs w:val="16"/>
        </w:rPr>
        <w:t xml:space="preserve"> </w:t>
      </w:r>
      <w:r w:rsidRPr="00ED5A87">
        <w:rPr>
          <w:sz w:val="16"/>
          <w:szCs w:val="16"/>
        </w:rPr>
        <w:t xml:space="preserve">Without prices of water distribution and services associated with wastewaters. </w:t>
      </w:r>
    </w:p>
  </w:footnote>
  <w:footnote w:id="6">
    <w:p w14:paraId="2FDDAA40" w14:textId="6F251211" w:rsidR="00655088" w:rsidRPr="007250FE" w:rsidRDefault="00655088" w:rsidP="007250FE">
      <w:pPr>
        <w:pStyle w:val="Textpoznpodarou"/>
        <w:rPr>
          <w:sz w:val="16"/>
          <w:szCs w:val="16"/>
        </w:rPr>
      </w:pPr>
      <w:r w:rsidRPr="00B131B0">
        <w:rPr>
          <w:rStyle w:val="Znakapoznpodarou"/>
          <w:sz w:val="16"/>
          <w:szCs w:val="16"/>
        </w:rPr>
        <w:footnoteRef/>
      </w:r>
      <w:r w:rsidRPr="008D27D2">
        <w:rPr>
          <w:sz w:val="16"/>
          <w:szCs w:val="16"/>
        </w:rPr>
        <w:t xml:space="preserve"> </w:t>
      </w:r>
      <w:r>
        <w:rPr>
          <w:sz w:val="16"/>
          <w:szCs w:val="16"/>
        </w:rPr>
        <w:t xml:space="preserve">Based on the CNB data, the average koruna foreign exchange per euro reached </w:t>
      </w:r>
      <w:r w:rsidRPr="008D27D2">
        <w:rPr>
          <w:sz w:val="16"/>
          <w:szCs w:val="16"/>
        </w:rPr>
        <w:t>24</w:t>
      </w:r>
      <w:r>
        <w:rPr>
          <w:sz w:val="16"/>
          <w:szCs w:val="16"/>
        </w:rPr>
        <w:t>.</w:t>
      </w:r>
      <w:r w:rsidRPr="008D27D2">
        <w:rPr>
          <w:sz w:val="16"/>
          <w:szCs w:val="16"/>
        </w:rPr>
        <w:t>298 CZK/EUR</w:t>
      </w:r>
      <w:r>
        <w:rPr>
          <w:sz w:val="16"/>
          <w:szCs w:val="16"/>
        </w:rPr>
        <w:t xml:space="preserve"> in Q2 2026 compared to </w:t>
      </w:r>
      <w:r w:rsidRPr="008D27D2">
        <w:rPr>
          <w:sz w:val="16"/>
          <w:szCs w:val="16"/>
        </w:rPr>
        <w:t>24</w:t>
      </w:r>
      <w:r>
        <w:rPr>
          <w:sz w:val="16"/>
          <w:szCs w:val="16"/>
        </w:rPr>
        <w:t>.</w:t>
      </w:r>
      <w:r w:rsidRPr="008D27D2">
        <w:rPr>
          <w:sz w:val="16"/>
          <w:szCs w:val="16"/>
        </w:rPr>
        <w:t>328 CZK/EUR</w:t>
      </w:r>
      <w:r>
        <w:rPr>
          <w:sz w:val="16"/>
          <w:szCs w:val="16"/>
        </w:rPr>
        <w:t xml:space="preserve"> in Q1 </w:t>
      </w:r>
      <w:r w:rsidRPr="008D27D2">
        <w:rPr>
          <w:sz w:val="16"/>
          <w:szCs w:val="16"/>
        </w:rPr>
        <w:t>2026 a</w:t>
      </w:r>
      <w:r>
        <w:rPr>
          <w:sz w:val="16"/>
          <w:szCs w:val="16"/>
        </w:rPr>
        <w:t>nd</w:t>
      </w:r>
      <w:r w:rsidRPr="008D27D2">
        <w:rPr>
          <w:sz w:val="16"/>
          <w:szCs w:val="16"/>
        </w:rPr>
        <w:t xml:space="preserve"> 24</w:t>
      </w:r>
      <w:r>
        <w:rPr>
          <w:sz w:val="16"/>
          <w:szCs w:val="16"/>
        </w:rPr>
        <w:t>.</w:t>
      </w:r>
      <w:r w:rsidRPr="008D27D2">
        <w:rPr>
          <w:sz w:val="16"/>
          <w:szCs w:val="16"/>
        </w:rPr>
        <w:t xml:space="preserve">921 CZK/EUR </w:t>
      </w:r>
      <w:r>
        <w:rPr>
          <w:sz w:val="16"/>
          <w:szCs w:val="16"/>
        </w:rPr>
        <w:t>in Q</w:t>
      </w:r>
      <w:r w:rsidRPr="008D27D2">
        <w:rPr>
          <w:sz w:val="16"/>
          <w:szCs w:val="16"/>
        </w:rPr>
        <w:t>2</w:t>
      </w:r>
      <w:r>
        <w:rPr>
          <w:sz w:val="16"/>
          <w:szCs w:val="16"/>
        </w:rPr>
        <w:t xml:space="preserve"> </w:t>
      </w:r>
      <w:r w:rsidRPr="008D27D2">
        <w:rPr>
          <w:sz w:val="16"/>
          <w:szCs w:val="16"/>
        </w:rPr>
        <w:t xml:space="preserve">2025. </w:t>
      </w:r>
      <w:r w:rsidRPr="00995C95">
        <w:rPr>
          <w:sz w:val="16"/>
          <w:szCs w:val="16"/>
        </w:rPr>
        <w:t xml:space="preserve">The koruna foreign exchange per dollar </w:t>
      </w:r>
      <w:r>
        <w:rPr>
          <w:sz w:val="16"/>
          <w:szCs w:val="16"/>
        </w:rPr>
        <w:t xml:space="preserve">attained </w:t>
      </w:r>
      <w:r w:rsidRPr="007250FE">
        <w:rPr>
          <w:sz w:val="16"/>
          <w:szCs w:val="16"/>
        </w:rPr>
        <w:t>20</w:t>
      </w:r>
      <w:r>
        <w:rPr>
          <w:sz w:val="16"/>
          <w:szCs w:val="16"/>
        </w:rPr>
        <w:t>.</w:t>
      </w:r>
      <w:r w:rsidRPr="007250FE">
        <w:rPr>
          <w:sz w:val="16"/>
          <w:szCs w:val="16"/>
        </w:rPr>
        <w:t>899 CZK/USD</w:t>
      </w:r>
      <w:r>
        <w:rPr>
          <w:sz w:val="16"/>
          <w:szCs w:val="16"/>
        </w:rPr>
        <w:t xml:space="preserve"> in Q2 compared to </w:t>
      </w:r>
      <w:r w:rsidRPr="007250FE">
        <w:rPr>
          <w:sz w:val="16"/>
          <w:szCs w:val="16"/>
        </w:rPr>
        <w:t>20</w:t>
      </w:r>
      <w:r>
        <w:rPr>
          <w:sz w:val="16"/>
          <w:szCs w:val="16"/>
        </w:rPr>
        <w:t>.</w:t>
      </w:r>
      <w:r w:rsidRPr="007250FE">
        <w:rPr>
          <w:sz w:val="16"/>
          <w:szCs w:val="16"/>
        </w:rPr>
        <w:t xml:space="preserve">790 CZK/USD </w:t>
      </w:r>
      <w:r>
        <w:rPr>
          <w:sz w:val="16"/>
          <w:szCs w:val="16"/>
        </w:rPr>
        <w:t xml:space="preserve">in Q1 </w:t>
      </w:r>
      <w:r w:rsidRPr="007250FE">
        <w:rPr>
          <w:sz w:val="16"/>
          <w:szCs w:val="16"/>
        </w:rPr>
        <w:t>2026 a</w:t>
      </w:r>
      <w:r>
        <w:rPr>
          <w:sz w:val="16"/>
          <w:szCs w:val="16"/>
        </w:rPr>
        <w:t>nd</w:t>
      </w:r>
      <w:r w:rsidRPr="007250FE">
        <w:rPr>
          <w:sz w:val="16"/>
          <w:szCs w:val="16"/>
        </w:rPr>
        <w:t xml:space="preserve"> 21</w:t>
      </w:r>
      <w:r>
        <w:rPr>
          <w:sz w:val="16"/>
          <w:szCs w:val="16"/>
        </w:rPr>
        <w:t>.</w:t>
      </w:r>
      <w:r w:rsidRPr="007250FE">
        <w:rPr>
          <w:sz w:val="16"/>
          <w:szCs w:val="16"/>
        </w:rPr>
        <w:t xml:space="preserve">985 CZK/USD </w:t>
      </w:r>
      <w:r>
        <w:rPr>
          <w:sz w:val="16"/>
          <w:szCs w:val="16"/>
        </w:rPr>
        <w:t>in Q</w:t>
      </w:r>
      <w:r w:rsidRPr="007250FE">
        <w:rPr>
          <w:sz w:val="16"/>
          <w:szCs w:val="16"/>
        </w:rPr>
        <w:t>2</w:t>
      </w:r>
      <w:r>
        <w:rPr>
          <w:sz w:val="16"/>
          <w:szCs w:val="16"/>
        </w:rPr>
        <w:t xml:space="preserve"> </w:t>
      </w:r>
      <w:r w:rsidRPr="007250FE">
        <w:rPr>
          <w:sz w:val="16"/>
          <w:szCs w:val="16"/>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9EBB" w14:textId="379149F3" w:rsidR="00763B85" w:rsidRPr="00B131B0" w:rsidRDefault="00E92DFE" w:rsidP="00937AE2">
    <w:pPr>
      <w:pStyle w:val="Zhlav"/>
      <w:rPr>
        <w:lang w:val="en-GB"/>
      </w:rPr>
    </w:pPr>
    <w:r w:rsidRPr="00B131B0">
      <w:rPr>
        <w:lang w:val="en-GB"/>
      </w:rPr>
      <w:t>The Czech Economy Development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A682" w14:textId="6C803F4A" w:rsidR="00763B85" w:rsidRPr="00B131B0" w:rsidRDefault="007A7100" w:rsidP="00937AE2">
    <w:pPr>
      <w:pStyle w:val="Zhlav"/>
      <w:rPr>
        <w:lang w:val="en-GB"/>
      </w:rPr>
    </w:pPr>
    <w:r w:rsidRPr="00B131B0">
      <w:rPr>
        <w:lang w:val="en-GB"/>
      </w:rPr>
      <w:t>The Czech Economy Development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C5946"/>
    <w:multiLevelType w:val="hybridMultilevel"/>
    <w:tmpl w:val="4C1C2D78"/>
    <w:lvl w:ilvl="0" w:tplc="B01A56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95764B"/>
    <w:multiLevelType w:val="hybridMultilevel"/>
    <w:tmpl w:val="84788BC8"/>
    <w:lvl w:ilvl="0" w:tplc="1B96A2C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9D55121"/>
    <w:multiLevelType w:val="hybridMultilevel"/>
    <w:tmpl w:val="338E27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0D361065"/>
    <w:multiLevelType w:val="hybridMultilevel"/>
    <w:tmpl w:val="991072C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0E145AAD"/>
    <w:multiLevelType w:val="hybridMultilevel"/>
    <w:tmpl w:val="963044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8B35353"/>
    <w:multiLevelType w:val="multilevel"/>
    <w:tmpl w:val="1C0E9EAE"/>
    <w:name w:val="Analyza"/>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pStyle w:val="Nadpis5"/>
      <w:suff w:val="space"/>
      <w:lvlText w:val="%1.%2.%3.%4.%5"/>
      <w:lvlJc w:val="left"/>
      <w:pPr>
        <w:ind w:left="1008" w:hanging="1008"/>
      </w:pPr>
      <w:rPr>
        <w:rFonts w:hint="default"/>
      </w:rPr>
    </w:lvl>
    <w:lvl w:ilvl="5">
      <w:start w:val="1"/>
      <w:numFmt w:val="decimal"/>
      <w:pStyle w:val="Nadpis6"/>
      <w:suff w:val="space"/>
      <w:lvlText w:val="%1.%2.%3.%4.%5.%6"/>
      <w:lvlJc w:val="left"/>
      <w:pPr>
        <w:ind w:left="1152" w:hanging="1152"/>
      </w:pPr>
      <w:rPr>
        <w:rFonts w:hint="default"/>
      </w:rPr>
    </w:lvl>
    <w:lvl w:ilvl="6">
      <w:start w:val="1"/>
      <w:numFmt w:val="decimal"/>
      <w:pStyle w:val="Nadpis7"/>
      <w:suff w:val="space"/>
      <w:lvlText w:val="%1.%2.%3.%4.%5.%6.%7"/>
      <w:lvlJc w:val="left"/>
      <w:pPr>
        <w:ind w:left="1296" w:hanging="1296"/>
      </w:pPr>
      <w:rPr>
        <w:rFonts w:hint="default"/>
      </w:rPr>
    </w:lvl>
    <w:lvl w:ilvl="7">
      <w:start w:val="1"/>
      <w:numFmt w:val="decimal"/>
      <w:pStyle w:val="Nadpis8"/>
      <w:suff w:val="space"/>
      <w:lvlText w:val="%1.%2.%3.%4.%5.%6.%7.%8"/>
      <w:lvlJc w:val="left"/>
      <w:pPr>
        <w:ind w:left="1440" w:hanging="1440"/>
      </w:pPr>
      <w:rPr>
        <w:rFonts w:hint="default"/>
      </w:rPr>
    </w:lvl>
    <w:lvl w:ilvl="8">
      <w:start w:val="1"/>
      <w:numFmt w:val="decimal"/>
      <w:pStyle w:val="Nadpis9"/>
      <w:suff w:val="space"/>
      <w:lvlText w:val="%1.%2.%3.%4.%5.%6.%7.%8.%9"/>
      <w:lvlJc w:val="left"/>
      <w:pPr>
        <w:ind w:left="1584" w:hanging="1584"/>
      </w:pPr>
      <w:rPr>
        <w:rFonts w:hint="default"/>
      </w:rPr>
    </w:lvl>
  </w:abstractNum>
  <w:abstractNum w:abstractNumId="16" w15:restartNumberingAfterBreak="0">
    <w:nsid w:val="1E462C8E"/>
    <w:multiLevelType w:val="hybridMultilevel"/>
    <w:tmpl w:val="84B464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2C64F20"/>
    <w:multiLevelType w:val="hybridMultilevel"/>
    <w:tmpl w:val="ADE25A6C"/>
    <w:lvl w:ilvl="0" w:tplc="04050001">
      <w:start w:val="1"/>
      <w:numFmt w:val="bullet"/>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8352333"/>
    <w:multiLevelType w:val="multilevel"/>
    <w:tmpl w:val="D0ACFA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28DA62F8"/>
    <w:multiLevelType w:val="hybridMultilevel"/>
    <w:tmpl w:val="419C87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A5A7A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C2420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D106E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11355C0"/>
    <w:multiLevelType w:val="multilevel"/>
    <w:tmpl w:val="697E8BE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9914012"/>
    <w:multiLevelType w:val="multilevel"/>
    <w:tmpl w:val="F380FB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C7C1667"/>
    <w:multiLevelType w:val="hybridMultilevel"/>
    <w:tmpl w:val="735E7570"/>
    <w:lvl w:ilvl="0" w:tplc="5588AF8E">
      <w:start w:val="1"/>
      <w:numFmt w:val="decimal"/>
      <w:lvlText w:val="%1."/>
      <w:lvlJc w:val="left"/>
      <w:pPr>
        <w:ind w:left="4800" w:hanging="360"/>
      </w:pPr>
      <w:rPr>
        <w:rFonts w:hint="default"/>
      </w:rPr>
    </w:lvl>
    <w:lvl w:ilvl="1" w:tplc="04050019" w:tentative="1">
      <w:start w:val="1"/>
      <w:numFmt w:val="lowerLetter"/>
      <w:lvlText w:val="%2."/>
      <w:lvlJc w:val="left"/>
      <w:pPr>
        <w:ind w:left="5520" w:hanging="360"/>
      </w:pPr>
    </w:lvl>
    <w:lvl w:ilvl="2" w:tplc="0405001B" w:tentative="1">
      <w:start w:val="1"/>
      <w:numFmt w:val="lowerRoman"/>
      <w:lvlText w:val="%3."/>
      <w:lvlJc w:val="right"/>
      <w:pPr>
        <w:ind w:left="6240" w:hanging="180"/>
      </w:pPr>
    </w:lvl>
    <w:lvl w:ilvl="3" w:tplc="0405000F" w:tentative="1">
      <w:start w:val="1"/>
      <w:numFmt w:val="decimal"/>
      <w:lvlText w:val="%4."/>
      <w:lvlJc w:val="left"/>
      <w:pPr>
        <w:ind w:left="6960" w:hanging="360"/>
      </w:pPr>
    </w:lvl>
    <w:lvl w:ilvl="4" w:tplc="04050019" w:tentative="1">
      <w:start w:val="1"/>
      <w:numFmt w:val="lowerLetter"/>
      <w:lvlText w:val="%5."/>
      <w:lvlJc w:val="left"/>
      <w:pPr>
        <w:ind w:left="7680" w:hanging="360"/>
      </w:pPr>
    </w:lvl>
    <w:lvl w:ilvl="5" w:tplc="0405001B" w:tentative="1">
      <w:start w:val="1"/>
      <w:numFmt w:val="lowerRoman"/>
      <w:lvlText w:val="%6."/>
      <w:lvlJc w:val="right"/>
      <w:pPr>
        <w:ind w:left="8400" w:hanging="180"/>
      </w:pPr>
    </w:lvl>
    <w:lvl w:ilvl="6" w:tplc="0405000F" w:tentative="1">
      <w:start w:val="1"/>
      <w:numFmt w:val="decimal"/>
      <w:lvlText w:val="%7."/>
      <w:lvlJc w:val="left"/>
      <w:pPr>
        <w:ind w:left="9120" w:hanging="360"/>
      </w:pPr>
    </w:lvl>
    <w:lvl w:ilvl="7" w:tplc="04050019" w:tentative="1">
      <w:start w:val="1"/>
      <w:numFmt w:val="lowerLetter"/>
      <w:lvlText w:val="%8."/>
      <w:lvlJc w:val="left"/>
      <w:pPr>
        <w:ind w:left="9840" w:hanging="360"/>
      </w:pPr>
    </w:lvl>
    <w:lvl w:ilvl="8" w:tplc="0405001B" w:tentative="1">
      <w:start w:val="1"/>
      <w:numFmt w:val="lowerRoman"/>
      <w:lvlText w:val="%9."/>
      <w:lvlJc w:val="right"/>
      <w:pPr>
        <w:ind w:left="10560" w:hanging="180"/>
      </w:pPr>
    </w:lvl>
  </w:abstractNum>
  <w:abstractNum w:abstractNumId="27" w15:restartNumberingAfterBreak="0">
    <w:nsid w:val="3D4D0562"/>
    <w:multiLevelType w:val="hybridMultilevel"/>
    <w:tmpl w:val="E8A8F2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BB1D16"/>
    <w:multiLevelType w:val="hybridMultilevel"/>
    <w:tmpl w:val="CA4409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44558D6"/>
    <w:multiLevelType w:val="hybridMultilevel"/>
    <w:tmpl w:val="1B90B8E0"/>
    <w:lvl w:ilvl="0" w:tplc="4B66ED1E">
      <w:start w:val="1"/>
      <w:numFmt w:val="decimal"/>
      <w:lvlText w:val="%1."/>
      <w:lvlJc w:val="left"/>
      <w:pPr>
        <w:ind w:left="4905" w:hanging="360"/>
      </w:pPr>
      <w:rPr>
        <w:rFonts w:hint="default"/>
      </w:rPr>
    </w:lvl>
    <w:lvl w:ilvl="1" w:tplc="04050019" w:tentative="1">
      <w:start w:val="1"/>
      <w:numFmt w:val="lowerLetter"/>
      <w:lvlText w:val="%2."/>
      <w:lvlJc w:val="left"/>
      <w:pPr>
        <w:ind w:left="5625" w:hanging="360"/>
      </w:pPr>
    </w:lvl>
    <w:lvl w:ilvl="2" w:tplc="0405001B" w:tentative="1">
      <w:start w:val="1"/>
      <w:numFmt w:val="lowerRoman"/>
      <w:lvlText w:val="%3."/>
      <w:lvlJc w:val="right"/>
      <w:pPr>
        <w:ind w:left="6345" w:hanging="180"/>
      </w:pPr>
    </w:lvl>
    <w:lvl w:ilvl="3" w:tplc="0405000F" w:tentative="1">
      <w:start w:val="1"/>
      <w:numFmt w:val="decimal"/>
      <w:lvlText w:val="%4."/>
      <w:lvlJc w:val="left"/>
      <w:pPr>
        <w:ind w:left="7065" w:hanging="360"/>
      </w:pPr>
    </w:lvl>
    <w:lvl w:ilvl="4" w:tplc="04050019" w:tentative="1">
      <w:start w:val="1"/>
      <w:numFmt w:val="lowerLetter"/>
      <w:lvlText w:val="%5."/>
      <w:lvlJc w:val="left"/>
      <w:pPr>
        <w:ind w:left="7785" w:hanging="360"/>
      </w:pPr>
    </w:lvl>
    <w:lvl w:ilvl="5" w:tplc="0405001B" w:tentative="1">
      <w:start w:val="1"/>
      <w:numFmt w:val="lowerRoman"/>
      <w:lvlText w:val="%6."/>
      <w:lvlJc w:val="right"/>
      <w:pPr>
        <w:ind w:left="8505" w:hanging="180"/>
      </w:pPr>
    </w:lvl>
    <w:lvl w:ilvl="6" w:tplc="0405000F" w:tentative="1">
      <w:start w:val="1"/>
      <w:numFmt w:val="decimal"/>
      <w:lvlText w:val="%7."/>
      <w:lvlJc w:val="left"/>
      <w:pPr>
        <w:ind w:left="9225" w:hanging="360"/>
      </w:pPr>
    </w:lvl>
    <w:lvl w:ilvl="7" w:tplc="04050019" w:tentative="1">
      <w:start w:val="1"/>
      <w:numFmt w:val="lowerLetter"/>
      <w:lvlText w:val="%8."/>
      <w:lvlJc w:val="left"/>
      <w:pPr>
        <w:ind w:left="9945" w:hanging="360"/>
      </w:pPr>
    </w:lvl>
    <w:lvl w:ilvl="8" w:tplc="0405001B" w:tentative="1">
      <w:start w:val="1"/>
      <w:numFmt w:val="lowerRoman"/>
      <w:lvlText w:val="%9."/>
      <w:lvlJc w:val="right"/>
      <w:pPr>
        <w:ind w:left="10665" w:hanging="180"/>
      </w:pPr>
    </w:lvl>
  </w:abstractNum>
  <w:abstractNum w:abstractNumId="30" w15:restartNumberingAfterBreak="0">
    <w:nsid w:val="479678F7"/>
    <w:multiLevelType w:val="hybridMultilevel"/>
    <w:tmpl w:val="A4DE71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95051A8"/>
    <w:multiLevelType w:val="hybridMultilevel"/>
    <w:tmpl w:val="DEACEA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ADA4287"/>
    <w:multiLevelType w:val="multilevel"/>
    <w:tmpl w:val="1C0E9EAE"/>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E490F3B"/>
    <w:multiLevelType w:val="hybridMultilevel"/>
    <w:tmpl w:val="D64CB604"/>
    <w:lvl w:ilvl="0" w:tplc="67AC8A1C">
      <w:start w:val="1"/>
      <w:numFmt w:val="bullet"/>
      <w:lvlText w:val=""/>
      <w:lvlJc w:val="left"/>
      <w:pPr>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655F88"/>
    <w:multiLevelType w:val="hybridMultilevel"/>
    <w:tmpl w:val="70283F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38567A6"/>
    <w:multiLevelType w:val="hybridMultilevel"/>
    <w:tmpl w:val="50E0FC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8CB210F"/>
    <w:multiLevelType w:val="multilevel"/>
    <w:tmpl w:val="D64CB604"/>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CD405E1"/>
    <w:multiLevelType w:val="multilevel"/>
    <w:tmpl w:val="5FC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EF3AA7"/>
    <w:multiLevelType w:val="multilevel"/>
    <w:tmpl w:val="9092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048D2"/>
    <w:multiLevelType w:val="hybridMultilevel"/>
    <w:tmpl w:val="D2A0FC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B235D04"/>
    <w:multiLevelType w:val="hybridMultilevel"/>
    <w:tmpl w:val="26840E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87747AF"/>
    <w:multiLevelType w:val="hybridMultilevel"/>
    <w:tmpl w:val="76204D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B651B2D"/>
    <w:multiLevelType w:val="hybridMultilevel"/>
    <w:tmpl w:val="4C1C2D78"/>
    <w:lvl w:ilvl="0" w:tplc="B01A5632">
      <w:start w:val="1"/>
      <w:numFmt w:val="bullet"/>
      <w:pStyle w:val="Normalodrk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DA7946"/>
    <w:multiLevelType w:val="multilevel"/>
    <w:tmpl w:val="6F3E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8E301A"/>
    <w:multiLevelType w:val="hybridMultilevel"/>
    <w:tmpl w:val="1A92D79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2000647203">
    <w:abstractNumId w:val="31"/>
  </w:num>
  <w:num w:numId="2" w16cid:durableId="2108306025">
    <w:abstractNumId w:val="8"/>
  </w:num>
  <w:num w:numId="3" w16cid:durableId="1851791032">
    <w:abstractNumId w:val="3"/>
  </w:num>
  <w:num w:numId="4" w16cid:durableId="1418281433">
    <w:abstractNumId w:val="2"/>
  </w:num>
  <w:num w:numId="5" w16cid:durableId="1057360773">
    <w:abstractNumId w:val="1"/>
  </w:num>
  <w:num w:numId="6" w16cid:durableId="917859753">
    <w:abstractNumId w:val="0"/>
  </w:num>
  <w:num w:numId="7" w16cid:durableId="1884097028">
    <w:abstractNumId w:val="9"/>
  </w:num>
  <w:num w:numId="8" w16cid:durableId="824902319">
    <w:abstractNumId w:val="7"/>
  </w:num>
  <w:num w:numId="9" w16cid:durableId="1803766138">
    <w:abstractNumId w:val="6"/>
  </w:num>
  <w:num w:numId="10" w16cid:durableId="566259340">
    <w:abstractNumId w:val="5"/>
  </w:num>
  <w:num w:numId="11" w16cid:durableId="52774508">
    <w:abstractNumId w:val="4"/>
  </w:num>
  <w:num w:numId="12" w16cid:durableId="1533685237">
    <w:abstractNumId w:val="18"/>
  </w:num>
  <w:num w:numId="13" w16cid:durableId="195428688">
    <w:abstractNumId w:val="34"/>
  </w:num>
  <w:num w:numId="14" w16cid:durableId="1684941278">
    <w:abstractNumId w:val="15"/>
  </w:num>
  <w:num w:numId="15" w16cid:durableId="1238784906">
    <w:abstractNumId w:val="24"/>
  </w:num>
  <w:num w:numId="16" w16cid:durableId="2045134713">
    <w:abstractNumId w:val="19"/>
  </w:num>
  <w:num w:numId="17" w16cid:durableId="1458451516">
    <w:abstractNumId w:val="35"/>
  </w:num>
  <w:num w:numId="18" w16cid:durableId="849877926">
    <w:abstractNumId w:val="25"/>
  </w:num>
  <w:num w:numId="19" w16cid:durableId="1118066606">
    <w:abstractNumId w:val="38"/>
  </w:num>
  <w:num w:numId="20" w16cid:durableId="508564300">
    <w:abstractNumId w:val="44"/>
  </w:num>
  <w:num w:numId="21" w16cid:durableId="316148911">
    <w:abstractNumId w:val="33"/>
  </w:num>
  <w:num w:numId="22" w16cid:durableId="360010707">
    <w:abstractNumId w:val="23"/>
  </w:num>
  <w:num w:numId="23" w16cid:durableId="999309269">
    <w:abstractNumId w:val="21"/>
  </w:num>
  <w:num w:numId="24" w16cid:durableId="1194266313">
    <w:abstractNumId w:val="22"/>
  </w:num>
  <w:num w:numId="25" w16cid:durableId="1815366340">
    <w:abstractNumId w:val="41"/>
  </w:num>
  <w:num w:numId="26" w16cid:durableId="1577863405">
    <w:abstractNumId w:val="43"/>
  </w:num>
  <w:num w:numId="27" w16cid:durableId="1207061094">
    <w:abstractNumId w:val="13"/>
  </w:num>
  <w:num w:numId="28" w16cid:durableId="1693920833">
    <w:abstractNumId w:val="27"/>
  </w:num>
  <w:num w:numId="29" w16cid:durableId="1876775477">
    <w:abstractNumId w:val="26"/>
  </w:num>
  <w:num w:numId="30" w16cid:durableId="179972127">
    <w:abstractNumId w:val="10"/>
  </w:num>
  <w:num w:numId="31" w16cid:durableId="970136012">
    <w:abstractNumId w:val="28"/>
  </w:num>
  <w:num w:numId="32" w16cid:durableId="1617836376">
    <w:abstractNumId w:val="12"/>
  </w:num>
  <w:num w:numId="33" w16cid:durableId="357007340">
    <w:abstractNumId w:val="46"/>
  </w:num>
  <w:num w:numId="34" w16cid:durableId="2131776467">
    <w:abstractNumId w:val="11"/>
  </w:num>
  <w:num w:numId="35" w16cid:durableId="1776095800">
    <w:abstractNumId w:val="37"/>
  </w:num>
  <w:num w:numId="36" w16cid:durableId="862209000">
    <w:abstractNumId w:val="30"/>
  </w:num>
  <w:num w:numId="37" w16cid:durableId="322010878">
    <w:abstractNumId w:val="29"/>
  </w:num>
  <w:num w:numId="38" w16cid:durableId="1458373311">
    <w:abstractNumId w:val="39"/>
  </w:num>
  <w:num w:numId="39" w16cid:durableId="288441997">
    <w:abstractNumId w:val="45"/>
  </w:num>
  <w:num w:numId="40" w16cid:durableId="952595072">
    <w:abstractNumId w:val="40"/>
  </w:num>
  <w:num w:numId="41" w16cid:durableId="1427652868">
    <w:abstractNumId w:val="32"/>
  </w:num>
  <w:num w:numId="42" w16cid:durableId="1024401835">
    <w:abstractNumId w:val="20"/>
  </w:num>
  <w:num w:numId="43" w16cid:durableId="428089243">
    <w:abstractNumId w:val="14"/>
  </w:num>
  <w:num w:numId="44" w16cid:durableId="82647767">
    <w:abstractNumId w:val="36"/>
  </w:num>
  <w:num w:numId="45" w16cid:durableId="215163427">
    <w:abstractNumId w:val="16"/>
  </w:num>
  <w:num w:numId="46" w16cid:durableId="1639922006">
    <w:abstractNumId w:val="44"/>
    <w:lvlOverride w:ilvl="0">
      <w:startOverride w:val="1"/>
    </w:lvlOverride>
  </w:num>
  <w:num w:numId="47" w16cid:durableId="1509101590">
    <w:abstractNumId w:val="17"/>
  </w:num>
  <w:num w:numId="48" w16cid:durableId="14816520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43"/>
    <w:rsid w:val="00000B00"/>
    <w:rsid w:val="00001128"/>
    <w:rsid w:val="0000209D"/>
    <w:rsid w:val="000022E1"/>
    <w:rsid w:val="00002724"/>
    <w:rsid w:val="00002D96"/>
    <w:rsid w:val="00003DD9"/>
    <w:rsid w:val="0000484B"/>
    <w:rsid w:val="00004B10"/>
    <w:rsid w:val="00004D5A"/>
    <w:rsid w:val="000056D5"/>
    <w:rsid w:val="00005B8C"/>
    <w:rsid w:val="00005C79"/>
    <w:rsid w:val="00006ABD"/>
    <w:rsid w:val="0000767A"/>
    <w:rsid w:val="00010256"/>
    <w:rsid w:val="00010596"/>
    <w:rsid w:val="00010702"/>
    <w:rsid w:val="00011630"/>
    <w:rsid w:val="00011912"/>
    <w:rsid w:val="00014E27"/>
    <w:rsid w:val="00015E7C"/>
    <w:rsid w:val="00017678"/>
    <w:rsid w:val="00017AA1"/>
    <w:rsid w:val="00020384"/>
    <w:rsid w:val="0002195D"/>
    <w:rsid w:val="000234D6"/>
    <w:rsid w:val="00023D29"/>
    <w:rsid w:val="00025C47"/>
    <w:rsid w:val="00025CDB"/>
    <w:rsid w:val="00026031"/>
    <w:rsid w:val="000262C7"/>
    <w:rsid w:val="00026389"/>
    <w:rsid w:val="00026E93"/>
    <w:rsid w:val="00027CCB"/>
    <w:rsid w:val="00031AE0"/>
    <w:rsid w:val="00031D22"/>
    <w:rsid w:val="00031F70"/>
    <w:rsid w:val="000322EF"/>
    <w:rsid w:val="00032837"/>
    <w:rsid w:val="00033FCD"/>
    <w:rsid w:val="000354C7"/>
    <w:rsid w:val="0003581C"/>
    <w:rsid w:val="0003646D"/>
    <w:rsid w:val="00036AE8"/>
    <w:rsid w:val="00036F4B"/>
    <w:rsid w:val="0003723F"/>
    <w:rsid w:val="000409D9"/>
    <w:rsid w:val="00040D10"/>
    <w:rsid w:val="00041CEC"/>
    <w:rsid w:val="000435E2"/>
    <w:rsid w:val="00043819"/>
    <w:rsid w:val="00043AB6"/>
    <w:rsid w:val="000447F9"/>
    <w:rsid w:val="00045433"/>
    <w:rsid w:val="000460C2"/>
    <w:rsid w:val="0004694F"/>
    <w:rsid w:val="00046B0C"/>
    <w:rsid w:val="00047081"/>
    <w:rsid w:val="00050267"/>
    <w:rsid w:val="000522E4"/>
    <w:rsid w:val="00053503"/>
    <w:rsid w:val="000537E7"/>
    <w:rsid w:val="00053ADA"/>
    <w:rsid w:val="000557DB"/>
    <w:rsid w:val="0005689E"/>
    <w:rsid w:val="0005692B"/>
    <w:rsid w:val="00056EE3"/>
    <w:rsid w:val="00060C1D"/>
    <w:rsid w:val="000610E1"/>
    <w:rsid w:val="0006181C"/>
    <w:rsid w:val="00061936"/>
    <w:rsid w:val="00062EC5"/>
    <w:rsid w:val="00062F22"/>
    <w:rsid w:val="0006472D"/>
    <w:rsid w:val="00064C3D"/>
    <w:rsid w:val="00064D4F"/>
    <w:rsid w:val="000664E1"/>
    <w:rsid w:val="00066A92"/>
    <w:rsid w:val="0007020E"/>
    <w:rsid w:val="000712B3"/>
    <w:rsid w:val="000744F1"/>
    <w:rsid w:val="0007704E"/>
    <w:rsid w:val="00080F3C"/>
    <w:rsid w:val="000819EA"/>
    <w:rsid w:val="000824B7"/>
    <w:rsid w:val="0008263E"/>
    <w:rsid w:val="00082C19"/>
    <w:rsid w:val="00085395"/>
    <w:rsid w:val="000860FB"/>
    <w:rsid w:val="00086700"/>
    <w:rsid w:val="00086DF8"/>
    <w:rsid w:val="00087634"/>
    <w:rsid w:val="00087F2B"/>
    <w:rsid w:val="00090F62"/>
    <w:rsid w:val="0009134C"/>
    <w:rsid w:val="00092231"/>
    <w:rsid w:val="00092F8C"/>
    <w:rsid w:val="00093912"/>
    <w:rsid w:val="0009395E"/>
    <w:rsid w:val="0009438F"/>
    <w:rsid w:val="00095135"/>
    <w:rsid w:val="000951C7"/>
    <w:rsid w:val="00095D97"/>
    <w:rsid w:val="000968FA"/>
    <w:rsid w:val="00097361"/>
    <w:rsid w:val="000974D1"/>
    <w:rsid w:val="0009799E"/>
    <w:rsid w:val="000A0692"/>
    <w:rsid w:val="000A1183"/>
    <w:rsid w:val="000A2122"/>
    <w:rsid w:val="000A256D"/>
    <w:rsid w:val="000A3536"/>
    <w:rsid w:val="000A3957"/>
    <w:rsid w:val="000A3A2C"/>
    <w:rsid w:val="000A3C98"/>
    <w:rsid w:val="000A4CFF"/>
    <w:rsid w:val="000A565C"/>
    <w:rsid w:val="000A57D4"/>
    <w:rsid w:val="000A5A08"/>
    <w:rsid w:val="000A6BDB"/>
    <w:rsid w:val="000A7E10"/>
    <w:rsid w:val="000B0C26"/>
    <w:rsid w:val="000B2E84"/>
    <w:rsid w:val="000B3277"/>
    <w:rsid w:val="000B3D9C"/>
    <w:rsid w:val="000B4EFA"/>
    <w:rsid w:val="000B5132"/>
    <w:rsid w:val="000B5F58"/>
    <w:rsid w:val="000B613B"/>
    <w:rsid w:val="000B7FD1"/>
    <w:rsid w:val="000C0A4B"/>
    <w:rsid w:val="000C1805"/>
    <w:rsid w:val="000C1C67"/>
    <w:rsid w:val="000C207E"/>
    <w:rsid w:val="000C303B"/>
    <w:rsid w:val="000C3408"/>
    <w:rsid w:val="000C4A3F"/>
    <w:rsid w:val="000C4DF2"/>
    <w:rsid w:val="000C6AFD"/>
    <w:rsid w:val="000C6D60"/>
    <w:rsid w:val="000C6F50"/>
    <w:rsid w:val="000C726A"/>
    <w:rsid w:val="000C7ADD"/>
    <w:rsid w:val="000D3ACB"/>
    <w:rsid w:val="000D3FF0"/>
    <w:rsid w:val="000D48D5"/>
    <w:rsid w:val="000D4A24"/>
    <w:rsid w:val="000D50DE"/>
    <w:rsid w:val="000D5637"/>
    <w:rsid w:val="000E3B90"/>
    <w:rsid w:val="000E3F61"/>
    <w:rsid w:val="000E4376"/>
    <w:rsid w:val="000E45EF"/>
    <w:rsid w:val="000E6FBD"/>
    <w:rsid w:val="000F0B68"/>
    <w:rsid w:val="000F13D0"/>
    <w:rsid w:val="000F5116"/>
    <w:rsid w:val="000F5227"/>
    <w:rsid w:val="00100F5C"/>
    <w:rsid w:val="00101CDA"/>
    <w:rsid w:val="00101DD7"/>
    <w:rsid w:val="00102391"/>
    <w:rsid w:val="0010309C"/>
    <w:rsid w:val="00104C4C"/>
    <w:rsid w:val="001056D3"/>
    <w:rsid w:val="001062D9"/>
    <w:rsid w:val="001075D1"/>
    <w:rsid w:val="0011034F"/>
    <w:rsid w:val="0011243F"/>
    <w:rsid w:val="00112479"/>
    <w:rsid w:val="00113466"/>
    <w:rsid w:val="00115A8D"/>
    <w:rsid w:val="00117623"/>
    <w:rsid w:val="0012011F"/>
    <w:rsid w:val="0012192F"/>
    <w:rsid w:val="00121AEA"/>
    <w:rsid w:val="001221E1"/>
    <w:rsid w:val="00122AD9"/>
    <w:rsid w:val="00123742"/>
    <w:rsid w:val="0012390C"/>
    <w:rsid w:val="00123BA2"/>
    <w:rsid w:val="00123EA3"/>
    <w:rsid w:val="0012513F"/>
    <w:rsid w:val="00125609"/>
    <w:rsid w:val="00125D69"/>
    <w:rsid w:val="001261F1"/>
    <w:rsid w:val="001318C4"/>
    <w:rsid w:val="00131915"/>
    <w:rsid w:val="00131BDF"/>
    <w:rsid w:val="00132276"/>
    <w:rsid w:val="0013332E"/>
    <w:rsid w:val="00134A27"/>
    <w:rsid w:val="001405FA"/>
    <w:rsid w:val="00140A87"/>
    <w:rsid w:val="00140C22"/>
    <w:rsid w:val="001425C3"/>
    <w:rsid w:val="00142E49"/>
    <w:rsid w:val="001441CF"/>
    <w:rsid w:val="00144525"/>
    <w:rsid w:val="00145802"/>
    <w:rsid w:val="00145E07"/>
    <w:rsid w:val="0014755F"/>
    <w:rsid w:val="001476BD"/>
    <w:rsid w:val="00147B49"/>
    <w:rsid w:val="00147E0D"/>
    <w:rsid w:val="00147F51"/>
    <w:rsid w:val="001507EC"/>
    <w:rsid w:val="001514B1"/>
    <w:rsid w:val="00151510"/>
    <w:rsid w:val="001529DB"/>
    <w:rsid w:val="00152B0C"/>
    <w:rsid w:val="00152C5B"/>
    <w:rsid w:val="00152E68"/>
    <w:rsid w:val="00154A8F"/>
    <w:rsid w:val="00155004"/>
    <w:rsid w:val="00156004"/>
    <w:rsid w:val="0015693C"/>
    <w:rsid w:val="001612F4"/>
    <w:rsid w:val="00161801"/>
    <w:rsid w:val="00161D7B"/>
    <w:rsid w:val="0016256B"/>
    <w:rsid w:val="001630CA"/>
    <w:rsid w:val="001635B9"/>
    <w:rsid w:val="001636E9"/>
    <w:rsid w:val="00163793"/>
    <w:rsid w:val="0016420F"/>
    <w:rsid w:val="00165C94"/>
    <w:rsid w:val="00165D64"/>
    <w:rsid w:val="00166B9A"/>
    <w:rsid w:val="001706D6"/>
    <w:rsid w:val="001714F2"/>
    <w:rsid w:val="00171C40"/>
    <w:rsid w:val="0017287E"/>
    <w:rsid w:val="001737B3"/>
    <w:rsid w:val="00173E87"/>
    <w:rsid w:val="00174334"/>
    <w:rsid w:val="00174DC0"/>
    <w:rsid w:val="00175063"/>
    <w:rsid w:val="00175B9F"/>
    <w:rsid w:val="001769F3"/>
    <w:rsid w:val="00177087"/>
    <w:rsid w:val="001806A2"/>
    <w:rsid w:val="00180E26"/>
    <w:rsid w:val="00180FC4"/>
    <w:rsid w:val="00181BBC"/>
    <w:rsid w:val="001820F2"/>
    <w:rsid w:val="00182FAC"/>
    <w:rsid w:val="00184212"/>
    <w:rsid w:val="001842AC"/>
    <w:rsid w:val="00184B08"/>
    <w:rsid w:val="00185010"/>
    <w:rsid w:val="00185A34"/>
    <w:rsid w:val="0018654A"/>
    <w:rsid w:val="001865C5"/>
    <w:rsid w:val="0019143B"/>
    <w:rsid w:val="00192232"/>
    <w:rsid w:val="0019271F"/>
    <w:rsid w:val="00193CDC"/>
    <w:rsid w:val="00195620"/>
    <w:rsid w:val="00196F3D"/>
    <w:rsid w:val="001A0347"/>
    <w:rsid w:val="001A0487"/>
    <w:rsid w:val="001A09BF"/>
    <w:rsid w:val="001A1D37"/>
    <w:rsid w:val="001A1FFB"/>
    <w:rsid w:val="001A26EA"/>
    <w:rsid w:val="001A42E4"/>
    <w:rsid w:val="001A528C"/>
    <w:rsid w:val="001A5438"/>
    <w:rsid w:val="001A552F"/>
    <w:rsid w:val="001A6DE1"/>
    <w:rsid w:val="001B14BC"/>
    <w:rsid w:val="001B1B92"/>
    <w:rsid w:val="001B246F"/>
    <w:rsid w:val="001B2CA9"/>
    <w:rsid w:val="001B3110"/>
    <w:rsid w:val="001B4729"/>
    <w:rsid w:val="001B59C2"/>
    <w:rsid w:val="001B6180"/>
    <w:rsid w:val="001B62E1"/>
    <w:rsid w:val="001B6310"/>
    <w:rsid w:val="001B6C09"/>
    <w:rsid w:val="001B6CC9"/>
    <w:rsid w:val="001B7B54"/>
    <w:rsid w:val="001C04A7"/>
    <w:rsid w:val="001C05CD"/>
    <w:rsid w:val="001C1B5E"/>
    <w:rsid w:val="001C1F96"/>
    <w:rsid w:val="001C2DF4"/>
    <w:rsid w:val="001C6497"/>
    <w:rsid w:val="001C7114"/>
    <w:rsid w:val="001D0146"/>
    <w:rsid w:val="001D07CA"/>
    <w:rsid w:val="001D16A8"/>
    <w:rsid w:val="001D35D0"/>
    <w:rsid w:val="001D3E75"/>
    <w:rsid w:val="001D48B3"/>
    <w:rsid w:val="001D48D4"/>
    <w:rsid w:val="001D5A2A"/>
    <w:rsid w:val="001D5E38"/>
    <w:rsid w:val="001D68B2"/>
    <w:rsid w:val="001D7B29"/>
    <w:rsid w:val="001E0542"/>
    <w:rsid w:val="001E0E69"/>
    <w:rsid w:val="001E2362"/>
    <w:rsid w:val="001E2605"/>
    <w:rsid w:val="001E353A"/>
    <w:rsid w:val="001E3FD2"/>
    <w:rsid w:val="001E4382"/>
    <w:rsid w:val="001E504C"/>
    <w:rsid w:val="001E5085"/>
    <w:rsid w:val="001E54C6"/>
    <w:rsid w:val="001E563B"/>
    <w:rsid w:val="001E5803"/>
    <w:rsid w:val="001E5D41"/>
    <w:rsid w:val="001E6062"/>
    <w:rsid w:val="001E7360"/>
    <w:rsid w:val="001F22A0"/>
    <w:rsid w:val="001F3EDB"/>
    <w:rsid w:val="001F4597"/>
    <w:rsid w:val="001F5B15"/>
    <w:rsid w:val="001F67A0"/>
    <w:rsid w:val="001F67E9"/>
    <w:rsid w:val="001F7DD4"/>
    <w:rsid w:val="00200875"/>
    <w:rsid w:val="00200EFB"/>
    <w:rsid w:val="002013BA"/>
    <w:rsid w:val="00201ABB"/>
    <w:rsid w:val="00202E51"/>
    <w:rsid w:val="00203629"/>
    <w:rsid w:val="00203DA4"/>
    <w:rsid w:val="00204A14"/>
    <w:rsid w:val="0021031A"/>
    <w:rsid w:val="00210453"/>
    <w:rsid w:val="00211350"/>
    <w:rsid w:val="002118B9"/>
    <w:rsid w:val="00211E86"/>
    <w:rsid w:val="002144D9"/>
    <w:rsid w:val="002147C5"/>
    <w:rsid w:val="00214CF7"/>
    <w:rsid w:val="00216139"/>
    <w:rsid w:val="00216425"/>
    <w:rsid w:val="00217C5B"/>
    <w:rsid w:val="00217CAD"/>
    <w:rsid w:val="00220412"/>
    <w:rsid w:val="0022084F"/>
    <w:rsid w:val="00220F08"/>
    <w:rsid w:val="002210EF"/>
    <w:rsid w:val="002211EE"/>
    <w:rsid w:val="0022139E"/>
    <w:rsid w:val="00221763"/>
    <w:rsid w:val="00221B37"/>
    <w:rsid w:val="00222729"/>
    <w:rsid w:val="002234F2"/>
    <w:rsid w:val="0022400B"/>
    <w:rsid w:val="0022515D"/>
    <w:rsid w:val="0022526B"/>
    <w:rsid w:val="002252E0"/>
    <w:rsid w:val="002255F6"/>
    <w:rsid w:val="00225B14"/>
    <w:rsid w:val="00225FE1"/>
    <w:rsid w:val="00226932"/>
    <w:rsid w:val="002269CF"/>
    <w:rsid w:val="00226C8D"/>
    <w:rsid w:val="00226CEB"/>
    <w:rsid w:val="00226FF4"/>
    <w:rsid w:val="00227850"/>
    <w:rsid w:val="00227A53"/>
    <w:rsid w:val="00230C6E"/>
    <w:rsid w:val="00230FF6"/>
    <w:rsid w:val="002313F4"/>
    <w:rsid w:val="0023423D"/>
    <w:rsid w:val="00234285"/>
    <w:rsid w:val="00235DF4"/>
    <w:rsid w:val="00236029"/>
    <w:rsid w:val="00236443"/>
    <w:rsid w:val="0023672F"/>
    <w:rsid w:val="00241B06"/>
    <w:rsid w:val="002436BA"/>
    <w:rsid w:val="00244A15"/>
    <w:rsid w:val="0024577B"/>
    <w:rsid w:val="00246B57"/>
    <w:rsid w:val="00247319"/>
    <w:rsid w:val="002477F5"/>
    <w:rsid w:val="0024799E"/>
    <w:rsid w:val="0025314E"/>
    <w:rsid w:val="00253C0F"/>
    <w:rsid w:val="002548EA"/>
    <w:rsid w:val="0025569E"/>
    <w:rsid w:val="002558C1"/>
    <w:rsid w:val="0025596D"/>
    <w:rsid w:val="00255E0A"/>
    <w:rsid w:val="0026041B"/>
    <w:rsid w:val="0026273F"/>
    <w:rsid w:val="002629D1"/>
    <w:rsid w:val="00264588"/>
    <w:rsid w:val="00264FF1"/>
    <w:rsid w:val="0026505B"/>
    <w:rsid w:val="00265D04"/>
    <w:rsid w:val="00265D9E"/>
    <w:rsid w:val="00267252"/>
    <w:rsid w:val="0027004A"/>
    <w:rsid w:val="00271465"/>
    <w:rsid w:val="00271D6A"/>
    <w:rsid w:val="00271F7E"/>
    <w:rsid w:val="00273548"/>
    <w:rsid w:val="0027435A"/>
    <w:rsid w:val="00275A69"/>
    <w:rsid w:val="00276221"/>
    <w:rsid w:val="0027788C"/>
    <w:rsid w:val="00280348"/>
    <w:rsid w:val="002809EE"/>
    <w:rsid w:val="002813FB"/>
    <w:rsid w:val="00283497"/>
    <w:rsid w:val="00283F2E"/>
    <w:rsid w:val="00285412"/>
    <w:rsid w:val="00285DBC"/>
    <w:rsid w:val="002876DC"/>
    <w:rsid w:val="002914B8"/>
    <w:rsid w:val="00291640"/>
    <w:rsid w:val="002922FC"/>
    <w:rsid w:val="00294911"/>
    <w:rsid w:val="0029592F"/>
    <w:rsid w:val="00296A55"/>
    <w:rsid w:val="002A01A6"/>
    <w:rsid w:val="002A16D4"/>
    <w:rsid w:val="002A1D63"/>
    <w:rsid w:val="002A230C"/>
    <w:rsid w:val="002A2B09"/>
    <w:rsid w:val="002A2FD4"/>
    <w:rsid w:val="002A4755"/>
    <w:rsid w:val="002B2299"/>
    <w:rsid w:val="002B3535"/>
    <w:rsid w:val="002B4121"/>
    <w:rsid w:val="002B4845"/>
    <w:rsid w:val="002B4D75"/>
    <w:rsid w:val="002C02CF"/>
    <w:rsid w:val="002C02EB"/>
    <w:rsid w:val="002C12F5"/>
    <w:rsid w:val="002C1377"/>
    <w:rsid w:val="002C1BB3"/>
    <w:rsid w:val="002C2803"/>
    <w:rsid w:val="002C2ECB"/>
    <w:rsid w:val="002C43BD"/>
    <w:rsid w:val="002C5FE0"/>
    <w:rsid w:val="002C60B2"/>
    <w:rsid w:val="002D0576"/>
    <w:rsid w:val="002D0E59"/>
    <w:rsid w:val="002D12DC"/>
    <w:rsid w:val="002D19F2"/>
    <w:rsid w:val="002D1DEA"/>
    <w:rsid w:val="002D2069"/>
    <w:rsid w:val="002D3023"/>
    <w:rsid w:val="002D3F57"/>
    <w:rsid w:val="002D4F48"/>
    <w:rsid w:val="002D6876"/>
    <w:rsid w:val="002D783C"/>
    <w:rsid w:val="002E02A1"/>
    <w:rsid w:val="002E05FC"/>
    <w:rsid w:val="002E182F"/>
    <w:rsid w:val="002E3BF0"/>
    <w:rsid w:val="002E42AC"/>
    <w:rsid w:val="002E4E4C"/>
    <w:rsid w:val="002E54B5"/>
    <w:rsid w:val="002E5531"/>
    <w:rsid w:val="002E559F"/>
    <w:rsid w:val="002E6113"/>
    <w:rsid w:val="002E6AB3"/>
    <w:rsid w:val="002E6CE0"/>
    <w:rsid w:val="002E6E34"/>
    <w:rsid w:val="002F0C93"/>
    <w:rsid w:val="002F1363"/>
    <w:rsid w:val="002F2227"/>
    <w:rsid w:val="002F3C21"/>
    <w:rsid w:val="002F3DA7"/>
    <w:rsid w:val="002F64C0"/>
    <w:rsid w:val="002F6F94"/>
    <w:rsid w:val="002F6FFF"/>
    <w:rsid w:val="00300650"/>
    <w:rsid w:val="003027B5"/>
    <w:rsid w:val="00302ADD"/>
    <w:rsid w:val="00304771"/>
    <w:rsid w:val="00304872"/>
    <w:rsid w:val="003052D4"/>
    <w:rsid w:val="00305E92"/>
    <w:rsid w:val="00306C5B"/>
    <w:rsid w:val="003076DD"/>
    <w:rsid w:val="00310073"/>
    <w:rsid w:val="00310351"/>
    <w:rsid w:val="00310819"/>
    <w:rsid w:val="00311100"/>
    <w:rsid w:val="00311901"/>
    <w:rsid w:val="003121C1"/>
    <w:rsid w:val="003129DA"/>
    <w:rsid w:val="00312E9C"/>
    <w:rsid w:val="00315C99"/>
    <w:rsid w:val="003166B7"/>
    <w:rsid w:val="00317908"/>
    <w:rsid w:val="00320393"/>
    <w:rsid w:val="003209D6"/>
    <w:rsid w:val="00320C1A"/>
    <w:rsid w:val="00321247"/>
    <w:rsid w:val="00321924"/>
    <w:rsid w:val="00321FF9"/>
    <w:rsid w:val="003221F3"/>
    <w:rsid w:val="003222B8"/>
    <w:rsid w:val="00323605"/>
    <w:rsid w:val="00323797"/>
    <w:rsid w:val="00325F8D"/>
    <w:rsid w:val="00326029"/>
    <w:rsid w:val="0032656E"/>
    <w:rsid w:val="003306E3"/>
    <w:rsid w:val="00331CDB"/>
    <w:rsid w:val="00332190"/>
    <w:rsid w:val="00333E16"/>
    <w:rsid w:val="00334998"/>
    <w:rsid w:val="00335A1E"/>
    <w:rsid w:val="003368F5"/>
    <w:rsid w:val="00337AC5"/>
    <w:rsid w:val="0034181E"/>
    <w:rsid w:val="0034335E"/>
    <w:rsid w:val="003445EF"/>
    <w:rsid w:val="00344668"/>
    <w:rsid w:val="003451F4"/>
    <w:rsid w:val="00345216"/>
    <w:rsid w:val="003457D6"/>
    <w:rsid w:val="003458C3"/>
    <w:rsid w:val="003462D9"/>
    <w:rsid w:val="0035030A"/>
    <w:rsid w:val="00350517"/>
    <w:rsid w:val="00351684"/>
    <w:rsid w:val="00352E3D"/>
    <w:rsid w:val="00353918"/>
    <w:rsid w:val="00355510"/>
    <w:rsid w:val="00355624"/>
    <w:rsid w:val="00355AD6"/>
    <w:rsid w:val="0035782C"/>
    <w:rsid w:val="0036026A"/>
    <w:rsid w:val="0036039D"/>
    <w:rsid w:val="0036073B"/>
    <w:rsid w:val="00360C86"/>
    <w:rsid w:val="00360FBC"/>
    <w:rsid w:val="003612D3"/>
    <w:rsid w:val="00361E3A"/>
    <w:rsid w:val="00361F0F"/>
    <w:rsid w:val="00362E90"/>
    <w:rsid w:val="0036331C"/>
    <w:rsid w:val="003634E5"/>
    <w:rsid w:val="00364FA0"/>
    <w:rsid w:val="003657F3"/>
    <w:rsid w:val="00366728"/>
    <w:rsid w:val="00366A26"/>
    <w:rsid w:val="00366F38"/>
    <w:rsid w:val="00366FAF"/>
    <w:rsid w:val="0036772A"/>
    <w:rsid w:val="00367CB3"/>
    <w:rsid w:val="00370B5C"/>
    <w:rsid w:val="00374B06"/>
    <w:rsid w:val="00374BD4"/>
    <w:rsid w:val="003750D1"/>
    <w:rsid w:val="00375A2B"/>
    <w:rsid w:val="003818DC"/>
    <w:rsid w:val="0038313A"/>
    <w:rsid w:val="00384327"/>
    <w:rsid w:val="00384A52"/>
    <w:rsid w:val="00384A54"/>
    <w:rsid w:val="003859D7"/>
    <w:rsid w:val="00385D98"/>
    <w:rsid w:val="00387AD2"/>
    <w:rsid w:val="0039192B"/>
    <w:rsid w:val="00395B42"/>
    <w:rsid w:val="00396E54"/>
    <w:rsid w:val="003A017C"/>
    <w:rsid w:val="003A023D"/>
    <w:rsid w:val="003A2472"/>
    <w:rsid w:val="003A2B4D"/>
    <w:rsid w:val="003A2D12"/>
    <w:rsid w:val="003A478C"/>
    <w:rsid w:val="003A526B"/>
    <w:rsid w:val="003A5525"/>
    <w:rsid w:val="003A6058"/>
    <w:rsid w:val="003A6B38"/>
    <w:rsid w:val="003A6E8E"/>
    <w:rsid w:val="003B0235"/>
    <w:rsid w:val="003B0859"/>
    <w:rsid w:val="003B1855"/>
    <w:rsid w:val="003B2D3D"/>
    <w:rsid w:val="003B461F"/>
    <w:rsid w:val="003B4BB5"/>
    <w:rsid w:val="003B524C"/>
    <w:rsid w:val="003B5A32"/>
    <w:rsid w:val="003B7535"/>
    <w:rsid w:val="003C11F1"/>
    <w:rsid w:val="003C308F"/>
    <w:rsid w:val="003C3490"/>
    <w:rsid w:val="003C3E52"/>
    <w:rsid w:val="003C4C2B"/>
    <w:rsid w:val="003C687F"/>
    <w:rsid w:val="003C7E62"/>
    <w:rsid w:val="003D021F"/>
    <w:rsid w:val="003D1135"/>
    <w:rsid w:val="003D1702"/>
    <w:rsid w:val="003D4412"/>
    <w:rsid w:val="003D6074"/>
    <w:rsid w:val="003D6920"/>
    <w:rsid w:val="003E2FF1"/>
    <w:rsid w:val="003E3DB8"/>
    <w:rsid w:val="003E40FE"/>
    <w:rsid w:val="003E42F4"/>
    <w:rsid w:val="003E4C91"/>
    <w:rsid w:val="003E58A7"/>
    <w:rsid w:val="003E6A39"/>
    <w:rsid w:val="003F11D9"/>
    <w:rsid w:val="003F1491"/>
    <w:rsid w:val="003F313C"/>
    <w:rsid w:val="003F37FC"/>
    <w:rsid w:val="003F4B2C"/>
    <w:rsid w:val="003F551C"/>
    <w:rsid w:val="003F5CBE"/>
    <w:rsid w:val="003F72ED"/>
    <w:rsid w:val="003F7D23"/>
    <w:rsid w:val="00400A19"/>
    <w:rsid w:val="0040101B"/>
    <w:rsid w:val="004010B3"/>
    <w:rsid w:val="0040361C"/>
    <w:rsid w:val="00404F7F"/>
    <w:rsid w:val="00405480"/>
    <w:rsid w:val="004058D9"/>
    <w:rsid w:val="00407458"/>
    <w:rsid w:val="0040782B"/>
    <w:rsid w:val="00407C13"/>
    <w:rsid w:val="0041041D"/>
    <w:rsid w:val="00410638"/>
    <w:rsid w:val="00410754"/>
    <w:rsid w:val="00411C8A"/>
    <w:rsid w:val="00412D98"/>
    <w:rsid w:val="00412EDC"/>
    <w:rsid w:val="0041327E"/>
    <w:rsid w:val="0041501E"/>
    <w:rsid w:val="004150B9"/>
    <w:rsid w:val="00415467"/>
    <w:rsid w:val="004159C3"/>
    <w:rsid w:val="00416579"/>
    <w:rsid w:val="004204A7"/>
    <w:rsid w:val="00420850"/>
    <w:rsid w:val="00424AF2"/>
    <w:rsid w:val="00425371"/>
    <w:rsid w:val="00425E09"/>
    <w:rsid w:val="00426A0A"/>
    <w:rsid w:val="00431955"/>
    <w:rsid w:val="00432973"/>
    <w:rsid w:val="00432A58"/>
    <w:rsid w:val="00432C06"/>
    <w:rsid w:val="00432F4B"/>
    <w:rsid w:val="0043379F"/>
    <w:rsid w:val="00433E51"/>
    <w:rsid w:val="00434617"/>
    <w:rsid w:val="00434970"/>
    <w:rsid w:val="004354AF"/>
    <w:rsid w:val="0043582E"/>
    <w:rsid w:val="004372DC"/>
    <w:rsid w:val="00440802"/>
    <w:rsid w:val="00440900"/>
    <w:rsid w:val="0044104A"/>
    <w:rsid w:val="004414FA"/>
    <w:rsid w:val="00441BF6"/>
    <w:rsid w:val="00442055"/>
    <w:rsid w:val="00443A3C"/>
    <w:rsid w:val="00443BDD"/>
    <w:rsid w:val="004441A0"/>
    <w:rsid w:val="00444CC9"/>
    <w:rsid w:val="00444D89"/>
    <w:rsid w:val="004455BA"/>
    <w:rsid w:val="00447D51"/>
    <w:rsid w:val="004500B9"/>
    <w:rsid w:val="0045078A"/>
    <w:rsid w:val="0045086D"/>
    <w:rsid w:val="00451504"/>
    <w:rsid w:val="004517D9"/>
    <w:rsid w:val="00451BDE"/>
    <w:rsid w:val="00452746"/>
    <w:rsid w:val="00453F88"/>
    <w:rsid w:val="004545ED"/>
    <w:rsid w:val="00454F11"/>
    <w:rsid w:val="00457047"/>
    <w:rsid w:val="0045727E"/>
    <w:rsid w:val="00460FB3"/>
    <w:rsid w:val="00461115"/>
    <w:rsid w:val="004615B2"/>
    <w:rsid w:val="0046167C"/>
    <w:rsid w:val="00462A13"/>
    <w:rsid w:val="00463463"/>
    <w:rsid w:val="00463661"/>
    <w:rsid w:val="00464621"/>
    <w:rsid w:val="00464BF4"/>
    <w:rsid w:val="0046588D"/>
    <w:rsid w:val="00466519"/>
    <w:rsid w:val="00470F34"/>
    <w:rsid w:val="00472C42"/>
    <w:rsid w:val="00472CBB"/>
    <w:rsid w:val="00472D76"/>
    <w:rsid w:val="00473240"/>
    <w:rsid w:val="00474C10"/>
    <w:rsid w:val="00476240"/>
    <w:rsid w:val="00476439"/>
    <w:rsid w:val="0047735C"/>
    <w:rsid w:val="004776BC"/>
    <w:rsid w:val="00480239"/>
    <w:rsid w:val="00481390"/>
    <w:rsid w:val="0048139F"/>
    <w:rsid w:val="00481E40"/>
    <w:rsid w:val="0048297A"/>
    <w:rsid w:val="00484BA3"/>
    <w:rsid w:val="00484E60"/>
    <w:rsid w:val="00484ECE"/>
    <w:rsid w:val="00485B5A"/>
    <w:rsid w:val="00487CB4"/>
    <w:rsid w:val="00490D16"/>
    <w:rsid w:val="004915CB"/>
    <w:rsid w:val="00491B47"/>
    <w:rsid w:val="004924DC"/>
    <w:rsid w:val="00492A59"/>
    <w:rsid w:val="00494317"/>
    <w:rsid w:val="0049733B"/>
    <w:rsid w:val="004A03CF"/>
    <w:rsid w:val="004A14E4"/>
    <w:rsid w:val="004A3212"/>
    <w:rsid w:val="004A3285"/>
    <w:rsid w:val="004A4158"/>
    <w:rsid w:val="004A4643"/>
    <w:rsid w:val="004A4A88"/>
    <w:rsid w:val="004A5494"/>
    <w:rsid w:val="004A61C5"/>
    <w:rsid w:val="004A69F2"/>
    <w:rsid w:val="004A77DF"/>
    <w:rsid w:val="004B1417"/>
    <w:rsid w:val="004B17B5"/>
    <w:rsid w:val="004B2390"/>
    <w:rsid w:val="004B2835"/>
    <w:rsid w:val="004B55B7"/>
    <w:rsid w:val="004B6119"/>
    <w:rsid w:val="004B6468"/>
    <w:rsid w:val="004B711E"/>
    <w:rsid w:val="004B7125"/>
    <w:rsid w:val="004B7213"/>
    <w:rsid w:val="004C14E8"/>
    <w:rsid w:val="004C1E8B"/>
    <w:rsid w:val="004C32B6"/>
    <w:rsid w:val="004C34F2"/>
    <w:rsid w:val="004C384C"/>
    <w:rsid w:val="004C3867"/>
    <w:rsid w:val="004C4CD0"/>
    <w:rsid w:val="004C70DC"/>
    <w:rsid w:val="004D0211"/>
    <w:rsid w:val="004D0794"/>
    <w:rsid w:val="004D2529"/>
    <w:rsid w:val="004D365C"/>
    <w:rsid w:val="004D3967"/>
    <w:rsid w:val="004D626B"/>
    <w:rsid w:val="004E071D"/>
    <w:rsid w:val="004E2CE1"/>
    <w:rsid w:val="004E51EB"/>
    <w:rsid w:val="004E5A97"/>
    <w:rsid w:val="004E672F"/>
    <w:rsid w:val="004E6BFC"/>
    <w:rsid w:val="004E6EED"/>
    <w:rsid w:val="004F06F5"/>
    <w:rsid w:val="004F33A0"/>
    <w:rsid w:val="004F3E4C"/>
    <w:rsid w:val="004F3F33"/>
    <w:rsid w:val="004F4587"/>
    <w:rsid w:val="004F4B2E"/>
    <w:rsid w:val="004F4B78"/>
    <w:rsid w:val="004F4EB8"/>
    <w:rsid w:val="00502009"/>
    <w:rsid w:val="005036D2"/>
    <w:rsid w:val="005042B1"/>
    <w:rsid w:val="00504404"/>
    <w:rsid w:val="0050440D"/>
    <w:rsid w:val="005058B3"/>
    <w:rsid w:val="00505FE3"/>
    <w:rsid w:val="0050689D"/>
    <w:rsid w:val="00510084"/>
    <w:rsid w:val="0051059A"/>
    <w:rsid w:val="005108C0"/>
    <w:rsid w:val="005111FA"/>
    <w:rsid w:val="00511735"/>
    <w:rsid w:val="00511873"/>
    <w:rsid w:val="00511AFF"/>
    <w:rsid w:val="00512A2F"/>
    <w:rsid w:val="00512E34"/>
    <w:rsid w:val="00513844"/>
    <w:rsid w:val="00513B7E"/>
    <w:rsid w:val="00515349"/>
    <w:rsid w:val="00515C74"/>
    <w:rsid w:val="005174DD"/>
    <w:rsid w:val="0052007E"/>
    <w:rsid w:val="00520B53"/>
    <w:rsid w:val="00522EEA"/>
    <w:rsid w:val="0052337A"/>
    <w:rsid w:val="005235C8"/>
    <w:rsid w:val="00523FCE"/>
    <w:rsid w:val="00524FBF"/>
    <w:rsid w:val="00525137"/>
    <w:rsid w:val="005251DD"/>
    <w:rsid w:val="00526E55"/>
    <w:rsid w:val="00527F94"/>
    <w:rsid w:val="00530B89"/>
    <w:rsid w:val="0053135D"/>
    <w:rsid w:val="00532CE7"/>
    <w:rsid w:val="0053324C"/>
    <w:rsid w:val="00534210"/>
    <w:rsid w:val="00534A28"/>
    <w:rsid w:val="0054014B"/>
    <w:rsid w:val="00540B19"/>
    <w:rsid w:val="0054130E"/>
    <w:rsid w:val="00541508"/>
    <w:rsid w:val="005433DC"/>
    <w:rsid w:val="00543498"/>
    <w:rsid w:val="00543C8F"/>
    <w:rsid w:val="0054585F"/>
    <w:rsid w:val="005500AF"/>
    <w:rsid w:val="00550752"/>
    <w:rsid w:val="0055599F"/>
    <w:rsid w:val="00555C3C"/>
    <w:rsid w:val="00556D68"/>
    <w:rsid w:val="00556EF1"/>
    <w:rsid w:val="00557294"/>
    <w:rsid w:val="00557755"/>
    <w:rsid w:val="00560FF3"/>
    <w:rsid w:val="00562964"/>
    <w:rsid w:val="00563EB8"/>
    <w:rsid w:val="00564059"/>
    <w:rsid w:val="005647BF"/>
    <w:rsid w:val="00564AF1"/>
    <w:rsid w:val="00564FAC"/>
    <w:rsid w:val="005653B3"/>
    <w:rsid w:val="0056569C"/>
    <w:rsid w:val="00565C32"/>
    <w:rsid w:val="00566404"/>
    <w:rsid w:val="00566CAE"/>
    <w:rsid w:val="005705DD"/>
    <w:rsid w:val="00570DC6"/>
    <w:rsid w:val="0057157C"/>
    <w:rsid w:val="00572A4E"/>
    <w:rsid w:val="00572FB1"/>
    <w:rsid w:val="0057327E"/>
    <w:rsid w:val="0057364B"/>
    <w:rsid w:val="00574589"/>
    <w:rsid w:val="00574773"/>
    <w:rsid w:val="00575218"/>
    <w:rsid w:val="00575F5F"/>
    <w:rsid w:val="005774D7"/>
    <w:rsid w:val="005777D4"/>
    <w:rsid w:val="00577C25"/>
    <w:rsid w:val="00580606"/>
    <w:rsid w:val="005820B6"/>
    <w:rsid w:val="00582D01"/>
    <w:rsid w:val="00583FFD"/>
    <w:rsid w:val="00590017"/>
    <w:rsid w:val="005911BE"/>
    <w:rsid w:val="00591EC6"/>
    <w:rsid w:val="005923B1"/>
    <w:rsid w:val="00592603"/>
    <w:rsid w:val="00593152"/>
    <w:rsid w:val="00595676"/>
    <w:rsid w:val="00597817"/>
    <w:rsid w:val="00597D54"/>
    <w:rsid w:val="005A0A05"/>
    <w:rsid w:val="005A10F2"/>
    <w:rsid w:val="005A1C6C"/>
    <w:rsid w:val="005A21E0"/>
    <w:rsid w:val="005A2372"/>
    <w:rsid w:val="005A25CD"/>
    <w:rsid w:val="005A262D"/>
    <w:rsid w:val="005A28FF"/>
    <w:rsid w:val="005A3738"/>
    <w:rsid w:val="005A3DF8"/>
    <w:rsid w:val="005A425E"/>
    <w:rsid w:val="005A5549"/>
    <w:rsid w:val="005A5A30"/>
    <w:rsid w:val="005A74A4"/>
    <w:rsid w:val="005A7626"/>
    <w:rsid w:val="005B0E6C"/>
    <w:rsid w:val="005B121D"/>
    <w:rsid w:val="005B16F4"/>
    <w:rsid w:val="005B1D39"/>
    <w:rsid w:val="005B4A98"/>
    <w:rsid w:val="005B4C46"/>
    <w:rsid w:val="005B53F9"/>
    <w:rsid w:val="005B5DEF"/>
    <w:rsid w:val="005B6459"/>
    <w:rsid w:val="005B7AF7"/>
    <w:rsid w:val="005C06ED"/>
    <w:rsid w:val="005C0924"/>
    <w:rsid w:val="005C143E"/>
    <w:rsid w:val="005C2609"/>
    <w:rsid w:val="005C26FE"/>
    <w:rsid w:val="005C299F"/>
    <w:rsid w:val="005C4E7C"/>
    <w:rsid w:val="005C746A"/>
    <w:rsid w:val="005D03ED"/>
    <w:rsid w:val="005D34B1"/>
    <w:rsid w:val="005D5308"/>
    <w:rsid w:val="005D565E"/>
    <w:rsid w:val="005D5802"/>
    <w:rsid w:val="005D5D54"/>
    <w:rsid w:val="005D7119"/>
    <w:rsid w:val="005D7890"/>
    <w:rsid w:val="005E1BDA"/>
    <w:rsid w:val="005E313D"/>
    <w:rsid w:val="005E376E"/>
    <w:rsid w:val="005E565F"/>
    <w:rsid w:val="005E7019"/>
    <w:rsid w:val="005E7C78"/>
    <w:rsid w:val="005F0514"/>
    <w:rsid w:val="005F1858"/>
    <w:rsid w:val="005F18C5"/>
    <w:rsid w:val="005F3EB1"/>
    <w:rsid w:val="005F41C4"/>
    <w:rsid w:val="005F46D8"/>
    <w:rsid w:val="005F5469"/>
    <w:rsid w:val="005F7AAB"/>
    <w:rsid w:val="00600BE1"/>
    <w:rsid w:val="006030F6"/>
    <w:rsid w:val="0060408A"/>
    <w:rsid w:val="00604307"/>
    <w:rsid w:val="006044DA"/>
    <w:rsid w:val="006045F0"/>
    <w:rsid w:val="0060487F"/>
    <w:rsid w:val="00604CDA"/>
    <w:rsid w:val="00604EAD"/>
    <w:rsid w:val="00606408"/>
    <w:rsid w:val="00606E6F"/>
    <w:rsid w:val="00606F15"/>
    <w:rsid w:val="006104FB"/>
    <w:rsid w:val="006124C5"/>
    <w:rsid w:val="00612A2F"/>
    <w:rsid w:val="0061482A"/>
    <w:rsid w:val="006166D8"/>
    <w:rsid w:val="00616E05"/>
    <w:rsid w:val="0062054C"/>
    <w:rsid w:val="00622254"/>
    <w:rsid w:val="00622363"/>
    <w:rsid w:val="00624093"/>
    <w:rsid w:val="0062503F"/>
    <w:rsid w:val="0062588C"/>
    <w:rsid w:val="00627BA2"/>
    <w:rsid w:val="00630E1F"/>
    <w:rsid w:val="00630F20"/>
    <w:rsid w:val="00631BC9"/>
    <w:rsid w:val="006350D5"/>
    <w:rsid w:val="00635191"/>
    <w:rsid w:val="00635B43"/>
    <w:rsid w:val="00637B2C"/>
    <w:rsid w:val="006404A7"/>
    <w:rsid w:val="00641F0B"/>
    <w:rsid w:val="0064287A"/>
    <w:rsid w:val="0064335A"/>
    <w:rsid w:val="00643FC3"/>
    <w:rsid w:val="00643FD3"/>
    <w:rsid w:val="006448DE"/>
    <w:rsid w:val="00644B90"/>
    <w:rsid w:val="00645133"/>
    <w:rsid w:val="006451E4"/>
    <w:rsid w:val="0064553D"/>
    <w:rsid w:val="00645B33"/>
    <w:rsid w:val="00645D1E"/>
    <w:rsid w:val="00650942"/>
    <w:rsid w:val="00650E0D"/>
    <w:rsid w:val="0065105B"/>
    <w:rsid w:val="006516CB"/>
    <w:rsid w:val="006517A7"/>
    <w:rsid w:val="00652F37"/>
    <w:rsid w:val="006533EC"/>
    <w:rsid w:val="00654154"/>
    <w:rsid w:val="0065479A"/>
    <w:rsid w:val="00655088"/>
    <w:rsid w:val="00656141"/>
    <w:rsid w:val="006567A9"/>
    <w:rsid w:val="00656B23"/>
    <w:rsid w:val="00656FC8"/>
    <w:rsid w:val="00657057"/>
    <w:rsid w:val="006574CC"/>
    <w:rsid w:val="00657D66"/>
    <w:rsid w:val="00657E87"/>
    <w:rsid w:val="00660910"/>
    <w:rsid w:val="00660F6A"/>
    <w:rsid w:val="00661EE7"/>
    <w:rsid w:val="006620C5"/>
    <w:rsid w:val="006645DB"/>
    <w:rsid w:val="00664803"/>
    <w:rsid w:val="00664BC8"/>
    <w:rsid w:val="00665BA4"/>
    <w:rsid w:val="00666348"/>
    <w:rsid w:val="006663A1"/>
    <w:rsid w:val="006679C7"/>
    <w:rsid w:val="00667AF2"/>
    <w:rsid w:val="00670242"/>
    <w:rsid w:val="006710C9"/>
    <w:rsid w:val="00671F5F"/>
    <w:rsid w:val="00673CDD"/>
    <w:rsid w:val="006740E4"/>
    <w:rsid w:val="006741AC"/>
    <w:rsid w:val="006745CB"/>
    <w:rsid w:val="006747BA"/>
    <w:rsid w:val="00674D89"/>
    <w:rsid w:val="006759FA"/>
    <w:rsid w:val="00675E37"/>
    <w:rsid w:val="00675F55"/>
    <w:rsid w:val="00680054"/>
    <w:rsid w:val="0068174E"/>
    <w:rsid w:val="00681DCE"/>
    <w:rsid w:val="00682216"/>
    <w:rsid w:val="0068260E"/>
    <w:rsid w:val="006827F0"/>
    <w:rsid w:val="00683398"/>
    <w:rsid w:val="00683C47"/>
    <w:rsid w:val="00683D7F"/>
    <w:rsid w:val="00683E1E"/>
    <w:rsid w:val="0068471C"/>
    <w:rsid w:val="00685F86"/>
    <w:rsid w:val="006864A6"/>
    <w:rsid w:val="00686E0A"/>
    <w:rsid w:val="0068704B"/>
    <w:rsid w:val="00691BCC"/>
    <w:rsid w:val="0069316A"/>
    <w:rsid w:val="00693CA2"/>
    <w:rsid w:val="00693F4A"/>
    <w:rsid w:val="00694375"/>
    <w:rsid w:val="006943B9"/>
    <w:rsid w:val="006952B0"/>
    <w:rsid w:val="006953FB"/>
    <w:rsid w:val="00695A1C"/>
    <w:rsid w:val="00695BEF"/>
    <w:rsid w:val="006977F6"/>
    <w:rsid w:val="00697A13"/>
    <w:rsid w:val="006A109C"/>
    <w:rsid w:val="006A10F4"/>
    <w:rsid w:val="006A190E"/>
    <w:rsid w:val="006A2410"/>
    <w:rsid w:val="006A3561"/>
    <w:rsid w:val="006A3F9B"/>
    <w:rsid w:val="006A46F7"/>
    <w:rsid w:val="006A4CFF"/>
    <w:rsid w:val="006A726E"/>
    <w:rsid w:val="006A7ED6"/>
    <w:rsid w:val="006B0F92"/>
    <w:rsid w:val="006B18CD"/>
    <w:rsid w:val="006B1AFC"/>
    <w:rsid w:val="006B1CAA"/>
    <w:rsid w:val="006B1E28"/>
    <w:rsid w:val="006B1FE2"/>
    <w:rsid w:val="006B2799"/>
    <w:rsid w:val="006B344A"/>
    <w:rsid w:val="006B3C13"/>
    <w:rsid w:val="006B4100"/>
    <w:rsid w:val="006B424F"/>
    <w:rsid w:val="006B78D8"/>
    <w:rsid w:val="006C0340"/>
    <w:rsid w:val="006C0C0D"/>
    <w:rsid w:val="006C113F"/>
    <w:rsid w:val="006C123E"/>
    <w:rsid w:val="006C1750"/>
    <w:rsid w:val="006C1752"/>
    <w:rsid w:val="006C2D41"/>
    <w:rsid w:val="006C4905"/>
    <w:rsid w:val="006C5547"/>
    <w:rsid w:val="006C56D4"/>
    <w:rsid w:val="006C5F30"/>
    <w:rsid w:val="006C6924"/>
    <w:rsid w:val="006C6BA8"/>
    <w:rsid w:val="006C7CA6"/>
    <w:rsid w:val="006D208B"/>
    <w:rsid w:val="006D3E8A"/>
    <w:rsid w:val="006D47A4"/>
    <w:rsid w:val="006D49FF"/>
    <w:rsid w:val="006D5247"/>
    <w:rsid w:val="006D592D"/>
    <w:rsid w:val="006D61F6"/>
    <w:rsid w:val="006D6781"/>
    <w:rsid w:val="006D6B9A"/>
    <w:rsid w:val="006D75BB"/>
    <w:rsid w:val="006E1CF2"/>
    <w:rsid w:val="006E279A"/>
    <w:rsid w:val="006E27B1"/>
    <w:rsid w:val="006E2B04"/>
    <w:rsid w:val="006E313B"/>
    <w:rsid w:val="006E489E"/>
    <w:rsid w:val="006E54AC"/>
    <w:rsid w:val="006E58F2"/>
    <w:rsid w:val="006E7227"/>
    <w:rsid w:val="006E7B31"/>
    <w:rsid w:val="006F0120"/>
    <w:rsid w:val="006F09CB"/>
    <w:rsid w:val="006F0B6A"/>
    <w:rsid w:val="006F0DC7"/>
    <w:rsid w:val="006F398D"/>
    <w:rsid w:val="006F438E"/>
    <w:rsid w:val="006F5416"/>
    <w:rsid w:val="00700059"/>
    <w:rsid w:val="00700E03"/>
    <w:rsid w:val="00700F27"/>
    <w:rsid w:val="0070119D"/>
    <w:rsid w:val="00701A28"/>
    <w:rsid w:val="00701BEB"/>
    <w:rsid w:val="00704818"/>
    <w:rsid w:val="00705242"/>
    <w:rsid w:val="00706AD4"/>
    <w:rsid w:val="00707150"/>
    <w:rsid w:val="00707AC1"/>
    <w:rsid w:val="00707AE9"/>
    <w:rsid w:val="00710CE5"/>
    <w:rsid w:val="00711224"/>
    <w:rsid w:val="007112BD"/>
    <w:rsid w:val="0071159D"/>
    <w:rsid w:val="007122B1"/>
    <w:rsid w:val="007129B5"/>
    <w:rsid w:val="007140BE"/>
    <w:rsid w:val="0071505D"/>
    <w:rsid w:val="007157A4"/>
    <w:rsid w:val="007178A8"/>
    <w:rsid w:val="007208B8"/>
    <w:rsid w:val="007211F5"/>
    <w:rsid w:val="00721757"/>
    <w:rsid w:val="007225A9"/>
    <w:rsid w:val="0072283D"/>
    <w:rsid w:val="007232CB"/>
    <w:rsid w:val="00723946"/>
    <w:rsid w:val="007240E2"/>
    <w:rsid w:val="007248BA"/>
    <w:rsid w:val="007250FE"/>
    <w:rsid w:val="007256B5"/>
    <w:rsid w:val="00725BB5"/>
    <w:rsid w:val="007270F2"/>
    <w:rsid w:val="00727828"/>
    <w:rsid w:val="00730030"/>
    <w:rsid w:val="007302A5"/>
    <w:rsid w:val="00730711"/>
    <w:rsid w:val="00730AE8"/>
    <w:rsid w:val="00730F1B"/>
    <w:rsid w:val="007316A3"/>
    <w:rsid w:val="007317FA"/>
    <w:rsid w:val="00732CDD"/>
    <w:rsid w:val="007339BF"/>
    <w:rsid w:val="00735591"/>
    <w:rsid w:val="00736AFB"/>
    <w:rsid w:val="00737F89"/>
    <w:rsid w:val="00740EA1"/>
    <w:rsid w:val="00741493"/>
    <w:rsid w:val="00741A3D"/>
    <w:rsid w:val="0074220B"/>
    <w:rsid w:val="007427E1"/>
    <w:rsid w:val="00742EC2"/>
    <w:rsid w:val="00745508"/>
    <w:rsid w:val="007467FF"/>
    <w:rsid w:val="0075027A"/>
    <w:rsid w:val="00750971"/>
    <w:rsid w:val="00750BFF"/>
    <w:rsid w:val="00750C64"/>
    <w:rsid w:val="00752180"/>
    <w:rsid w:val="00753454"/>
    <w:rsid w:val="007534DF"/>
    <w:rsid w:val="00753CAB"/>
    <w:rsid w:val="00755202"/>
    <w:rsid w:val="007554BD"/>
    <w:rsid w:val="00755B99"/>
    <w:rsid w:val="00755D3A"/>
    <w:rsid w:val="007578D3"/>
    <w:rsid w:val="007609C6"/>
    <w:rsid w:val="00760EA4"/>
    <w:rsid w:val="00761600"/>
    <w:rsid w:val="0076175D"/>
    <w:rsid w:val="007617CE"/>
    <w:rsid w:val="00762F7C"/>
    <w:rsid w:val="00763B85"/>
    <w:rsid w:val="00764FD3"/>
    <w:rsid w:val="0076521E"/>
    <w:rsid w:val="007655D2"/>
    <w:rsid w:val="00765629"/>
    <w:rsid w:val="00765BF6"/>
    <w:rsid w:val="007661E9"/>
    <w:rsid w:val="007672C6"/>
    <w:rsid w:val="00767AD0"/>
    <w:rsid w:val="00771FF6"/>
    <w:rsid w:val="007732E9"/>
    <w:rsid w:val="00773605"/>
    <w:rsid w:val="00774E36"/>
    <w:rsid w:val="00775480"/>
    <w:rsid w:val="00776169"/>
    <w:rsid w:val="00776527"/>
    <w:rsid w:val="00776C89"/>
    <w:rsid w:val="0077762A"/>
    <w:rsid w:val="00780EF1"/>
    <w:rsid w:val="0078132B"/>
    <w:rsid w:val="00781398"/>
    <w:rsid w:val="00781C0F"/>
    <w:rsid w:val="00781F7A"/>
    <w:rsid w:val="00782B78"/>
    <w:rsid w:val="00782F4F"/>
    <w:rsid w:val="00783CCB"/>
    <w:rsid w:val="00783F57"/>
    <w:rsid w:val="0078437D"/>
    <w:rsid w:val="00785A69"/>
    <w:rsid w:val="007871C9"/>
    <w:rsid w:val="00787903"/>
    <w:rsid w:val="00787B25"/>
    <w:rsid w:val="00787F15"/>
    <w:rsid w:val="00790764"/>
    <w:rsid w:val="0079095D"/>
    <w:rsid w:val="00791B5A"/>
    <w:rsid w:val="00794183"/>
    <w:rsid w:val="0079453C"/>
    <w:rsid w:val="00794677"/>
    <w:rsid w:val="007948ED"/>
    <w:rsid w:val="007968D2"/>
    <w:rsid w:val="007970DC"/>
    <w:rsid w:val="00797445"/>
    <w:rsid w:val="007A17E3"/>
    <w:rsid w:val="007A2610"/>
    <w:rsid w:val="007A317C"/>
    <w:rsid w:val="007A516D"/>
    <w:rsid w:val="007A5250"/>
    <w:rsid w:val="007A7100"/>
    <w:rsid w:val="007B188F"/>
    <w:rsid w:val="007B356F"/>
    <w:rsid w:val="007B3A96"/>
    <w:rsid w:val="007B4059"/>
    <w:rsid w:val="007B4322"/>
    <w:rsid w:val="007B4428"/>
    <w:rsid w:val="007B583C"/>
    <w:rsid w:val="007B5A8A"/>
    <w:rsid w:val="007B6689"/>
    <w:rsid w:val="007B6F5E"/>
    <w:rsid w:val="007B71C6"/>
    <w:rsid w:val="007B7F13"/>
    <w:rsid w:val="007C174A"/>
    <w:rsid w:val="007C29D1"/>
    <w:rsid w:val="007C2E6E"/>
    <w:rsid w:val="007C443D"/>
    <w:rsid w:val="007C4E0E"/>
    <w:rsid w:val="007C5E1F"/>
    <w:rsid w:val="007C65E8"/>
    <w:rsid w:val="007C6BBD"/>
    <w:rsid w:val="007C7443"/>
    <w:rsid w:val="007C7F29"/>
    <w:rsid w:val="007D0553"/>
    <w:rsid w:val="007D15F4"/>
    <w:rsid w:val="007D2975"/>
    <w:rsid w:val="007D2DA7"/>
    <w:rsid w:val="007D342C"/>
    <w:rsid w:val="007D40DF"/>
    <w:rsid w:val="007D5B74"/>
    <w:rsid w:val="007D7139"/>
    <w:rsid w:val="007D7F01"/>
    <w:rsid w:val="007E1365"/>
    <w:rsid w:val="007E25C8"/>
    <w:rsid w:val="007E29B4"/>
    <w:rsid w:val="007E3625"/>
    <w:rsid w:val="007E435A"/>
    <w:rsid w:val="007E5D94"/>
    <w:rsid w:val="007E7E61"/>
    <w:rsid w:val="007F0845"/>
    <w:rsid w:val="007F24F4"/>
    <w:rsid w:val="007F307A"/>
    <w:rsid w:val="007F6620"/>
    <w:rsid w:val="007F708D"/>
    <w:rsid w:val="00801BFB"/>
    <w:rsid w:val="00801E13"/>
    <w:rsid w:val="00806686"/>
    <w:rsid w:val="00807B7B"/>
    <w:rsid w:val="00807C82"/>
    <w:rsid w:val="00811590"/>
    <w:rsid w:val="0081237C"/>
    <w:rsid w:val="008124FC"/>
    <w:rsid w:val="00813E3C"/>
    <w:rsid w:val="00814B15"/>
    <w:rsid w:val="0081562A"/>
    <w:rsid w:val="0081565E"/>
    <w:rsid w:val="008161DB"/>
    <w:rsid w:val="00816905"/>
    <w:rsid w:val="00817343"/>
    <w:rsid w:val="008207EF"/>
    <w:rsid w:val="00820A4A"/>
    <w:rsid w:val="00821277"/>
    <w:rsid w:val="00821777"/>
    <w:rsid w:val="008217F0"/>
    <w:rsid w:val="00821FF6"/>
    <w:rsid w:val="00822574"/>
    <w:rsid w:val="00823182"/>
    <w:rsid w:val="008241CD"/>
    <w:rsid w:val="00825C4D"/>
    <w:rsid w:val="00827DE6"/>
    <w:rsid w:val="00827EA6"/>
    <w:rsid w:val="0083143E"/>
    <w:rsid w:val="00831CDE"/>
    <w:rsid w:val="00832105"/>
    <w:rsid w:val="00833895"/>
    <w:rsid w:val="00833B3D"/>
    <w:rsid w:val="00833FF1"/>
    <w:rsid w:val="00834304"/>
    <w:rsid w:val="008343A4"/>
    <w:rsid w:val="00834710"/>
    <w:rsid w:val="00834FAA"/>
    <w:rsid w:val="00835C7A"/>
    <w:rsid w:val="00836086"/>
    <w:rsid w:val="0084234E"/>
    <w:rsid w:val="00844B49"/>
    <w:rsid w:val="00845975"/>
    <w:rsid w:val="008459FF"/>
    <w:rsid w:val="00846121"/>
    <w:rsid w:val="00846366"/>
    <w:rsid w:val="0084708F"/>
    <w:rsid w:val="008477C8"/>
    <w:rsid w:val="00847BA0"/>
    <w:rsid w:val="00850DE0"/>
    <w:rsid w:val="0085114D"/>
    <w:rsid w:val="00851BB5"/>
    <w:rsid w:val="00852217"/>
    <w:rsid w:val="0085343F"/>
    <w:rsid w:val="008539D1"/>
    <w:rsid w:val="00854AD0"/>
    <w:rsid w:val="00855408"/>
    <w:rsid w:val="00855A1F"/>
    <w:rsid w:val="00856069"/>
    <w:rsid w:val="00856D65"/>
    <w:rsid w:val="00857DDE"/>
    <w:rsid w:val="00860BA9"/>
    <w:rsid w:val="00861B41"/>
    <w:rsid w:val="00861BE3"/>
    <w:rsid w:val="00863434"/>
    <w:rsid w:val="00863B2B"/>
    <w:rsid w:val="00865C90"/>
    <w:rsid w:val="00865E4C"/>
    <w:rsid w:val="008701E4"/>
    <w:rsid w:val="0087040B"/>
    <w:rsid w:val="00871069"/>
    <w:rsid w:val="0087121C"/>
    <w:rsid w:val="00872C61"/>
    <w:rsid w:val="00875A32"/>
    <w:rsid w:val="00875E9E"/>
    <w:rsid w:val="00876086"/>
    <w:rsid w:val="008774DC"/>
    <w:rsid w:val="00877817"/>
    <w:rsid w:val="008804E9"/>
    <w:rsid w:val="00880D2A"/>
    <w:rsid w:val="0088128D"/>
    <w:rsid w:val="008815BC"/>
    <w:rsid w:val="0088160C"/>
    <w:rsid w:val="008819A3"/>
    <w:rsid w:val="008825B0"/>
    <w:rsid w:val="00883762"/>
    <w:rsid w:val="00883991"/>
    <w:rsid w:val="00884124"/>
    <w:rsid w:val="00884AD6"/>
    <w:rsid w:val="0088582F"/>
    <w:rsid w:val="00886EB0"/>
    <w:rsid w:val="008873D4"/>
    <w:rsid w:val="00887FC8"/>
    <w:rsid w:val="00891049"/>
    <w:rsid w:val="0089126C"/>
    <w:rsid w:val="008917FE"/>
    <w:rsid w:val="0089296D"/>
    <w:rsid w:val="00893E85"/>
    <w:rsid w:val="00894031"/>
    <w:rsid w:val="00895508"/>
    <w:rsid w:val="0089685F"/>
    <w:rsid w:val="0089721E"/>
    <w:rsid w:val="00897506"/>
    <w:rsid w:val="00897C11"/>
    <w:rsid w:val="008A0C81"/>
    <w:rsid w:val="008A60E8"/>
    <w:rsid w:val="008A64A6"/>
    <w:rsid w:val="008A6745"/>
    <w:rsid w:val="008A73F2"/>
    <w:rsid w:val="008A7557"/>
    <w:rsid w:val="008B1171"/>
    <w:rsid w:val="008B167B"/>
    <w:rsid w:val="008B2F54"/>
    <w:rsid w:val="008B2FE5"/>
    <w:rsid w:val="008B4316"/>
    <w:rsid w:val="008B4333"/>
    <w:rsid w:val="008B483B"/>
    <w:rsid w:val="008B4FDA"/>
    <w:rsid w:val="008B5523"/>
    <w:rsid w:val="008B7C02"/>
    <w:rsid w:val="008B7D2B"/>
    <w:rsid w:val="008C0049"/>
    <w:rsid w:val="008C0445"/>
    <w:rsid w:val="008C08D8"/>
    <w:rsid w:val="008C0E88"/>
    <w:rsid w:val="008C285F"/>
    <w:rsid w:val="008C53CB"/>
    <w:rsid w:val="008C7E99"/>
    <w:rsid w:val="008C7F67"/>
    <w:rsid w:val="008D12F1"/>
    <w:rsid w:val="008D13C5"/>
    <w:rsid w:val="008D17C7"/>
    <w:rsid w:val="008D1B4D"/>
    <w:rsid w:val="008D1E6A"/>
    <w:rsid w:val="008D27D2"/>
    <w:rsid w:val="008D2A16"/>
    <w:rsid w:val="008D34AF"/>
    <w:rsid w:val="008D5DC6"/>
    <w:rsid w:val="008D7813"/>
    <w:rsid w:val="008E1880"/>
    <w:rsid w:val="008E1A36"/>
    <w:rsid w:val="008E2C57"/>
    <w:rsid w:val="008E31FF"/>
    <w:rsid w:val="008E49ED"/>
    <w:rsid w:val="008E4A1C"/>
    <w:rsid w:val="008E5AE8"/>
    <w:rsid w:val="008E6BB0"/>
    <w:rsid w:val="008E6F06"/>
    <w:rsid w:val="008E7FC9"/>
    <w:rsid w:val="008F0128"/>
    <w:rsid w:val="008F029B"/>
    <w:rsid w:val="008F069A"/>
    <w:rsid w:val="008F2791"/>
    <w:rsid w:val="008F375E"/>
    <w:rsid w:val="008F3FC9"/>
    <w:rsid w:val="008F4385"/>
    <w:rsid w:val="008F4D23"/>
    <w:rsid w:val="008F585B"/>
    <w:rsid w:val="008F5994"/>
    <w:rsid w:val="008F7B77"/>
    <w:rsid w:val="009003A8"/>
    <w:rsid w:val="00900C93"/>
    <w:rsid w:val="00902233"/>
    <w:rsid w:val="00902500"/>
    <w:rsid w:val="00902DC8"/>
    <w:rsid w:val="00902EFF"/>
    <w:rsid w:val="00904752"/>
    <w:rsid w:val="00906401"/>
    <w:rsid w:val="0090670F"/>
    <w:rsid w:val="0091155E"/>
    <w:rsid w:val="00912634"/>
    <w:rsid w:val="00912A92"/>
    <w:rsid w:val="00915AAA"/>
    <w:rsid w:val="0091728D"/>
    <w:rsid w:val="009174FA"/>
    <w:rsid w:val="00917A40"/>
    <w:rsid w:val="009203C8"/>
    <w:rsid w:val="0092042D"/>
    <w:rsid w:val="00920A97"/>
    <w:rsid w:val="0092180B"/>
    <w:rsid w:val="00921F14"/>
    <w:rsid w:val="009231A3"/>
    <w:rsid w:val="00923F80"/>
    <w:rsid w:val="009240B9"/>
    <w:rsid w:val="00924AC8"/>
    <w:rsid w:val="0092597A"/>
    <w:rsid w:val="009272A4"/>
    <w:rsid w:val="00927BC1"/>
    <w:rsid w:val="00930FB1"/>
    <w:rsid w:val="009312E4"/>
    <w:rsid w:val="0093139F"/>
    <w:rsid w:val="00932443"/>
    <w:rsid w:val="009324EF"/>
    <w:rsid w:val="009328A9"/>
    <w:rsid w:val="00932E8F"/>
    <w:rsid w:val="00932F35"/>
    <w:rsid w:val="00933121"/>
    <w:rsid w:val="00934EB8"/>
    <w:rsid w:val="00935432"/>
    <w:rsid w:val="0093776B"/>
    <w:rsid w:val="00937AE2"/>
    <w:rsid w:val="00941670"/>
    <w:rsid w:val="0094207A"/>
    <w:rsid w:val="00942992"/>
    <w:rsid w:val="00942CF8"/>
    <w:rsid w:val="009432AC"/>
    <w:rsid w:val="009437A5"/>
    <w:rsid w:val="0094427A"/>
    <w:rsid w:val="00945245"/>
    <w:rsid w:val="00946FCD"/>
    <w:rsid w:val="0094731A"/>
    <w:rsid w:val="00951606"/>
    <w:rsid w:val="00951B96"/>
    <w:rsid w:val="00953DEB"/>
    <w:rsid w:val="0095691D"/>
    <w:rsid w:val="00956983"/>
    <w:rsid w:val="0095759C"/>
    <w:rsid w:val="009607D0"/>
    <w:rsid w:val="00960E8F"/>
    <w:rsid w:val="009612F1"/>
    <w:rsid w:val="009619DC"/>
    <w:rsid w:val="00961DA7"/>
    <w:rsid w:val="0096270C"/>
    <w:rsid w:val="0096364B"/>
    <w:rsid w:val="00964303"/>
    <w:rsid w:val="00964F05"/>
    <w:rsid w:val="00964F1A"/>
    <w:rsid w:val="009652BE"/>
    <w:rsid w:val="00966025"/>
    <w:rsid w:val="00966405"/>
    <w:rsid w:val="0096694C"/>
    <w:rsid w:val="00966AEE"/>
    <w:rsid w:val="00970158"/>
    <w:rsid w:val="0097032F"/>
    <w:rsid w:val="00971090"/>
    <w:rsid w:val="00971358"/>
    <w:rsid w:val="009721DB"/>
    <w:rsid w:val="00972205"/>
    <w:rsid w:val="00972A59"/>
    <w:rsid w:val="00972E4A"/>
    <w:rsid w:val="00973735"/>
    <w:rsid w:val="009743FF"/>
    <w:rsid w:val="009744E6"/>
    <w:rsid w:val="00974923"/>
    <w:rsid w:val="00975148"/>
    <w:rsid w:val="0097575C"/>
    <w:rsid w:val="00975C2D"/>
    <w:rsid w:val="00980D3D"/>
    <w:rsid w:val="009816FF"/>
    <w:rsid w:val="00981831"/>
    <w:rsid w:val="00981ED4"/>
    <w:rsid w:val="0098211F"/>
    <w:rsid w:val="00982ACD"/>
    <w:rsid w:val="00982BD0"/>
    <w:rsid w:val="0098402C"/>
    <w:rsid w:val="00985B99"/>
    <w:rsid w:val="00986ADB"/>
    <w:rsid w:val="00987A30"/>
    <w:rsid w:val="00990210"/>
    <w:rsid w:val="00992CF3"/>
    <w:rsid w:val="009938FB"/>
    <w:rsid w:val="00993D9C"/>
    <w:rsid w:val="00994868"/>
    <w:rsid w:val="009968D6"/>
    <w:rsid w:val="009A180C"/>
    <w:rsid w:val="009A1CAB"/>
    <w:rsid w:val="009A2AFC"/>
    <w:rsid w:val="009A5349"/>
    <w:rsid w:val="009A56B6"/>
    <w:rsid w:val="009A60D1"/>
    <w:rsid w:val="009A6D06"/>
    <w:rsid w:val="009A76A7"/>
    <w:rsid w:val="009B1932"/>
    <w:rsid w:val="009B1F0B"/>
    <w:rsid w:val="009B2782"/>
    <w:rsid w:val="009B4BAF"/>
    <w:rsid w:val="009B52F3"/>
    <w:rsid w:val="009B64D1"/>
    <w:rsid w:val="009B6FD3"/>
    <w:rsid w:val="009C05E8"/>
    <w:rsid w:val="009C0ED9"/>
    <w:rsid w:val="009C1750"/>
    <w:rsid w:val="009C2E29"/>
    <w:rsid w:val="009C554B"/>
    <w:rsid w:val="009C693C"/>
    <w:rsid w:val="009C719E"/>
    <w:rsid w:val="009C7A10"/>
    <w:rsid w:val="009D0223"/>
    <w:rsid w:val="009D0B58"/>
    <w:rsid w:val="009D1131"/>
    <w:rsid w:val="009D1237"/>
    <w:rsid w:val="009D2465"/>
    <w:rsid w:val="009D39BC"/>
    <w:rsid w:val="009D3ACD"/>
    <w:rsid w:val="009D4DC4"/>
    <w:rsid w:val="009D6235"/>
    <w:rsid w:val="009D77F7"/>
    <w:rsid w:val="009E0347"/>
    <w:rsid w:val="009E03A3"/>
    <w:rsid w:val="009E2524"/>
    <w:rsid w:val="009E3BDB"/>
    <w:rsid w:val="009E5273"/>
    <w:rsid w:val="009E55AD"/>
    <w:rsid w:val="009E5DDB"/>
    <w:rsid w:val="009F2CFA"/>
    <w:rsid w:val="009F3941"/>
    <w:rsid w:val="009F4CA7"/>
    <w:rsid w:val="009F4ECC"/>
    <w:rsid w:val="009F582C"/>
    <w:rsid w:val="009F67D6"/>
    <w:rsid w:val="009F698D"/>
    <w:rsid w:val="009F7085"/>
    <w:rsid w:val="009F7509"/>
    <w:rsid w:val="009F77D8"/>
    <w:rsid w:val="00A04321"/>
    <w:rsid w:val="00A0439C"/>
    <w:rsid w:val="00A05C22"/>
    <w:rsid w:val="00A06AA1"/>
    <w:rsid w:val="00A076D5"/>
    <w:rsid w:val="00A10D66"/>
    <w:rsid w:val="00A118C8"/>
    <w:rsid w:val="00A126CC"/>
    <w:rsid w:val="00A12E08"/>
    <w:rsid w:val="00A14114"/>
    <w:rsid w:val="00A1498C"/>
    <w:rsid w:val="00A14EFD"/>
    <w:rsid w:val="00A16413"/>
    <w:rsid w:val="00A16E1D"/>
    <w:rsid w:val="00A171A3"/>
    <w:rsid w:val="00A17D5B"/>
    <w:rsid w:val="00A20B57"/>
    <w:rsid w:val="00A23305"/>
    <w:rsid w:val="00A23E43"/>
    <w:rsid w:val="00A25216"/>
    <w:rsid w:val="00A260BE"/>
    <w:rsid w:val="00A279A0"/>
    <w:rsid w:val="00A30942"/>
    <w:rsid w:val="00A30F65"/>
    <w:rsid w:val="00A31FD4"/>
    <w:rsid w:val="00A331E6"/>
    <w:rsid w:val="00A33A89"/>
    <w:rsid w:val="00A345C6"/>
    <w:rsid w:val="00A34C23"/>
    <w:rsid w:val="00A37F31"/>
    <w:rsid w:val="00A4078F"/>
    <w:rsid w:val="00A40D93"/>
    <w:rsid w:val="00A40EAC"/>
    <w:rsid w:val="00A40FE0"/>
    <w:rsid w:val="00A41568"/>
    <w:rsid w:val="00A418BC"/>
    <w:rsid w:val="00A434DE"/>
    <w:rsid w:val="00A461F2"/>
    <w:rsid w:val="00A46DE0"/>
    <w:rsid w:val="00A5015F"/>
    <w:rsid w:val="00A508CB"/>
    <w:rsid w:val="00A50D73"/>
    <w:rsid w:val="00A50F37"/>
    <w:rsid w:val="00A51CDA"/>
    <w:rsid w:val="00A51ED9"/>
    <w:rsid w:val="00A52CAD"/>
    <w:rsid w:val="00A53FC7"/>
    <w:rsid w:val="00A54062"/>
    <w:rsid w:val="00A548FE"/>
    <w:rsid w:val="00A55588"/>
    <w:rsid w:val="00A55F61"/>
    <w:rsid w:val="00A60080"/>
    <w:rsid w:val="00A6148D"/>
    <w:rsid w:val="00A61517"/>
    <w:rsid w:val="00A62130"/>
    <w:rsid w:val="00A624C3"/>
    <w:rsid w:val="00A62CE1"/>
    <w:rsid w:val="00A62D32"/>
    <w:rsid w:val="00A64A96"/>
    <w:rsid w:val="00A66A9D"/>
    <w:rsid w:val="00A66E67"/>
    <w:rsid w:val="00A66F56"/>
    <w:rsid w:val="00A67213"/>
    <w:rsid w:val="00A6741E"/>
    <w:rsid w:val="00A70F6A"/>
    <w:rsid w:val="00A7106F"/>
    <w:rsid w:val="00A7237E"/>
    <w:rsid w:val="00A72902"/>
    <w:rsid w:val="00A75E40"/>
    <w:rsid w:val="00A7607F"/>
    <w:rsid w:val="00A776F6"/>
    <w:rsid w:val="00A77D1D"/>
    <w:rsid w:val="00A8051D"/>
    <w:rsid w:val="00A83420"/>
    <w:rsid w:val="00A83CE5"/>
    <w:rsid w:val="00A84A6A"/>
    <w:rsid w:val="00A857C0"/>
    <w:rsid w:val="00A857E5"/>
    <w:rsid w:val="00A8580D"/>
    <w:rsid w:val="00A86602"/>
    <w:rsid w:val="00A9048E"/>
    <w:rsid w:val="00A90F6C"/>
    <w:rsid w:val="00A90FED"/>
    <w:rsid w:val="00A935FE"/>
    <w:rsid w:val="00A9418D"/>
    <w:rsid w:val="00A95B59"/>
    <w:rsid w:val="00A9743E"/>
    <w:rsid w:val="00A97A8A"/>
    <w:rsid w:val="00AA029D"/>
    <w:rsid w:val="00AA0A71"/>
    <w:rsid w:val="00AA113D"/>
    <w:rsid w:val="00AA2996"/>
    <w:rsid w:val="00AA456D"/>
    <w:rsid w:val="00AA4ED2"/>
    <w:rsid w:val="00AA52BF"/>
    <w:rsid w:val="00AA559A"/>
    <w:rsid w:val="00AA708D"/>
    <w:rsid w:val="00AA77D2"/>
    <w:rsid w:val="00AA792F"/>
    <w:rsid w:val="00AA7980"/>
    <w:rsid w:val="00AB0284"/>
    <w:rsid w:val="00AB1182"/>
    <w:rsid w:val="00AB1E57"/>
    <w:rsid w:val="00AB29C6"/>
    <w:rsid w:val="00AB2AF1"/>
    <w:rsid w:val="00AB347D"/>
    <w:rsid w:val="00AB478F"/>
    <w:rsid w:val="00AC0091"/>
    <w:rsid w:val="00AC0732"/>
    <w:rsid w:val="00AC1E82"/>
    <w:rsid w:val="00AC224B"/>
    <w:rsid w:val="00AC2359"/>
    <w:rsid w:val="00AC2482"/>
    <w:rsid w:val="00AC2885"/>
    <w:rsid w:val="00AC2B78"/>
    <w:rsid w:val="00AC42FE"/>
    <w:rsid w:val="00AC45BD"/>
    <w:rsid w:val="00AC605E"/>
    <w:rsid w:val="00AD0253"/>
    <w:rsid w:val="00AD0771"/>
    <w:rsid w:val="00AD0D0E"/>
    <w:rsid w:val="00AD1119"/>
    <w:rsid w:val="00AD168E"/>
    <w:rsid w:val="00AD2F1C"/>
    <w:rsid w:val="00AD306C"/>
    <w:rsid w:val="00AD5A73"/>
    <w:rsid w:val="00AD68C4"/>
    <w:rsid w:val="00AD72A7"/>
    <w:rsid w:val="00AE09B3"/>
    <w:rsid w:val="00AE0EB9"/>
    <w:rsid w:val="00AE1A83"/>
    <w:rsid w:val="00AE291E"/>
    <w:rsid w:val="00AE4270"/>
    <w:rsid w:val="00AE4A31"/>
    <w:rsid w:val="00AE5F81"/>
    <w:rsid w:val="00AE6AD6"/>
    <w:rsid w:val="00AF0FB3"/>
    <w:rsid w:val="00AF104F"/>
    <w:rsid w:val="00AF108F"/>
    <w:rsid w:val="00AF24B2"/>
    <w:rsid w:val="00AF2957"/>
    <w:rsid w:val="00AF3E41"/>
    <w:rsid w:val="00AF5D0A"/>
    <w:rsid w:val="00AF6128"/>
    <w:rsid w:val="00AF685A"/>
    <w:rsid w:val="00B00034"/>
    <w:rsid w:val="00B003E4"/>
    <w:rsid w:val="00B00913"/>
    <w:rsid w:val="00B0140A"/>
    <w:rsid w:val="00B01593"/>
    <w:rsid w:val="00B0175C"/>
    <w:rsid w:val="00B023F2"/>
    <w:rsid w:val="00B02B19"/>
    <w:rsid w:val="00B035C6"/>
    <w:rsid w:val="00B04705"/>
    <w:rsid w:val="00B047A2"/>
    <w:rsid w:val="00B04A38"/>
    <w:rsid w:val="00B05641"/>
    <w:rsid w:val="00B073EF"/>
    <w:rsid w:val="00B07415"/>
    <w:rsid w:val="00B10A4D"/>
    <w:rsid w:val="00B11B62"/>
    <w:rsid w:val="00B11EEF"/>
    <w:rsid w:val="00B12572"/>
    <w:rsid w:val="00B12726"/>
    <w:rsid w:val="00B12947"/>
    <w:rsid w:val="00B131B0"/>
    <w:rsid w:val="00B13D2C"/>
    <w:rsid w:val="00B145D0"/>
    <w:rsid w:val="00B14BC1"/>
    <w:rsid w:val="00B15561"/>
    <w:rsid w:val="00B155A3"/>
    <w:rsid w:val="00B1568F"/>
    <w:rsid w:val="00B1631C"/>
    <w:rsid w:val="00B1681F"/>
    <w:rsid w:val="00B16ED9"/>
    <w:rsid w:val="00B17E42"/>
    <w:rsid w:val="00B17E71"/>
    <w:rsid w:val="00B17FDE"/>
    <w:rsid w:val="00B20BB1"/>
    <w:rsid w:val="00B21C3C"/>
    <w:rsid w:val="00B2379C"/>
    <w:rsid w:val="00B245FC"/>
    <w:rsid w:val="00B24748"/>
    <w:rsid w:val="00B247C9"/>
    <w:rsid w:val="00B24D78"/>
    <w:rsid w:val="00B2687D"/>
    <w:rsid w:val="00B268A6"/>
    <w:rsid w:val="00B27963"/>
    <w:rsid w:val="00B306DC"/>
    <w:rsid w:val="00B30D70"/>
    <w:rsid w:val="00B32DDB"/>
    <w:rsid w:val="00B33700"/>
    <w:rsid w:val="00B34528"/>
    <w:rsid w:val="00B34CC9"/>
    <w:rsid w:val="00B35999"/>
    <w:rsid w:val="00B35F2C"/>
    <w:rsid w:val="00B402A2"/>
    <w:rsid w:val="00B402FC"/>
    <w:rsid w:val="00B409F6"/>
    <w:rsid w:val="00B40C70"/>
    <w:rsid w:val="00B417F4"/>
    <w:rsid w:val="00B41B15"/>
    <w:rsid w:val="00B41E5E"/>
    <w:rsid w:val="00B421C9"/>
    <w:rsid w:val="00B43255"/>
    <w:rsid w:val="00B439DA"/>
    <w:rsid w:val="00B4440B"/>
    <w:rsid w:val="00B464AF"/>
    <w:rsid w:val="00B46604"/>
    <w:rsid w:val="00B46D77"/>
    <w:rsid w:val="00B50B58"/>
    <w:rsid w:val="00B51356"/>
    <w:rsid w:val="00B5179B"/>
    <w:rsid w:val="00B530CD"/>
    <w:rsid w:val="00B536DD"/>
    <w:rsid w:val="00B53D0B"/>
    <w:rsid w:val="00B53E3E"/>
    <w:rsid w:val="00B554E0"/>
    <w:rsid w:val="00B55B71"/>
    <w:rsid w:val="00B55F5E"/>
    <w:rsid w:val="00B5752E"/>
    <w:rsid w:val="00B57B76"/>
    <w:rsid w:val="00B60535"/>
    <w:rsid w:val="00B6122B"/>
    <w:rsid w:val="00B62355"/>
    <w:rsid w:val="00B63A11"/>
    <w:rsid w:val="00B63B6A"/>
    <w:rsid w:val="00B641C3"/>
    <w:rsid w:val="00B642BE"/>
    <w:rsid w:val="00B64C24"/>
    <w:rsid w:val="00B6608F"/>
    <w:rsid w:val="00B663D7"/>
    <w:rsid w:val="00B66DDC"/>
    <w:rsid w:val="00B67249"/>
    <w:rsid w:val="00B679FB"/>
    <w:rsid w:val="00B70C99"/>
    <w:rsid w:val="00B70E89"/>
    <w:rsid w:val="00B7145F"/>
    <w:rsid w:val="00B74213"/>
    <w:rsid w:val="00B75D58"/>
    <w:rsid w:val="00B76665"/>
    <w:rsid w:val="00B76D1E"/>
    <w:rsid w:val="00B770E4"/>
    <w:rsid w:val="00B7741A"/>
    <w:rsid w:val="00B77670"/>
    <w:rsid w:val="00B77F70"/>
    <w:rsid w:val="00B80227"/>
    <w:rsid w:val="00B804CF"/>
    <w:rsid w:val="00B80EC6"/>
    <w:rsid w:val="00B81258"/>
    <w:rsid w:val="00B81B29"/>
    <w:rsid w:val="00B83791"/>
    <w:rsid w:val="00B83A24"/>
    <w:rsid w:val="00B84CF6"/>
    <w:rsid w:val="00B85B42"/>
    <w:rsid w:val="00B87FEC"/>
    <w:rsid w:val="00B92D1D"/>
    <w:rsid w:val="00B93515"/>
    <w:rsid w:val="00B938C5"/>
    <w:rsid w:val="00B94078"/>
    <w:rsid w:val="00B952CB"/>
    <w:rsid w:val="00B95940"/>
    <w:rsid w:val="00B95A9F"/>
    <w:rsid w:val="00B96272"/>
    <w:rsid w:val="00B96613"/>
    <w:rsid w:val="00B97499"/>
    <w:rsid w:val="00B978C1"/>
    <w:rsid w:val="00B97B49"/>
    <w:rsid w:val="00BA007C"/>
    <w:rsid w:val="00BA066E"/>
    <w:rsid w:val="00BA0E9B"/>
    <w:rsid w:val="00BA11A1"/>
    <w:rsid w:val="00BA1627"/>
    <w:rsid w:val="00BA213E"/>
    <w:rsid w:val="00BA3A6A"/>
    <w:rsid w:val="00BA4175"/>
    <w:rsid w:val="00BA43A6"/>
    <w:rsid w:val="00BA50CC"/>
    <w:rsid w:val="00BA5149"/>
    <w:rsid w:val="00BA5C1D"/>
    <w:rsid w:val="00BA60B4"/>
    <w:rsid w:val="00BA6C2B"/>
    <w:rsid w:val="00BB099E"/>
    <w:rsid w:val="00BB0A40"/>
    <w:rsid w:val="00BB12BC"/>
    <w:rsid w:val="00BB14BF"/>
    <w:rsid w:val="00BB25B7"/>
    <w:rsid w:val="00BB2F43"/>
    <w:rsid w:val="00BB33C1"/>
    <w:rsid w:val="00BB46F3"/>
    <w:rsid w:val="00BB4C12"/>
    <w:rsid w:val="00BB4CB1"/>
    <w:rsid w:val="00BB4F98"/>
    <w:rsid w:val="00BC127C"/>
    <w:rsid w:val="00BC31C3"/>
    <w:rsid w:val="00BC3472"/>
    <w:rsid w:val="00BC4118"/>
    <w:rsid w:val="00BC595A"/>
    <w:rsid w:val="00BC5C12"/>
    <w:rsid w:val="00BC6349"/>
    <w:rsid w:val="00BC64FE"/>
    <w:rsid w:val="00BC6E6A"/>
    <w:rsid w:val="00BC7154"/>
    <w:rsid w:val="00BC731E"/>
    <w:rsid w:val="00BC7713"/>
    <w:rsid w:val="00BD05F4"/>
    <w:rsid w:val="00BD1281"/>
    <w:rsid w:val="00BD157E"/>
    <w:rsid w:val="00BD1E30"/>
    <w:rsid w:val="00BD366B"/>
    <w:rsid w:val="00BD4F61"/>
    <w:rsid w:val="00BD5003"/>
    <w:rsid w:val="00BD5976"/>
    <w:rsid w:val="00BD5BF6"/>
    <w:rsid w:val="00BD6D50"/>
    <w:rsid w:val="00BE06D1"/>
    <w:rsid w:val="00BE0A1D"/>
    <w:rsid w:val="00BE107D"/>
    <w:rsid w:val="00BE18B9"/>
    <w:rsid w:val="00BE2034"/>
    <w:rsid w:val="00BE2493"/>
    <w:rsid w:val="00BE2495"/>
    <w:rsid w:val="00BE2EB8"/>
    <w:rsid w:val="00BE7E97"/>
    <w:rsid w:val="00BF10F5"/>
    <w:rsid w:val="00BF1578"/>
    <w:rsid w:val="00BF2616"/>
    <w:rsid w:val="00BF403B"/>
    <w:rsid w:val="00BF41E2"/>
    <w:rsid w:val="00BF46DD"/>
    <w:rsid w:val="00BF68BB"/>
    <w:rsid w:val="00C01C7B"/>
    <w:rsid w:val="00C03723"/>
    <w:rsid w:val="00C047C7"/>
    <w:rsid w:val="00C05690"/>
    <w:rsid w:val="00C05D23"/>
    <w:rsid w:val="00C07FF2"/>
    <w:rsid w:val="00C10383"/>
    <w:rsid w:val="00C10613"/>
    <w:rsid w:val="00C106AE"/>
    <w:rsid w:val="00C1101A"/>
    <w:rsid w:val="00C1144F"/>
    <w:rsid w:val="00C13324"/>
    <w:rsid w:val="00C14D89"/>
    <w:rsid w:val="00C15D65"/>
    <w:rsid w:val="00C16030"/>
    <w:rsid w:val="00C16A6F"/>
    <w:rsid w:val="00C206B0"/>
    <w:rsid w:val="00C20ECF"/>
    <w:rsid w:val="00C21F94"/>
    <w:rsid w:val="00C232F2"/>
    <w:rsid w:val="00C24CBB"/>
    <w:rsid w:val="00C24F9F"/>
    <w:rsid w:val="00C253E5"/>
    <w:rsid w:val="00C25842"/>
    <w:rsid w:val="00C26052"/>
    <w:rsid w:val="00C2611D"/>
    <w:rsid w:val="00C27913"/>
    <w:rsid w:val="00C27D07"/>
    <w:rsid w:val="00C33B68"/>
    <w:rsid w:val="00C3459E"/>
    <w:rsid w:val="00C35666"/>
    <w:rsid w:val="00C3627A"/>
    <w:rsid w:val="00C36A79"/>
    <w:rsid w:val="00C379E5"/>
    <w:rsid w:val="00C37B47"/>
    <w:rsid w:val="00C401D2"/>
    <w:rsid w:val="00C405D4"/>
    <w:rsid w:val="00C40E78"/>
    <w:rsid w:val="00C41EDB"/>
    <w:rsid w:val="00C43327"/>
    <w:rsid w:val="00C437E2"/>
    <w:rsid w:val="00C438C9"/>
    <w:rsid w:val="00C43A79"/>
    <w:rsid w:val="00C446A2"/>
    <w:rsid w:val="00C4513B"/>
    <w:rsid w:val="00C46168"/>
    <w:rsid w:val="00C467CF"/>
    <w:rsid w:val="00C50278"/>
    <w:rsid w:val="00C50D23"/>
    <w:rsid w:val="00C50D32"/>
    <w:rsid w:val="00C52271"/>
    <w:rsid w:val="00C5390B"/>
    <w:rsid w:val="00C54697"/>
    <w:rsid w:val="00C5619B"/>
    <w:rsid w:val="00C561C8"/>
    <w:rsid w:val="00C611D4"/>
    <w:rsid w:val="00C615C3"/>
    <w:rsid w:val="00C6281A"/>
    <w:rsid w:val="00C641A6"/>
    <w:rsid w:val="00C64292"/>
    <w:rsid w:val="00C64A07"/>
    <w:rsid w:val="00C64EFA"/>
    <w:rsid w:val="00C65C3F"/>
    <w:rsid w:val="00C66688"/>
    <w:rsid w:val="00C66D7C"/>
    <w:rsid w:val="00C672E6"/>
    <w:rsid w:val="00C67D9A"/>
    <w:rsid w:val="00C71017"/>
    <w:rsid w:val="00C717F9"/>
    <w:rsid w:val="00C73885"/>
    <w:rsid w:val="00C747B1"/>
    <w:rsid w:val="00C74FFE"/>
    <w:rsid w:val="00C769D3"/>
    <w:rsid w:val="00C77514"/>
    <w:rsid w:val="00C800FC"/>
    <w:rsid w:val="00C805C5"/>
    <w:rsid w:val="00C80971"/>
    <w:rsid w:val="00C82191"/>
    <w:rsid w:val="00C83134"/>
    <w:rsid w:val="00C841AF"/>
    <w:rsid w:val="00C84212"/>
    <w:rsid w:val="00C85545"/>
    <w:rsid w:val="00C8791B"/>
    <w:rsid w:val="00C90CF4"/>
    <w:rsid w:val="00C91838"/>
    <w:rsid w:val="00C92EB6"/>
    <w:rsid w:val="00C93389"/>
    <w:rsid w:val="00C93F1A"/>
    <w:rsid w:val="00C94401"/>
    <w:rsid w:val="00C94B63"/>
    <w:rsid w:val="00C952FB"/>
    <w:rsid w:val="00C96C30"/>
    <w:rsid w:val="00C976FB"/>
    <w:rsid w:val="00C978AC"/>
    <w:rsid w:val="00C97B70"/>
    <w:rsid w:val="00CA0914"/>
    <w:rsid w:val="00CA115A"/>
    <w:rsid w:val="00CA32CC"/>
    <w:rsid w:val="00CA3633"/>
    <w:rsid w:val="00CA6180"/>
    <w:rsid w:val="00CA6AB4"/>
    <w:rsid w:val="00CB0C2D"/>
    <w:rsid w:val="00CB26CA"/>
    <w:rsid w:val="00CB2B1B"/>
    <w:rsid w:val="00CB4930"/>
    <w:rsid w:val="00CB49A7"/>
    <w:rsid w:val="00CB5CF9"/>
    <w:rsid w:val="00CB61A2"/>
    <w:rsid w:val="00CB6A56"/>
    <w:rsid w:val="00CC0A09"/>
    <w:rsid w:val="00CC1203"/>
    <w:rsid w:val="00CC136E"/>
    <w:rsid w:val="00CC2E7D"/>
    <w:rsid w:val="00CC2F52"/>
    <w:rsid w:val="00CC5675"/>
    <w:rsid w:val="00CC5DB8"/>
    <w:rsid w:val="00CD10A5"/>
    <w:rsid w:val="00CD2076"/>
    <w:rsid w:val="00CD2937"/>
    <w:rsid w:val="00CD29B5"/>
    <w:rsid w:val="00CD2ACE"/>
    <w:rsid w:val="00CD3186"/>
    <w:rsid w:val="00CD3285"/>
    <w:rsid w:val="00CD3E07"/>
    <w:rsid w:val="00CD5415"/>
    <w:rsid w:val="00CD5BA3"/>
    <w:rsid w:val="00CD6331"/>
    <w:rsid w:val="00CD6446"/>
    <w:rsid w:val="00CD6507"/>
    <w:rsid w:val="00CD7B25"/>
    <w:rsid w:val="00CE05F4"/>
    <w:rsid w:val="00CE0E88"/>
    <w:rsid w:val="00CE27D8"/>
    <w:rsid w:val="00CE34B8"/>
    <w:rsid w:val="00CE4FB5"/>
    <w:rsid w:val="00CE603A"/>
    <w:rsid w:val="00CE670B"/>
    <w:rsid w:val="00CE6CEA"/>
    <w:rsid w:val="00CE6F57"/>
    <w:rsid w:val="00CE75B2"/>
    <w:rsid w:val="00CE765C"/>
    <w:rsid w:val="00CE7F0B"/>
    <w:rsid w:val="00CF0CDC"/>
    <w:rsid w:val="00CF1FC5"/>
    <w:rsid w:val="00CF22AF"/>
    <w:rsid w:val="00CF3AEF"/>
    <w:rsid w:val="00CF4908"/>
    <w:rsid w:val="00CF4BAA"/>
    <w:rsid w:val="00CF51EC"/>
    <w:rsid w:val="00CF5C9F"/>
    <w:rsid w:val="00CF64BE"/>
    <w:rsid w:val="00CF672C"/>
    <w:rsid w:val="00CF702F"/>
    <w:rsid w:val="00CF73AE"/>
    <w:rsid w:val="00CF7A05"/>
    <w:rsid w:val="00CF7B9A"/>
    <w:rsid w:val="00CF7CDF"/>
    <w:rsid w:val="00D0029C"/>
    <w:rsid w:val="00D00BA2"/>
    <w:rsid w:val="00D01C1C"/>
    <w:rsid w:val="00D02BD2"/>
    <w:rsid w:val="00D03317"/>
    <w:rsid w:val="00D040DD"/>
    <w:rsid w:val="00D047B6"/>
    <w:rsid w:val="00D05CD0"/>
    <w:rsid w:val="00D0710C"/>
    <w:rsid w:val="00D071D3"/>
    <w:rsid w:val="00D075BE"/>
    <w:rsid w:val="00D078E6"/>
    <w:rsid w:val="00D10007"/>
    <w:rsid w:val="00D134DC"/>
    <w:rsid w:val="00D13986"/>
    <w:rsid w:val="00D141F9"/>
    <w:rsid w:val="00D1517D"/>
    <w:rsid w:val="00D15220"/>
    <w:rsid w:val="00D160F5"/>
    <w:rsid w:val="00D16C1E"/>
    <w:rsid w:val="00D16D70"/>
    <w:rsid w:val="00D17AE6"/>
    <w:rsid w:val="00D17B73"/>
    <w:rsid w:val="00D2104D"/>
    <w:rsid w:val="00D21D83"/>
    <w:rsid w:val="00D235B7"/>
    <w:rsid w:val="00D23F7E"/>
    <w:rsid w:val="00D250DC"/>
    <w:rsid w:val="00D25F28"/>
    <w:rsid w:val="00D26071"/>
    <w:rsid w:val="00D26105"/>
    <w:rsid w:val="00D2768B"/>
    <w:rsid w:val="00D27914"/>
    <w:rsid w:val="00D27973"/>
    <w:rsid w:val="00D30A70"/>
    <w:rsid w:val="00D3310D"/>
    <w:rsid w:val="00D33CAC"/>
    <w:rsid w:val="00D33E27"/>
    <w:rsid w:val="00D34CC3"/>
    <w:rsid w:val="00D35921"/>
    <w:rsid w:val="00D35E1A"/>
    <w:rsid w:val="00D40424"/>
    <w:rsid w:val="00D425AB"/>
    <w:rsid w:val="00D47CD1"/>
    <w:rsid w:val="00D505CE"/>
    <w:rsid w:val="00D50F46"/>
    <w:rsid w:val="00D51C64"/>
    <w:rsid w:val="00D52CA1"/>
    <w:rsid w:val="00D57677"/>
    <w:rsid w:val="00D61326"/>
    <w:rsid w:val="00D630F1"/>
    <w:rsid w:val="00D633D2"/>
    <w:rsid w:val="00D64DD7"/>
    <w:rsid w:val="00D66223"/>
    <w:rsid w:val="00D71625"/>
    <w:rsid w:val="00D71EEE"/>
    <w:rsid w:val="00D73087"/>
    <w:rsid w:val="00D74BD3"/>
    <w:rsid w:val="00D75FE8"/>
    <w:rsid w:val="00D76112"/>
    <w:rsid w:val="00D76A18"/>
    <w:rsid w:val="00D8064E"/>
    <w:rsid w:val="00D8084C"/>
    <w:rsid w:val="00D80E50"/>
    <w:rsid w:val="00D81BE1"/>
    <w:rsid w:val="00D81FB9"/>
    <w:rsid w:val="00D827C6"/>
    <w:rsid w:val="00D82B11"/>
    <w:rsid w:val="00D83602"/>
    <w:rsid w:val="00D84DC1"/>
    <w:rsid w:val="00D8530D"/>
    <w:rsid w:val="00D85BA9"/>
    <w:rsid w:val="00D85D5E"/>
    <w:rsid w:val="00D87B10"/>
    <w:rsid w:val="00D90C5E"/>
    <w:rsid w:val="00D91566"/>
    <w:rsid w:val="00D915EA"/>
    <w:rsid w:val="00D92C17"/>
    <w:rsid w:val="00D9395B"/>
    <w:rsid w:val="00D94D95"/>
    <w:rsid w:val="00D9561D"/>
    <w:rsid w:val="00DA0A29"/>
    <w:rsid w:val="00DA235F"/>
    <w:rsid w:val="00DA24D0"/>
    <w:rsid w:val="00DA3C0A"/>
    <w:rsid w:val="00DA4C6E"/>
    <w:rsid w:val="00DA4E06"/>
    <w:rsid w:val="00DA4F20"/>
    <w:rsid w:val="00DA538E"/>
    <w:rsid w:val="00DA56D1"/>
    <w:rsid w:val="00DA7C0C"/>
    <w:rsid w:val="00DB08A9"/>
    <w:rsid w:val="00DB1312"/>
    <w:rsid w:val="00DB2EC8"/>
    <w:rsid w:val="00DB3858"/>
    <w:rsid w:val="00DB3F5C"/>
    <w:rsid w:val="00DB5E34"/>
    <w:rsid w:val="00DB759B"/>
    <w:rsid w:val="00DC0071"/>
    <w:rsid w:val="00DC1EF0"/>
    <w:rsid w:val="00DC5B3B"/>
    <w:rsid w:val="00DC713A"/>
    <w:rsid w:val="00DC7665"/>
    <w:rsid w:val="00DC774F"/>
    <w:rsid w:val="00DD0698"/>
    <w:rsid w:val="00DD129F"/>
    <w:rsid w:val="00DD1A46"/>
    <w:rsid w:val="00DD1D26"/>
    <w:rsid w:val="00DD27EF"/>
    <w:rsid w:val="00DD3153"/>
    <w:rsid w:val="00DD39A2"/>
    <w:rsid w:val="00DD5277"/>
    <w:rsid w:val="00DD5290"/>
    <w:rsid w:val="00DD5E62"/>
    <w:rsid w:val="00DE02BD"/>
    <w:rsid w:val="00DE0F3B"/>
    <w:rsid w:val="00DE2FD1"/>
    <w:rsid w:val="00DE3A08"/>
    <w:rsid w:val="00DF0CD6"/>
    <w:rsid w:val="00DF1F61"/>
    <w:rsid w:val="00DF42FF"/>
    <w:rsid w:val="00DF4435"/>
    <w:rsid w:val="00DF66E4"/>
    <w:rsid w:val="00DF6EF2"/>
    <w:rsid w:val="00DF7A52"/>
    <w:rsid w:val="00E00AB3"/>
    <w:rsid w:val="00E016D0"/>
    <w:rsid w:val="00E01C0E"/>
    <w:rsid w:val="00E02005"/>
    <w:rsid w:val="00E03F9A"/>
    <w:rsid w:val="00E04694"/>
    <w:rsid w:val="00E05A22"/>
    <w:rsid w:val="00E06132"/>
    <w:rsid w:val="00E11C33"/>
    <w:rsid w:val="00E12773"/>
    <w:rsid w:val="00E12B1E"/>
    <w:rsid w:val="00E136C1"/>
    <w:rsid w:val="00E13DC6"/>
    <w:rsid w:val="00E14EAC"/>
    <w:rsid w:val="00E15588"/>
    <w:rsid w:val="00E16B15"/>
    <w:rsid w:val="00E16F6F"/>
    <w:rsid w:val="00E17262"/>
    <w:rsid w:val="00E176F0"/>
    <w:rsid w:val="00E200D3"/>
    <w:rsid w:val="00E20290"/>
    <w:rsid w:val="00E20EAB"/>
    <w:rsid w:val="00E24AEA"/>
    <w:rsid w:val="00E24BA4"/>
    <w:rsid w:val="00E253A2"/>
    <w:rsid w:val="00E25D89"/>
    <w:rsid w:val="00E275EB"/>
    <w:rsid w:val="00E31220"/>
    <w:rsid w:val="00E3178F"/>
    <w:rsid w:val="00E328D2"/>
    <w:rsid w:val="00E3309D"/>
    <w:rsid w:val="00E3500A"/>
    <w:rsid w:val="00E36743"/>
    <w:rsid w:val="00E40373"/>
    <w:rsid w:val="00E40C69"/>
    <w:rsid w:val="00E40EF7"/>
    <w:rsid w:val="00E42FAF"/>
    <w:rsid w:val="00E44B44"/>
    <w:rsid w:val="00E46138"/>
    <w:rsid w:val="00E46470"/>
    <w:rsid w:val="00E47622"/>
    <w:rsid w:val="00E47EBA"/>
    <w:rsid w:val="00E50156"/>
    <w:rsid w:val="00E51643"/>
    <w:rsid w:val="00E527B2"/>
    <w:rsid w:val="00E53470"/>
    <w:rsid w:val="00E53883"/>
    <w:rsid w:val="00E539F6"/>
    <w:rsid w:val="00E54419"/>
    <w:rsid w:val="00E55345"/>
    <w:rsid w:val="00E57E83"/>
    <w:rsid w:val="00E613FA"/>
    <w:rsid w:val="00E6149A"/>
    <w:rsid w:val="00E61F4D"/>
    <w:rsid w:val="00E6289D"/>
    <w:rsid w:val="00E63EAC"/>
    <w:rsid w:val="00E64094"/>
    <w:rsid w:val="00E6519D"/>
    <w:rsid w:val="00E65BE3"/>
    <w:rsid w:val="00E67696"/>
    <w:rsid w:val="00E678F3"/>
    <w:rsid w:val="00E67C58"/>
    <w:rsid w:val="00E71A58"/>
    <w:rsid w:val="00E72A7A"/>
    <w:rsid w:val="00E7523C"/>
    <w:rsid w:val="00E75466"/>
    <w:rsid w:val="00E75B0D"/>
    <w:rsid w:val="00E75C94"/>
    <w:rsid w:val="00E762AD"/>
    <w:rsid w:val="00E76A3F"/>
    <w:rsid w:val="00E77E5C"/>
    <w:rsid w:val="00E80746"/>
    <w:rsid w:val="00E80B5C"/>
    <w:rsid w:val="00E80B8A"/>
    <w:rsid w:val="00E82E50"/>
    <w:rsid w:val="00E83143"/>
    <w:rsid w:val="00E84330"/>
    <w:rsid w:val="00E84959"/>
    <w:rsid w:val="00E85536"/>
    <w:rsid w:val="00E85E57"/>
    <w:rsid w:val="00E867C3"/>
    <w:rsid w:val="00E87952"/>
    <w:rsid w:val="00E879FB"/>
    <w:rsid w:val="00E914EF"/>
    <w:rsid w:val="00E92DFE"/>
    <w:rsid w:val="00E93820"/>
    <w:rsid w:val="00E94A86"/>
    <w:rsid w:val="00E955AA"/>
    <w:rsid w:val="00E96143"/>
    <w:rsid w:val="00E963D6"/>
    <w:rsid w:val="00E97C66"/>
    <w:rsid w:val="00EA0987"/>
    <w:rsid w:val="00EA0C68"/>
    <w:rsid w:val="00EA1095"/>
    <w:rsid w:val="00EA32BC"/>
    <w:rsid w:val="00EB2447"/>
    <w:rsid w:val="00EB4258"/>
    <w:rsid w:val="00EB42ED"/>
    <w:rsid w:val="00EB4511"/>
    <w:rsid w:val="00EB46EF"/>
    <w:rsid w:val="00EB4A3B"/>
    <w:rsid w:val="00EB4B95"/>
    <w:rsid w:val="00EB5AFB"/>
    <w:rsid w:val="00EB7212"/>
    <w:rsid w:val="00EB77C9"/>
    <w:rsid w:val="00EC03D7"/>
    <w:rsid w:val="00EC0DB3"/>
    <w:rsid w:val="00EC115D"/>
    <w:rsid w:val="00EC17DB"/>
    <w:rsid w:val="00EC1F2D"/>
    <w:rsid w:val="00EC2996"/>
    <w:rsid w:val="00EC34DF"/>
    <w:rsid w:val="00EC40E8"/>
    <w:rsid w:val="00EC51BB"/>
    <w:rsid w:val="00EC6630"/>
    <w:rsid w:val="00EC7F02"/>
    <w:rsid w:val="00ED0337"/>
    <w:rsid w:val="00ED03A0"/>
    <w:rsid w:val="00ED0E37"/>
    <w:rsid w:val="00ED2AE4"/>
    <w:rsid w:val="00ED3ECA"/>
    <w:rsid w:val="00ED59D0"/>
    <w:rsid w:val="00ED62C6"/>
    <w:rsid w:val="00ED64C1"/>
    <w:rsid w:val="00ED7B4E"/>
    <w:rsid w:val="00EE09CB"/>
    <w:rsid w:val="00EE10D0"/>
    <w:rsid w:val="00EE2A7B"/>
    <w:rsid w:val="00EE3446"/>
    <w:rsid w:val="00EE3E78"/>
    <w:rsid w:val="00EE4B1B"/>
    <w:rsid w:val="00EE515A"/>
    <w:rsid w:val="00EE6242"/>
    <w:rsid w:val="00EE7F19"/>
    <w:rsid w:val="00EE7FAB"/>
    <w:rsid w:val="00EF150D"/>
    <w:rsid w:val="00EF1C85"/>
    <w:rsid w:val="00EF1F5A"/>
    <w:rsid w:val="00EF325E"/>
    <w:rsid w:val="00EF333C"/>
    <w:rsid w:val="00EF3538"/>
    <w:rsid w:val="00EF47BF"/>
    <w:rsid w:val="00EF48AB"/>
    <w:rsid w:val="00EF6A41"/>
    <w:rsid w:val="00EF7BC2"/>
    <w:rsid w:val="00F0185A"/>
    <w:rsid w:val="00F01B67"/>
    <w:rsid w:val="00F02A9B"/>
    <w:rsid w:val="00F04811"/>
    <w:rsid w:val="00F0488C"/>
    <w:rsid w:val="00F04F38"/>
    <w:rsid w:val="00F05157"/>
    <w:rsid w:val="00F05A59"/>
    <w:rsid w:val="00F07110"/>
    <w:rsid w:val="00F10432"/>
    <w:rsid w:val="00F10F11"/>
    <w:rsid w:val="00F12233"/>
    <w:rsid w:val="00F1277D"/>
    <w:rsid w:val="00F12B0B"/>
    <w:rsid w:val="00F12E85"/>
    <w:rsid w:val="00F14A26"/>
    <w:rsid w:val="00F15AAA"/>
    <w:rsid w:val="00F15BEF"/>
    <w:rsid w:val="00F169B9"/>
    <w:rsid w:val="00F17893"/>
    <w:rsid w:val="00F214D6"/>
    <w:rsid w:val="00F21BF9"/>
    <w:rsid w:val="00F22047"/>
    <w:rsid w:val="00F24407"/>
    <w:rsid w:val="00F24931"/>
    <w:rsid w:val="00F24A18"/>
    <w:rsid w:val="00F24FAA"/>
    <w:rsid w:val="00F25368"/>
    <w:rsid w:val="00F256FA"/>
    <w:rsid w:val="00F25C3D"/>
    <w:rsid w:val="00F25D36"/>
    <w:rsid w:val="00F26B70"/>
    <w:rsid w:val="00F2764F"/>
    <w:rsid w:val="00F2776B"/>
    <w:rsid w:val="00F27853"/>
    <w:rsid w:val="00F27C9E"/>
    <w:rsid w:val="00F30E9D"/>
    <w:rsid w:val="00F32A0E"/>
    <w:rsid w:val="00F32A3C"/>
    <w:rsid w:val="00F3364D"/>
    <w:rsid w:val="00F33667"/>
    <w:rsid w:val="00F33D7E"/>
    <w:rsid w:val="00F3443C"/>
    <w:rsid w:val="00F3462D"/>
    <w:rsid w:val="00F3571A"/>
    <w:rsid w:val="00F361AD"/>
    <w:rsid w:val="00F403B3"/>
    <w:rsid w:val="00F4214D"/>
    <w:rsid w:val="00F42496"/>
    <w:rsid w:val="00F437CC"/>
    <w:rsid w:val="00F44537"/>
    <w:rsid w:val="00F44B6A"/>
    <w:rsid w:val="00F45E99"/>
    <w:rsid w:val="00F4688D"/>
    <w:rsid w:val="00F47067"/>
    <w:rsid w:val="00F47341"/>
    <w:rsid w:val="00F51BF8"/>
    <w:rsid w:val="00F51CA5"/>
    <w:rsid w:val="00F51D7D"/>
    <w:rsid w:val="00F525EB"/>
    <w:rsid w:val="00F52E00"/>
    <w:rsid w:val="00F530F8"/>
    <w:rsid w:val="00F542D6"/>
    <w:rsid w:val="00F55D41"/>
    <w:rsid w:val="00F55E62"/>
    <w:rsid w:val="00F55EF3"/>
    <w:rsid w:val="00F567AD"/>
    <w:rsid w:val="00F5766E"/>
    <w:rsid w:val="00F57EF6"/>
    <w:rsid w:val="00F6132C"/>
    <w:rsid w:val="00F62DAD"/>
    <w:rsid w:val="00F62F30"/>
    <w:rsid w:val="00F63DDE"/>
    <w:rsid w:val="00F63FB7"/>
    <w:rsid w:val="00F6421B"/>
    <w:rsid w:val="00F649D2"/>
    <w:rsid w:val="00F6602B"/>
    <w:rsid w:val="00F6699E"/>
    <w:rsid w:val="00F678E2"/>
    <w:rsid w:val="00F70DA3"/>
    <w:rsid w:val="00F71ED4"/>
    <w:rsid w:val="00F726D3"/>
    <w:rsid w:val="00F72A27"/>
    <w:rsid w:val="00F7396B"/>
    <w:rsid w:val="00F73A03"/>
    <w:rsid w:val="00F73A0C"/>
    <w:rsid w:val="00F73DC2"/>
    <w:rsid w:val="00F74580"/>
    <w:rsid w:val="00F747FB"/>
    <w:rsid w:val="00F74C5B"/>
    <w:rsid w:val="00F756DB"/>
    <w:rsid w:val="00F8143E"/>
    <w:rsid w:val="00F8279A"/>
    <w:rsid w:val="00F82A88"/>
    <w:rsid w:val="00F83FCE"/>
    <w:rsid w:val="00F842CA"/>
    <w:rsid w:val="00F84381"/>
    <w:rsid w:val="00F84A11"/>
    <w:rsid w:val="00F84E7D"/>
    <w:rsid w:val="00F85066"/>
    <w:rsid w:val="00F857FF"/>
    <w:rsid w:val="00F858E6"/>
    <w:rsid w:val="00F86294"/>
    <w:rsid w:val="00F87A4D"/>
    <w:rsid w:val="00F9005D"/>
    <w:rsid w:val="00F91C37"/>
    <w:rsid w:val="00F934BA"/>
    <w:rsid w:val="00F9438D"/>
    <w:rsid w:val="00F97562"/>
    <w:rsid w:val="00F9785E"/>
    <w:rsid w:val="00FA040D"/>
    <w:rsid w:val="00FA0D8F"/>
    <w:rsid w:val="00FA1025"/>
    <w:rsid w:val="00FA2CFE"/>
    <w:rsid w:val="00FA38CB"/>
    <w:rsid w:val="00FA5AA6"/>
    <w:rsid w:val="00FA5B81"/>
    <w:rsid w:val="00FA5D4D"/>
    <w:rsid w:val="00FA60E1"/>
    <w:rsid w:val="00FA7AAE"/>
    <w:rsid w:val="00FA7F2F"/>
    <w:rsid w:val="00FB0B0C"/>
    <w:rsid w:val="00FB0CE3"/>
    <w:rsid w:val="00FB0EE2"/>
    <w:rsid w:val="00FB1FE2"/>
    <w:rsid w:val="00FB2A15"/>
    <w:rsid w:val="00FB4820"/>
    <w:rsid w:val="00FB4E50"/>
    <w:rsid w:val="00FB5207"/>
    <w:rsid w:val="00FB542E"/>
    <w:rsid w:val="00FB612F"/>
    <w:rsid w:val="00FB613E"/>
    <w:rsid w:val="00FC0E5F"/>
    <w:rsid w:val="00FC11AF"/>
    <w:rsid w:val="00FC1A95"/>
    <w:rsid w:val="00FC270D"/>
    <w:rsid w:val="00FC3B85"/>
    <w:rsid w:val="00FC3F37"/>
    <w:rsid w:val="00FC56DE"/>
    <w:rsid w:val="00FC58D0"/>
    <w:rsid w:val="00FC6545"/>
    <w:rsid w:val="00FC684B"/>
    <w:rsid w:val="00FC7989"/>
    <w:rsid w:val="00FC7F37"/>
    <w:rsid w:val="00FD1407"/>
    <w:rsid w:val="00FD18EA"/>
    <w:rsid w:val="00FD1CBA"/>
    <w:rsid w:val="00FD2E17"/>
    <w:rsid w:val="00FD3265"/>
    <w:rsid w:val="00FD4559"/>
    <w:rsid w:val="00FD4AAD"/>
    <w:rsid w:val="00FE2EB4"/>
    <w:rsid w:val="00FE2F78"/>
    <w:rsid w:val="00FE3A47"/>
    <w:rsid w:val="00FE40D5"/>
    <w:rsid w:val="00FE59C6"/>
    <w:rsid w:val="00FE6150"/>
    <w:rsid w:val="00FF226F"/>
    <w:rsid w:val="00FF2E5E"/>
    <w:rsid w:val="00FF2FD7"/>
    <w:rsid w:val="00FF38D1"/>
    <w:rsid w:val="00FF6933"/>
    <w:rsid w:val="00FF6D79"/>
    <w:rsid w:val="00FF6FB2"/>
    <w:rsid w:val="00FF719E"/>
    <w:rsid w:val="00FF730D"/>
    <w:rsid w:val="00FF735D"/>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16D78745"/>
  <w15:docId w15:val="{FC3C9807-8A20-484D-A937-0CB633FC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4FA0"/>
    <w:pPr>
      <w:spacing w:after="240" w:line="276" w:lineRule="auto"/>
      <w:jc w:val="both"/>
    </w:pPr>
    <w:rPr>
      <w:rFonts w:ascii="Arial" w:eastAsia="Times New Roman" w:hAnsi="Arial"/>
      <w:szCs w:val="24"/>
      <w:lang w:val="en-GB" w:eastAsia="cs-CZ"/>
    </w:rPr>
  </w:style>
  <w:style w:type="paragraph" w:styleId="Nadpis1">
    <w:name w:val="heading 1"/>
    <w:next w:val="Normln"/>
    <w:link w:val="Nadpis1Char"/>
    <w:uiPriority w:val="9"/>
    <w:qFormat/>
    <w:rsid w:val="00EA0987"/>
    <w:pPr>
      <w:keepNext/>
      <w:keepLines/>
      <w:spacing w:after="100" w:line="276" w:lineRule="auto"/>
      <w:contextualSpacing/>
      <w:outlineLvl w:val="0"/>
    </w:pPr>
    <w:rPr>
      <w:rFonts w:ascii="Arial" w:eastAsia="MS Gothic" w:hAnsi="Arial"/>
      <w:b/>
      <w:bCs/>
      <w:color w:val="86BF5E"/>
      <w:sz w:val="32"/>
      <w:szCs w:val="28"/>
      <w:lang w:eastAsia="cs-CZ"/>
    </w:rPr>
  </w:style>
  <w:style w:type="paragraph" w:styleId="Nadpis2">
    <w:name w:val="heading 2"/>
    <w:next w:val="Normln"/>
    <w:link w:val="Nadpis2Char"/>
    <w:uiPriority w:val="9"/>
    <w:qFormat/>
    <w:rsid w:val="00EA0987"/>
    <w:pPr>
      <w:keepNext/>
      <w:keepLines/>
      <w:spacing w:line="276" w:lineRule="auto"/>
      <w:outlineLvl w:val="1"/>
    </w:pPr>
    <w:rPr>
      <w:rFonts w:ascii="Arial" w:eastAsia="MS Gothic" w:hAnsi="Arial"/>
      <w:b/>
      <w:bCs/>
      <w:color w:val="86BF5E"/>
      <w:sz w:val="28"/>
      <w:szCs w:val="26"/>
      <w:lang w:eastAsia="cs-CZ"/>
    </w:rPr>
  </w:style>
  <w:style w:type="paragraph" w:styleId="Nadpis3">
    <w:name w:val="heading 3"/>
    <w:next w:val="Normln"/>
    <w:link w:val="Nadpis3Char"/>
    <w:uiPriority w:val="9"/>
    <w:qFormat/>
    <w:rsid w:val="00EA0987"/>
    <w:pPr>
      <w:keepNext/>
      <w:keepLines/>
      <w:spacing w:line="276" w:lineRule="auto"/>
      <w:outlineLvl w:val="2"/>
    </w:pPr>
    <w:rPr>
      <w:rFonts w:ascii="Arial" w:eastAsia="MS Gothic" w:hAnsi="Arial"/>
      <w:b/>
      <w:bCs/>
      <w:color w:val="86BF5E"/>
      <w:sz w:val="24"/>
      <w:szCs w:val="24"/>
      <w:lang w:eastAsia="cs-CZ"/>
    </w:rPr>
  </w:style>
  <w:style w:type="paragraph" w:styleId="Nadpis4">
    <w:name w:val="heading 4"/>
    <w:next w:val="Normln"/>
    <w:link w:val="Nadpis4Char"/>
    <w:uiPriority w:val="9"/>
    <w:qFormat/>
    <w:rsid w:val="0041041D"/>
    <w:pPr>
      <w:keepNext/>
      <w:keepLines/>
      <w:spacing w:line="276" w:lineRule="auto"/>
      <w:outlineLvl w:val="3"/>
    </w:pPr>
    <w:rPr>
      <w:rFonts w:ascii="Arial" w:eastAsia="MS Gothic" w:hAnsi="Arial"/>
      <w:b/>
      <w:bCs/>
      <w:iCs/>
      <w:color w:val="86BF5E"/>
      <w:szCs w:val="24"/>
      <w:lang w:eastAsia="cs-CZ"/>
    </w:rPr>
  </w:style>
  <w:style w:type="paragraph" w:styleId="Nadpis5">
    <w:name w:val="heading 5"/>
    <w:basedOn w:val="Normln"/>
    <w:next w:val="Normln"/>
    <w:link w:val="Nadpis5Char"/>
    <w:uiPriority w:val="9"/>
    <w:semiHidden/>
    <w:unhideWhenUsed/>
    <w:rsid w:val="007A516D"/>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A516D"/>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A516D"/>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A516D"/>
    <w:pPr>
      <w:keepNext/>
      <w:keepLines/>
      <w:numPr>
        <w:ilvl w:val="7"/>
        <w:numId w:val="14"/>
      </w:numPr>
      <w:spacing w:before="200" w:after="0"/>
      <w:outlineLvl w:val="7"/>
    </w:pPr>
    <w:rPr>
      <w:rFonts w:asciiTheme="majorHAnsi" w:eastAsiaTheme="majorEastAsia" w:hAnsiTheme="majorHAnsi" w:cstheme="majorBidi"/>
      <w:color w:val="404040" w:themeColor="text1" w:themeTint="BF"/>
      <w:szCs w:val="20"/>
    </w:rPr>
  </w:style>
  <w:style w:type="paragraph" w:styleId="Nadpis9">
    <w:name w:val="heading 9"/>
    <w:basedOn w:val="Normln"/>
    <w:next w:val="Normln"/>
    <w:link w:val="Nadpis9Char"/>
    <w:uiPriority w:val="9"/>
    <w:semiHidden/>
    <w:unhideWhenUsed/>
    <w:qFormat/>
    <w:rsid w:val="007A516D"/>
    <w:pPr>
      <w:numPr>
        <w:ilvl w:val="8"/>
        <w:numId w:val="14"/>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qFormat/>
    <w:rsid w:val="00EA0987"/>
    <w:rPr>
      <w:rFonts w:ascii="Arial" w:eastAsia="MS Gothic" w:hAnsi="Arial"/>
      <w:b/>
      <w:bCs/>
      <w:color w:val="86BF5E"/>
      <w:sz w:val="32"/>
      <w:szCs w:val="28"/>
      <w:lang w:eastAsia="cs-CZ"/>
    </w:rPr>
  </w:style>
  <w:style w:type="character" w:customStyle="1" w:styleId="Nadpis2Char">
    <w:name w:val="Nadpis 2 Char"/>
    <w:link w:val="Nadpis2"/>
    <w:uiPriority w:val="9"/>
    <w:rsid w:val="00EA0987"/>
    <w:rPr>
      <w:rFonts w:ascii="Arial" w:eastAsia="MS Gothic" w:hAnsi="Arial"/>
      <w:b/>
      <w:bCs/>
      <w:color w:val="86BF5E"/>
      <w:sz w:val="28"/>
      <w:szCs w:val="26"/>
      <w:lang w:eastAsia="cs-CZ"/>
    </w:rPr>
  </w:style>
  <w:style w:type="character" w:customStyle="1" w:styleId="Nadpis3Char">
    <w:name w:val="Nadpis 3 Char"/>
    <w:link w:val="Nadpis3"/>
    <w:uiPriority w:val="9"/>
    <w:rsid w:val="00EA0987"/>
    <w:rPr>
      <w:rFonts w:ascii="Arial" w:eastAsia="MS Gothic" w:hAnsi="Arial"/>
      <w:b/>
      <w:bCs/>
      <w:color w:val="86BF5E"/>
      <w:sz w:val="24"/>
      <w:szCs w:val="24"/>
      <w:lang w:eastAsia="cs-CZ"/>
    </w:rPr>
  </w:style>
  <w:style w:type="character" w:customStyle="1" w:styleId="Nadpis4Char">
    <w:name w:val="Nadpis 4 Char"/>
    <w:link w:val="Nadpis4"/>
    <w:uiPriority w:val="9"/>
    <w:rsid w:val="0041041D"/>
    <w:rPr>
      <w:rFonts w:ascii="Arial" w:eastAsia="MS Gothic" w:hAnsi="Arial"/>
      <w:b/>
      <w:bCs/>
      <w:iCs/>
      <w:color w:val="86BF5E"/>
      <w:szCs w:val="24"/>
      <w:lang w:eastAsia="cs-CZ"/>
    </w:rPr>
  </w:style>
  <w:style w:type="character" w:customStyle="1" w:styleId="Nadpis9Char">
    <w:name w:val="Nadpis 9 Char"/>
    <w:link w:val="Nadpis9"/>
    <w:uiPriority w:val="9"/>
    <w:semiHidden/>
    <w:rsid w:val="007A516D"/>
    <w:rPr>
      <w:rFonts w:ascii="Cambria" w:eastAsia="Times New Roman" w:hAnsi="Cambria"/>
      <w:sz w:val="22"/>
      <w:szCs w:val="22"/>
      <w:lang w:eastAsia="cs-CZ"/>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0A57D4"/>
    <w:pPr>
      <w:spacing w:after="80" w:line="288" w:lineRule="auto"/>
    </w:pPr>
    <w:rPr>
      <w:rFonts w:ascii="Arial" w:eastAsia="Times New Roman" w:hAnsi="Arial"/>
      <w:b/>
      <w:color w:val="86BF5E"/>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A-Box1">
    <w:name w:val="A-Box 1"/>
    <w:next w:val="Normln"/>
    <w:qFormat/>
    <w:rsid w:val="00EA0987"/>
    <w:pPr>
      <w:shd w:val="clear" w:color="auto" w:fill="F0F6E9"/>
      <w:spacing w:before="240" w:after="240" w:line="276" w:lineRule="auto"/>
      <w:contextualSpacing/>
      <w:jc w:val="both"/>
    </w:pPr>
    <w:rPr>
      <w:rFonts w:ascii="Arial" w:hAnsi="Arial" w:cs="Arial"/>
      <w:lang w:eastAsia="cs-CZ"/>
    </w:rPr>
  </w:style>
  <w:style w:type="paragraph" w:customStyle="1" w:styleId="A-Box2">
    <w:name w:val="A-Box 2"/>
    <w:next w:val="Normln"/>
    <w:qFormat/>
    <w:rsid w:val="00EA0987"/>
    <w:pPr>
      <w:spacing w:before="240" w:after="240" w:line="276" w:lineRule="auto"/>
      <w:contextualSpacing/>
      <w:jc w:val="both"/>
    </w:pPr>
    <w:rPr>
      <w:rFonts w:ascii="Arial" w:hAnsi="Arial" w:cs="Arial"/>
      <w:color w:val="86BF5E"/>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0A57D4"/>
    <w:pPr>
      <w:spacing w:after="40"/>
      <w:contextualSpacing/>
    </w:pPr>
    <w:rPr>
      <w:b/>
      <w:caps/>
      <w:sz w:val="24"/>
    </w:rPr>
  </w:style>
  <w:style w:type="paragraph" w:customStyle="1" w:styleId="TLKontakty">
    <w:name w:val="TL Kontakty"/>
    <w:qFormat/>
    <w:rsid w:val="000A57D4"/>
    <w:pPr>
      <w:spacing w:after="160" w:line="259" w:lineRule="auto"/>
      <w:contextualSpacing/>
    </w:pPr>
    <w:rPr>
      <w:rFonts w:ascii="Arial" w:eastAsia="Times New Roman" w:hAnsi="Arial"/>
      <w:b/>
      <w:color w:val="86BF5E"/>
      <w:lang w:eastAsia="cs-CZ"/>
    </w:rPr>
  </w:style>
  <w:style w:type="paragraph" w:styleId="Nzev">
    <w:name w:val="Title"/>
    <w:link w:val="NzevChar"/>
    <w:uiPriority w:val="10"/>
    <w:qFormat/>
    <w:rsid w:val="001E6062"/>
    <w:pPr>
      <w:spacing w:line="288" w:lineRule="auto"/>
    </w:pPr>
    <w:rPr>
      <w:rFonts w:ascii="Arial" w:eastAsia="Times New Roman" w:hAnsi="Arial"/>
      <w:b/>
      <w:bCs/>
      <w:caps/>
      <w:color w:val="000000" w:themeColor="text1"/>
      <w:kern w:val="28"/>
      <w:sz w:val="56"/>
      <w:szCs w:val="32"/>
      <w:lang w:eastAsia="cs-CZ"/>
    </w:rPr>
  </w:style>
  <w:style w:type="character" w:customStyle="1" w:styleId="NzevChar">
    <w:name w:val="Název Char"/>
    <w:link w:val="Nzev"/>
    <w:uiPriority w:val="10"/>
    <w:rsid w:val="001E6062"/>
    <w:rPr>
      <w:rFonts w:ascii="Arial" w:eastAsia="Times New Roman" w:hAnsi="Arial"/>
      <w:b/>
      <w:bCs/>
      <w:caps/>
      <w:color w:val="000000" w:themeColor="text1"/>
      <w:kern w:val="28"/>
      <w:sz w:val="56"/>
      <w:szCs w:val="32"/>
      <w:lang w:eastAsia="cs-CZ"/>
    </w:rPr>
  </w:style>
  <w:style w:type="paragraph" w:styleId="Podnadpis">
    <w:name w:val="Subtitle"/>
    <w:link w:val="PodnadpisChar"/>
    <w:uiPriority w:val="11"/>
    <w:qFormat/>
    <w:rsid w:val="001E6062"/>
    <w:pPr>
      <w:spacing w:line="288" w:lineRule="auto"/>
    </w:pPr>
    <w:rPr>
      <w:rFonts w:ascii="Arial" w:eastAsia="Times New Roman" w:hAnsi="Arial" w:cs="Arial"/>
      <w:b/>
      <w:color w:val="000000" w:themeColor="text1"/>
      <w:sz w:val="28"/>
      <w:szCs w:val="24"/>
      <w:lang w:eastAsia="cs-CZ"/>
    </w:rPr>
  </w:style>
  <w:style w:type="character" w:customStyle="1" w:styleId="PodnadpisChar">
    <w:name w:val="Podnadpis Char"/>
    <w:link w:val="Podnadpis"/>
    <w:uiPriority w:val="11"/>
    <w:rsid w:val="001E6062"/>
    <w:rPr>
      <w:rFonts w:ascii="Arial" w:eastAsia="Times New Roman" w:hAnsi="Arial" w:cs="Arial"/>
      <w:b/>
      <w:color w:val="000000" w:themeColor="text1"/>
      <w:sz w:val="28"/>
      <w:szCs w:val="24"/>
      <w:lang w:eastAsia="cs-CZ"/>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customStyle="1" w:styleId="Nadpis5Char">
    <w:name w:val="Nadpis 5 Char"/>
    <w:basedOn w:val="Standardnpsmoodstavce"/>
    <w:link w:val="Nadpis5"/>
    <w:uiPriority w:val="9"/>
    <w:semiHidden/>
    <w:rsid w:val="007A516D"/>
    <w:rPr>
      <w:rFonts w:asciiTheme="majorHAnsi" w:eastAsiaTheme="majorEastAsia" w:hAnsiTheme="majorHAnsi" w:cstheme="majorBidi"/>
      <w:color w:val="243F60" w:themeColor="accent1" w:themeShade="7F"/>
      <w:szCs w:val="24"/>
      <w:lang w:eastAsia="cs-CZ"/>
    </w:rPr>
  </w:style>
  <w:style w:type="character" w:customStyle="1" w:styleId="Nadpis6Char">
    <w:name w:val="Nadpis 6 Char"/>
    <w:basedOn w:val="Standardnpsmoodstavce"/>
    <w:link w:val="Nadpis6"/>
    <w:uiPriority w:val="9"/>
    <w:semiHidden/>
    <w:rsid w:val="007A516D"/>
    <w:rPr>
      <w:rFonts w:asciiTheme="majorHAnsi" w:eastAsiaTheme="majorEastAsia" w:hAnsiTheme="majorHAnsi" w:cstheme="majorBidi"/>
      <w:i/>
      <w:iCs/>
      <w:color w:val="243F60" w:themeColor="accent1" w:themeShade="7F"/>
      <w:szCs w:val="24"/>
      <w:lang w:eastAsia="cs-CZ"/>
    </w:rPr>
  </w:style>
  <w:style w:type="character" w:customStyle="1" w:styleId="Nadpis7Char">
    <w:name w:val="Nadpis 7 Char"/>
    <w:basedOn w:val="Standardnpsmoodstavce"/>
    <w:link w:val="Nadpis7"/>
    <w:uiPriority w:val="9"/>
    <w:semiHidden/>
    <w:rsid w:val="007A516D"/>
    <w:rPr>
      <w:rFonts w:asciiTheme="majorHAnsi" w:eastAsiaTheme="majorEastAsia" w:hAnsiTheme="majorHAnsi" w:cstheme="majorBidi"/>
      <w:i/>
      <w:iCs/>
      <w:color w:val="404040" w:themeColor="text1" w:themeTint="BF"/>
      <w:szCs w:val="24"/>
      <w:lang w:eastAsia="cs-CZ"/>
    </w:rPr>
  </w:style>
  <w:style w:type="character" w:customStyle="1" w:styleId="Nadpis8Char">
    <w:name w:val="Nadpis 8 Char"/>
    <w:basedOn w:val="Standardnpsmoodstavce"/>
    <w:link w:val="Nadpis8"/>
    <w:uiPriority w:val="9"/>
    <w:semiHidden/>
    <w:rsid w:val="007A516D"/>
    <w:rPr>
      <w:rFonts w:asciiTheme="majorHAnsi" w:eastAsiaTheme="majorEastAsia" w:hAnsiTheme="majorHAnsi" w:cstheme="majorBidi"/>
      <w:color w:val="404040" w:themeColor="text1" w:themeTint="BF"/>
      <w:lang w:eastAsia="cs-CZ"/>
    </w:rPr>
  </w:style>
  <w:style w:type="paragraph" w:styleId="Textpoznpodarou">
    <w:name w:val="footnote text"/>
    <w:aliases w:val="Text pozn. pod čarou_martin_ang"/>
    <w:basedOn w:val="Normln"/>
    <w:link w:val="TextpoznpodarouChar"/>
    <w:qFormat/>
    <w:rsid w:val="008E7FC9"/>
    <w:pPr>
      <w:spacing w:after="0" w:line="240" w:lineRule="auto"/>
      <w:jc w:val="left"/>
    </w:pPr>
    <w:rPr>
      <w:rFonts w:eastAsia="Calibri"/>
      <w:szCs w:val="20"/>
    </w:rPr>
  </w:style>
  <w:style w:type="character" w:customStyle="1" w:styleId="TextpoznpodarouChar">
    <w:name w:val="Text pozn. pod čarou Char"/>
    <w:aliases w:val="Text pozn. pod čarou_martin_ang Char"/>
    <w:basedOn w:val="Standardnpsmoodstavce"/>
    <w:link w:val="Textpoznpodarou"/>
    <w:qFormat/>
    <w:rsid w:val="008E7FC9"/>
    <w:rPr>
      <w:rFonts w:ascii="Arial" w:hAnsi="Arial"/>
      <w:lang w:eastAsia="cs-CZ"/>
    </w:rPr>
  </w:style>
  <w:style w:type="paragraph" w:styleId="Bezmezer">
    <w:name w:val="No Spacing"/>
    <w:uiPriority w:val="1"/>
    <w:qFormat/>
    <w:rsid w:val="00AD68C4"/>
    <w:pPr>
      <w:jc w:val="both"/>
    </w:pPr>
    <w:rPr>
      <w:rFonts w:ascii="Arial" w:eastAsia="Times New Roman" w:hAnsi="Arial"/>
      <w:szCs w:val="24"/>
      <w:lang w:eastAsia="cs-CZ"/>
    </w:rPr>
  </w:style>
  <w:style w:type="paragraph" w:customStyle="1" w:styleId="Marginlie">
    <w:name w:val="Marginálie"/>
    <w:basedOn w:val="Normln"/>
    <w:qFormat/>
    <w:rsid w:val="0089296D"/>
    <w:pPr>
      <w:spacing w:after="0"/>
      <w:jc w:val="left"/>
    </w:pPr>
    <w:rPr>
      <w:spacing w:val="-2"/>
      <w:sz w:val="16"/>
      <w:szCs w:val="16"/>
    </w:rPr>
  </w:style>
  <w:style w:type="paragraph" w:styleId="Odstavecseseznamem">
    <w:name w:val="List Paragraph"/>
    <w:basedOn w:val="Normln"/>
    <w:link w:val="OdstavecseseznamemChar"/>
    <w:uiPriority w:val="34"/>
    <w:qFormat/>
    <w:rsid w:val="006B0F92"/>
    <w:pPr>
      <w:ind w:left="720"/>
      <w:contextualSpacing/>
    </w:pPr>
  </w:style>
  <w:style w:type="paragraph" w:customStyle="1" w:styleId="Normalodrka">
    <w:name w:val="Normal odrážka"/>
    <w:qFormat/>
    <w:rsid w:val="006B0F92"/>
    <w:pPr>
      <w:numPr>
        <w:numId w:val="20"/>
      </w:numPr>
      <w:spacing w:after="240" w:line="276" w:lineRule="auto"/>
      <w:ind w:left="357" w:hanging="357"/>
      <w:jc w:val="both"/>
    </w:pPr>
    <w:rPr>
      <w:rFonts w:ascii="Arial" w:eastAsia="Times New Roman" w:hAnsi="Arial"/>
      <w:szCs w:val="24"/>
      <w:lang w:eastAsia="cs-CZ"/>
    </w:rPr>
  </w:style>
  <w:style w:type="paragraph" w:customStyle="1" w:styleId="Box1">
    <w:name w:val="Box 1"/>
    <w:next w:val="Normln"/>
    <w:qFormat/>
    <w:rsid w:val="00EA0987"/>
    <w:pPr>
      <w:shd w:val="clear" w:color="auto" w:fill="F0F6E9"/>
      <w:spacing w:before="240" w:after="240" w:line="276" w:lineRule="auto"/>
      <w:ind w:left="709"/>
      <w:contextualSpacing/>
      <w:jc w:val="both"/>
    </w:pPr>
    <w:rPr>
      <w:rFonts w:ascii="Arial" w:hAnsi="Arial" w:cs="Arial"/>
      <w:lang w:eastAsia="cs-CZ"/>
    </w:rPr>
  </w:style>
  <w:style w:type="paragraph" w:customStyle="1" w:styleId="Box2">
    <w:name w:val="Box 2"/>
    <w:next w:val="Normln"/>
    <w:qFormat/>
    <w:rsid w:val="00EA0987"/>
    <w:pPr>
      <w:spacing w:before="240" w:after="240" w:line="276" w:lineRule="auto"/>
      <w:ind w:left="709"/>
      <w:contextualSpacing/>
      <w:jc w:val="both"/>
    </w:pPr>
    <w:rPr>
      <w:rFonts w:ascii="Arial" w:hAnsi="Arial" w:cs="Arial"/>
      <w:b/>
      <w:color w:val="86BF5E"/>
      <w:lang w:eastAsia="cs-CZ"/>
    </w:rPr>
  </w:style>
  <w:style w:type="character" w:styleId="Zdraznnintenzivn">
    <w:name w:val="Intense Emphasis"/>
    <w:basedOn w:val="Standardnpsmoodstavce"/>
    <w:uiPriority w:val="21"/>
    <w:qFormat/>
    <w:rsid w:val="001E6062"/>
    <w:rPr>
      <w:i/>
      <w:iCs/>
      <w:color w:val="000000" w:themeColor="text1"/>
    </w:rPr>
  </w:style>
  <w:style w:type="character" w:styleId="Odkazintenzivn">
    <w:name w:val="Intense Reference"/>
    <w:basedOn w:val="Standardnpsmoodstavce"/>
    <w:uiPriority w:val="32"/>
    <w:qFormat/>
    <w:rsid w:val="001E6062"/>
    <w:rPr>
      <w:b/>
      <w:bCs/>
      <w:smallCaps/>
      <w:color w:val="000000" w:themeColor="text1"/>
      <w:spacing w:val="5"/>
    </w:rPr>
  </w:style>
  <w:style w:type="character" w:styleId="Znakapoznpodarou">
    <w:name w:val="footnote reference"/>
    <w:basedOn w:val="Standardnpsmoodstavce"/>
    <w:rsid w:val="009324EF"/>
    <w:rPr>
      <w:rFonts w:cs="Times New Roman"/>
      <w:vertAlign w:val="superscript"/>
    </w:rPr>
  </w:style>
  <w:style w:type="paragraph" w:customStyle="1" w:styleId="Nadpis11">
    <w:name w:val="Nadpis 11"/>
    <w:basedOn w:val="Normln"/>
    <w:uiPriority w:val="9"/>
    <w:qFormat/>
    <w:rsid w:val="009324EF"/>
    <w:pPr>
      <w:keepNext/>
      <w:keepLines/>
      <w:spacing w:after="100"/>
      <w:contextualSpacing/>
      <w:jc w:val="left"/>
      <w:outlineLvl w:val="0"/>
    </w:pPr>
    <w:rPr>
      <w:rFonts w:eastAsia="MS Gothic"/>
      <w:b/>
      <w:bCs/>
      <w:color w:val="71818C"/>
      <w:sz w:val="32"/>
      <w:szCs w:val="28"/>
    </w:rPr>
  </w:style>
  <w:style w:type="paragraph" w:customStyle="1" w:styleId="Textpoznpodarou1">
    <w:name w:val="Text pozn. pod čarou1"/>
    <w:basedOn w:val="Normln"/>
    <w:qFormat/>
    <w:rsid w:val="009324EF"/>
    <w:pPr>
      <w:spacing w:after="0" w:line="240" w:lineRule="auto"/>
      <w:jc w:val="left"/>
    </w:pPr>
    <w:rPr>
      <w:rFonts w:eastAsia="Calibri"/>
      <w:szCs w:val="20"/>
    </w:rPr>
  </w:style>
  <w:style w:type="character" w:styleId="Zdraznn">
    <w:name w:val="Emphasis"/>
    <w:basedOn w:val="Standardnpsmoodstavce"/>
    <w:uiPriority w:val="20"/>
    <w:qFormat/>
    <w:rsid w:val="009324EF"/>
    <w:rPr>
      <w:i/>
      <w:iCs/>
    </w:rPr>
  </w:style>
  <w:style w:type="character" w:customStyle="1" w:styleId="normaltextrun">
    <w:name w:val="normaltextrun"/>
    <w:basedOn w:val="Standardnpsmoodstavce"/>
    <w:rsid w:val="009324EF"/>
  </w:style>
  <w:style w:type="paragraph" w:customStyle="1" w:styleId="paragraph">
    <w:name w:val="paragraph"/>
    <w:basedOn w:val="Normln"/>
    <w:rsid w:val="009324EF"/>
    <w:pPr>
      <w:spacing w:before="100" w:beforeAutospacing="1" w:after="100" w:afterAutospacing="1" w:line="240" w:lineRule="auto"/>
      <w:jc w:val="left"/>
    </w:pPr>
    <w:rPr>
      <w:rFonts w:ascii="Times New Roman" w:hAnsi="Times New Roman"/>
      <w:sz w:val="24"/>
    </w:rPr>
  </w:style>
  <w:style w:type="character" w:customStyle="1" w:styleId="eop">
    <w:name w:val="eop"/>
    <w:basedOn w:val="Standardnpsmoodstavce"/>
    <w:rsid w:val="009324EF"/>
  </w:style>
  <w:style w:type="table" w:styleId="Mkatabulky">
    <w:name w:val="Table Grid"/>
    <w:basedOn w:val="Normlntabulka"/>
    <w:uiPriority w:val="59"/>
    <w:rsid w:val="009324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dpisobsahu">
    <w:name w:val="TOC Heading"/>
    <w:basedOn w:val="Nadpis1"/>
    <w:next w:val="Normln"/>
    <w:uiPriority w:val="39"/>
    <w:unhideWhenUsed/>
    <w:qFormat/>
    <w:rsid w:val="009324EF"/>
    <w:pPr>
      <w:spacing w:before="240" w:after="0" w:line="259" w:lineRule="auto"/>
      <w:contextualSpacing w:val="0"/>
      <w:outlineLvl w:val="9"/>
    </w:pPr>
    <w:rPr>
      <w:rFonts w:asciiTheme="majorHAnsi" w:eastAsiaTheme="majorEastAsia" w:hAnsiTheme="majorHAnsi" w:cstheme="majorBidi"/>
      <w:b w:val="0"/>
      <w:bCs w:val="0"/>
      <w:color w:val="365F91" w:themeColor="accent1" w:themeShade="BF"/>
      <w:szCs w:val="32"/>
    </w:rPr>
  </w:style>
  <w:style w:type="character" w:styleId="Odkaznakoment">
    <w:name w:val="annotation reference"/>
    <w:basedOn w:val="Standardnpsmoodstavce"/>
    <w:uiPriority w:val="99"/>
    <w:semiHidden/>
    <w:unhideWhenUsed/>
    <w:rsid w:val="009324EF"/>
    <w:rPr>
      <w:sz w:val="16"/>
      <w:szCs w:val="16"/>
    </w:rPr>
  </w:style>
  <w:style w:type="paragraph" w:styleId="Textkomente">
    <w:name w:val="annotation text"/>
    <w:basedOn w:val="Normln"/>
    <w:link w:val="TextkomenteChar"/>
    <w:uiPriority w:val="99"/>
    <w:unhideWhenUsed/>
    <w:rsid w:val="009324EF"/>
    <w:pPr>
      <w:spacing w:line="240" w:lineRule="auto"/>
    </w:pPr>
    <w:rPr>
      <w:szCs w:val="20"/>
    </w:rPr>
  </w:style>
  <w:style w:type="character" w:customStyle="1" w:styleId="TextkomenteChar">
    <w:name w:val="Text komentáře Char"/>
    <w:basedOn w:val="Standardnpsmoodstavce"/>
    <w:link w:val="Textkomente"/>
    <w:uiPriority w:val="99"/>
    <w:rsid w:val="009324EF"/>
    <w:rPr>
      <w:rFonts w:ascii="Arial" w:eastAsia="Times New Roman" w:hAnsi="Arial"/>
      <w:lang w:eastAsia="cs-CZ"/>
    </w:rPr>
  </w:style>
  <w:style w:type="paragraph" w:styleId="Pedmtkomente">
    <w:name w:val="annotation subject"/>
    <w:basedOn w:val="Textkomente"/>
    <w:next w:val="Textkomente"/>
    <w:link w:val="PedmtkomenteChar"/>
    <w:uiPriority w:val="99"/>
    <w:semiHidden/>
    <w:unhideWhenUsed/>
    <w:rsid w:val="009324EF"/>
    <w:rPr>
      <w:b/>
      <w:bCs/>
    </w:rPr>
  </w:style>
  <w:style w:type="character" w:customStyle="1" w:styleId="PedmtkomenteChar">
    <w:name w:val="Předmět komentáře Char"/>
    <w:basedOn w:val="TextkomenteChar"/>
    <w:link w:val="Pedmtkomente"/>
    <w:uiPriority w:val="99"/>
    <w:semiHidden/>
    <w:rsid w:val="009324EF"/>
    <w:rPr>
      <w:rFonts w:ascii="Arial" w:eastAsia="Times New Roman" w:hAnsi="Arial"/>
      <w:b/>
      <w:bCs/>
      <w:lang w:eastAsia="cs-CZ"/>
    </w:rPr>
  </w:style>
  <w:style w:type="paragraph" w:styleId="Rozloendokumentu">
    <w:name w:val="Document Map"/>
    <w:basedOn w:val="Normln"/>
    <w:link w:val="RozloendokumentuChar"/>
    <w:uiPriority w:val="99"/>
    <w:semiHidden/>
    <w:rsid w:val="009324EF"/>
    <w:pPr>
      <w:spacing w:after="0" w:line="288" w:lineRule="auto"/>
      <w:jc w:val="left"/>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9324EF"/>
    <w:rPr>
      <w:rFonts w:ascii="Tahoma" w:hAnsi="Tahoma" w:cs="Tahoma"/>
      <w:sz w:val="16"/>
      <w:szCs w:val="16"/>
      <w:lang w:eastAsia="cs-CZ"/>
    </w:rPr>
  </w:style>
  <w:style w:type="paragraph" w:customStyle="1" w:styleId="Nadpis12">
    <w:name w:val="Nadpis 12"/>
    <w:basedOn w:val="Normln"/>
    <w:uiPriority w:val="9"/>
    <w:qFormat/>
    <w:rsid w:val="009324EF"/>
    <w:pPr>
      <w:keepNext/>
      <w:keepLines/>
      <w:spacing w:after="100"/>
      <w:contextualSpacing/>
      <w:jc w:val="left"/>
      <w:outlineLvl w:val="0"/>
    </w:pPr>
    <w:rPr>
      <w:rFonts w:eastAsia="MS Gothic"/>
      <w:b/>
      <w:bCs/>
      <w:color w:val="71818C"/>
      <w:sz w:val="32"/>
      <w:szCs w:val="28"/>
    </w:rPr>
  </w:style>
  <w:style w:type="character" w:customStyle="1" w:styleId="spelle">
    <w:name w:val="spelle"/>
    <w:basedOn w:val="Standardnpsmoodstavce"/>
    <w:rsid w:val="009324EF"/>
  </w:style>
  <w:style w:type="paragraph" w:styleId="Revize">
    <w:name w:val="Revision"/>
    <w:hidden/>
    <w:uiPriority w:val="99"/>
    <w:semiHidden/>
    <w:rsid w:val="009324EF"/>
    <w:rPr>
      <w:rFonts w:ascii="Arial" w:eastAsia="Times New Roman" w:hAnsi="Arial"/>
      <w:szCs w:val="24"/>
      <w:lang w:eastAsia="cs-CZ"/>
    </w:rPr>
  </w:style>
  <w:style w:type="character" w:customStyle="1" w:styleId="odkaz-style-wrapper">
    <w:name w:val="odkaz-style-wrapper"/>
    <w:basedOn w:val="Standardnpsmoodstavce"/>
    <w:rsid w:val="009324EF"/>
  </w:style>
  <w:style w:type="character" w:customStyle="1" w:styleId="tabulka">
    <w:name w:val="tabulka"/>
    <w:basedOn w:val="Standardnpsmoodstavce"/>
    <w:rsid w:val="009324EF"/>
  </w:style>
  <w:style w:type="paragraph" w:customStyle="1" w:styleId="Default">
    <w:name w:val="Default"/>
    <w:rsid w:val="009324EF"/>
    <w:pPr>
      <w:autoSpaceDE w:val="0"/>
      <w:autoSpaceDN w:val="0"/>
      <w:adjustRightInd w:val="0"/>
    </w:pPr>
    <w:rPr>
      <w:rFonts w:cs="Calibri"/>
      <w:color w:val="000000"/>
      <w:sz w:val="24"/>
      <w:szCs w:val="24"/>
    </w:rPr>
  </w:style>
  <w:style w:type="paragraph" w:styleId="Normlnweb">
    <w:name w:val="Normal (Web)"/>
    <w:basedOn w:val="Normln"/>
    <w:uiPriority w:val="99"/>
    <w:semiHidden/>
    <w:unhideWhenUsed/>
    <w:rsid w:val="009324EF"/>
    <w:pPr>
      <w:spacing w:before="100" w:beforeAutospacing="1" w:after="100" w:afterAutospacing="1" w:line="240" w:lineRule="auto"/>
      <w:jc w:val="left"/>
    </w:pPr>
    <w:rPr>
      <w:rFonts w:ascii="Times New Roman" w:hAnsi="Times New Roman"/>
      <w:sz w:val="24"/>
    </w:rPr>
  </w:style>
  <w:style w:type="paragraph" w:styleId="FormtovanvHTML">
    <w:name w:val="HTML Preformatted"/>
    <w:basedOn w:val="Normln"/>
    <w:link w:val="FormtovanvHTMLChar"/>
    <w:uiPriority w:val="99"/>
    <w:semiHidden/>
    <w:unhideWhenUsed/>
    <w:rsid w:val="00932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Cs w:val="20"/>
    </w:rPr>
  </w:style>
  <w:style w:type="character" w:customStyle="1" w:styleId="FormtovanvHTMLChar">
    <w:name w:val="Formátovaný v HTML Char"/>
    <w:basedOn w:val="Standardnpsmoodstavce"/>
    <w:link w:val="FormtovanvHTML"/>
    <w:uiPriority w:val="99"/>
    <w:semiHidden/>
    <w:rsid w:val="009324EF"/>
    <w:rPr>
      <w:rFonts w:ascii="Courier New" w:eastAsia="Times New Roman" w:hAnsi="Courier New" w:cs="Courier New"/>
      <w:lang w:eastAsia="cs-CZ"/>
    </w:rPr>
  </w:style>
  <w:style w:type="paragraph" w:customStyle="1" w:styleId="cay">
    <w:name w:val="c_ay"/>
    <w:basedOn w:val="Normln"/>
    <w:rsid w:val="009324EF"/>
    <w:pPr>
      <w:spacing w:before="100" w:beforeAutospacing="1" w:after="100" w:afterAutospacing="1" w:line="240" w:lineRule="auto"/>
      <w:jc w:val="left"/>
    </w:pPr>
    <w:rPr>
      <w:rFonts w:ascii="Times New Roman" w:hAnsi="Times New Roman"/>
      <w:sz w:val="24"/>
    </w:rPr>
  </w:style>
  <w:style w:type="character" w:customStyle="1" w:styleId="cew">
    <w:name w:val="c_ew"/>
    <w:basedOn w:val="Standardnpsmoodstavce"/>
    <w:rsid w:val="009324EF"/>
  </w:style>
  <w:style w:type="character" w:styleId="Sledovanodkaz">
    <w:name w:val="FollowedHyperlink"/>
    <w:basedOn w:val="Standardnpsmoodstavce"/>
    <w:uiPriority w:val="99"/>
    <w:semiHidden/>
    <w:unhideWhenUsed/>
    <w:rsid w:val="009324EF"/>
    <w:rPr>
      <w:color w:val="800080" w:themeColor="followedHyperlink"/>
      <w:u w:val="single"/>
    </w:rPr>
  </w:style>
  <w:style w:type="character" w:customStyle="1" w:styleId="cfu">
    <w:name w:val="c_fu"/>
    <w:basedOn w:val="Standardnpsmoodstavce"/>
    <w:rsid w:val="009324EF"/>
  </w:style>
  <w:style w:type="character" w:customStyle="1" w:styleId="OdstavecseseznamemChar">
    <w:name w:val="Odstavec se seznamem Char"/>
    <w:basedOn w:val="Standardnpsmoodstavce"/>
    <w:link w:val="Odstavecseseznamem"/>
    <w:uiPriority w:val="34"/>
    <w:rsid w:val="009324EF"/>
    <w:rPr>
      <w:rFonts w:ascii="Arial" w:eastAsia="Times New Roman" w:hAnsi="Arial"/>
      <w:szCs w:val="24"/>
      <w:lang w:eastAsia="cs-CZ"/>
    </w:rPr>
  </w:style>
  <w:style w:type="paragraph" w:styleId="Textvysvtlivek">
    <w:name w:val="endnote text"/>
    <w:basedOn w:val="Normln"/>
    <w:link w:val="TextvysvtlivekChar"/>
    <w:uiPriority w:val="99"/>
    <w:semiHidden/>
    <w:unhideWhenUsed/>
    <w:rsid w:val="00BB2F43"/>
    <w:pPr>
      <w:spacing w:after="0" w:line="240" w:lineRule="auto"/>
    </w:pPr>
    <w:rPr>
      <w:szCs w:val="20"/>
    </w:rPr>
  </w:style>
  <w:style w:type="character" w:customStyle="1" w:styleId="TextvysvtlivekChar">
    <w:name w:val="Text vysvětlivek Char"/>
    <w:basedOn w:val="Standardnpsmoodstavce"/>
    <w:link w:val="Textvysvtlivek"/>
    <w:uiPriority w:val="99"/>
    <w:semiHidden/>
    <w:rsid w:val="00BB2F43"/>
    <w:rPr>
      <w:rFonts w:ascii="Arial" w:eastAsia="Times New Roman" w:hAnsi="Arial"/>
      <w:lang w:eastAsia="cs-CZ"/>
    </w:rPr>
  </w:style>
  <w:style w:type="character" w:styleId="Odkaznavysvtlivky">
    <w:name w:val="endnote reference"/>
    <w:basedOn w:val="Standardnpsmoodstavce"/>
    <w:uiPriority w:val="99"/>
    <w:semiHidden/>
    <w:unhideWhenUsed/>
    <w:rsid w:val="00BB2F43"/>
    <w:rPr>
      <w:vertAlign w:val="superscript"/>
    </w:rPr>
  </w:style>
  <w:style w:type="character" w:customStyle="1" w:styleId="ts-alignment-element">
    <w:name w:val="ts-alignment-element"/>
    <w:basedOn w:val="Standardnpsmoodstavce"/>
    <w:rsid w:val="00EB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112676334">
      <w:bodyDiv w:val="1"/>
      <w:marLeft w:val="0"/>
      <w:marRight w:val="0"/>
      <w:marTop w:val="0"/>
      <w:marBottom w:val="0"/>
      <w:divBdr>
        <w:top w:val="none" w:sz="0" w:space="0" w:color="auto"/>
        <w:left w:val="none" w:sz="0" w:space="0" w:color="auto"/>
        <w:bottom w:val="none" w:sz="0" w:space="0" w:color="auto"/>
        <w:right w:val="none" w:sz="0" w:space="0" w:color="auto"/>
      </w:divBdr>
    </w:div>
    <w:div w:id="243729605">
      <w:bodyDiv w:val="1"/>
      <w:marLeft w:val="0"/>
      <w:marRight w:val="0"/>
      <w:marTop w:val="0"/>
      <w:marBottom w:val="0"/>
      <w:divBdr>
        <w:top w:val="none" w:sz="0" w:space="0" w:color="auto"/>
        <w:left w:val="none" w:sz="0" w:space="0" w:color="auto"/>
        <w:bottom w:val="none" w:sz="0" w:space="0" w:color="auto"/>
        <w:right w:val="none" w:sz="0" w:space="0" w:color="auto"/>
      </w:divBdr>
    </w:div>
    <w:div w:id="255015632">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883518353">
      <w:bodyDiv w:val="1"/>
      <w:marLeft w:val="0"/>
      <w:marRight w:val="0"/>
      <w:marTop w:val="0"/>
      <w:marBottom w:val="0"/>
      <w:divBdr>
        <w:top w:val="none" w:sz="0" w:space="0" w:color="auto"/>
        <w:left w:val="none" w:sz="0" w:space="0" w:color="auto"/>
        <w:bottom w:val="none" w:sz="0" w:space="0" w:color="auto"/>
        <w:right w:val="none" w:sz="0" w:space="0" w:color="auto"/>
      </w:divBdr>
    </w:div>
    <w:div w:id="932319695">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276136441">
      <w:bodyDiv w:val="1"/>
      <w:marLeft w:val="0"/>
      <w:marRight w:val="0"/>
      <w:marTop w:val="0"/>
      <w:marBottom w:val="0"/>
      <w:divBdr>
        <w:top w:val="none" w:sz="0" w:space="0" w:color="auto"/>
        <w:left w:val="none" w:sz="0" w:space="0" w:color="auto"/>
        <w:bottom w:val="none" w:sz="0" w:space="0" w:color="auto"/>
        <w:right w:val="none" w:sz="0" w:space="0" w:color="auto"/>
      </w:divBdr>
    </w:div>
    <w:div w:id="128300063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56962653">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csu.gov.cz/methodological-note-to-consumer-price-index-imputed-rentals" TargetMode="External"/><Relationship Id="rId2" Type="http://schemas.openxmlformats.org/officeDocument/2006/relationships/hyperlink" Target="https://csu.gov.cz/indexy_spotrebitelskych_cen_revize" TargetMode="External"/><Relationship Id="rId1" Type="http://schemas.openxmlformats.org/officeDocument/2006/relationships/hyperlink" Target="https://csu.gov.cz/kdyz_se_rekne_inflace_resp_mira_inflac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bojnikova31519.CZSO\Downloads\Form_c444_Publikace_regiony%20a%20zeme%20-%20analyzy.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czsocz-my.sharepoint.com/personal/karolina_zabojnikova_czso_cz/Documents/Dokumenty/Anal&#253;za/Q/2026Q2/eng/Makroanal&#253;za%20grafy_en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https://czsocz-my.sharepoint.com/personal/karolina_zabojnikova_czso_cz/Documents/Dokumenty/Anal&#253;za/Q/2026Q2/eng/Makroanal&#253;za%20grafy_e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CenyEU!$C$4</c:f>
              <c:strCache>
                <c:ptCount val="1"/>
                <c:pt idx="0">
                  <c:v>Quarter-on-quarter</c:v>
                </c:pt>
              </c:strCache>
            </c:strRef>
          </c:tx>
          <c:spPr>
            <a:solidFill>
              <a:srgbClr val="009CB5"/>
            </a:solidFill>
            <a:ln>
              <a:noFill/>
            </a:ln>
            <a:effectLst/>
          </c:spPr>
          <c:invertIfNegative val="0"/>
          <c:cat>
            <c:strRef>
              <c:f>CenyEU!$B$5:$B$33</c:f>
              <c:strCache>
                <c:ptCount val="29"/>
                <c:pt idx="0">
                  <c:v>EU</c:v>
                </c:pt>
                <c:pt idx="1">
                  <c:v>CZ</c:v>
                </c:pt>
                <c:pt idx="3">
                  <c:v>RO</c:v>
                </c:pt>
                <c:pt idx="4">
                  <c:v>BG</c:v>
                </c:pt>
                <c:pt idx="5">
                  <c:v>LT</c:v>
                </c:pt>
                <c:pt idx="6">
                  <c:v>HR</c:v>
                </c:pt>
                <c:pt idx="7">
                  <c:v>LU</c:v>
                </c:pt>
                <c:pt idx="8">
                  <c:v>GR</c:v>
                </c:pt>
                <c:pt idx="9">
                  <c:v>SK</c:v>
                </c:pt>
                <c:pt idx="10">
                  <c:v>BE</c:v>
                </c:pt>
                <c:pt idx="11">
                  <c:v>SI</c:v>
                </c:pt>
                <c:pt idx="12">
                  <c:v>ES</c:v>
                </c:pt>
                <c:pt idx="13">
                  <c:v>CY</c:v>
                </c:pt>
                <c:pt idx="14">
                  <c:v>IE</c:v>
                </c:pt>
                <c:pt idx="15">
                  <c:v>AT</c:v>
                </c:pt>
                <c:pt idx="16">
                  <c:v>LV</c:v>
                </c:pt>
                <c:pt idx="17">
                  <c:v>PL</c:v>
                </c:pt>
                <c:pt idx="18">
                  <c:v>PT</c:v>
                </c:pt>
                <c:pt idx="19">
                  <c:v>IT</c:v>
                </c:pt>
                <c:pt idx="20">
                  <c:v>EE</c:v>
                </c:pt>
                <c:pt idx="21">
                  <c:v>NL</c:v>
                </c:pt>
                <c:pt idx="22">
                  <c:v>FI</c:v>
                </c:pt>
                <c:pt idx="23">
                  <c:v>DE</c:v>
                </c:pt>
                <c:pt idx="24">
                  <c:v>FR</c:v>
                </c:pt>
                <c:pt idx="25">
                  <c:v>HU</c:v>
                </c:pt>
                <c:pt idx="26">
                  <c:v>MT</c:v>
                </c:pt>
                <c:pt idx="27">
                  <c:v>DK</c:v>
                </c:pt>
                <c:pt idx="28">
                  <c:v>SE</c:v>
                </c:pt>
              </c:strCache>
            </c:strRef>
          </c:cat>
          <c:val>
            <c:numRef>
              <c:f>CenyEU!$C$5:$C$33</c:f>
              <c:numCache>
                <c:formatCode>0.0_ ;[Red]\-0.0\ </c:formatCode>
                <c:ptCount val="29"/>
                <c:pt idx="0">
                  <c:v>3.1682507920627172</c:v>
                </c:pt>
                <c:pt idx="1">
                  <c:v>1.6910146087652571</c:v>
                </c:pt>
                <c:pt idx="3">
                  <c:v>9.4927462372167284</c:v>
                </c:pt>
                <c:pt idx="4">
                  <c:v>5.8274665678579698</c:v>
                </c:pt>
                <c:pt idx="5">
                  <c:v>5.1188848501017192</c:v>
                </c:pt>
                <c:pt idx="6">
                  <c:v>4.8212550675109727</c:v>
                </c:pt>
                <c:pt idx="7">
                  <c:v>4.494944438882766</c:v>
                </c:pt>
                <c:pt idx="8">
                  <c:v>4.423779475257402</c:v>
                </c:pt>
                <c:pt idx="9">
                  <c:v>3.8645405007856173</c:v>
                </c:pt>
                <c:pt idx="10">
                  <c:v>3.8394590613911665</c:v>
                </c:pt>
                <c:pt idx="11">
                  <c:v>3.654839247043145</c:v>
                </c:pt>
                <c:pt idx="12">
                  <c:v>3.5816618911174736</c:v>
                </c:pt>
                <c:pt idx="13">
                  <c:v>3.5442784742597913</c:v>
                </c:pt>
                <c:pt idx="14">
                  <c:v>3.440565974771423</c:v>
                </c:pt>
                <c:pt idx="15">
                  <c:v>3.4300615137737385</c:v>
                </c:pt>
                <c:pt idx="16">
                  <c:v>3.2370517928286859</c:v>
                </c:pt>
                <c:pt idx="17">
                  <c:v>3.2235459004905382</c:v>
                </c:pt>
                <c:pt idx="18">
                  <c:v>3.1912076271186631</c:v>
                </c:pt>
                <c:pt idx="19">
                  <c:v>2.9850746268656714</c:v>
                </c:pt>
                <c:pt idx="20">
                  <c:v>2.9170282357653106</c:v>
                </c:pt>
                <c:pt idx="21">
                  <c:v>2.7730616864742403</c:v>
                </c:pt>
                <c:pt idx="22">
                  <c:v>2.6273672979460887</c:v>
                </c:pt>
                <c:pt idx="23">
                  <c:v>2.6263974637076606</c:v>
                </c:pt>
                <c:pt idx="24">
                  <c:v>2.4339892784603609</c:v>
                </c:pt>
                <c:pt idx="25">
                  <c:v>2.3236403699128565</c:v>
                </c:pt>
                <c:pt idx="26">
                  <c:v>2.1920599447876774</c:v>
                </c:pt>
                <c:pt idx="27">
                  <c:v>1.592249932957893</c:v>
                </c:pt>
                <c:pt idx="28">
                  <c:v>0.86863557396766777</c:v>
                </c:pt>
              </c:numCache>
            </c:numRef>
          </c:val>
          <c:extLst>
            <c:ext xmlns:c16="http://schemas.microsoft.com/office/drawing/2014/chart" uri="{C3380CC4-5D6E-409C-BE32-E72D297353CC}">
              <c16:uniqueId val="{00000000-7E52-4BE4-A0A6-80BCEFDE8CE7}"/>
            </c:ext>
          </c:extLst>
        </c:ser>
        <c:ser>
          <c:idx val="1"/>
          <c:order val="1"/>
          <c:tx>
            <c:strRef>
              <c:f>CenyEU!$D$4</c:f>
              <c:strCache>
                <c:ptCount val="1"/>
                <c:pt idx="0">
                  <c:v>Year-on-year</c:v>
                </c:pt>
              </c:strCache>
            </c:strRef>
          </c:tx>
          <c:spPr>
            <a:solidFill>
              <a:srgbClr val="BC5B80"/>
            </a:solidFill>
            <a:ln>
              <a:noFill/>
            </a:ln>
            <a:effectLst/>
          </c:spPr>
          <c:invertIfNegative val="0"/>
          <c:cat>
            <c:strRef>
              <c:f>CenyEU!$B$5:$B$33</c:f>
              <c:strCache>
                <c:ptCount val="29"/>
                <c:pt idx="0">
                  <c:v>EU</c:v>
                </c:pt>
                <c:pt idx="1">
                  <c:v>CZ</c:v>
                </c:pt>
                <c:pt idx="3">
                  <c:v>RO</c:v>
                </c:pt>
                <c:pt idx="4">
                  <c:v>BG</c:v>
                </c:pt>
                <c:pt idx="5">
                  <c:v>LT</c:v>
                </c:pt>
                <c:pt idx="6">
                  <c:v>HR</c:v>
                </c:pt>
                <c:pt idx="7">
                  <c:v>LU</c:v>
                </c:pt>
                <c:pt idx="8">
                  <c:v>GR</c:v>
                </c:pt>
                <c:pt idx="9">
                  <c:v>SK</c:v>
                </c:pt>
                <c:pt idx="10">
                  <c:v>BE</c:v>
                </c:pt>
                <c:pt idx="11">
                  <c:v>SI</c:v>
                </c:pt>
                <c:pt idx="12">
                  <c:v>ES</c:v>
                </c:pt>
                <c:pt idx="13">
                  <c:v>CY</c:v>
                </c:pt>
                <c:pt idx="14">
                  <c:v>IE</c:v>
                </c:pt>
                <c:pt idx="15">
                  <c:v>AT</c:v>
                </c:pt>
                <c:pt idx="16">
                  <c:v>LV</c:v>
                </c:pt>
                <c:pt idx="17">
                  <c:v>PL</c:v>
                </c:pt>
                <c:pt idx="18">
                  <c:v>PT</c:v>
                </c:pt>
                <c:pt idx="19">
                  <c:v>IT</c:v>
                </c:pt>
                <c:pt idx="20">
                  <c:v>EE</c:v>
                </c:pt>
                <c:pt idx="21">
                  <c:v>NL</c:v>
                </c:pt>
                <c:pt idx="22">
                  <c:v>FI</c:v>
                </c:pt>
                <c:pt idx="23">
                  <c:v>DE</c:v>
                </c:pt>
                <c:pt idx="24">
                  <c:v>FR</c:v>
                </c:pt>
                <c:pt idx="25">
                  <c:v>HU</c:v>
                </c:pt>
                <c:pt idx="26">
                  <c:v>MT</c:v>
                </c:pt>
                <c:pt idx="27">
                  <c:v>DK</c:v>
                </c:pt>
                <c:pt idx="28">
                  <c:v>SE</c:v>
                </c:pt>
              </c:strCache>
            </c:strRef>
          </c:cat>
          <c:val>
            <c:numRef>
              <c:f>CenyEU!$D$5:$D$33</c:f>
              <c:numCache>
                <c:formatCode>0.0_ ;[Red]\-0.0\ </c:formatCode>
                <c:ptCount val="29"/>
                <c:pt idx="0">
                  <c:v>1.9275123558484375</c:v>
                </c:pt>
                <c:pt idx="1">
                  <c:v>0.84675685509209497</c:v>
                </c:pt>
                <c:pt idx="3">
                  <c:v>1.9841772151898769</c:v>
                </c:pt>
                <c:pt idx="4">
                  <c:v>2.6095760663661696</c:v>
                </c:pt>
                <c:pt idx="5">
                  <c:v>2.0988534041588358</c:v>
                </c:pt>
                <c:pt idx="6">
                  <c:v>2.4024613773239269</c:v>
                </c:pt>
                <c:pt idx="7">
                  <c:v>3.3806536810828733</c:v>
                </c:pt>
                <c:pt idx="8">
                  <c:v>3.6971076151841933</c:v>
                </c:pt>
                <c:pt idx="9">
                  <c:v>0.72947736999092205</c:v>
                </c:pt>
                <c:pt idx="10">
                  <c:v>2.0897781873230885</c:v>
                </c:pt>
                <c:pt idx="11">
                  <c:v>2.7476882430647223</c:v>
                </c:pt>
                <c:pt idx="12">
                  <c:v>2.222733699404857</c:v>
                </c:pt>
                <c:pt idx="13">
                  <c:v>3.7726391766357037</c:v>
                </c:pt>
                <c:pt idx="14">
                  <c:v>1.8900795476957368</c:v>
                </c:pt>
                <c:pt idx="15">
                  <c:v>1.5192780968006594</c:v>
                </c:pt>
                <c:pt idx="16">
                  <c:v>2.3771112501234501</c:v>
                </c:pt>
                <c:pt idx="17">
                  <c:v>1.10806040400078</c:v>
                </c:pt>
                <c:pt idx="18">
                  <c:v>3.8374417055296641</c:v>
                </c:pt>
                <c:pt idx="19">
                  <c:v>3.0876494023904471</c:v>
                </c:pt>
                <c:pt idx="20">
                  <c:v>1.2842831335194695</c:v>
                </c:pt>
                <c:pt idx="21">
                  <c:v>2.4116768950074485</c:v>
                </c:pt>
                <c:pt idx="22">
                  <c:v>1.223362273086011</c:v>
                </c:pt>
                <c:pt idx="23">
                  <c:v>1.2911725955204127</c:v>
                </c:pt>
                <c:pt idx="24">
                  <c:v>2.1076039695974056</c:v>
                </c:pt>
                <c:pt idx="25">
                  <c:v>0.85889166776359527</c:v>
                </c:pt>
                <c:pt idx="26">
                  <c:v>5.6539023478644816</c:v>
                </c:pt>
                <c:pt idx="27">
                  <c:v>1.0570190063354505</c:v>
                </c:pt>
                <c:pt idx="28">
                  <c:v>-0.21482632118187714</c:v>
                </c:pt>
              </c:numCache>
            </c:numRef>
          </c:val>
          <c:extLst>
            <c:ext xmlns:c16="http://schemas.microsoft.com/office/drawing/2014/chart" uri="{C3380CC4-5D6E-409C-BE32-E72D297353CC}">
              <c16:uniqueId val="{00000001-7E52-4BE4-A0A6-80BCEFDE8CE7}"/>
            </c:ext>
          </c:extLst>
        </c:ser>
        <c:dLbls>
          <c:showLegendKey val="0"/>
          <c:showVal val="0"/>
          <c:showCatName val="0"/>
          <c:showSerName val="0"/>
          <c:showPercent val="0"/>
          <c:showBubbleSize val="0"/>
        </c:dLbls>
        <c:gapWidth val="89"/>
        <c:overlap val="-27"/>
        <c:axId val="2107983359"/>
        <c:axId val="2113678639"/>
      </c:barChart>
      <c:catAx>
        <c:axId val="2107983359"/>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2113678639"/>
        <c:crosses val="autoZero"/>
        <c:auto val="1"/>
        <c:lblAlgn val="ctr"/>
        <c:lblOffset val="100"/>
        <c:noMultiLvlLbl val="0"/>
      </c:catAx>
      <c:valAx>
        <c:axId val="21136786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2107983359"/>
        <c:crosses val="autoZero"/>
        <c:crossBetween val="between"/>
        <c:majorUnit val="1"/>
      </c:valAx>
      <c:spPr>
        <a:noFill/>
        <a:ln>
          <a:solidFill>
            <a:schemeClr val="bg1">
              <a:lumMod val="50000"/>
            </a:schemeClr>
          </a:solidFill>
        </a:ln>
        <a:effectLst/>
      </c:spPr>
    </c:plotArea>
    <c:legend>
      <c:legendPos val="b"/>
      <c:layout>
        <c:manualLayout>
          <c:xMode val="edge"/>
          <c:yMode val="edge"/>
          <c:x val="5.6598910840932118E-2"/>
          <c:y val="0.8934223027375201"/>
          <c:w val="0.90824742485646737"/>
          <c:h val="7.5901368760064411E-2"/>
        </c:manualLayout>
      </c:layout>
      <c:overlay val="0"/>
      <c:spPr>
        <a:noFill/>
        <a:ln>
          <a:solidFill>
            <a:schemeClr val="bg1">
              <a:lumMod val="50000"/>
            </a:schemeClr>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baseline="0">
          <a:solidFill>
            <a:sysClr val="windowText" lastClr="000000"/>
          </a:solidFill>
          <a:latin typeface="Arial" panose="020B0604020202020204" pitchFamily="34" charset="0"/>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9258203189717562E-2"/>
          <c:y val="2.9569886214146503E-2"/>
          <c:w val="0.92637856314472322"/>
          <c:h val="0.73556653157716956"/>
        </c:manualLayout>
      </c:layout>
      <c:barChart>
        <c:barDir val="col"/>
        <c:grouping val="clustered"/>
        <c:varyColors val="0"/>
        <c:ser>
          <c:idx val="0"/>
          <c:order val="0"/>
          <c:tx>
            <c:strRef>
              <c:f>'Ceny 1'!$C$5</c:f>
              <c:strCache>
                <c:ptCount val="1"/>
                <c:pt idx="0">
                  <c:v>Realised prices of older flats, the CR</c:v>
                </c:pt>
              </c:strCache>
            </c:strRef>
          </c:tx>
          <c:spPr>
            <a:solidFill>
              <a:srgbClr val="B8BBC0"/>
            </a:solidFill>
            <a:ln w="19050">
              <a:noFill/>
            </a:ln>
          </c:spPr>
          <c:invertIfNegative val="0"/>
          <c:cat>
            <c:multiLvlStrRef>
              <c:f>'Ceny 1'!$A$18:$B$39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'Ceny 1'!$C$18:$C$39</c:f>
              <c:numCache>
                <c:formatCode>0.0</c:formatCode>
                <c:ptCount val="22"/>
                <c:pt idx="0">
                  <c:v>15.200000000000003</c:v>
                </c:pt>
                <c:pt idx="1">
                  <c:v>17.900000000000006</c:v>
                </c:pt>
                <c:pt idx="2">
                  <c:v>21.299999999999997</c:v>
                </c:pt>
                <c:pt idx="3">
                  <c:v>25.200000000000003</c:v>
                </c:pt>
                <c:pt idx="4">
                  <c:v>27.299999999999997</c:v>
                </c:pt>
                <c:pt idx="5">
                  <c:v>27.599999999999994</c:v>
                </c:pt>
                <c:pt idx="6">
                  <c:v>23.400000000000006</c:v>
                </c:pt>
                <c:pt idx="7">
                  <c:v>13.799999999999997</c:v>
                </c:pt>
                <c:pt idx="8">
                  <c:v>3.7000000000000028</c:v>
                </c:pt>
                <c:pt idx="9">
                  <c:v>-4.0999999999999943</c:v>
                </c:pt>
                <c:pt idx="10">
                  <c:v>-7</c:v>
                </c:pt>
                <c:pt idx="11">
                  <c:v>-5.5</c:v>
                </c:pt>
                <c:pt idx="12">
                  <c:v>9.9999999999994316E-2</c:v>
                </c:pt>
                <c:pt idx="13">
                  <c:v>6.0999999999999943</c:v>
                </c:pt>
                <c:pt idx="14">
                  <c:v>10.700000000000003</c:v>
                </c:pt>
                <c:pt idx="15">
                  <c:v>14.200000000000003</c:v>
                </c:pt>
                <c:pt idx="16">
                  <c:v>15.799999999999997</c:v>
                </c:pt>
                <c:pt idx="17">
                  <c:v>16.299999999999997</c:v>
                </c:pt>
                <c:pt idx="18">
                  <c:v>15.900000000000006</c:v>
                </c:pt>
                <c:pt idx="19">
                  <c:v>16</c:v>
                </c:pt>
                <c:pt idx="20">
                  <c:v>14.5</c:v>
                </c:pt>
                <c:pt idx="21">
                  <c:v>14</c:v>
                </c:pt>
              </c:numCache>
            </c:numRef>
          </c:val>
          <c:extLst>
            <c:ext xmlns:c16="http://schemas.microsoft.com/office/drawing/2014/chart" uri="{C3380CC4-5D6E-409C-BE32-E72D297353CC}">
              <c16:uniqueId val="{00000000-0A35-4954-BC3A-A8A6648F3EE1}"/>
            </c:ext>
          </c:extLst>
        </c:ser>
        <c:ser>
          <c:idx val="1"/>
          <c:order val="1"/>
          <c:tx>
            <c:strRef>
              <c:f>'Ceny 1'!$D$5</c:f>
              <c:strCache>
                <c:ptCount val="1"/>
                <c:pt idx="0">
                  <c:v>Realised prices of older flats, Prague</c:v>
                </c:pt>
              </c:strCache>
            </c:strRef>
          </c:tx>
          <c:spPr>
            <a:solidFill>
              <a:srgbClr val="85898E"/>
            </a:solidFill>
            <a:ln w="19050">
              <a:noFill/>
            </a:ln>
          </c:spPr>
          <c:invertIfNegative val="0"/>
          <c:cat>
            <c:multiLvlStrRef>
              <c:f>'Ceny 1'!$A$18:$B$39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'Ceny 1'!$D$18:$D$39</c:f>
              <c:numCache>
                <c:formatCode>0.0</c:formatCode>
                <c:ptCount val="22"/>
                <c:pt idx="0">
                  <c:v>14.299999999999997</c:v>
                </c:pt>
                <c:pt idx="1">
                  <c:v>15.799999999999997</c:v>
                </c:pt>
                <c:pt idx="2">
                  <c:v>16.599999999999994</c:v>
                </c:pt>
                <c:pt idx="3">
                  <c:v>20</c:v>
                </c:pt>
                <c:pt idx="4">
                  <c:v>19</c:v>
                </c:pt>
                <c:pt idx="5">
                  <c:v>16.700000000000003</c:v>
                </c:pt>
                <c:pt idx="6">
                  <c:v>15.599999999999994</c:v>
                </c:pt>
                <c:pt idx="7">
                  <c:v>8.4000000000000057</c:v>
                </c:pt>
                <c:pt idx="8">
                  <c:v>1.2000000000000028</c:v>
                </c:pt>
                <c:pt idx="9">
                  <c:v>-3.5999999999999943</c:v>
                </c:pt>
                <c:pt idx="10">
                  <c:v>-5.2999999999999972</c:v>
                </c:pt>
                <c:pt idx="11">
                  <c:v>-2.5999999999999943</c:v>
                </c:pt>
                <c:pt idx="12">
                  <c:v>1</c:v>
                </c:pt>
                <c:pt idx="13">
                  <c:v>8.5999999999999943</c:v>
                </c:pt>
                <c:pt idx="14">
                  <c:v>11.799999999999997</c:v>
                </c:pt>
                <c:pt idx="15">
                  <c:v>12.099999999999994</c:v>
                </c:pt>
                <c:pt idx="16">
                  <c:v>15.799999999999997</c:v>
                </c:pt>
                <c:pt idx="17">
                  <c:v>13.599999999999994</c:v>
                </c:pt>
                <c:pt idx="18">
                  <c:v>13.400000000000006</c:v>
                </c:pt>
                <c:pt idx="19">
                  <c:v>13.700000000000003</c:v>
                </c:pt>
                <c:pt idx="20">
                  <c:v>11.5</c:v>
                </c:pt>
                <c:pt idx="21">
                  <c:v>11.900000000000006</c:v>
                </c:pt>
              </c:numCache>
            </c:numRef>
          </c:val>
          <c:extLst>
            <c:ext xmlns:c16="http://schemas.microsoft.com/office/drawing/2014/chart" uri="{C3380CC4-5D6E-409C-BE32-E72D297353CC}">
              <c16:uniqueId val="{00000001-0A35-4954-BC3A-A8A6648F3EE1}"/>
            </c:ext>
          </c:extLst>
        </c:ser>
        <c:dLbls>
          <c:showLegendKey val="0"/>
          <c:showVal val="0"/>
          <c:showCatName val="0"/>
          <c:showSerName val="0"/>
          <c:showPercent val="0"/>
          <c:showBubbleSize val="0"/>
        </c:dLbls>
        <c:gapWidth val="95"/>
        <c:axId val="130418560"/>
        <c:axId val="130420096"/>
      </c:barChart>
      <c:lineChart>
        <c:grouping val="standard"/>
        <c:varyColors val="0"/>
        <c:ser>
          <c:idx val="2"/>
          <c:order val="2"/>
          <c:tx>
            <c:strRef>
              <c:f>'Ceny 1'!$E$5</c:f>
              <c:strCache>
                <c:ptCount val="1"/>
                <c:pt idx="0">
                  <c:v>Catalogue prices of flats, the CR</c:v>
                </c:pt>
              </c:strCache>
            </c:strRef>
          </c:tx>
          <c:spPr>
            <a:ln w="19050">
              <a:solidFill>
                <a:srgbClr val="BC5B80"/>
              </a:solidFill>
            </a:ln>
          </c:spPr>
          <c:marker>
            <c:symbol val="none"/>
          </c:marker>
          <c:cat>
            <c:multiLvlStrRef>
              <c:f>'Ceny 1'!$A$18:$B$39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'Ceny 1'!$E$18:$E$39</c:f>
              <c:numCache>
                <c:formatCode>0.0</c:formatCode>
                <c:ptCount val="22"/>
                <c:pt idx="0">
                  <c:v>7.6441102756892292</c:v>
                </c:pt>
                <c:pt idx="1">
                  <c:v>7.9531442663378584</c:v>
                </c:pt>
                <c:pt idx="2">
                  <c:v>9.3205051112447421</c:v>
                </c:pt>
                <c:pt idx="3">
                  <c:v>12.433392539964473</c:v>
                </c:pt>
                <c:pt idx="4">
                  <c:v>16.880093131548307</c:v>
                </c:pt>
                <c:pt idx="5">
                  <c:v>24.671616219303274</c:v>
                </c:pt>
                <c:pt idx="6">
                  <c:v>22.937293729372925</c:v>
                </c:pt>
                <c:pt idx="7">
                  <c:v>18.325434439178508</c:v>
                </c:pt>
                <c:pt idx="8">
                  <c:v>9.8107569721115624</c:v>
                </c:pt>
                <c:pt idx="9">
                  <c:v>-0.73293632615667548</c:v>
                </c:pt>
                <c:pt idx="10">
                  <c:v>-3.3109619686800897</c:v>
                </c:pt>
                <c:pt idx="11">
                  <c:v>-4.1833555852247315</c:v>
                </c:pt>
                <c:pt idx="12">
                  <c:v>-0.68027210884353906</c:v>
                </c:pt>
                <c:pt idx="13">
                  <c:v>3.3687125057683573</c:v>
                </c:pt>
                <c:pt idx="14">
                  <c:v>6.9412309116150084</c:v>
                </c:pt>
                <c:pt idx="15">
                  <c:v>10.682768230376212</c:v>
                </c:pt>
                <c:pt idx="16">
                  <c:v>15.662100456621019</c:v>
                </c:pt>
                <c:pt idx="17">
                  <c:v>17.008928571428569</c:v>
                </c:pt>
                <c:pt idx="18">
                  <c:v>17.654694937256593</c:v>
                </c:pt>
                <c:pt idx="19">
                  <c:v>16.869492236676436</c:v>
                </c:pt>
                <c:pt idx="20">
                  <c:v>12.949072246348209</c:v>
                </c:pt>
                <c:pt idx="21">
                  <c:v>10.72109881724532</c:v>
                </c:pt>
              </c:numCache>
            </c:numRef>
          </c:val>
          <c:smooth val="0"/>
          <c:extLst>
            <c:ext xmlns:c16="http://schemas.microsoft.com/office/drawing/2014/chart" uri="{C3380CC4-5D6E-409C-BE32-E72D297353CC}">
              <c16:uniqueId val="{00000002-0A35-4954-BC3A-A8A6648F3EE1}"/>
            </c:ext>
          </c:extLst>
        </c:ser>
        <c:ser>
          <c:idx val="3"/>
          <c:order val="3"/>
          <c:tx>
            <c:strRef>
              <c:f>'Ceny 1'!$F$5</c:f>
              <c:strCache>
                <c:ptCount val="1"/>
                <c:pt idx="0">
                  <c:v>Catalogue prices of flats, Prague</c:v>
                </c:pt>
              </c:strCache>
            </c:strRef>
          </c:tx>
          <c:spPr>
            <a:ln>
              <a:solidFill>
                <a:srgbClr val="009CB5"/>
              </a:solidFill>
            </a:ln>
          </c:spPr>
          <c:marker>
            <c:symbol val="none"/>
          </c:marker>
          <c:cat>
            <c:multiLvlStrRef>
              <c:f>'Ceny 1'!$A$18:$B$39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'Ceny 1'!$F$18:$F$39</c:f>
              <c:numCache>
                <c:formatCode>0.0</c:formatCode>
                <c:ptCount val="22"/>
                <c:pt idx="0">
                  <c:v>4.759269507470961</c:v>
                </c:pt>
                <c:pt idx="1">
                  <c:v>4.5256270447110012</c:v>
                </c:pt>
                <c:pt idx="2">
                  <c:v>6.2466343564889826</c:v>
                </c:pt>
                <c:pt idx="3">
                  <c:v>9.1443850267379503</c:v>
                </c:pt>
                <c:pt idx="4">
                  <c:v>12.255678816693077</c:v>
                </c:pt>
                <c:pt idx="5">
                  <c:v>19.718309859154942</c:v>
                </c:pt>
                <c:pt idx="6">
                  <c:v>18.499746578813998</c:v>
                </c:pt>
                <c:pt idx="7">
                  <c:v>16.903478686918177</c:v>
                </c:pt>
                <c:pt idx="8">
                  <c:v>10.305882352941182</c:v>
                </c:pt>
                <c:pt idx="9">
                  <c:v>0.30501089324617681</c:v>
                </c:pt>
                <c:pt idx="10">
                  <c:v>-1.5825491873396089</c:v>
                </c:pt>
                <c:pt idx="11">
                  <c:v>-3.5624476110645418</c:v>
                </c:pt>
                <c:pt idx="12">
                  <c:v>0.3412969283276226</c:v>
                </c:pt>
                <c:pt idx="13">
                  <c:v>3.9965247610773247</c:v>
                </c:pt>
                <c:pt idx="14">
                  <c:v>6.7796610169491629</c:v>
                </c:pt>
                <c:pt idx="15">
                  <c:v>10.386788352890036</c:v>
                </c:pt>
                <c:pt idx="16">
                  <c:v>16.496598639455783</c:v>
                </c:pt>
                <c:pt idx="17">
                  <c:v>16.207184628237243</c:v>
                </c:pt>
                <c:pt idx="18">
                  <c:v>16.076516076516072</c:v>
                </c:pt>
                <c:pt idx="19">
                  <c:v>14.763779527559052</c:v>
                </c:pt>
                <c:pt idx="20">
                  <c:v>8.9416058394160558</c:v>
                </c:pt>
                <c:pt idx="21">
                  <c:v>9.0222861250898632</c:v>
                </c:pt>
              </c:numCache>
            </c:numRef>
          </c:val>
          <c:smooth val="0"/>
          <c:extLst>
            <c:ext xmlns:c16="http://schemas.microsoft.com/office/drawing/2014/chart" uri="{C3380CC4-5D6E-409C-BE32-E72D297353CC}">
              <c16:uniqueId val="{00000003-0A35-4954-BC3A-A8A6648F3EE1}"/>
            </c:ext>
          </c:extLst>
        </c:ser>
        <c:dLbls>
          <c:showLegendKey val="0"/>
          <c:showVal val="0"/>
          <c:showCatName val="0"/>
          <c:showSerName val="0"/>
          <c:showPercent val="0"/>
          <c:showBubbleSize val="0"/>
        </c:dLbls>
        <c:marker val="1"/>
        <c:smooth val="0"/>
        <c:axId val="130418560"/>
        <c:axId val="130420096"/>
      </c:lineChart>
      <c:catAx>
        <c:axId val="130418560"/>
        <c:scaling>
          <c:orientation val="minMax"/>
        </c:scaling>
        <c:delete val="0"/>
        <c:axPos val="b"/>
        <c:numFmt formatCode="General" sourceLinked="0"/>
        <c:majorTickMark val="out"/>
        <c:minorTickMark val="none"/>
        <c:tickLblPos val="low"/>
        <c:spPr>
          <a:ln>
            <a:solidFill>
              <a:schemeClr val="tx1"/>
            </a:solidFill>
          </a:ln>
        </c:spPr>
        <c:txPr>
          <a:bodyPr rot="0" vert="horz"/>
          <a:lstStyle/>
          <a:p>
            <a:pPr>
              <a:defRPr/>
            </a:pPr>
            <a:endParaRPr lang="cs-CZ"/>
          </a:p>
        </c:txPr>
        <c:crossAx val="130420096"/>
        <c:crosses val="autoZero"/>
        <c:auto val="1"/>
        <c:lblAlgn val="ctr"/>
        <c:lblOffset val="100"/>
        <c:noMultiLvlLbl val="0"/>
      </c:catAx>
      <c:valAx>
        <c:axId val="130420096"/>
        <c:scaling>
          <c:orientation val="minMax"/>
          <c:max val="28"/>
          <c:min val="-8"/>
        </c:scaling>
        <c:delete val="0"/>
        <c:axPos val="l"/>
        <c:majorGridlines>
          <c:spPr>
            <a:ln w="6350">
              <a:solidFill>
                <a:schemeClr val="bg1">
                  <a:lumMod val="75000"/>
                </a:schemeClr>
              </a:solidFill>
            </a:ln>
          </c:spPr>
        </c:majorGridlines>
        <c:numFmt formatCode="0" sourceLinked="0"/>
        <c:majorTickMark val="out"/>
        <c:minorTickMark val="none"/>
        <c:tickLblPos val="nextTo"/>
        <c:spPr>
          <a:ln>
            <a:solidFill>
              <a:schemeClr val="tx1"/>
            </a:solidFill>
          </a:ln>
        </c:spPr>
        <c:crossAx val="130418560"/>
        <c:crosses val="autoZero"/>
        <c:crossBetween val="between"/>
        <c:majorUnit val="4"/>
      </c:valAx>
      <c:spPr>
        <a:ln>
          <a:solidFill>
            <a:schemeClr val="tx1"/>
          </a:solidFill>
        </a:ln>
      </c:spPr>
    </c:plotArea>
    <c:legend>
      <c:legendPos val="b"/>
      <c:layout>
        <c:manualLayout>
          <c:xMode val="edge"/>
          <c:yMode val="edge"/>
          <c:x val="4.6528021206651497E-2"/>
          <c:y val="0.88817854328492629"/>
          <c:w val="0.9267997314289258"/>
          <c:h val="9.8380614657210319E-2"/>
        </c:manualLayout>
      </c:layout>
      <c:overlay val="0"/>
      <c:spPr>
        <a:ln w="6350">
          <a:solidFill>
            <a:schemeClr val="tx1"/>
          </a:solidFill>
        </a:ln>
      </c:spPr>
    </c:legend>
    <c:plotVisOnly val="1"/>
    <c:dispBlanksAs val="gap"/>
    <c:showDLblsOverMax val="0"/>
  </c:chart>
  <c:spPr>
    <a:ln>
      <a:noFill/>
    </a:ln>
  </c:spPr>
  <c:txPr>
    <a:bodyPr/>
    <a:lstStyle/>
    <a:p>
      <a:pPr>
        <a:defRPr sz="800" baseline="0">
          <a:latin typeface="Arial" pitchFamily="34" charset="0"/>
        </a:defRPr>
      </a:pPr>
      <a:endParaRPr lang="cs-C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40" ma:contentTypeDescription="Vytvoří nový dokument" ma:contentTypeScope="" ma:versionID="110421115ddc15f999b8bb81d2de1ec1">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68ff216229c3f5ed4e0b6e8627bc574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iteKnihDok" minOccurs="0"/>
                <xsd:element ref="ns3:ProcDome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_old"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element name="SiteKnihDok" ma:index="37" nillable="true" ma:displayName="SiteKnihDok" ma:default="Vnitřní předpisy" ma:description="Seznam knihoven v Site Knihovna dokumentů ČSÚ" ma:format="Dropdown" ma:internalName="SiteKnihDok">
      <xsd:simpleType>
        <xsd:restriction base="dms:Choice">
          <xsd:enumeration value="Vnitřní předpisy"/>
          <xsd:enumeration value="Formuláře"/>
          <xsd:enumeration value="Návody a manuály"/>
          <xsd:enumeration value="Zápisy a reporty"/>
        </xsd:restriction>
      </xsd:simpleType>
    </xsd:element>
    <xsd:element name="ProcDomena" ma:index="38" nillable="true" ma:displayName="Procesní doména" ma:default="P1 Bezpečnost" ma:internalName="ProcDomena">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v1.2</Verzeform>
    <Forma xmlns="8675fb2b-b414-4bad-b4c4-d9349268b5a1">
      <Value>Elektronická</Value>
    </Forma>
    <Vazbanaproces xmlns="8675fb2b-b414-4bad-b4c4-d9349268b5a1">179. Vnější komunikace
</Vazbanaproces>
    <Gestor xmlns="8675fb2b-b414-4bad-b4c4-d9349268b5a1">
      <UserInfo>
        <DisplayName>Novotný Michal</DisplayName>
        <AccountId>24</AccountId>
        <AccountType/>
      </UserInfo>
    </Gestor>
    <Form_c xmlns="8675fb2b-b414-4bad-b4c4-d9349268b5a1">444</Form_c>
    <NazevForm xmlns="8675fb2b-b414-4bad-b4c4-d9349268b5a1">Publikace CZ barevná - regiony a země - analýzy</NazevForm>
    <UcinnostOdForm xmlns="8675fb2b-b414-4bad-b4c4-d9349268b5a1">2026-09-06T22:00:00+00:00</UcinnostOdForm>
    <PredpisForm xmlns="8675fb2b-b414-4bad-b4c4-d9349268b5a1">Manuál značky a jednotného vizuálního stylu Českého statistického úřadu</PredpisForm>
    <UstanoveniForm xmlns="8675fb2b-b414-4bad-b4c4-d9349268b5a1" xsi:nil="true"/>
    <PoznForm xmlns="8675fb2b-b414-4bad-b4c4-d9349268b5a1" xsi:nil="true"/>
    <Oznaceni xmlns="8675fb2b-b414-4bad-b4c4-d9349268b5a1">Form_c444</Oznaceni>
    <UcinnostDoForm xmlns="8675fb2b-b414-4bad-b4c4-d9349268b5a1" xsi:nil="true"/>
    <Platnost xmlns="8675fb2b-b414-4bad-b4c4-d9349268b5a1">true</Platnost>
    <Odkaz xmlns="8675fb2b-b414-4bad-b4c4-d9349268b5a1">
      <Url xsi:nil="true"/>
      <Description xsi:nil="true"/>
    </Odkaz>
    <lcf76f155ced4ddcb4097134ff3c332f xmlns="8675fb2b-b414-4bad-b4c4-d9349268b5a1">
      <Terms xmlns="http://schemas.microsoft.com/office/infopath/2007/PartnerControls"/>
    </lcf76f155ced4ddcb4097134ff3c332f>
    <TaxCatchAll xmlns="406a38fe-c53c-4047-b0f8-c641386931ae" xsi:nil="true"/>
    <ProcDomena xmlns="406a38fe-c53c-4047-b0f8-c641386931ae">
      <Value>P4 Komunikace a propagace</Value>
    </ProcDomena>
    <DomenaForm xmlns="8675fb2b-b414-4bad-b4c4-d9349268b5a1" xsi:nil="true"/>
    <SiteKnihDok xmlns="406a38fe-c53c-4047-b0f8-c641386931ae">Vnitřní předpisy</SiteKnihDo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8A1E1-1E99-4B4F-B9B5-70567730AA3A}">
  <ds:schemaRefs>
    <ds:schemaRef ds:uri="http://schemas.microsoft.com/sharepoint/v3/contenttype/forms"/>
  </ds:schemaRefs>
</ds:datastoreItem>
</file>

<file path=customXml/itemProps2.xml><?xml version="1.0" encoding="utf-8"?>
<ds:datastoreItem xmlns:ds="http://schemas.openxmlformats.org/officeDocument/2006/customXml" ds:itemID="{4520BFF4-F202-41B8-B99D-38B5B951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7681AD-41B0-431A-9D34-CF6700A12FAC}">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4.xml><?xml version="1.0" encoding="utf-8"?>
<ds:datastoreItem xmlns:ds="http://schemas.openxmlformats.org/officeDocument/2006/customXml" ds:itemID="{BD4A6635-18E5-4C5D-A03B-290B09811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Form_c444_Publikace_regiony a zeme - analyzy.dotx</Template>
  <TotalTime>567</TotalTime>
  <Pages>7</Pages>
  <Words>3310</Words>
  <Characters>19531</Characters>
  <Application>Microsoft Office Word</Application>
  <DocSecurity>0</DocSecurity>
  <Lines>162</Lines>
  <Paragraphs>45</Paragraphs>
  <ScaleCrop>false</ScaleCrop>
  <HeadingPairs>
    <vt:vector size="6" baseType="variant">
      <vt:variant>
        <vt:lpstr>Název</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Styl: Nadpis 1</vt:lpstr>
      <vt:lpstr>    Styl: Nadpis 2</vt:lpstr>
      <vt:lpstr>        Styl: Nadpis 3</vt:lpstr>
      <vt:lpstr>        Styl: Nadpis 3</vt:lpstr>
      <vt:lpstr>    Styl: Nadpis 2</vt:lpstr>
      <vt:lpstr>        Styl: Nadpis 3</vt:lpstr>
      <vt:lpstr>    Styl: Nadpis 2</vt:lpstr>
      <vt:lpstr>        Styl: Nadpis 3</vt:lpstr>
    </vt:vector>
  </TitlesOfParts>
  <Company>CSU</Company>
  <LinksUpToDate>false</LinksUpToDate>
  <CharactersWithSpaces>22796</CharactersWithSpaces>
  <SharedDoc>false</SharedDoc>
  <HLinks>
    <vt:vector size="18" baseType="variant">
      <vt:variant>
        <vt:i4>7602181</vt:i4>
      </vt:variant>
      <vt:variant>
        <vt:i4>11092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Publikace CZ barevná - regiony a země - analýzy</dc:title>
  <dc:subject/>
  <dc:creator>Zábojníková Karolína</dc:creator>
  <cp:keywords/>
  <cp:lastModifiedBy>Zábojníková Karolína</cp:lastModifiedBy>
  <cp:revision>71</cp:revision>
  <cp:lastPrinted>2014-07-17T14:07:00Z</cp:lastPrinted>
  <dcterms:created xsi:type="dcterms:W3CDTF">2026-10-09T10:57:00Z</dcterms:created>
  <dcterms:modified xsi:type="dcterms:W3CDTF">2026-10-15T10:19:00Z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 barevné - vícetematické analýzy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2018-04-17T07:00:00Z</vt:filetime>
  </property>
  <property fmtid="{D5CDD505-2E9C-101B-9397-08002B2CF9AE}" pid="8" name="Označení">
    <vt:lpwstr>Form_c444</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MSIP_Label_29db9e61-aac5-4f6e-805d-ceb8cb9983a1_Enabled">
    <vt:lpwstr>true</vt:lpwstr>
  </property>
  <property fmtid="{D5CDD505-2E9C-101B-9397-08002B2CF9AE}" pid="17" name="MSIP_Label_29db9e61-aac5-4f6e-805d-ceb8cb9983a1_SetDate">
    <vt:lpwstr>2026-09-16T09:02:17Z</vt:lpwstr>
  </property>
  <property fmtid="{D5CDD505-2E9C-101B-9397-08002B2CF9AE}" pid="18" name="MSIP_Label_29db9e61-aac5-4f6e-805d-ceb8cb9983a1_Method">
    <vt:lpwstr>Standard</vt:lpwstr>
  </property>
  <property fmtid="{D5CDD505-2E9C-101B-9397-08002B2CF9AE}" pid="19" name="MSIP_Label_29db9e61-aac5-4f6e-805d-ceb8cb9983a1_Name">
    <vt:lpwstr>UniCredit - Internal Use Only - no visual markings</vt:lpwstr>
  </property>
  <property fmtid="{D5CDD505-2E9C-101B-9397-08002B2CF9AE}" pid="20" name="MSIP_Label_29db9e61-aac5-4f6e-805d-ceb8cb9983a1_SiteId">
    <vt:lpwstr>2cc49ce9-66a1-41ac-a96b-bdc54247696a</vt:lpwstr>
  </property>
  <property fmtid="{D5CDD505-2E9C-101B-9397-08002B2CF9AE}" pid="21" name="MSIP_Label_29db9e61-aac5-4f6e-805d-ceb8cb9983a1_ActionId">
    <vt:lpwstr>dd88b259-0c19-43b2-b8a9-ca92370eeaec</vt:lpwstr>
  </property>
  <property fmtid="{D5CDD505-2E9C-101B-9397-08002B2CF9AE}" pid="22" name="MSIP_Label_29db9e61-aac5-4f6e-805d-ceb8cb9983a1_ContentBits">
    <vt:lpwstr>0</vt:lpwstr>
  </property>
  <property fmtid="{D5CDD505-2E9C-101B-9397-08002B2CF9AE}" pid="23" name="MSIP_Label_29db9e61-aac5-4f6e-805d-ceb8cb9983a1_Tag">
    <vt:lpwstr>10, 3, 0, 1</vt:lpwstr>
  </property>
</Properties>
</file>