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31" w:rsidRPr="001E3731" w:rsidRDefault="001E3731" w:rsidP="00A204CF">
      <w:pPr>
        <w:pStyle w:val="Nadpis1"/>
      </w:pPr>
      <w:bookmarkStart w:id="0" w:name="_4._Mezinárodní_srovnání"/>
      <w:bookmarkStart w:id="1" w:name="_Toc481748803"/>
      <w:bookmarkEnd w:id="0"/>
      <w:r w:rsidRPr="001E3731">
        <w:t>4. Mezinárodní srovnání výdajů na zdravotní péči</w:t>
      </w:r>
      <w:bookmarkEnd w:id="1"/>
    </w:p>
    <w:p w:rsidR="001E3731" w:rsidRPr="001E3731" w:rsidRDefault="001E3731" w:rsidP="001E3731">
      <w:pPr>
        <w:spacing w:before="120"/>
        <w:jc w:val="both"/>
        <w:rPr>
          <w:rFonts w:cs="Arial"/>
          <w:color w:val="000000"/>
          <w:szCs w:val="20"/>
        </w:rPr>
      </w:pPr>
      <w:r w:rsidRPr="001E3731">
        <w:rPr>
          <w:rFonts w:cs="Arial"/>
          <w:color w:val="000000"/>
          <w:szCs w:val="20"/>
        </w:rPr>
        <w:t xml:space="preserve">V této části je prezentováno porovnání základních ukazatelů </w:t>
      </w:r>
      <w:r w:rsidRPr="00E22935">
        <w:rPr>
          <w:rFonts w:cs="Arial"/>
          <w:b/>
          <w:color w:val="000000"/>
          <w:szCs w:val="20"/>
        </w:rPr>
        <w:t>výdajů na zdravotní péči</w:t>
      </w:r>
      <w:r w:rsidRPr="001E3731">
        <w:rPr>
          <w:rFonts w:cs="Arial"/>
          <w:color w:val="000000"/>
          <w:szCs w:val="20"/>
        </w:rPr>
        <w:t xml:space="preserve"> ve vybraných zemích </w:t>
      </w:r>
      <w:r w:rsidRPr="00E22935">
        <w:rPr>
          <w:rFonts w:cs="Arial"/>
          <w:b/>
          <w:color w:val="000000"/>
          <w:szCs w:val="20"/>
        </w:rPr>
        <w:t>Evropské unie (EU)</w:t>
      </w:r>
      <w:r w:rsidRPr="001E3731">
        <w:rPr>
          <w:rFonts w:cs="Arial"/>
          <w:color w:val="000000"/>
          <w:szCs w:val="20"/>
        </w:rPr>
        <w:t xml:space="preserve"> a </w:t>
      </w:r>
      <w:r w:rsidRPr="00E22935">
        <w:rPr>
          <w:rFonts w:cs="Arial"/>
          <w:b/>
          <w:color w:val="000000"/>
          <w:szCs w:val="20"/>
        </w:rPr>
        <w:t>Evropského sdružení volného obchodu (EFTA</w:t>
      </w:r>
      <w:r w:rsidRPr="001E3731">
        <w:rPr>
          <w:rFonts w:cs="Arial"/>
          <w:color w:val="000000"/>
          <w:szCs w:val="20"/>
        </w:rPr>
        <w:t xml:space="preserve"> - </w:t>
      </w:r>
      <w:r w:rsidRPr="001E3731">
        <w:rPr>
          <w:rFonts w:cs="Arial"/>
          <w:i/>
          <w:szCs w:val="16"/>
        </w:rPr>
        <w:t>Státy EFTA jsou Island, Lichtenštejnsko, Norsko a Švýcarsko. Údaje za Lichtenštejnsko nebyly dostupné</w:t>
      </w:r>
      <w:r w:rsidRPr="001E3731">
        <w:rPr>
          <w:rFonts w:cs="Arial"/>
          <w:color w:val="000000"/>
          <w:szCs w:val="20"/>
        </w:rPr>
        <w:t xml:space="preserve">). Předkládané statistiky přinášejí pohled na financování našeho zdravotnictví v evropském kontextu a mohou tak poskytnout užitečné podklady pro jeho hodnocení a přispět do diskuze o jeho budoucím směřování. 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16"/>
        </w:rPr>
      </w:pPr>
      <w:r w:rsidRPr="001E3731">
        <w:rPr>
          <w:rFonts w:cs="Arial"/>
          <w:szCs w:val="16"/>
        </w:rPr>
        <w:t>Pro zajištění lepší srovnatelnosti úrovně výdajů mezi jednotlivými zeměmi, jsou údaje přepočteny na jednotnou měnu (EUR) a očištěny o rozdíly v kupní síle mezi jednotlivými státy (PPP).</w:t>
      </w:r>
    </w:p>
    <w:p w:rsidR="001E3731" w:rsidRPr="001E3731" w:rsidRDefault="001E3731" w:rsidP="001E3731">
      <w:pPr>
        <w:spacing w:before="120"/>
        <w:jc w:val="both"/>
        <w:rPr>
          <w:rFonts w:cs="Arial"/>
          <w:color w:val="000000"/>
          <w:szCs w:val="20"/>
        </w:rPr>
      </w:pPr>
      <w:r w:rsidRPr="001E3731">
        <w:rPr>
          <w:rFonts w:cs="Arial"/>
          <w:szCs w:val="16"/>
        </w:rPr>
        <w:t>K výpočtu reálných změn (tedy temp růstu či poklesu ve stálých cenách) jsou použity obecné deflátory HDP. Mezinárodně srovnatelné deflátory pro zdravotní péči nebyly k dispozici.</w:t>
      </w:r>
    </w:p>
    <w:p w:rsidR="001E3731" w:rsidRPr="001E3731" w:rsidRDefault="001E3731" w:rsidP="001E3731">
      <w:pPr>
        <w:spacing w:before="120"/>
        <w:jc w:val="both"/>
        <w:rPr>
          <w:rFonts w:cs="Arial"/>
          <w:color w:val="000000"/>
          <w:szCs w:val="20"/>
        </w:rPr>
      </w:pPr>
      <w:r w:rsidRPr="001E3731">
        <w:rPr>
          <w:rFonts w:cs="Arial"/>
          <w:color w:val="000000"/>
          <w:szCs w:val="20"/>
        </w:rPr>
        <w:t xml:space="preserve">Údaje použité v této kapitole byly převzaty z publikace </w:t>
      </w:r>
      <w:proofErr w:type="spellStart"/>
      <w:r w:rsidRPr="001E3731">
        <w:rPr>
          <w:rFonts w:cs="Arial"/>
          <w:color w:val="000000"/>
          <w:szCs w:val="20"/>
        </w:rPr>
        <w:t>Health</w:t>
      </w:r>
      <w:proofErr w:type="spellEnd"/>
      <w:r w:rsidRPr="001E3731">
        <w:rPr>
          <w:rFonts w:cs="Arial"/>
          <w:color w:val="000000"/>
          <w:szCs w:val="20"/>
        </w:rPr>
        <w:t xml:space="preserve"> </w:t>
      </w:r>
      <w:proofErr w:type="spellStart"/>
      <w:r w:rsidRPr="001E3731">
        <w:rPr>
          <w:rFonts w:cs="Arial"/>
          <w:color w:val="000000"/>
          <w:szCs w:val="20"/>
        </w:rPr>
        <w:t>at</w:t>
      </w:r>
      <w:proofErr w:type="spellEnd"/>
      <w:r w:rsidRPr="001E3731">
        <w:rPr>
          <w:rFonts w:cs="Arial"/>
          <w:color w:val="000000"/>
          <w:szCs w:val="20"/>
        </w:rPr>
        <w:t xml:space="preserve"> a Glance: </w:t>
      </w:r>
      <w:proofErr w:type="spellStart"/>
      <w:r w:rsidRPr="001E3731">
        <w:rPr>
          <w:rFonts w:cs="Arial"/>
          <w:color w:val="000000"/>
          <w:szCs w:val="20"/>
        </w:rPr>
        <w:t>Europe</w:t>
      </w:r>
      <w:proofErr w:type="spellEnd"/>
      <w:r w:rsidRPr="001E3731">
        <w:rPr>
          <w:rFonts w:cs="Arial"/>
          <w:color w:val="000000"/>
          <w:szCs w:val="20"/>
        </w:rPr>
        <w:t xml:space="preserve"> 2016 </w:t>
      </w:r>
      <w:r w:rsidRPr="00341B64">
        <w:rPr>
          <w:rFonts w:cs="Arial"/>
          <w:szCs w:val="20"/>
        </w:rPr>
        <w:t>http://www.oecd-ilibrary.org/social-issues-migration-health/health-at-a-glance-europe_23056088</w:t>
      </w:r>
      <w:r w:rsidR="00AA315F">
        <w:rPr>
          <w:rStyle w:val="Znakapoznpodarou"/>
        </w:rPr>
        <w:footnoteReference w:id="1"/>
      </w:r>
      <w:r w:rsidRPr="001E3731">
        <w:rPr>
          <w:rFonts w:cs="Arial"/>
          <w:color w:val="000000"/>
          <w:szCs w:val="20"/>
        </w:rPr>
        <w:t>.</w:t>
      </w:r>
    </w:p>
    <w:p w:rsidR="001E3731" w:rsidRPr="001E3731" w:rsidRDefault="001E3731" w:rsidP="001E3731">
      <w:pPr>
        <w:spacing w:before="240" w:after="120"/>
        <w:jc w:val="both"/>
        <w:rPr>
          <w:b/>
          <w:i/>
          <w:szCs w:val="20"/>
        </w:rPr>
      </w:pPr>
      <w:r w:rsidRPr="001E3731">
        <w:rPr>
          <w:b/>
          <w:i/>
          <w:szCs w:val="20"/>
        </w:rPr>
        <w:t>Nejvíce za zdravotní péči na jednoho obyvatele vydávalo v roce 2015 Švýcarsko</w:t>
      </w:r>
    </w:p>
    <w:p w:rsidR="001E3731" w:rsidRPr="001E3731" w:rsidRDefault="001E3731" w:rsidP="001E3731">
      <w:pPr>
        <w:spacing w:before="120"/>
        <w:jc w:val="both"/>
        <w:rPr>
          <w:rFonts w:cs="Arial"/>
          <w:color w:val="000000"/>
          <w:szCs w:val="20"/>
        </w:rPr>
      </w:pPr>
      <w:r w:rsidRPr="001E3731">
        <w:rPr>
          <w:rFonts w:cs="Arial"/>
          <w:color w:val="000000"/>
          <w:szCs w:val="20"/>
        </w:rPr>
        <w:t>Jednoznačně nejvyšší částky na zdravotní péči v přepočtu na jednoho obyvatele mezi státy EU a EFTA vydávalo v roce 2015 Švýcarsko, kdy se jednalo o více než 5 tisíc EUR přepočtenýc</w:t>
      </w:r>
      <w:r w:rsidR="00A204CF">
        <w:rPr>
          <w:rFonts w:cs="Arial"/>
          <w:color w:val="000000"/>
          <w:szCs w:val="20"/>
        </w:rPr>
        <w:t>h podle parity kupní síly (</w:t>
      </w:r>
      <w:proofErr w:type="gramStart"/>
      <w:r w:rsidR="00A204CF">
        <w:rPr>
          <w:rFonts w:cs="Arial"/>
          <w:color w:val="000000"/>
          <w:szCs w:val="20"/>
        </w:rPr>
        <w:t xml:space="preserve">PPP) </w:t>
      </w:r>
      <w:r w:rsidRPr="001E3731">
        <w:rPr>
          <w:rFonts w:cs="Arial"/>
          <w:color w:val="000000"/>
          <w:szCs w:val="20"/>
        </w:rPr>
        <w:t>(viz</w:t>
      </w:r>
      <w:proofErr w:type="gramEnd"/>
      <w:r w:rsidRPr="001E3731">
        <w:rPr>
          <w:rFonts w:cs="Arial"/>
          <w:color w:val="000000"/>
          <w:szCs w:val="20"/>
        </w:rPr>
        <w:t xml:space="preserve"> graf č</w:t>
      </w:r>
      <w:r>
        <w:rPr>
          <w:rFonts w:cs="Arial"/>
          <w:color w:val="000000"/>
          <w:szCs w:val="20"/>
        </w:rPr>
        <w:t xml:space="preserve"> </w:t>
      </w:r>
      <w:r w:rsidRPr="001E3731">
        <w:rPr>
          <w:rFonts w:cs="Arial"/>
          <w:color w:val="000000"/>
          <w:szCs w:val="20"/>
        </w:rPr>
        <w:t>4.1). K hranici 5 tisíc EUR vynaložených na zdravotní péči na jednoho obyvatele se přiblížilo v tomto roce ještě Norsko, za Norskem pak následují Německo, Nizozemsko, Švédsko či Irsko, jejichž výdaje na zdravotní péči na jednoho obyvatele se pohybují okolo 4 tisíc EUR PPP. Nejmenší částky na zdravotní péči v přepočtu na obyvatele vydávají naopak v Chorvatsku, Bulharsku, Lotyšsku či v Rumunsku, jedná se o částky okolo jednoho tisíce EUR PPP na jednoho obyvatele v roce 2015. V průměru evropské osmadvacítky bylo na zdravotní péči na jednoho obyvatele vydáno v roce 2015 nec</w:t>
      </w:r>
      <w:bookmarkStart w:id="2" w:name="_GoBack"/>
      <w:bookmarkEnd w:id="2"/>
      <w:r w:rsidRPr="001E3731">
        <w:rPr>
          <w:rFonts w:cs="Arial"/>
          <w:color w:val="000000"/>
          <w:szCs w:val="20"/>
        </w:rPr>
        <w:t>elých 2 800 EUR PPP. Česká republika patří mezi země se spíše nižšími výdaji na zdravotní péči na obyvatele s jejich výší mírně pod 2 000 EUR PPP. Z grafu č. 4.1 je patrná také změna těchto výdajů mezi lety 2010 a 2015. Ve většině sledovaných zemí došlo k jejich nárůstu, pokles byl zaznamenán pouze v případě Portugalska, Řecka, Kypru, Slovenska a Chorvatska. Více o vývoji tohoto ukazatele v čase viz graf č. 4.2 a příslušný text.</w:t>
      </w:r>
    </w:p>
    <w:p w:rsidR="001E3731" w:rsidRPr="001E3731" w:rsidRDefault="001E3731" w:rsidP="001E3731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 xml:space="preserve">Graf č. 4.1 Průměrné výdaje na zdravotní péči na jednoho obyvatele v zemích EU a EFTA (v </w:t>
      </w:r>
      <w:proofErr w:type="gramStart"/>
      <w:r w:rsidRPr="001E3731">
        <w:rPr>
          <w:rFonts w:cs="Arial"/>
          <w:b/>
          <w:sz w:val="18"/>
          <w:szCs w:val="18"/>
        </w:rPr>
        <w:t>EUR</w:t>
      </w:r>
      <w:proofErr w:type="gramEnd"/>
      <w:r w:rsidRPr="001E3731">
        <w:rPr>
          <w:rFonts w:cs="Arial"/>
          <w:b/>
          <w:sz w:val="18"/>
          <w:szCs w:val="18"/>
        </w:rPr>
        <w:t xml:space="preserve"> PPP)</w:t>
      </w:r>
    </w:p>
    <w:p w:rsidR="001E3731" w:rsidRPr="001E3731" w:rsidRDefault="006366C8" w:rsidP="001E3731">
      <w:pPr>
        <w:spacing w:before="240"/>
        <w:jc w:val="both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210300" cy="292417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3731" w:rsidRPr="001E3731" w:rsidRDefault="001E3731" w:rsidP="001E3731">
      <w:pPr>
        <w:jc w:val="both"/>
        <w:rPr>
          <w:rFonts w:cs="Arial"/>
          <w:i/>
          <w:noProof/>
          <w:sz w:val="16"/>
          <w:szCs w:val="16"/>
        </w:rPr>
      </w:pPr>
      <w:r w:rsidRPr="001E3731">
        <w:rPr>
          <w:rFonts w:cs="Arial"/>
          <w:i/>
          <w:noProof/>
          <w:sz w:val="16"/>
          <w:szCs w:val="16"/>
        </w:rPr>
        <w:t xml:space="preserve">* data za rok 2015 - odhad OECD </w:t>
      </w:r>
    </w:p>
    <w:p w:rsidR="001E3731" w:rsidRPr="001E3731" w:rsidRDefault="001E3731" w:rsidP="001E3731">
      <w:pPr>
        <w:pageBreakBefore/>
        <w:spacing w:before="200" w:after="120"/>
        <w:jc w:val="both"/>
        <w:rPr>
          <w:rFonts w:cs="Arial"/>
          <w:color w:val="000000"/>
          <w:szCs w:val="20"/>
        </w:rPr>
      </w:pPr>
      <w:r w:rsidRPr="001E3731">
        <w:rPr>
          <w:b/>
          <w:i/>
          <w:szCs w:val="20"/>
        </w:rPr>
        <w:lastRenderedPageBreak/>
        <w:t>Nejvyšší reálný pokles výdajů na zdravotní péči v letech 2009 – 2015 byl zaznamenán v Řecku</w:t>
      </w:r>
      <w:r w:rsidRPr="001E3731">
        <w:rPr>
          <w:rFonts w:cs="Arial"/>
          <w:color w:val="000000"/>
          <w:szCs w:val="20"/>
        </w:rPr>
        <w:t xml:space="preserve"> 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Pokud se zaměříme na reálný vývoj výdajů na zdravotní péči v posledních několika letech, je možné sledovat odlišné tendence ve dvou obdobích. V letech 2005 až 2009 výdaje na zdravotní péči ve stálých cenách rostly v naprosté většině zemí. Výjimku tvořila pouze Malta, kde však byl pokles zanedbatelný a také Maďarsko s poklesem necelá 3 %. V období 2009</w:t>
      </w:r>
      <w:r w:rsidR="00A204CF">
        <w:rPr>
          <w:rFonts w:cs="Arial"/>
          <w:szCs w:val="20"/>
        </w:rPr>
        <w:t xml:space="preserve"> </w:t>
      </w:r>
      <w:r w:rsidRPr="001E3731">
        <w:rPr>
          <w:rFonts w:cs="Arial"/>
          <w:szCs w:val="20"/>
        </w:rPr>
        <w:t>-</w:t>
      </w:r>
      <w:r w:rsidR="00A204CF">
        <w:rPr>
          <w:rFonts w:cs="Arial"/>
          <w:szCs w:val="20"/>
        </w:rPr>
        <w:t xml:space="preserve"> </w:t>
      </w:r>
      <w:r w:rsidRPr="001E3731">
        <w:rPr>
          <w:rFonts w:cs="Arial"/>
          <w:szCs w:val="20"/>
        </w:rPr>
        <w:t>2015 pak lze vývoj výdajů na zdravotní péči označit v případě několika zemí za stagnaci a u sedmi sledovaných zemí zaznamenáváme pokles. Změna ve vývoji byla především důsledkem světové finanční a ekonomické krize, a tím došlo v roce 2009 u cca třetiny zemí a v roce 2010 u více než poloviny zemí k reálnému poklesu výdajů na zdravotní péči. Nejvýznamnější obrat ve vývoji výdajů na zdravotní péči mezi dvěma sledovanými obdobími zaznamenalo Řecko, kdy prům</w:t>
      </w:r>
      <w:r w:rsidR="00A204CF">
        <w:rPr>
          <w:rFonts w:cs="Arial"/>
          <w:szCs w:val="20"/>
        </w:rPr>
        <w:t>ěrné roční tempo růstu pokleslo</w:t>
      </w:r>
      <w:r w:rsidR="00A204CF" w:rsidRPr="001E3731">
        <w:rPr>
          <w:rFonts w:cs="Arial"/>
          <w:szCs w:val="20"/>
        </w:rPr>
        <w:t xml:space="preserve"> ze 4,5</w:t>
      </w:r>
      <w:r w:rsidRPr="001E3731">
        <w:rPr>
          <w:rFonts w:cs="Arial"/>
          <w:szCs w:val="20"/>
        </w:rPr>
        <w:t> % na -6,5 %. V rámci průměru celé evropské osmadvacítky rostly výdaje na zdravotní péči v průměru cca 3 % ročně v období 2005-2009 a v období 2009-2015 bylo tempo růstu necelé 1 % ročně. Česká republika se v tomto případě staví nad průměr EU28 s hodnotami 5 % v období 2005</w:t>
      </w:r>
      <w:r w:rsidR="00A204CF">
        <w:rPr>
          <w:rFonts w:cs="Arial"/>
          <w:szCs w:val="20"/>
        </w:rPr>
        <w:t xml:space="preserve"> </w:t>
      </w:r>
      <w:r w:rsidRPr="001E3731">
        <w:rPr>
          <w:rFonts w:cs="Arial"/>
          <w:szCs w:val="20"/>
        </w:rPr>
        <w:noBreakHyphen/>
      </w:r>
      <w:r w:rsidR="00A204CF">
        <w:rPr>
          <w:rFonts w:cs="Arial"/>
          <w:szCs w:val="20"/>
        </w:rPr>
        <w:t xml:space="preserve"> </w:t>
      </w:r>
      <w:r w:rsidRPr="001E3731">
        <w:rPr>
          <w:rFonts w:cs="Arial"/>
          <w:szCs w:val="20"/>
        </w:rPr>
        <w:t>2009 a 2 % během období 2009</w:t>
      </w:r>
      <w:r w:rsidR="00A204CF">
        <w:rPr>
          <w:rFonts w:cs="Arial"/>
          <w:szCs w:val="20"/>
        </w:rPr>
        <w:t xml:space="preserve"> </w:t>
      </w:r>
      <w:r w:rsidRPr="001E3731">
        <w:rPr>
          <w:rFonts w:cs="Arial"/>
          <w:szCs w:val="20"/>
        </w:rPr>
        <w:t>-</w:t>
      </w:r>
      <w:r w:rsidR="00A204CF">
        <w:rPr>
          <w:rFonts w:cs="Arial"/>
          <w:szCs w:val="20"/>
        </w:rPr>
        <w:t xml:space="preserve"> </w:t>
      </w:r>
      <w:r w:rsidRPr="001E3731">
        <w:rPr>
          <w:rFonts w:cs="Arial"/>
          <w:szCs w:val="20"/>
        </w:rPr>
        <w:t>2015.</w:t>
      </w:r>
    </w:p>
    <w:p w:rsidR="001E3731" w:rsidRPr="001E3731" w:rsidRDefault="001E3731" w:rsidP="001E3731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>Graf č. 4.2 Průměrné roční tempo růstu výdajů na zdravotní péči na jednoho obyvatele ve stálých cenách (v %)</w:t>
      </w:r>
    </w:p>
    <w:p w:rsidR="001E3731" w:rsidRPr="001E3731" w:rsidRDefault="006366C8" w:rsidP="001E3731">
      <w:pPr>
        <w:spacing w:before="240"/>
        <w:jc w:val="both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124575" cy="31242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3731" w:rsidRPr="001E3731" w:rsidRDefault="001E3731" w:rsidP="001E3731">
      <w:pPr>
        <w:jc w:val="both"/>
        <w:rPr>
          <w:rFonts w:cs="Arial"/>
          <w:b/>
          <w:sz w:val="2"/>
          <w:szCs w:val="2"/>
        </w:rPr>
      </w:pPr>
    </w:p>
    <w:p w:rsidR="001E3731" w:rsidRPr="001E3731" w:rsidRDefault="001E3731" w:rsidP="001E3731">
      <w:pPr>
        <w:spacing w:before="240" w:after="120"/>
        <w:jc w:val="both"/>
        <w:rPr>
          <w:rFonts w:cs="Arial"/>
          <w:szCs w:val="20"/>
        </w:rPr>
      </w:pPr>
      <w:r w:rsidRPr="001E3731">
        <w:rPr>
          <w:b/>
          <w:i/>
          <w:szCs w:val="20"/>
        </w:rPr>
        <w:t>Nejvyšší podíl výdajů na zdravotní péči na HDP vykazuje Švýcarsko a Německo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 xml:space="preserve">Zdravotnictví je významným odvětvím národního hospodářství a ve sledovaných zemích EU a EFTA činil v roce 2015 podíl výdajů na zdravotní péči na HDP v průměru 8,7 %. Nejvyšší podíl výdajů na zdravotní péči na HDP byl v roce 2015 ve Švýcarsku, Německu, Švédsku a ve Francii, v těchto zemích přesahovala hodnota tohoto ukazatele hranici 11 %. V průměru EU28 činil podíl výdajů na HDP 9,9 % a Česká republika s hodnotou 7,5 % se tak nacházela pod evropským průměrem. Nejnižší podíl výdajů na zdravotní péči na HDP vykazovaly v roce 2015 baltské státy, Polsko a Rumunsko, kdy se výše výdajů na zdravotní péči pohybovala okolo 6 % HDP a v případě Rumunska se jednalo dokonce o pouhých 5 % HDP. 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 xml:space="preserve">V grafu 4.3 je nastíněn také vývoj podílu výdajů na zdravotní péči na HDP i v letech 2005 a 2010. Vývoj podílu výdajů na zdravotní péči na HDP byl významně ovlivněn světovou finanční a ekonomickou krizí a ukazuje na určitou setrvačnost financování zdravotnictví v závislosti na vývoji celé ekonomiky. V letech 2008 a 2009 došlo k relativně výraznému nárůstu tohoto podílu ve většině zemí, což obecně souviselo s propadem HDP a ne se zvýšením výdajů na zdravotní péči. Mezi lety 2010 a 2015 lze vývoj u většiny sledovaných států označit spíše za stagnaci. Výjimkou jsou Chorvatsko, Slovensko, Portugalsku, Irsko </w:t>
      </w:r>
      <w:r w:rsidRPr="001E3731">
        <w:rPr>
          <w:rFonts w:cs="Arial"/>
          <w:szCs w:val="20"/>
        </w:rPr>
        <w:lastRenderedPageBreak/>
        <w:t>a Řecko, kde mezi lety 2010 a 2015 došlo k relativně významnému poklesu podílu výdajů na zdravotní péči na HDP.</w:t>
      </w:r>
    </w:p>
    <w:p w:rsidR="001E3731" w:rsidRDefault="001E3731" w:rsidP="001E3731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>Graf č. 4.3 Podíl výdajů na zdravotní péči na HDP v zemích EU a EFTA (v %)</w:t>
      </w:r>
    </w:p>
    <w:p w:rsidR="006016D1" w:rsidRPr="006016D1" w:rsidRDefault="006016D1" w:rsidP="001E3731">
      <w:pPr>
        <w:spacing w:before="240"/>
        <w:jc w:val="both"/>
        <w:rPr>
          <w:rFonts w:cs="Arial"/>
          <w:b/>
          <w:color w:val="FF0000"/>
          <w:sz w:val="18"/>
          <w:szCs w:val="18"/>
        </w:rPr>
      </w:pPr>
      <w:r w:rsidRPr="006016D1">
        <w:rPr>
          <w:noProof/>
          <w:color w:val="FF0000"/>
        </w:rPr>
        <w:drawing>
          <wp:inline distT="0" distB="0" distL="0" distR="0">
            <wp:extent cx="6172200" cy="3057525"/>
            <wp:effectExtent l="0" t="0" r="0" b="0"/>
            <wp:docPr id="69" name="Graf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3731" w:rsidRPr="001E3731" w:rsidRDefault="001E3731" w:rsidP="001E3731">
      <w:pPr>
        <w:spacing w:before="120"/>
        <w:jc w:val="both"/>
        <w:rPr>
          <w:rFonts w:cs="Arial"/>
          <w:i/>
          <w:noProof/>
          <w:sz w:val="16"/>
          <w:szCs w:val="16"/>
        </w:rPr>
      </w:pPr>
      <w:r w:rsidRPr="001E3731">
        <w:rPr>
          <w:rFonts w:cs="Arial"/>
          <w:i/>
          <w:noProof/>
          <w:sz w:val="16"/>
          <w:szCs w:val="16"/>
        </w:rPr>
        <w:t xml:space="preserve">* data za rok 2015 - odhad OECD </w:t>
      </w:r>
    </w:p>
    <w:p w:rsidR="001E3731" w:rsidRPr="001E3731" w:rsidRDefault="001E3731" w:rsidP="001E3731">
      <w:pPr>
        <w:spacing w:before="240" w:after="120"/>
        <w:jc w:val="both"/>
        <w:rPr>
          <w:b/>
          <w:i/>
          <w:szCs w:val="20"/>
        </w:rPr>
      </w:pPr>
      <w:r w:rsidRPr="001E3731">
        <w:rPr>
          <w:b/>
          <w:i/>
          <w:szCs w:val="20"/>
        </w:rPr>
        <w:t>Ve většině sledovaných zemí převládá financování zdravotní péče z veřejných zdrojů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Jednotlivé státy se výrazně odlišují ve způsobu financování zdravotní péče, obecně lze říci, že ve všech sledovaných zemích EU a EFTA převládá financování z veřejných zdrojů nad soukromými, výjimku tvoří pouze Kypr, kde v roce 2014 činil podíl veřejných zdrojů pouze 44 %. Z grafu č. 4.4 je patrné, že nejvyšší podíl veřejných zdrojů na financování zdravotní péče vykazovalo v roce 2014 Norsko (85 %), Německo (85 %), Dánsko (84 %), Česká republika (84 %) a Švédsko (83 %). Naopak nejnižší veřejné výdaje na zdravotní péči zaznamenáváme na již zmiňovaném Kypru a dále pak v Bulharsku (53 %), Řecku (60 %), Lotyšsku (60 %) a také například ve Švýcarsku (65 %).</w:t>
      </w:r>
    </w:p>
    <w:p w:rsidR="001E3731" w:rsidRPr="001E3731" w:rsidRDefault="001E3731" w:rsidP="001E3731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>Graf č. 4.4 Struktura výdajů na zdravotní péči podle zdrojů financování v zemích EU a EFTA v roce 2014 (v %)</w:t>
      </w:r>
    </w:p>
    <w:p w:rsidR="001E3731" w:rsidRPr="001E3731" w:rsidRDefault="006E1FDB" w:rsidP="001E3731">
      <w:pPr>
        <w:jc w:val="both"/>
        <w:rPr>
          <w:rFonts w:cs="Arial"/>
          <w:color w:val="C00000"/>
          <w:szCs w:val="20"/>
        </w:rPr>
      </w:pPr>
      <w:r>
        <w:rPr>
          <w:noProof/>
        </w:rPr>
        <w:drawing>
          <wp:inline distT="0" distB="0" distL="0" distR="0">
            <wp:extent cx="5972175" cy="2847975"/>
            <wp:effectExtent l="0" t="0" r="0" b="0"/>
            <wp:docPr id="70" name="Graf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3731" w:rsidRPr="001E3731" w:rsidRDefault="001E3731" w:rsidP="001E3731">
      <w:pPr>
        <w:jc w:val="both"/>
        <w:rPr>
          <w:rFonts w:cs="Arial"/>
          <w:i/>
          <w:sz w:val="16"/>
          <w:szCs w:val="16"/>
        </w:rPr>
      </w:pPr>
      <w:r w:rsidRPr="001E3731">
        <w:rPr>
          <w:rFonts w:cs="Arial"/>
          <w:i/>
          <w:sz w:val="16"/>
          <w:szCs w:val="16"/>
        </w:rPr>
        <w:t>Pozn.: Země jsou řazeny podle výše podílu veřejných výdajů na celkových výdajích na zdravotní péči</w:t>
      </w:r>
      <w:r w:rsidR="00397972">
        <w:rPr>
          <w:rFonts w:cs="Arial"/>
          <w:i/>
          <w:sz w:val="16"/>
          <w:szCs w:val="16"/>
        </w:rPr>
        <w:t>.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lastRenderedPageBreak/>
        <w:t>Česká republika patří společně například s Německem, Nizozemskem, Francií či Slovenskem k zemím se systémem založeným především na všeobecném zdravotním pojištění, které se v těchto zemích podílí na veškerých výdajích na zdravotní péči více než 70 %. V Dánsku, Švédsku, Velké Británii, Itálii a Norsku je naopak zdravotní péče financovaná především nebo výhradně přímo z rozpočtů centrálních a místních vlád s jejich podílem na veškerých výdajích na zdravotní péči z více než 70 %. Soukromé zdravotní pojištění či připojištění hraje významnější roli ve Slovinsku, Francii a Irsku, kde představuje více než desetinu výdajů na zdravotní péči. Domácnosti se velmi významně podílí na financování zdravotní péče na Kypru, kde se v roce 2014 jednalo o celou polovinu veškerých výdajů na zdravotní péči. Vysoké zastoupení mají na financování zdravotní péče rozpočty domácností také v Bulharsku (46 %), Lotyšsku (39 %), Řecku (35 %) či v Litvě (31 %). V České republice se domácnosti na zdravotní péči podílí 13 %, podobně je tomu také v Německu a v Nizozemsku. Ze sledovaných zemí se nejméně podílejí na zdravotní péči domácnosti ve Francii, jedná se o 7 %. Ostatní zdroje financování, tedy soukromé výdaje placené podniky či neziskovými institucemi nebo dovoz, se ve všech zemích podílely na financování zdravotní péče ve velmi omezené míře (do 3 % na celkových výdajích).</w:t>
      </w:r>
    </w:p>
    <w:p w:rsidR="001E3731" w:rsidRPr="001E3731" w:rsidRDefault="001E3731" w:rsidP="001E3731">
      <w:pPr>
        <w:spacing w:before="240" w:after="120"/>
        <w:jc w:val="both"/>
        <w:rPr>
          <w:b/>
          <w:i/>
          <w:szCs w:val="20"/>
        </w:rPr>
      </w:pPr>
      <w:r w:rsidRPr="001E3731">
        <w:rPr>
          <w:b/>
          <w:i/>
          <w:szCs w:val="20"/>
        </w:rPr>
        <w:t>V průměru EU 28 bylo za lůžkovou a ambulantní péči vydáno 60 % všech výdajů na zdravotní péči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 xml:space="preserve">Více než polovina všech výdajů na zdravotní péči byla v roce 2014 ve všech sledovaných zemích vynakládána na lůžkovou a ambulantní péči (včetně podpůrných služeb jako jsou laboratorní a zobrazovací vyšetření a zdravotnická doprava). V průměru všech zemí EU 28 se jednalo ve zmiňovaném roce o 60 % veškerých financí vydaných za zdravotní péči. V průměru EU 28 pak bylo 15 % výdajů na zdravotní péči vynaloženo na péči dlouhodobou, 19 % na léky a zdravotnické potřeby a preventivní péče a správa systému zdravotnictví odčerpala 7 % (viz graf 4.5). </w:t>
      </w:r>
    </w:p>
    <w:p w:rsidR="001E3731" w:rsidRPr="001E3731" w:rsidRDefault="001E3731" w:rsidP="001E3731">
      <w:pPr>
        <w:spacing w:before="240"/>
        <w:jc w:val="both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>Graf č. 4.5 Struktura výdajů na zdravotní péči podle druhu péče v zemích EU a EFTA v roce 2014 (v %)</w:t>
      </w:r>
    </w:p>
    <w:p w:rsidR="001E3731" w:rsidRPr="001E3731" w:rsidRDefault="00345347" w:rsidP="001E3731">
      <w:pPr>
        <w:spacing w:before="240"/>
        <w:jc w:val="both"/>
        <w:rPr>
          <w:rFonts w:cs="Arial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057900" cy="3019425"/>
            <wp:effectExtent l="0" t="0" r="0" b="0"/>
            <wp:docPr id="77" name="Graf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3731" w:rsidRPr="001E3731" w:rsidRDefault="001E3731" w:rsidP="001E3731">
      <w:pPr>
        <w:jc w:val="both"/>
        <w:rPr>
          <w:i/>
          <w:noProof/>
          <w:sz w:val="16"/>
          <w:szCs w:val="16"/>
        </w:rPr>
      </w:pPr>
      <w:r w:rsidRPr="001E3731">
        <w:rPr>
          <w:i/>
          <w:noProof/>
          <w:sz w:val="16"/>
          <w:szCs w:val="16"/>
        </w:rPr>
        <w:t>* Zahrnuje léčebně-rehabilitační lůžkovou a jednodenní péči</w:t>
      </w:r>
      <w:r w:rsidR="00397972">
        <w:rPr>
          <w:i/>
          <w:noProof/>
          <w:sz w:val="16"/>
          <w:szCs w:val="16"/>
        </w:rPr>
        <w:t>.</w:t>
      </w:r>
    </w:p>
    <w:p w:rsidR="001E3731" w:rsidRPr="001E3731" w:rsidRDefault="001E3731" w:rsidP="001E3731">
      <w:pPr>
        <w:jc w:val="both"/>
        <w:rPr>
          <w:i/>
          <w:noProof/>
          <w:sz w:val="16"/>
          <w:szCs w:val="16"/>
        </w:rPr>
      </w:pPr>
      <w:r w:rsidRPr="001E3731">
        <w:rPr>
          <w:i/>
          <w:noProof/>
          <w:sz w:val="16"/>
          <w:szCs w:val="16"/>
        </w:rPr>
        <w:t>** Zahrnuje domácí péči a podpůrné služby (laboratorní a zobrazovací vyč´šetření a zdravotnickou dopravu)</w:t>
      </w:r>
      <w:r w:rsidR="00397972">
        <w:rPr>
          <w:i/>
          <w:noProof/>
          <w:sz w:val="16"/>
          <w:szCs w:val="16"/>
        </w:rPr>
        <w:t>.</w:t>
      </w:r>
    </w:p>
    <w:p w:rsidR="001E3731" w:rsidRPr="001E3731" w:rsidRDefault="001E3731" w:rsidP="001E3731">
      <w:pPr>
        <w:jc w:val="both"/>
        <w:rPr>
          <w:i/>
          <w:noProof/>
          <w:sz w:val="16"/>
          <w:szCs w:val="16"/>
        </w:rPr>
      </w:pPr>
      <w:r w:rsidRPr="001E3731">
        <w:rPr>
          <w:i/>
          <w:noProof/>
          <w:sz w:val="16"/>
          <w:szCs w:val="16"/>
        </w:rPr>
        <w:t>Pozn.: Země jsou řazeny podle výše podílu výdajů na lužkovou a ambulantní péči na celkových výdajích na zdrav. péči</w:t>
      </w:r>
      <w:r w:rsidR="00397972">
        <w:rPr>
          <w:i/>
          <w:noProof/>
          <w:sz w:val="16"/>
          <w:szCs w:val="16"/>
        </w:rPr>
        <w:t>.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 xml:space="preserve">Pokud se zaměříme na strukturu výdajů na zdravotní péči podle konkrétních druhů péče v jednotlivých státech, je patrné, že jsou mezi zeměmi výrazné rozdíly. Lůžková péče zaujímá nejvyšší podíl výdajů na zdravotní péči v Řecku, Rumunsku či v Bulharsku, kdy se hodnoty pohybují okolo 40 % a naopak nejméně například ve Španělsku, Chorvatsku nebo Švédsku s hodnotami okolo 20 %. Ambulantní péče nejvíce z rozpočtu na zdravotní péči ukrajuje v Portugalsku, na Kypru nebo také v Estonsku (více než 40 %) a nejméně v Řecku, Bulharsku či v Rumunsku (okolo 20 %). Ještě větší rozdíly než jaké zaznamenáváme </w:t>
      </w:r>
      <w:r w:rsidRPr="001E3731">
        <w:rPr>
          <w:rFonts w:cs="Arial"/>
          <w:szCs w:val="20"/>
        </w:rPr>
        <w:lastRenderedPageBreak/>
        <w:t>u ambulantní a lůžkové péče, jsou patrné mezi zeměmi, pokud se zaměříme na dlouhodobou péči. V tomto případě se hodnoty pohybují od méně než 2 % v Řecku, Bulharsku, Rumunsku a Slovensku až po více než 25 % v Belgii, Norsku, Nizozemsku a Švédsku. Významné rozdíly jsou i v případě výdajů za léky, nejmenší část výdajů na zdravotní péči byla za léky utracena v Dánsku, Norsku a v Lucembursku (okolo 10 %) a naopak nejvíce v Bulharsku, Rumunsku či na Slovensku (více než 35 %). Výdaje na kolektivní služby, tedy</w:t>
      </w:r>
      <w:r w:rsidR="00BA0E5F">
        <w:rPr>
          <w:rFonts w:cs="Arial"/>
          <w:szCs w:val="20"/>
        </w:rPr>
        <w:t> </w:t>
      </w:r>
      <w:r w:rsidRPr="001E3731">
        <w:rPr>
          <w:rFonts w:cs="Arial"/>
          <w:szCs w:val="20"/>
        </w:rPr>
        <w:t>prevenci a správu systému zdravotní péče, se pohybovaly od 2 % na Kypru až po 9 % v Nizozemsku, Velké Británii a Česku.</w:t>
      </w:r>
    </w:p>
    <w:p w:rsidR="001E3731" w:rsidRPr="001E3731" w:rsidRDefault="001E3731" w:rsidP="001E3731">
      <w:pPr>
        <w:spacing w:before="240" w:after="120"/>
        <w:jc w:val="both"/>
        <w:rPr>
          <w:rFonts w:cs="Arial"/>
          <w:szCs w:val="20"/>
        </w:rPr>
      </w:pPr>
      <w:r w:rsidRPr="001E3731">
        <w:rPr>
          <w:b/>
          <w:i/>
          <w:szCs w:val="20"/>
        </w:rPr>
        <w:t>V Bulharsku jsou ze soukromých zdrojů hrazeny přibližně dvě třetiny výdajů za léky</w:t>
      </w:r>
      <w:r w:rsidRPr="001E3731">
        <w:rPr>
          <w:rFonts w:cs="Arial"/>
          <w:szCs w:val="20"/>
        </w:rPr>
        <w:t xml:space="preserve"> 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Výdaje za léky představují významnou položku v celkových výdajích na zdravotní péči a v souvislosti s vývojem nových a nákladných léků je důležité se jimi zabývat z hlediska udržitelnosti financování zdravotní péče. Jak ukazuje graf č. 4.6, bylo nejvíce peněz za léky vydáno v roce 2014 v Německu, Švýcarsku a Irsku, kde se roční výdaje za léky na jednoho obyvatele pohybovaly nad hranicí 500 EUR PPP. Naopak nejméně se za léky v průměru na jednoho obyvatele utrácelo v Dánsku, Lotyšsku, Estonsku a Polsku, kde tyto výdaje činili méně než 250 EUR PPP, v Dánsku se jednalo dokonce pouze o 200 EUR PPP. Česká republika se s 286 Eury vydanými za léky na jednoho obyvatele zařadila v roce 2014 spíše ke konci pomyslného žebříčku sledovaných států.</w:t>
      </w:r>
    </w:p>
    <w:p w:rsidR="001E3731" w:rsidRPr="001E3731" w:rsidRDefault="001E3731" w:rsidP="001E3731">
      <w:pPr>
        <w:spacing w:before="120"/>
        <w:jc w:val="both"/>
        <w:rPr>
          <w:rFonts w:cs="Arial"/>
          <w:szCs w:val="20"/>
        </w:rPr>
      </w:pPr>
      <w:r w:rsidRPr="001E3731">
        <w:rPr>
          <w:rFonts w:cs="Arial"/>
          <w:szCs w:val="20"/>
        </w:rPr>
        <w:t>Jak je z grafu 4.6 patrné, zdroj financování léků se v jednotlivých zemích výrazně odlišuje. V Německu, Nizozemsku a Lucembursku jsou léky z více než 80 % hrazeny z veřejných zdrojů. Soukromé zdroje pak převažují v Lotyšsku, Polsku, Litvě, Bulharsku a na Kypru. V těchto zemích jsou ze soukromých zdrojů hrazeny cca dvě třetiny výdajů za léky, na Kypru se jedná dokonce o čtyři pětiny. V České republice bylo v roce 2014 z veřejných zdrojů placeno 62 % výdajů za léky.</w:t>
      </w:r>
    </w:p>
    <w:p w:rsidR="001E3731" w:rsidRPr="001E3731" w:rsidRDefault="001E3731" w:rsidP="001E3731">
      <w:pPr>
        <w:spacing w:before="240"/>
        <w:rPr>
          <w:rFonts w:cs="Arial"/>
          <w:b/>
          <w:sz w:val="18"/>
          <w:szCs w:val="18"/>
        </w:rPr>
      </w:pPr>
      <w:r w:rsidRPr="001E3731">
        <w:rPr>
          <w:rFonts w:cs="Arial"/>
          <w:b/>
          <w:sz w:val="18"/>
          <w:szCs w:val="18"/>
        </w:rPr>
        <w:t xml:space="preserve">Graf č. 4.6 Průměrné výdaje na léky na jednoho obyvatele v zemích EU a EFTA v roce 2014 (v </w:t>
      </w:r>
      <w:proofErr w:type="gramStart"/>
      <w:r w:rsidRPr="001E3731">
        <w:rPr>
          <w:rFonts w:cs="Arial"/>
          <w:b/>
          <w:sz w:val="18"/>
          <w:szCs w:val="18"/>
        </w:rPr>
        <w:t>EUR</w:t>
      </w:r>
      <w:proofErr w:type="gramEnd"/>
      <w:r w:rsidRPr="001E3731">
        <w:rPr>
          <w:rFonts w:cs="Arial"/>
          <w:b/>
          <w:sz w:val="18"/>
          <w:szCs w:val="18"/>
        </w:rPr>
        <w:t xml:space="preserve"> PPP)</w:t>
      </w:r>
    </w:p>
    <w:p w:rsidR="001E3731" w:rsidRPr="001E3731" w:rsidRDefault="001E3731" w:rsidP="001E3731">
      <w:pPr>
        <w:rPr>
          <w:rFonts w:cs="Arial"/>
          <w:szCs w:val="20"/>
        </w:rPr>
      </w:pPr>
      <w:r w:rsidRPr="001E3731">
        <w:rPr>
          <w:noProof/>
        </w:rPr>
        <w:drawing>
          <wp:inline distT="0" distB="0" distL="0" distR="0">
            <wp:extent cx="6210300" cy="3714750"/>
            <wp:effectExtent l="0" t="0" r="0" b="0"/>
            <wp:docPr id="74" name="Graf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2D0B" w:rsidRDefault="00052D0B">
      <w:pPr>
        <w:keepNext/>
        <w:keepLines/>
        <w:outlineLvl w:val="1"/>
        <w:rPr>
          <w:rFonts w:eastAsia="MS Gothic"/>
          <w:bCs/>
          <w:color w:val="BC091B"/>
          <w:sz w:val="28"/>
          <w:szCs w:val="26"/>
        </w:rPr>
      </w:pPr>
    </w:p>
    <w:p w:rsidR="001E3731" w:rsidRDefault="001E3731" w:rsidP="001E3731">
      <w:pPr>
        <w:keepLines/>
        <w:spacing w:after="200" w:line="240" w:lineRule="auto"/>
        <w:outlineLvl w:val="0"/>
        <w:rPr>
          <w:rFonts w:eastAsia="MS Gothic"/>
          <w:b/>
          <w:bCs/>
          <w:color w:val="BC091B"/>
          <w:sz w:val="32"/>
          <w:szCs w:val="28"/>
        </w:rPr>
      </w:pPr>
    </w:p>
    <w:p w:rsidR="001E3731" w:rsidRDefault="001E3731" w:rsidP="001E3731">
      <w:pPr>
        <w:keepLines/>
        <w:spacing w:after="200" w:line="240" w:lineRule="auto"/>
        <w:outlineLvl w:val="0"/>
        <w:rPr>
          <w:rFonts w:eastAsia="MS Gothic"/>
          <w:b/>
          <w:bCs/>
          <w:color w:val="BC091B"/>
          <w:sz w:val="32"/>
          <w:szCs w:val="28"/>
        </w:rPr>
      </w:pPr>
    </w:p>
    <w:sectPr w:rsidR="001E3731" w:rsidSect="00DE2CC1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680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21" w:rsidRDefault="00A46621" w:rsidP="00E71A58">
      <w:r>
        <w:separator/>
      </w:r>
    </w:p>
  </w:endnote>
  <w:endnote w:type="continuationSeparator" w:id="0">
    <w:p w:rsidR="00A46621" w:rsidRDefault="00A4662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Default="00BD2BDC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C30FD67" wp14:editId="7E765099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6C0A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16C0A" w:rsidRPr="005A21E0">
      <w:rPr>
        <w:rFonts w:ascii="Arial" w:hAnsi="Arial" w:cs="Arial"/>
        <w:sz w:val="16"/>
        <w:szCs w:val="16"/>
      </w:rPr>
      <w:fldChar w:fldCharType="separate"/>
    </w:r>
    <w:r w:rsidR="00341B64">
      <w:rPr>
        <w:rFonts w:ascii="Arial" w:hAnsi="Arial" w:cs="Arial"/>
        <w:noProof/>
        <w:sz w:val="16"/>
        <w:szCs w:val="16"/>
      </w:rPr>
      <w:t>50</w:t>
    </w:r>
    <w:r w:rsidR="00416C0A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Default="00BD2BDC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BFF0B46" wp14:editId="2260427D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BD2BDC" w:rsidRDefault="00BD2BDC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416C0A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416C0A" w:rsidRPr="00B6608F">
      <w:rPr>
        <w:rFonts w:ascii="Arial" w:hAnsi="Arial" w:cs="Arial"/>
        <w:sz w:val="16"/>
        <w:szCs w:val="16"/>
      </w:rPr>
      <w:fldChar w:fldCharType="separate"/>
    </w:r>
    <w:r w:rsidR="00341B64">
      <w:rPr>
        <w:rFonts w:ascii="Arial" w:hAnsi="Arial" w:cs="Arial"/>
        <w:noProof/>
        <w:sz w:val="16"/>
        <w:szCs w:val="16"/>
      </w:rPr>
      <w:t>49</w:t>
    </w:r>
    <w:r w:rsidR="00416C0A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21" w:rsidRDefault="00A46621" w:rsidP="00E71A58">
      <w:r>
        <w:separator/>
      </w:r>
    </w:p>
  </w:footnote>
  <w:footnote w:type="continuationSeparator" w:id="0">
    <w:p w:rsidR="00A46621" w:rsidRDefault="00A46621" w:rsidP="00E71A58">
      <w:r>
        <w:continuationSeparator/>
      </w:r>
    </w:p>
  </w:footnote>
  <w:footnote w:id="1">
    <w:p w:rsidR="00BD2BDC" w:rsidRDefault="00BD2BDC" w:rsidP="00426A61">
      <w:pPr>
        <w:pStyle w:val="Textpoznpodarou"/>
      </w:pPr>
      <w:r w:rsidRPr="00E22935">
        <w:rPr>
          <w:rStyle w:val="Znakapoznpodarou"/>
        </w:rPr>
        <w:footnoteRef/>
      </w:r>
      <w:r w:rsidRPr="00E22935">
        <w:t xml:space="preserve"> Údaje za Českou republiku v grafech č. 4.3, 4.4 a 4.5 byly aktualizovány v souladu se zpracováním zdravotnických účtů za rok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Pr="002175EE" w:rsidRDefault="00BD2BDC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</w:t>
    </w:r>
    <w:r>
      <w:rPr>
        <w:b w:val="0"/>
        <w:color w:val="auto"/>
        <w:sz w:val="16"/>
        <w:szCs w:val="16"/>
      </w:rPr>
      <w:t>ledky zdravotnických účtů ČR 2010–2015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DC" w:rsidRPr="002175EE" w:rsidRDefault="00BD2BDC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 xml:space="preserve">Výsledky </w:t>
    </w:r>
    <w:r>
      <w:rPr>
        <w:b w:val="0"/>
        <w:color w:val="auto"/>
        <w:sz w:val="16"/>
        <w:szCs w:val="16"/>
      </w:rPr>
      <w:t>zdravotnických účtů ČR 2010–2015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C21"/>
    <w:multiLevelType w:val="hybridMultilevel"/>
    <w:tmpl w:val="99D61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26586"/>
    <w:multiLevelType w:val="hybridMultilevel"/>
    <w:tmpl w:val="5F2EFD9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B521B"/>
    <w:multiLevelType w:val="hybridMultilevel"/>
    <w:tmpl w:val="2DC43A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2BB"/>
    <w:multiLevelType w:val="hybridMultilevel"/>
    <w:tmpl w:val="29F85DA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FD6DEF"/>
    <w:multiLevelType w:val="multilevel"/>
    <w:tmpl w:val="58CE67C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666454"/>
    <w:multiLevelType w:val="hybridMultilevel"/>
    <w:tmpl w:val="936055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04B67"/>
    <w:multiLevelType w:val="hybridMultilevel"/>
    <w:tmpl w:val="141024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760B6"/>
    <w:multiLevelType w:val="hybridMultilevel"/>
    <w:tmpl w:val="2EF610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814446"/>
    <w:multiLevelType w:val="hybridMultilevel"/>
    <w:tmpl w:val="12C803C8"/>
    <w:lvl w:ilvl="0" w:tplc="CD9C6B54">
      <w:start w:val="2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2F38"/>
    <w:multiLevelType w:val="multilevel"/>
    <w:tmpl w:val="7BD287E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BD815B2"/>
    <w:multiLevelType w:val="hybridMultilevel"/>
    <w:tmpl w:val="132CDB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A6F9C"/>
    <w:multiLevelType w:val="hybridMultilevel"/>
    <w:tmpl w:val="5C0CA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645A0C"/>
    <w:multiLevelType w:val="hybridMultilevel"/>
    <w:tmpl w:val="D004DA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844F8"/>
    <w:multiLevelType w:val="hybridMultilevel"/>
    <w:tmpl w:val="1C3A2F2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FF5011"/>
    <w:multiLevelType w:val="hybridMultilevel"/>
    <w:tmpl w:val="AAAE5906"/>
    <w:lvl w:ilvl="0" w:tplc="BB2899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854D3E"/>
    <w:multiLevelType w:val="multilevel"/>
    <w:tmpl w:val="C57A8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5B952ED8"/>
    <w:multiLevelType w:val="multilevel"/>
    <w:tmpl w:val="83DAB8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3050CCD"/>
    <w:multiLevelType w:val="multilevel"/>
    <w:tmpl w:val="61B82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6">
    <w:nsid w:val="6F893287"/>
    <w:multiLevelType w:val="multilevel"/>
    <w:tmpl w:val="418C03A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3FE39F3"/>
    <w:multiLevelType w:val="hybridMultilevel"/>
    <w:tmpl w:val="405C553E"/>
    <w:lvl w:ilvl="0" w:tplc="040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15C6D"/>
    <w:multiLevelType w:val="hybridMultilevel"/>
    <w:tmpl w:val="A598291C"/>
    <w:lvl w:ilvl="0" w:tplc="5F1AC2C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B762E6D"/>
    <w:multiLevelType w:val="hybridMultilevel"/>
    <w:tmpl w:val="586A2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71231"/>
    <w:multiLevelType w:val="hybridMultilevel"/>
    <w:tmpl w:val="EF7631D6"/>
    <w:lvl w:ilvl="0" w:tplc="D4C2B7B4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9F4163"/>
    <w:multiLevelType w:val="hybridMultilevel"/>
    <w:tmpl w:val="A78ADFC6"/>
    <w:lvl w:ilvl="0" w:tplc="242AA788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22"/>
  </w:num>
  <w:num w:numId="5">
    <w:abstractNumId w:val="1"/>
  </w:num>
  <w:num w:numId="6">
    <w:abstractNumId w:val="7"/>
  </w:num>
  <w:num w:numId="7">
    <w:abstractNumId w:val="17"/>
  </w:num>
  <w:num w:numId="8">
    <w:abstractNumId w:val="26"/>
  </w:num>
  <w:num w:numId="9">
    <w:abstractNumId w:val="16"/>
  </w:num>
  <w:num w:numId="10">
    <w:abstractNumId w:val="24"/>
  </w:num>
  <w:num w:numId="11">
    <w:abstractNumId w:val="6"/>
  </w:num>
  <w:num w:numId="12">
    <w:abstractNumId w:val="29"/>
  </w:num>
  <w:num w:numId="13">
    <w:abstractNumId w:val="20"/>
  </w:num>
  <w:num w:numId="14">
    <w:abstractNumId w:val="23"/>
  </w:num>
  <w:num w:numId="15">
    <w:abstractNumId w:val="25"/>
  </w:num>
  <w:num w:numId="16">
    <w:abstractNumId w:val="2"/>
  </w:num>
  <w:num w:numId="17">
    <w:abstractNumId w:val="11"/>
  </w:num>
  <w:num w:numId="18">
    <w:abstractNumId w:val="27"/>
  </w:num>
  <w:num w:numId="19">
    <w:abstractNumId w:val="0"/>
  </w:num>
  <w:num w:numId="20">
    <w:abstractNumId w:val="32"/>
  </w:num>
  <w:num w:numId="21">
    <w:abstractNumId w:val="4"/>
  </w:num>
  <w:num w:numId="22">
    <w:abstractNumId w:val="19"/>
  </w:num>
  <w:num w:numId="23">
    <w:abstractNumId w:val="12"/>
  </w:num>
  <w:num w:numId="24">
    <w:abstractNumId w:val="9"/>
  </w:num>
  <w:num w:numId="25">
    <w:abstractNumId w:val="31"/>
  </w:num>
  <w:num w:numId="26">
    <w:abstractNumId w:val="13"/>
  </w:num>
  <w:num w:numId="27">
    <w:abstractNumId w:val="8"/>
  </w:num>
  <w:num w:numId="28">
    <w:abstractNumId w:val="28"/>
  </w:num>
  <w:num w:numId="29">
    <w:abstractNumId w:val="10"/>
  </w:num>
  <w:num w:numId="30">
    <w:abstractNumId w:val="14"/>
  </w:num>
  <w:num w:numId="31">
    <w:abstractNumId w:val="5"/>
  </w:num>
  <w:num w:numId="32">
    <w:abstractNumId w:val="30"/>
  </w:num>
  <w:num w:numId="3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41"/>
    <w:rsid w:val="0000767A"/>
    <w:rsid w:val="00007BF6"/>
    <w:rsid w:val="00010702"/>
    <w:rsid w:val="0002040C"/>
    <w:rsid w:val="000307D2"/>
    <w:rsid w:val="0004694F"/>
    <w:rsid w:val="00052D0B"/>
    <w:rsid w:val="00062EC5"/>
    <w:rsid w:val="0006345C"/>
    <w:rsid w:val="00074403"/>
    <w:rsid w:val="0007543A"/>
    <w:rsid w:val="00087634"/>
    <w:rsid w:val="000A1183"/>
    <w:rsid w:val="000A2D10"/>
    <w:rsid w:val="000C3408"/>
    <w:rsid w:val="000D0933"/>
    <w:rsid w:val="000D21E1"/>
    <w:rsid w:val="000D5E39"/>
    <w:rsid w:val="000E5DE5"/>
    <w:rsid w:val="00110E3B"/>
    <w:rsid w:val="001149A1"/>
    <w:rsid w:val="00121C92"/>
    <w:rsid w:val="00133BA8"/>
    <w:rsid w:val="001351C9"/>
    <w:rsid w:val="001405FA"/>
    <w:rsid w:val="001425C3"/>
    <w:rsid w:val="00154ED5"/>
    <w:rsid w:val="00162D56"/>
    <w:rsid w:val="00163793"/>
    <w:rsid w:val="001714F2"/>
    <w:rsid w:val="00172311"/>
    <w:rsid w:val="00185010"/>
    <w:rsid w:val="00190B38"/>
    <w:rsid w:val="00193560"/>
    <w:rsid w:val="001A177C"/>
    <w:rsid w:val="001A3B66"/>
    <w:rsid w:val="001A552F"/>
    <w:rsid w:val="001B3110"/>
    <w:rsid w:val="001B61BC"/>
    <w:rsid w:val="001C1D52"/>
    <w:rsid w:val="001E3731"/>
    <w:rsid w:val="001F4597"/>
    <w:rsid w:val="00210AA5"/>
    <w:rsid w:val="00213C72"/>
    <w:rsid w:val="002175EE"/>
    <w:rsid w:val="0022139E"/>
    <w:rsid w:val="00223335"/>
    <w:rsid w:val="002237C6"/>
    <w:rsid w:val="002252E0"/>
    <w:rsid w:val="002255F6"/>
    <w:rsid w:val="00226272"/>
    <w:rsid w:val="00227AA9"/>
    <w:rsid w:val="00236443"/>
    <w:rsid w:val="002436BA"/>
    <w:rsid w:val="00244A15"/>
    <w:rsid w:val="0024799E"/>
    <w:rsid w:val="00247A40"/>
    <w:rsid w:val="00254100"/>
    <w:rsid w:val="00264C1E"/>
    <w:rsid w:val="00270041"/>
    <w:rsid w:val="0028438F"/>
    <w:rsid w:val="00290B98"/>
    <w:rsid w:val="002A795D"/>
    <w:rsid w:val="002B6C95"/>
    <w:rsid w:val="002C1EDC"/>
    <w:rsid w:val="002C43BD"/>
    <w:rsid w:val="002E02A1"/>
    <w:rsid w:val="002F59C4"/>
    <w:rsid w:val="00304771"/>
    <w:rsid w:val="00306C5B"/>
    <w:rsid w:val="003209D6"/>
    <w:rsid w:val="00330C8E"/>
    <w:rsid w:val="00341B64"/>
    <w:rsid w:val="00341E61"/>
    <w:rsid w:val="00344398"/>
    <w:rsid w:val="00345347"/>
    <w:rsid w:val="0035195A"/>
    <w:rsid w:val="00352ACB"/>
    <w:rsid w:val="00356E1F"/>
    <w:rsid w:val="003657F3"/>
    <w:rsid w:val="00375B3D"/>
    <w:rsid w:val="00385D98"/>
    <w:rsid w:val="00394B23"/>
    <w:rsid w:val="00396A34"/>
    <w:rsid w:val="00397972"/>
    <w:rsid w:val="003A2B4D"/>
    <w:rsid w:val="003A478C"/>
    <w:rsid w:val="003A5525"/>
    <w:rsid w:val="003A6B38"/>
    <w:rsid w:val="003B34FF"/>
    <w:rsid w:val="003B4169"/>
    <w:rsid w:val="003B5A32"/>
    <w:rsid w:val="003B5B99"/>
    <w:rsid w:val="003C627D"/>
    <w:rsid w:val="003C6CC2"/>
    <w:rsid w:val="003E037E"/>
    <w:rsid w:val="003F313C"/>
    <w:rsid w:val="004004F4"/>
    <w:rsid w:val="0040155D"/>
    <w:rsid w:val="00403484"/>
    <w:rsid w:val="00416C0A"/>
    <w:rsid w:val="004242B2"/>
    <w:rsid w:val="00426A61"/>
    <w:rsid w:val="00437DC6"/>
    <w:rsid w:val="00452EBE"/>
    <w:rsid w:val="00470E57"/>
    <w:rsid w:val="00476265"/>
    <w:rsid w:val="0048086F"/>
    <w:rsid w:val="0048139F"/>
    <w:rsid w:val="004859A8"/>
    <w:rsid w:val="004A081C"/>
    <w:rsid w:val="004A77DF"/>
    <w:rsid w:val="004B2C1E"/>
    <w:rsid w:val="004B55B7"/>
    <w:rsid w:val="004B7591"/>
    <w:rsid w:val="004C3867"/>
    <w:rsid w:val="004C4ABE"/>
    <w:rsid w:val="004C4CD0"/>
    <w:rsid w:val="004C70DC"/>
    <w:rsid w:val="004D0211"/>
    <w:rsid w:val="004E1007"/>
    <w:rsid w:val="004F06F5"/>
    <w:rsid w:val="004F0E28"/>
    <w:rsid w:val="004F209C"/>
    <w:rsid w:val="004F78C3"/>
    <w:rsid w:val="005108C0"/>
    <w:rsid w:val="00511873"/>
    <w:rsid w:val="00513B7E"/>
    <w:rsid w:val="00514041"/>
    <w:rsid w:val="005221B3"/>
    <w:rsid w:val="0052495E"/>
    <w:rsid w:val="00525137"/>
    <w:rsid w:val="005251DD"/>
    <w:rsid w:val="00532D7D"/>
    <w:rsid w:val="005376AD"/>
    <w:rsid w:val="00542E84"/>
    <w:rsid w:val="00544082"/>
    <w:rsid w:val="005513E1"/>
    <w:rsid w:val="00557A96"/>
    <w:rsid w:val="00572C92"/>
    <w:rsid w:val="00583FFD"/>
    <w:rsid w:val="00586971"/>
    <w:rsid w:val="00593152"/>
    <w:rsid w:val="00593E87"/>
    <w:rsid w:val="005A21E0"/>
    <w:rsid w:val="005A7316"/>
    <w:rsid w:val="005B20AA"/>
    <w:rsid w:val="005C2045"/>
    <w:rsid w:val="005D1BF3"/>
    <w:rsid w:val="005D514D"/>
    <w:rsid w:val="005D5802"/>
    <w:rsid w:val="005E0178"/>
    <w:rsid w:val="005E1DD5"/>
    <w:rsid w:val="005E73F3"/>
    <w:rsid w:val="005F153A"/>
    <w:rsid w:val="006016D1"/>
    <w:rsid w:val="00604307"/>
    <w:rsid w:val="0060487F"/>
    <w:rsid w:val="00624093"/>
    <w:rsid w:val="00625E0F"/>
    <w:rsid w:val="00633AEB"/>
    <w:rsid w:val="00633F6D"/>
    <w:rsid w:val="006352A8"/>
    <w:rsid w:val="00635B35"/>
    <w:rsid w:val="006366C8"/>
    <w:rsid w:val="006404A7"/>
    <w:rsid w:val="006419F8"/>
    <w:rsid w:val="006451E4"/>
    <w:rsid w:val="00645EF8"/>
    <w:rsid w:val="00653860"/>
    <w:rsid w:val="00655906"/>
    <w:rsid w:val="0065667A"/>
    <w:rsid w:val="00657E87"/>
    <w:rsid w:val="006710C9"/>
    <w:rsid w:val="00675DD1"/>
    <w:rsid w:val="00675E37"/>
    <w:rsid w:val="00677696"/>
    <w:rsid w:val="0068260E"/>
    <w:rsid w:val="0069246C"/>
    <w:rsid w:val="006941CE"/>
    <w:rsid w:val="00695BEF"/>
    <w:rsid w:val="00697219"/>
    <w:rsid w:val="006977F6"/>
    <w:rsid w:val="00697A13"/>
    <w:rsid w:val="00697C9B"/>
    <w:rsid w:val="006A109C"/>
    <w:rsid w:val="006A31C8"/>
    <w:rsid w:val="006A420D"/>
    <w:rsid w:val="006B7581"/>
    <w:rsid w:val="006B78D8"/>
    <w:rsid w:val="006C113F"/>
    <w:rsid w:val="006D61F6"/>
    <w:rsid w:val="006E1FDB"/>
    <w:rsid w:val="006E279A"/>
    <w:rsid w:val="006E313B"/>
    <w:rsid w:val="006E5DFC"/>
    <w:rsid w:val="007051F5"/>
    <w:rsid w:val="0070676A"/>
    <w:rsid w:val="007211F5"/>
    <w:rsid w:val="007271FD"/>
    <w:rsid w:val="00730AE8"/>
    <w:rsid w:val="00741493"/>
    <w:rsid w:val="0074736D"/>
    <w:rsid w:val="00750951"/>
    <w:rsid w:val="00752180"/>
    <w:rsid w:val="00755D3A"/>
    <w:rsid w:val="0075757C"/>
    <w:rsid w:val="007609C6"/>
    <w:rsid w:val="00760D36"/>
    <w:rsid w:val="0077264D"/>
    <w:rsid w:val="00776527"/>
    <w:rsid w:val="00784861"/>
    <w:rsid w:val="007949E3"/>
    <w:rsid w:val="007A01BD"/>
    <w:rsid w:val="007A4E4E"/>
    <w:rsid w:val="007A68E8"/>
    <w:rsid w:val="007B47EE"/>
    <w:rsid w:val="007B60D9"/>
    <w:rsid w:val="007D3A47"/>
    <w:rsid w:val="007D6E98"/>
    <w:rsid w:val="007E12CE"/>
    <w:rsid w:val="007E7E61"/>
    <w:rsid w:val="007F6B36"/>
    <w:rsid w:val="00802A57"/>
    <w:rsid w:val="00814887"/>
    <w:rsid w:val="00821FF6"/>
    <w:rsid w:val="0083143E"/>
    <w:rsid w:val="00834FAA"/>
    <w:rsid w:val="0083596D"/>
    <w:rsid w:val="00836086"/>
    <w:rsid w:val="00853E06"/>
    <w:rsid w:val="00857578"/>
    <w:rsid w:val="008605E5"/>
    <w:rsid w:val="00860953"/>
    <w:rsid w:val="008620CA"/>
    <w:rsid w:val="0087055B"/>
    <w:rsid w:val="00876086"/>
    <w:rsid w:val="008877B0"/>
    <w:rsid w:val="008B309A"/>
    <w:rsid w:val="008B7C02"/>
    <w:rsid w:val="008C0E88"/>
    <w:rsid w:val="008D2A16"/>
    <w:rsid w:val="008E31FF"/>
    <w:rsid w:val="008E401B"/>
    <w:rsid w:val="008F60FD"/>
    <w:rsid w:val="009003A8"/>
    <w:rsid w:val="009020FE"/>
    <w:rsid w:val="00902EFF"/>
    <w:rsid w:val="0090382A"/>
    <w:rsid w:val="00921F14"/>
    <w:rsid w:val="009233F1"/>
    <w:rsid w:val="009248E3"/>
    <w:rsid w:val="0094427A"/>
    <w:rsid w:val="00944EA6"/>
    <w:rsid w:val="009552B1"/>
    <w:rsid w:val="00972CA2"/>
    <w:rsid w:val="00973454"/>
    <w:rsid w:val="00974923"/>
    <w:rsid w:val="00991A9E"/>
    <w:rsid w:val="009A23E5"/>
    <w:rsid w:val="009B6FD3"/>
    <w:rsid w:val="009C00F3"/>
    <w:rsid w:val="009C3912"/>
    <w:rsid w:val="009E14B5"/>
    <w:rsid w:val="009E3131"/>
    <w:rsid w:val="009E5300"/>
    <w:rsid w:val="009F30E4"/>
    <w:rsid w:val="00A000F2"/>
    <w:rsid w:val="00A10D66"/>
    <w:rsid w:val="00A1636E"/>
    <w:rsid w:val="00A202A7"/>
    <w:rsid w:val="00A204CF"/>
    <w:rsid w:val="00A23E43"/>
    <w:rsid w:val="00A33EFD"/>
    <w:rsid w:val="00A34DA0"/>
    <w:rsid w:val="00A35033"/>
    <w:rsid w:val="00A460B2"/>
    <w:rsid w:val="00A46621"/>
    <w:rsid w:val="00A46DE0"/>
    <w:rsid w:val="00A52EC2"/>
    <w:rsid w:val="00A5555E"/>
    <w:rsid w:val="00A55FDE"/>
    <w:rsid w:val="00A62CE1"/>
    <w:rsid w:val="00A75E40"/>
    <w:rsid w:val="00A857C0"/>
    <w:rsid w:val="00A902A5"/>
    <w:rsid w:val="00A94AB5"/>
    <w:rsid w:val="00A953D4"/>
    <w:rsid w:val="00AA0168"/>
    <w:rsid w:val="00AA315F"/>
    <w:rsid w:val="00AA3BA1"/>
    <w:rsid w:val="00AA559A"/>
    <w:rsid w:val="00AB2AF1"/>
    <w:rsid w:val="00AB3CE2"/>
    <w:rsid w:val="00AB64E8"/>
    <w:rsid w:val="00AC1752"/>
    <w:rsid w:val="00AC4A24"/>
    <w:rsid w:val="00AD239A"/>
    <w:rsid w:val="00AD306C"/>
    <w:rsid w:val="00AE33C2"/>
    <w:rsid w:val="00AF25EE"/>
    <w:rsid w:val="00B01CAD"/>
    <w:rsid w:val="00B17C49"/>
    <w:rsid w:val="00B17E71"/>
    <w:rsid w:val="00B17FDE"/>
    <w:rsid w:val="00B2098B"/>
    <w:rsid w:val="00B32DDB"/>
    <w:rsid w:val="00B36A65"/>
    <w:rsid w:val="00B40A03"/>
    <w:rsid w:val="00B44676"/>
    <w:rsid w:val="00B448FC"/>
    <w:rsid w:val="00B4643E"/>
    <w:rsid w:val="00B513EB"/>
    <w:rsid w:val="00B551E6"/>
    <w:rsid w:val="00B6608F"/>
    <w:rsid w:val="00B76D1E"/>
    <w:rsid w:val="00B801AF"/>
    <w:rsid w:val="00B80EDA"/>
    <w:rsid w:val="00B81475"/>
    <w:rsid w:val="00B95940"/>
    <w:rsid w:val="00B97BEC"/>
    <w:rsid w:val="00BA0E5F"/>
    <w:rsid w:val="00BA493B"/>
    <w:rsid w:val="00BA4D62"/>
    <w:rsid w:val="00BC3543"/>
    <w:rsid w:val="00BC5568"/>
    <w:rsid w:val="00BC66E8"/>
    <w:rsid w:val="00BD2BDC"/>
    <w:rsid w:val="00BD366B"/>
    <w:rsid w:val="00BD6D50"/>
    <w:rsid w:val="00BD7706"/>
    <w:rsid w:val="00BE23F8"/>
    <w:rsid w:val="00C01506"/>
    <w:rsid w:val="00C107E7"/>
    <w:rsid w:val="00C21F94"/>
    <w:rsid w:val="00C3177E"/>
    <w:rsid w:val="00C41EFF"/>
    <w:rsid w:val="00C556F4"/>
    <w:rsid w:val="00C64B75"/>
    <w:rsid w:val="00C80F44"/>
    <w:rsid w:val="00C90CF4"/>
    <w:rsid w:val="00C91D7C"/>
    <w:rsid w:val="00C92654"/>
    <w:rsid w:val="00C93389"/>
    <w:rsid w:val="00C97E34"/>
    <w:rsid w:val="00CA0463"/>
    <w:rsid w:val="00CA24C7"/>
    <w:rsid w:val="00CB7349"/>
    <w:rsid w:val="00CC1931"/>
    <w:rsid w:val="00CC1CC4"/>
    <w:rsid w:val="00CC475C"/>
    <w:rsid w:val="00CD288B"/>
    <w:rsid w:val="00CF51EC"/>
    <w:rsid w:val="00D03693"/>
    <w:rsid w:val="00D040DD"/>
    <w:rsid w:val="00D10241"/>
    <w:rsid w:val="00D15A3E"/>
    <w:rsid w:val="00D30233"/>
    <w:rsid w:val="00D32AAF"/>
    <w:rsid w:val="00D347C8"/>
    <w:rsid w:val="00D51805"/>
    <w:rsid w:val="00D602CE"/>
    <w:rsid w:val="00D60433"/>
    <w:rsid w:val="00D61A47"/>
    <w:rsid w:val="00D67975"/>
    <w:rsid w:val="00D7363A"/>
    <w:rsid w:val="00D842D3"/>
    <w:rsid w:val="00DA3AAF"/>
    <w:rsid w:val="00DA45FF"/>
    <w:rsid w:val="00DB4F3B"/>
    <w:rsid w:val="00DC2E00"/>
    <w:rsid w:val="00DC5B3B"/>
    <w:rsid w:val="00DE2CC1"/>
    <w:rsid w:val="00DE2D8F"/>
    <w:rsid w:val="00DE3724"/>
    <w:rsid w:val="00DF00E1"/>
    <w:rsid w:val="00DF4DBA"/>
    <w:rsid w:val="00DF5641"/>
    <w:rsid w:val="00E01C0E"/>
    <w:rsid w:val="00E03893"/>
    <w:rsid w:val="00E04694"/>
    <w:rsid w:val="00E069D1"/>
    <w:rsid w:val="00E22935"/>
    <w:rsid w:val="00E263D4"/>
    <w:rsid w:val="00E2712D"/>
    <w:rsid w:val="00E42B4D"/>
    <w:rsid w:val="00E438DF"/>
    <w:rsid w:val="00E5040E"/>
    <w:rsid w:val="00E55504"/>
    <w:rsid w:val="00E71A58"/>
    <w:rsid w:val="00E8493B"/>
    <w:rsid w:val="00E90C72"/>
    <w:rsid w:val="00EA0C68"/>
    <w:rsid w:val="00EB3661"/>
    <w:rsid w:val="00ED286F"/>
    <w:rsid w:val="00EE39DC"/>
    <w:rsid w:val="00EE3E78"/>
    <w:rsid w:val="00EE5A6E"/>
    <w:rsid w:val="00EF1AEF"/>
    <w:rsid w:val="00EF1F5A"/>
    <w:rsid w:val="00EF4D97"/>
    <w:rsid w:val="00F014FF"/>
    <w:rsid w:val="00F02F8E"/>
    <w:rsid w:val="00F03967"/>
    <w:rsid w:val="00F04811"/>
    <w:rsid w:val="00F0488C"/>
    <w:rsid w:val="00F15BEF"/>
    <w:rsid w:val="00F24FAA"/>
    <w:rsid w:val="00F3364D"/>
    <w:rsid w:val="00F41C6D"/>
    <w:rsid w:val="00F6371C"/>
    <w:rsid w:val="00F63DDE"/>
    <w:rsid w:val="00F63FB7"/>
    <w:rsid w:val="00F6458A"/>
    <w:rsid w:val="00F71B42"/>
    <w:rsid w:val="00F73A0C"/>
    <w:rsid w:val="00FC0C8F"/>
    <w:rsid w:val="00FC0E5F"/>
    <w:rsid w:val="00FC1CDE"/>
    <w:rsid w:val="00FC56DE"/>
    <w:rsid w:val="00FD0311"/>
    <w:rsid w:val="00FD778F"/>
    <w:rsid w:val="00FE04DC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A1636E"/>
    <w:pPr>
      <w:keepNext/>
      <w:keepLines/>
      <w:spacing w:before="12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EE39DC"/>
    <w:pPr>
      <w:keepNext/>
      <w:keepLines/>
      <w:spacing w:before="240" w:after="12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keepNext/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keepNext/>
      <w:spacing w:before="120" w:after="120" w:line="240" w:lineRule="auto"/>
      <w:jc w:val="both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A1636E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rsid w:val="00EE39DC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  <w:jc w:val="both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  <w:jc w:val="both"/>
    </w:pPr>
    <w:rPr>
      <w:b/>
      <w:bCs/>
      <w:sz w:val="36"/>
      <w:szCs w:val="20"/>
    </w:rPr>
  </w:style>
  <w:style w:type="paragraph" w:customStyle="1" w:styleId="Nadpisvlastn2">
    <w:name w:val="Nadpis vlastní 2"/>
    <w:basedOn w:val="Nadpisvlastn1"/>
    <w:rsid w:val="00110E3B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both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both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uiPriority w:val="39"/>
    <w:rsid w:val="00110E3B"/>
    <w:pPr>
      <w:spacing w:before="120" w:after="120" w:line="240" w:lineRule="auto"/>
      <w:jc w:val="both"/>
    </w:pPr>
  </w:style>
  <w:style w:type="paragraph" w:styleId="Obsah2">
    <w:name w:val="toc 2"/>
    <w:basedOn w:val="Normln"/>
    <w:next w:val="Normln"/>
    <w:autoRedefine/>
    <w:uiPriority w:val="39"/>
    <w:rsid w:val="00110E3B"/>
    <w:pPr>
      <w:spacing w:before="120" w:after="120" w:line="240" w:lineRule="auto"/>
      <w:ind w:left="240"/>
      <w:jc w:val="both"/>
    </w:pPr>
  </w:style>
  <w:style w:type="paragraph" w:styleId="Obsah3">
    <w:name w:val="toc 3"/>
    <w:basedOn w:val="Normln"/>
    <w:next w:val="Normln"/>
    <w:autoRedefine/>
    <w:uiPriority w:val="39"/>
    <w:rsid w:val="00110E3B"/>
    <w:pPr>
      <w:spacing w:before="120" w:after="120" w:line="240" w:lineRule="auto"/>
      <w:ind w:left="480"/>
      <w:jc w:val="both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  <w:jc w:val="both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  <w:jc w:val="both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  <w:jc w:val="both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  <w:jc w:val="both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  <w:jc w:val="both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  <w:jc w:val="both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  <w:jc w:val="both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  <w:jc w:val="both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  <w:jc w:val="both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  <w:jc w:val="both"/>
    </w:pPr>
  </w:style>
  <w:style w:type="numbering" w:customStyle="1" w:styleId="Bezseznamu1">
    <w:name w:val="Bez seznamu1"/>
    <w:next w:val="Bezseznamu"/>
    <w:uiPriority w:val="99"/>
    <w:semiHidden/>
    <w:unhideWhenUsed/>
    <w:rsid w:val="00DB4F3B"/>
  </w:style>
  <w:style w:type="table" w:styleId="Mkatabulky">
    <w:name w:val="Table Grid"/>
    <w:basedOn w:val="Normlntabulka"/>
    <w:uiPriority w:val="59"/>
    <w:rsid w:val="00D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lastn">
    <w:name w:val="Text vlastní"/>
    <w:basedOn w:val="Normln"/>
    <w:rsid w:val="00DB4F3B"/>
    <w:pPr>
      <w:spacing w:before="120" w:line="240" w:lineRule="auto"/>
      <w:jc w:val="both"/>
    </w:pPr>
    <w:rPr>
      <w:sz w:val="1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4F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F3B"/>
    <w:pPr>
      <w:keepNext/>
      <w:spacing w:line="240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F3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4F3B"/>
    <w:rPr>
      <w:rFonts w:ascii="Arial" w:eastAsia="Times New Roman" w:hAnsi="Arial"/>
      <w:b/>
      <w:bCs/>
    </w:rPr>
  </w:style>
  <w:style w:type="table" w:styleId="Stednmka3zvraznn2">
    <w:name w:val="Medium Grid 3 Accent 2"/>
    <w:basedOn w:val="Normlntabulka"/>
    <w:uiPriority w:val="60"/>
    <w:rsid w:val="003519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numbering" w:customStyle="1" w:styleId="Bezseznamu2">
    <w:name w:val="Bez seznamu2"/>
    <w:next w:val="Bezseznamu"/>
    <w:uiPriority w:val="99"/>
    <w:semiHidden/>
    <w:unhideWhenUsed/>
    <w:rsid w:val="00DE3724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E3724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numbering" w:customStyle="1" w:styleId="Bezseznamu3">
    <w:name w:val="Bez seznamu3"/>
    <w:next w:val="Bezseznamu"/>
    <w:uiPriority w:val="99"/>
    <w:semiHidden/>
    <w:unhideWhenUsed/>
    <w:rsid w:val="00F41C6D"/>
  </w:style>
  <w:style w:type="table" w:customStyle="1" w:styleId="Mkatabulky1">
    <w:name w:val="Mřížka tabulky1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2A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634392097742186E-2"/>
          <c:y val="2.2603859063448715E-2"/>
          <c:w val="0.92577111116274569"/>
          <c:h val="0.7079721163124234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graf4.1!$C$3</c:f>
              <c:strCache>
                <c:ptCount val="1"/>
                <c:pt idx="0">
                  <c:v> 2015</c:v>
                </c:pt>
              </c:strCache>
            </c:strRef>
          </c:tx>
          <c:spPr>
            <a:ln>
              <a:solidFill>
                <a:srgbClr val="C0504D">
                  <a:lumMod val="75000"/>
                </a:srgbClr>
              </a:solidFill>
            </a:ln>
          </c:spPr>
          <c:invertIfNegative val="0"/>
          <c:cat>
            <c:strRef>
              <c:f>graf4.1!$A$4:$A$34</c:f>
              <c:strCache>
                <c:ptCount val="31"/>
                <c:pt idx="0">
                  <c:v>Švýcarsko</c:v>
                </c:pt>
                <c:pt idx="1">
                  <c:v>Norsko</c:v>
                </c:pt>
                <c:pt idx="2">
                  <c:v>Německo</c:v>
                </c:pt>
                <c:pt idx="3">
                  <c:v>Nizozemsko</c:v>
                </c:pt>
                <c:pt idx="4">
                  <c:v>Švédsko</c:v>
                </c:pt>
                <c:pt idx="5">
                  <c:v>Irsko*</c:v>
                </c:pt>
                <c:pt idx="6">
                  <c:v>Rakousko*</c:v>
                </c:pt>
                <c:pt idx="7">
                  <c:v>Dánsko*</c:v>
                </c:pt>
                <c:pt idx="8">
                  <c:v>Belgie*</c:v>
                </c:pt>
                <c:pt idx="9">
                  <c:v>Francie*</c:v>
                </c:pt>
                <c:pt idx="10">
                  <c:v>Island*</c:v>
                </c:pt>
                <c:pt idx="11">
                  <c:v>Velká Británie*</c:v>
                </c:pt>
                <c:pt idx="12">
                  <c:v>Finsko</c:v>
                </c:pt>
                <c:pt idx="13">
                  <c:v>EU28</c:v>
                </c:pt>
                <c:pt idx="14">
                  <c:v>Itálie*</c:v>
                </c:pt>
                <c:pt idx="15">
                  <c:v>Malta*</c:v>
                </c:pt>
                <c:pt idx="16">
                  <c:v>Španělsko*</c:v>
                </c:pt>
                <c:pt idx="17">
                  <c:v>Slovinsko</c:v>
                </c:pt>
                <c:pt idx="18">
                  <c:v>Portugalsko</c:v>
                </c:pt>
                <c:pt idx="19">
                  <c:v>Česko*</c:v>
                </c:pt>
                <c:pt idx="20">
                  <c:v>Řecko*</c:v>
                </c:pt>
                <c:pt idx="21">
                  <c:v>Kypr*</c:v>
                </c:pt>
                <c:pt idx="22">
                  <c:v>Slovensko*</c:v>
                </c:pt>
                <c:pt idx="23">
                  <c:v>Maďarsko*</c:v>
                </c:pt>
                <c:pt idx="24">
                  <c:v>Litva*</c:v>
                </c:pt>
                <c:pt idx="25">
                  <c:v>Estonsko</c:v>
                </c:pt>
                <c:pt idx="26">
                  <c:v>Polsko*</c:v>
                </c:pt>
                <c:pt idx="27">
                  <c:v>Chorvatsko*</c:v>
                </c:pt>
                <c:pt idx="28">
                  <c:v>Bulharsko*</c:v>
                </c:pt>
                <c:pt idx="29">
                  <c:v>Lotyšsko*</c:v>
                </c:pt>
                <c:pt idx="30">
                  <c:v>Rumunsko*</c:v>
                </c:pt>
              </c:strCache>
            </c:strRef>
          </c:cat>
          <c:val>
            <c:numRef>
              <c:f>graf4.1!$C$4:$C$34</c:f>
              <c:numCache>
                <c:formatCode>#,##0</c:formatCode>
                <c:ptCount val="31"/>
                <c:pt idx="0">
                  <c:v>5353.8080867237204</c:v>
                </c:pt>
                <c:pt idx="1">
                  <c:v>4680.5117063615444</c:v>
                </c:pt>
                <c:pt idx="2">
                  <c:v>4003.3454161295645</c:v>
                </c:pt>
                <c:pt idx="3">
                  <c:v>3983.4344784359996</c:v>
                </c:pt>
                <c:pt idx="4">
                  <c:v>3936.9944605270839</c:v>
                </c:pt>
                <c:pt idx="5">
                  <c:v>3922.1792932022058</c:v>
                </c:pt>
                <c:pt idx="6">
                  <c:v>3788.6892155950495</c:v>
                </c:pt>
                <c:pt idx="7">
                  <c:v>3773.0056703093992</c:v>
                </c:pt>
                <c:pt idx="8">
                  <c:v>3480.7822117072988</c:v>
                </c:pt>
                <c:pt idx="9">
                  <c:v>3342.2652000148005</c:v>
                </c:pt>
                <c:pt idx="10">
                  <c:v>3125.8480834780357</c:v>
                </c:pt>
                <c:pt idx="11">
                  <c:v>3084.0457927926736</c:v>
                </c:pt>
                <c:pt idx="12">
                  <c:v>2988.4496504755825</c:v>
                </c:pt>
                <c:pt idx="13">
                  <c:v>2781.0759160100006</c:v>
                </c:pt>
                <c:pt idx="14">
                  <c:v>2476.237291650149</c:v>
                </c:pt>
                <c:pt idx="15">
                  <c:v>2448.8583933960163</c:v>
                </c:pt>
                <c:pt idx="16">
                  <c:v>2366.1060967206249</c:v>
                </c:pt>
                <c:pt idx="17">
                  <c:v>1983.0966758738925</c:v>
                </c:pt>
                <c:pt idx="18">
                  <c:v>1966.977375658603</c:v>
                </c:pt>
                <c:pt idx="19">
                  <c:v>1850.3383533439751</c:v>
                </c:pt>
                <c:pt idx="20">
                  <c:v>1662.8323341689218</c:v>
                </c:pt>
                <c:pt idx="21">
                  <c:v>1575.8199707630131</c:v>
                </c:pt>
                <c:pt idx="22">
                  <c:v>1539.1563805828087</c:v>
                </c:pt>
                <c:pt idx="23">
                  <c:v>1370.9892428736528</c:v>
                </c:pt>
                <c:pt idx="24">
                  <c:v>1363.7146424348653</c:v>
                </c:pt>
                <c:pt idx="25">
                  <c:v>1348.4644838526772</c:v>
                </c:pt>
                <c:pt idx="26">
                  <c:v>1259.0098365092656</c:v>
                </c:pt>
                <c:pt idx="27">
                  <c:v>1108.6032297361658</c:v>
                </c:pt>
                <c:pt idx="28">
                  <c:v>1107.9486144352497</c:v>
                </c:pt>
                <c:pt idx="29">
                  <c:v>1030.3290298838144</c:v>
                </c:pt>
                <c:pt idx="30">
                  <c:v>815.67553094935636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12918528"/>
        <c:axId val="236532800"/>
      </c:barChart>
      <c:barChart>
        <c:barDir val="col"/>
        <c:grouping val="clustered"/>
        <c:varyColors val="0"/>
        <c:ser>
          <c:idx val="0"/>
          <c:order val="0"/>
          <c:tx>
            <c:strRef>
              <c:f>graf4.1!$B$3</c:f>
              <c:strCache>
                <c:ptCount val="1"/>
                <c:pt idx="0">
                  <c:v> 2010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</c:spPr>
          <c:invertIfNegative val="0"/>
          <c:cat>
            <c:strRef>
              <c:f>graf4.1!$A$4:$A$34</c:f>
              <c:strCache>
                <c:ptCount val="31"/>
                <c:pt idx="0">
                  <c:v>Švýcarsko</c:v>
                </c:pt>
                <c:pt idx="1">
                  <c:v>Norsko</c:v>
                </c:pt>
                <c:pt idx="2">
                  <c:v>Německo</c:v>
                </c:pt>
                <c:pt idx="3">
                  <c:v>Nizozemsko</c:v>
                </c:pt>
                <c:pt idx="4">
                  <c:v>Švédsko</c:v>
                </c:pt>
                <c:pt idx="5">
                  <c:v>Irsko*</c:v>
                </c:pt>
                <c:pt idx="6">
                  <c:v>Rakousko*</c:v>
                </c:pt>
                <c:pt idx="7">
                  <c:v>Dánsko*</c:v>
                </c:pt>
                <c:pt idx="8">
                  <c:v>Belgie*</c:v>
                </c:pt>
                <c:pt idx="9">
                  <c:v>Francie*</c:v>
                </c:pt>
                <c:pt idx="10">
                  <c:v>Island*</c:v>
                </c:pt>
                <c:pt idx="11">
                  <c:v>Velká Británie*</c:v>
                </c:pt>
                <c:pt idx="12">
                  <c:v>Finsko</c:v>
                </c:pt>
                <c:pt idx="13">
                  <c:v>EU28</c:v>
                </c:pt>
                <c:pt idx="14">
                  <c:v>Itálie*</c:v>
                </c:pt>
                <c:pt idx="15">
                  <c:v>Malta*</c:v>
                </c:pt>
                <c:pt idx="16">
                  <c:v>Španělsko*</c:v>
                </c:pt>
                <c:pt idx="17">
                  <c:v>Slovinsko</c:v>
                </c:pt>
                <c:pt idx="18">
                  <c:v>Portugalsko</c:v>
                </c:pt>
                <c:pt idx="19">
                  <c:v>Česko*</c:v>
                </c:pt>
                <c:pt idx="20">
                  <c:v>Řecko*</c:v>
                </c:pt>
                <c:pt idx="21">
                  <c:v>Kypr*</c:v>
                </c:pt>
                <c:pt idx="22">
                  <c:v>Slovensko*</c:v>
                </c:pt>
                <c:pt idx="23">
                  <c:v>Maďarsko*</c:v>
                </c:pt>
                <c:pt idx="24">
                  <c:v>Litva*</c:v>
                </c:pt>
                <c:pt idx="25">
                  <c:v>Estonsko</c:v>
                </c:pt>
                <c:pt idx="26">
                  <c:v>Polsko*</c:v>
                </c:pt>
                <c:pt idx="27">
                  <c:v>Chorvatsko*</c:v>
                </c:pt>
                <c:pt idx="28">
                  <c:v>Bulharsko*</c:v>
                </c:pt>
                <c:pt idx="29">
                  <c:v>Lotyšsko*</c:v>
                </c:pt>
                <c:pt idx="30">
                  <c:v>Rumunsko*</c:v>
                </c:pt>
              </c:strCache>
            </c:strRef>
          </c:cat>
          <c:val>
            <c:numRef>
              <c:f>graf4.1!$B$4:$B$34</c:f>
              <c:numCache>
                <c:formatCode>#,##0</c:formatCode>
                <c:ptCount val="31"/>
                <c:pt idx="0">
                  <c:v>4055.9015499364932</c:v>
                </c:pt>
                <c:pt idx="1">
                  <c:v>4156.3423291824693</c:v>
                </c:pt>
                <c:pt idx="2">
                  <c:v>3336.9714473787444</c:v>
                </c:pt>
                <c:pt idx="3">
                  <c:v>3890.1410210457598</c:v>
                </c:pt>
                <c:pt idx="4">
                  <c:v>2894.0274379502457</c:v>
                </c:pt>
                <c:pt idx="5">
                  <c:v>2862.0652253391631</c:v>
                </c:pt>
                <c:pt idx="6">
                  <c:v>3382.5320836369201</c:v>
                </c:pt>
                <c:pt idx="7">
                  <c:v>3439.3925158812117</c:v>
                </c:pt>
                <c:pt idx="8">
                  <c:v>3052.3779070487162</c:v>
                </c:pt>
                <c:pt idx="9">
                  <c:v>3058.0564410630122</c:v>
                </c:pt>
                <c:pt idx="10">
                  <c:v>2524.4431275543429</c:v>
                </c:pt>
                <c:pt idx="11">
                  <c:v>2636.0318828632971</c:v>
                </c:pt>
                <c:pt idx="12">
                  <c:v>2503.9009713007999</c:v>
                </c:pt>
                <c:pt idx="14">
                  <c:v>2282.1697785640895</c:v>
                </c:pt>
                <c:pt idx="15">
                  <c:v>1757.5929054087801</c:v>
                </c:pt>
                <c:pt idx="16">
                  <c:v>2345.4138156796662</c:v>
                </c:pt>
                <c:pt idx="17">
                  <c:v>1869.1924862834426</c:v>
                </c:pt>
                <c:pt idx="18">
                  <c:v>2096.7133881876393</c:v>
                </c:pt>
                <c:pt idx="19">
                  <c:v>1450.0934273222522</c:v>
                </c:pt>
                <c:pt idx="20">
                  <c:v>2244.2718738151352</c:v>
                </c:pt>
                <c:pt idx="21">
                  <c:v>1782.6480640118423</c:v>
                </c:pt>
                <c:pt idx="22">
                  <c:v>1614.4236247408151</c:v>
                </c:pt>
                <c:pt idx="23">
                  <c:v>1231.3247336795928</c:v>
                </c:pt>
                <c:pt idx="24">
                  <c:v>971.94108408187799</c:v>
                </c:pt>
                <c:pt idx="25">
                  <c:v>995.10737558875223</c:v>
                </c:pt>
                <c:pt idx="26">
                  <c:v>1067.5065913970373</c:v>
                </c:pt>
                <c:pt idx="27">
                  <c:v>1152.323708507063</c:v>
                </c:pt>
                <c:pt idx="28">
                  <c:v>745.0424071163344</c:v>
                </c:pt>
                <c:pt idx="29">
                  <c:v>821.22208321551386</c:v>
                </c:pt>
                <c:pt idx="30">
                  <c:v>676.53104520288389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312921600"/>
        <c:axId val="236533376"/>
      </c:barChart>
      <c:catAx>
        <c:axId val="31291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36532800"/>
        <c:crosses val="autoZero"/>
        <c:auto val="1"/>
        <c:lblAlgn val="ctr"/>
        <c:lblOffset val="100"/>
        <c:noMultiLvlLbl val="0"/>
      </c:catAx>
      <c:valAx>
        <c:axId val="236532800"/>
        <c:scaling>
          <c:orientation val="minMax"/>
          <c:max val="6000"/>
          <c:min val="0"/>
        </c:scaling>
        <c:delete val="0"/>
        <c:axPos val="l"/>
        <c:majorGridlines>
          <c:spPr>
            <a:ln w="3175">
              <a:solidFill>
                <a:sysClr val="window" lastClr="FFFFFF">
                  <a:lumMod val="75000"/>
                </a:sysClr>
              </a:solidFill>
              <a:prstDash val="sysDot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chemeClr val="bg1">
                <a:lumMod val="65000"/>
              </a:schemeClr>
            </a:solidFill>
          </a:ln>
        </c:spPr>
        <c:crossAx val="312918528"/>
        <c:crosses val="autoZero"/>
        <c:crossBetween val="between"/>
        <c:majorUnit val="1000"/>
        <c:minorUnit val="500"/>
      </c:valAx>
      <c:valAx>
        <c:axId val="236533376"/>
        <c:scaling>
          <c:orientation val="minMax"/>
          <c:max val="6000"/>
          <c:min val="0"/>
        </c:scaling>
        <c:delete val="0"/>
        <c:axPos val="r"/>
        <c:numFmt formatCode="#,##0" sourceLinked="1"/>
        <c:majorTickMark val="none"/>
        <c:minorTickMark val="none"/>
        <c:tickLblPos val="none"/>
        <c:spPr>
          <a:ln w="3175">
            <a:noFill/>
          </a:ln>
        </c:spPr>
        <c:crossAx val="312921600"/>
        <c:crosses val="max"/>
        <c:crossBetween val="between"/>
      </c:valAx>
      <c:catAx>
        <c:axId val="312921600"/>
        <c:scaling>
          <c:orientation val="minMax"/>
        </c:scaling>
        <c:delete val="1"/>
        <c:axPos val="b"/>
        <c:majorTickMark val="out"/>
        <c:minorTickMark val="none"/>
        <c:tickLblPos val="none"/>
        <c:crossAx val="236533376"/>
        <c:crosses val="autoZero"/>
        <c:auto val="1"/>
        <c:lblAlgn val="ctr"/>
        <c:lblOffset val="100"/>
        <c:noMultiLvlLbl val="0"/>
      </c:catAx>
      <c:spPr>
        <a:ln w="3175">
          <a:noFill/>
        </a:ln>
      </c:spPr>
    </c:plotArea>
    <c:legend>
      <c:legendPos val="b"/>
      <c:layout>
        <c:manualLayout>
          <c:xMode val="edge"/>
          <c:yMode val="edge"/>
          <c:x val="0.42692195194624688"/>
          <c:y val="0.93541886673793639"/>
          <c:w val="0.14615609610750663"/>
          <c:h val="6.458113326206330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101529579333976E-2"/>
          <c:y val="1.8688944369758664E-2"/>
          <c:w val="0.9300535500695265"/>
          <c:h val="0.71583765443953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graf4.2!$B$3</c:f>
              <c:strCache>
                <c:ptCount val="1"/>
                <c:pt idx="0">
                  <c:v> 2005-09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4F81BD">
                  <a:lumMod val="50000"/>
                </a:srgbClr>
              </a:solidFill>
            </a:ln>
          </c:spPr>
          <c:invertIfNegative val="0"/>
          <c:cat>
            <c:strRef>
              <c:f>graf4.2!$A$4:$A$34</c:f>
              <c:strCache>
                <c:ptCount val="31"/>
                <c:pt idx="0">
                  <c:v>Bulharsko</c:v>
                </c:pt>
                <c:pt idx="1">
                  <c:v>Malta</c:v>
                </c:pt>
                <c:pt idx="2">
                  <c:v>Estonsko</c:v>
                </c:pt>
                <c:pt idx="3">
                  <c:v>Litva</c:v>
                </c:pt>
                <c:pt idx="4">
                  <c:v>Švýcarsko</c:v>
                </c:pt>
                <c:pt idx="5">
                  <c:v>Česko*</c:v>
                </c:pt>
                <c:pt idx="6">
                  <c:v>Norsko</c:v>
                </c:pt>
                <c:pt idx="7">
                  <c:v>Německo</c:v>
                </c:pt>
                <c:pt idx="8">
                  <c:v>Lotyšsko</c:v>
                </c:pt>
                <c:pt idx="9">
                  <c:v>Polsko</c:v>
                </c:pt>
                <c:pt idx="10">
                  <c:v>Slovensko</c:v>
                </c:pt>
                <c:pt idx="11">
                  <c:v>Švédsko</c:v>
                </c:pt>
                <c:pt idx="12">
                  <c:v>Finsko</c:v>
                </c:pt>
                <c:pt idx="13">
                  <c:v>Maďarsko</c:v>
                </c:pt>
                <c:pt idx="14">
                  <c:v>Nizozemsko</c:v>
                </c:pt>
                <c:pt idx="15">
                  <c:v>Rakousko</c:v>
                </c:pt>
                <c:pt idx="16">
                  <c:v>Belgie</c:v>
                </c:pt>
                <c:pt idx="17">
                  <c:v>Francie</c:v>
                </c:pt>
                <c:pt idx="18">
                  <c:v>Rumunsko</c:v>
                </c:pt>
                <c:pt idx="19">
                  <c:v>EU28</c:v>
                </c:pt>
                <c:pt idx="20">
                  <c:v>Velká Británie</c:v>
                </c:pt>
                <c:pt idx="21">
                  <c:v>Island</c:v>
                </c:pt>
                <c:pt idx="22">
                  <c:v>Slovinsko</c:v>
                </c:pt>
                <c:pt idx="23">
                  <c:v>Španělsko</c:v>
                </c:pt>
                <c:pt idx="24">
                  <c:v>Irsko</c:v>
                </c:pt>
                <c:pt idx="25">
                  <c:v>Dánsko</c:v>
                </c:pt>
                <c:pt idx="26">
                  <c:v>Itálie</c:v>
                </c:pt>
                <c:pt idx="27">
                  <c:v>Kypr</c:v>
                </c:pt>
                <c:pt idx="28">
                  <c:v>Chorvatsko</c:v>
                </c:pt>
                <c:pt idx="29">
                  <c:v>Portugalsko</c:v>
                </c:pt>
                <c:pt idx="30">
                  <c:v>Řecko</c:v>
                </c:pt>
              </c:strCache>
            </c:strRef>
          </c:cat>
          <c:val>
            <c:numRef>
              <c:f>graf4.2!$B$4:$B$34</c:f>
              <c:numCache>
                <c:formatCode>0%</c:formatCode>
                <c:ptCount val="31"/>
                <c:pt idx="0">
                  <c:v>2.8168279310989863E-2</c:v>
                </c:pt>
                <c:pt idx="1">
                  <c:v>-2.8969698350245197E-3</c:v>
                </c:pt>
                <c:pt idx="2">
                  <c:v>9.4466478420379543E-2</c:v>
                </c:pt>
                <c:pt idx="3">
                  <c:v>7.3940177375908744E-2</c:v>
                </c:pt>
                <c:pt idx="4">
                  <c:v>1.3420456799836623E-2</c:v>
                </c:pt>
                <c:pt idx="5">
                  <c:v>5.3516514807349376E-2</c:v>
                </c:pt>
                <c:pt idx="6">
                  <c:v>2.1645935866421412E-2</c:v>
                </c:pt>
                <c:pt idx="7">
                  <c:v>2.8190429944391557E-2</c:v>
                </c:pt>
                <c:pt idx="8">
                  <c:v>2.7600540426439255E-2</c:v>
                </c:pt>
                <c:pt idx="9">
                  <c:v>8.3929147189539685E-2</c:v>
                </c:pt>
                <c:pt idx="10">
                  <c:v>0.12235961649714006</c:v>
                </c:pt>
                <c:pt idx="11">
                  <c:v>1.7305947866178562E-2</c:v>
                </c:pt>
                <c:pt idx="12">
                  <c:v>2.4439355841319645E-2</c:v>
                </c:pt>
                <c:pt idx="13">
                  <c:v>-2.6616257967072243E-2</c:v>
                </c:pt>
                <c:pt idx="14">
                  <c:v>3.0997690141376211E-2</c:v>
                </c:pt>
                <c:pt idx="15">
                  <c:v>2.2251980210346484E-2</c:v>
                </c:pt>
                <c:pt idx="16">
                  <c:v>3.1729405773778481E-2</c:v>
                </c:pt>
                <c:pt idx="17">
                  <c:v>1.7257790129471696E-2</c:v>
                </c:pt>
                <c:pt idx="18">
                  <c:v>4.1435593156569077E-2</c:v>
                </c:pt>
                <c:pt idx="19">
                  <c:v>3.1471332204611423E-2</c:v>
                </c:pt>
                <c:pt idx="20">
                  <c:v>3.2749598625549069E-2</c:v>
                </c:pt>
                <c:pt idx="21">
                  <c:v>4.2156805012043578E-3</c:v>
                </c:pt>
                <c:pt idx="22">
                  <c:v>3.2067951881831876E-2</c:v>
                </c:pt>
                <c:pt idx="23">
                  <c:v>3.7963362563745467E-2</c:v>
                </c:pt>
                <c:pt idx="24">
                  <c:v>6.9090240965485702E-2</c:v>
                </c:pt>
                <c:pt idx="25">
                  <c:v>3.3723367676285164E-2</c:v>
                </c:pt>
                <c:pt idx="26">
                  <c:v>4.8452380349113316E-3</c:v>
                </c:pt>
                <c:pt idx="27">
                  <c:v>4.1135211400167494E-2</c:v>
                </c:pt>
                <c:pt idx="28">
                  <c:v>4.3413284006573787E-2</c:v>
                </c:pt>
                <c:pt idx="29">
                  <c:v>1.302659556244779E-2</c:v>
                </c:pt>
                <c:pt idx="30">
                  <c:v>4.5354580444510594E-2</c:v>
                </c:pt>
              </c:numCache>
            </c:numRef>
          </c:val>
        </c:ser>
        <c:ser>
          <c:idx val="1"/>
          <c:order val="1"/>
          <c:tx>
            <c:strRef>
              <c:f>graf4.2!$C$3</c:f>
              <c:strCache>
                <c:ptCount val="1"/>
                <c:pt idx="0">
                  <c:v> 2009-15</c:v>
                </c:pt>
              </c:strCache>
            </c:strRef>
          </c:tx>
          <c:spPr>
            <a:solidFill>
              <a:srgbClr val="D96D7F"/>
            </a:solidFill>
            <a:ln>
              <a:solidFill>
                <a:srgbClr val="C0504D">
                  <a:lumMod val="75000"/>
                </a:srgbClr>
              </a:solidFill>
            </a:ln>
          </c:spPr>
          <c:invertIfNegative val="0"/>
          <c:cat>
            <c:strRef>
              <c:f>graf4.2!$A$4:$A$34</c:f>
              <c:strCache>
                <c:ptCount val="31"/>
                <c:pt idx="0">
                  <c:v>Bulharsko</c:v>
                </c:pt>
                <c:pt idx="1">
                  <c:v>Malta</c:v>
                </c:pt>
                <c:pt idx="2">
                  <c:v>Estonsko</c:v>
                </c:pt>
                <c:pt idx="3">
                  <c:v>Litva</c:v>
                </c:pt>
                <c:pt idx="4">
                  <c:v>Švýcarsko</c:v>
                </c:pt>
                <c:pt idx="5">
                  <c:v>Česko*</c:v>
                </c:pt>
                <c:pt idx="6">
                  <c:v>Norsko</c:v>
                </c:pt>
                <c:pt idx="7">
                  <c:v>Německo</c:v>
                </c:pt>
                <c:pt idx="8">
                  <c:v>Lotyšsko</c:v>
                </c:pt>
                <c:pt idx="9">
                  <c:v>Polsko</c:v>
                </c:pt>
                <c:pt idx="10">
                  <c:v>Slovensko</c:v>
                </c:pt>
                <c:pt idx="11">
                  <c:v>Švédsko</c:v>
                </c:pt>
                <c:pt idx="12">
                  <c:v>Finsko</c:v>
                </c:pt>
                <c:pt idx="13">
                  <c:v>Maďarsko</c:v>
                </c:pt>
                <c:pt idx="14">
                  <c:v>Nizozemsko</c:v>
                </c:pt>
                <c:pt idx="15">
                  <c:v>Rakousko</c:v>
                </c:pt>
                <c:pt idx="16">
                  <c:v>Belgie</c:v>
                </c:pt>
                <c:pt idx="17">
                  <c:v>Francie</c:v>
                </c:pt>
                <c:pt idx="18">
                  <c:v>Rumunsko</c:v>
                </c:pt>
                <c:pt idx="19">
                  <c:v>EU28</c:v>
                </c:pt>
                <c:pt idx="20">
                  <c:v>Velká Británie</c:v>
                </c:pt>
                <c:pt idx="21">
                  <c:v>Island</c:v>
                </c:pt>
                <c:pt idx="22">
                  <c:v>Slovinsko</c:v>
                </c:pt>
                <c:pt idx="23">
                  <c:v>Španělsko</c:v>
                </c:pt>
                <c:pt idx="24">
                  <c:v>Irsko</c:v>
                </c:pt>
                <c:pt idx="25">
                  <c:v>Dánsko</c:v>
                </c:pt>
                <c:pt idx="26">
                  <c:v>Itálie</c:v>
                </c:pt>
                <c:pt idx="27">
                  <c:v>Kypr</c:v>
                </c:pt>
                <c:pt idx="28">
                  <c:v>Chorvatsko</c:v>
                </c:pt>
                <c:pt idx="29">
                  <c:v>Portugalsko</c:v>
                </c:pt>
                <c:pt idx="30">
                  <c:v>Řecko</c:v>
                </c:pt>
              </c:strCache>
            </c:strRef>
          </c:cat>
          <c:val>
            <c:numRef>
              <c:f>graf4.2!$C$4:$C$34</c:f>
              <c:numCache>
                <c:formatCode>0%</c:formatCode>
                <c:ptCount val="31"/>
                <c:pt idx="0">
                  <c:v>5.7930021420515211E-2</c:v>
                </c:pt>
                <c:pt idx="1">
                  <c:v>3.2269338885221981E-2</c:v>
                </c:pt>
                <c:pt idx="2">
                  <c:v>3.1065712284288796E-2</c:v>
                </c:pt>
                <c:pt idx="3">
                  <c:v>2.4886866038546618E-2</c:v>
                </c:pt>
                <c:pt idx="4">
                  <c:v>2.4491954887216245E-2</c:v>
                </c:pt>
                <c:pt idx="5">
                  <c:v>2.134924864998353E-2</c:v>
                </c:pt>
                <c:pt idx="6">
                  <c:v>2.0272802471365897E-2</c:v>
                </c:pt>
                <c:pt idx="7">
                  <c:v>2.0205314914534721E-2</c:v>
                </c:pt>
                <c:pt idx="8">
                  <c:v>2.0068499549257698E-2</c:v>
                </c:pt>
                <c:pt idx="9">
                  <c:v>1.9725099187217557E-2</c:v>
                </c:pt>
                <c:pt idx="10">
                  <c:v>1.7714795884427169E-2</c:v>
                </c:pt>
                <c:pt idx="11">
                  <c:v>1.4951597679502033E-2</c:v>
                </c:pt>
                <c:pt idx="12">
                  <c:v>1.4761082006087287E-2</c:v>
                </c:pt>
                <c:pt idx="13">
                  <c:v>1.2223556378938133E-2</c:v>
                </c:pt>
                <c:pt idx="14">
                  <c:v>1.1931301019209925E-2</c:v>
                </c:pt>
                <c:pt idx="15">
                  <c:v>1.0594808632448332E-2</c:v>
                </c:pt>
                <c:pt idx="16">
                  <c:v>9.1586284602322987E-3</c:v>
                </c:pt>
                <c:pt idx="17">
                  <c:v>8.1401560847460547E-3</c:v>
                </c:pt>
                <c:pt idx="18">
                  <c:v>7.1973625555756824E-3</c:v>
                </c:pt>
                <c:pt idx="19">
                  <c:v>6.5484953964162892E-3</c:v>
                </c:pt>
                <c:pt idx="20">
                  <c:v>5.3683054966224414E-3</c:v>
                </c:pt>
                <c:pt idx="21">
                  <c:v>3.6709405122363798E-3</c:v>
                </c:pt>
                <c:pt idx="22">
                  <c:v>5.8980713546907847E-4</c:v>
                </c:pt>
                <c:pt idx="23">
                  <c:v>-1.300740264730039E-3</c:v>
                </c:pt>
                <c:pt idx="24">
                  <c:v>-1.81142943327195E-3</c:v>
                </c:pt>
                <c:pt idx="25">
                  <c:v>-4.0544413677708223E-3</c:v>
                </c:pt>
                <c:pt idx="26">
                  <c:v>-1.1038842511850918E-2</c:v>
                </c:pt>
                <c:pt idx="27">
                  <c:v>-1.4855582639081717E-2</c:v>
                </c:pt>
                <c:pt idx="28">
                  <c:v>-1.5517518082761701E-2</c:v>
                </c:pt>
                <c:pt idx="29">
                  <c:v>-1.9689012539171991E-2</c:v>
                </c:pt>
                <c:pt idx="30">
                  <c:v>-6.557360697665017E-2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313114112"/>
        <c:axId val="236535104"/>
      </c:barChart>
      <c:catAx>
        <c:axId val="313114112"/>
        <c:scaling>
          <c:orientation val="minMax"/>
        </c:scaling>
        <c:delete val="0"/>
        <c:axPos val="b"/>
        <c:majorTickMark val="out"/>
        <c:minorTickMark val="none"/>
        <c:tickLblPos val="low"/>
        <c:crossAx val="236535104"/>
        <c:crosses val="autoZero"/>
        <c:auto val="1"/>
        <c:lblAlgn val="ctr"/>
        <c:lblOffset val="100"/>
        <c:noMultiLvlLbl val="0"/>
      </c:catAx>
      <c:valAx>
        <c:axId val="236535104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>
                  <a:lumMod val="75000"/>
                </a:sysClr>
              </a:solidFill>
              <a:prstDash val="sysDot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crossAx val="313114112"/>
        <c:crosses val="autoZero"/>
        <c:crossBetween val="between"/>
      </c:valAx>
      <c:spPr>
        <a:noFill/>
        <a:ln w="3175">
          <a:noFill/>
        </a:ln>
      </c:spPr>
    </c:plotArea>
    <c:legend>
      <c:legendPos val="b"/>
      <c:layout>
        <c:manualLayout>
          <c:xMode val="edge"/>
          <c:yMode val="edge"/>
          <c:x val="0.40633121481898743"/>
          <c:y val="0.93965207093015812"/>
          <c:w val="0.19723295085781473"/>
          <c:h val="6.034792906984190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736649891240714E-2"/>
          <c:y val="1.9096491443242498E-2"/>
          <c:w val="0.94899949432926411"/>
          <c:h val="0.67850827057832774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graf4.3!$D$3</c:f>
              <c:strCache>
                <c:ptCount val="1"/>
                <c:pt idx="0">
                  <c:v> 2015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 w="3175">
              <a:solidFill>
                <a:srgbClr val="4F81BD">
                  <a:lumMod val="75000"/>
                </a:srgbClr>
              </a:solidFill>
            </a:ln>
          </c:spPr>
          <c:invertIfNegative val="0"/>
          <c:cat>
            <c:strRef>
              <c:f>graf4.3!$A$4:$A$35</c:f>
              <c:strCache>
                <c:ptCount val="32"/>
                <c:pt idx="0">
                  <c:v>Švýcarsko</c:v>
                </c:pt>
                <c:pt idx="1">
                  <c:v>Německo</c:v>
                </c:pt>
                <c:pt idx="2">
                  <c:v>Švédsko</c:v>
                </c:pt>
                <c:pt idx="3">
                  <c:v>Francie*</c:v>
                </c:pt>
                <c:pt idx="4">
                  <c:v>Nizozemsko</c:v>
                </c:pt>
                <c:pt idx="5">
                  <c:v>Dánsko*</c:v>
                </c:pt>
                <c:pt idx="6">
                  <c:v>Belgie*</c:v>
                </c:pt>
                <c:pt idx="7">
                  <c:v>Rakousko*</c:v>
                </c:pt>
                <c:pt idx="8">
                  <c:v>Norsko</c:v>
                </c:pt>
                <c:pt idx="9">
                  <c:v>EU28</c:v>
                </c:pt>
                <c:pt idx="10">
                  <c:v>Velká Británie*</c:v>
                </c:pt>
                <c:pt idx="11">
                  <c:v>Finsko</c:v>
                </c:pt>
                <c:pt idx="12">
                  <c:v>Malta*</c:v>
                </c:pt>
                <c:pt idx="13">
                  <c:v>Irsko*</c:v>
                </c:pt>
                <c:pt idx="14">
                  <c:v>Itálie*</c:v>
                </c:pt>
                <c:pt idx="15">
                  <c:v>Španělsko*</c:v>
                </c:pt>
                <c:pt idx="16">
                  <c:v>Portugalsko</c:v>
                </c:pt>
                <c:pt idx="17">
                  <c:v>Island*</c:v>
                </c:pt>
                <c:pt idx="18">
                  <c:v>Slovinsko</c:v>
                </c:pt>
                <c:pt idx="19">
                  <c:v>Bulharsko*</c:v>
                </c:pt>
                <c:pt idx="20">
                  <c:v>Řecko*</c:v>
                </c:pt>
                <c:pt idx="21">
                  <c:v>Česko</c:v>
                </c:pt>
                <c:pt idx="22">
                  <c:v>Lucembursko</c:v>
                </c:pt>
                <c:pt idx="23">
                  <c:v>Maďarsko*</c:v>
                </c:pt>
                <c:pt idx="24">
                  <c:v>Slovensko*</c:v>
                </c:pt>
                <c:pt idx="25">
                  <c:v>Kypr*</c:v>
                </c:pt>
                <c:pt idx="26">
                  <c:v>Chorvatsko*</c:v>
                </c:pt>
                <c:pt idx="27">
                  <c:v>Litva*</c:v>
                </c:pt>
                <c:pt idx="28">
                  <c:v>Polsko*</c:v>
                </c:pt>
                <c:pt idx="29">
                  <c:v>Estonsko</c:v>
                </c:pt>
                <c:pt idx="30">
                  <c:v>Lotyšsko*</c:v>
                </c:pt>
                <c:pt idx="31">
                  <c:v>Rumunsko*</c:v>
                </c:pt>
              </c:strCache>
            </c:strRef>
          </c:cat>
          <c:val>
            <c:numRef>
              <c:f>graf4.3!$D$4:$D$35</c:f>
              <c:numCache>
                <c:formatCode>0.0%</c:formatCode>
                <c:ptCount val="32"/>
                <c:pt idx="0">
                  <c:v>0.11536099999999998</c:v>
                </c:pt>
                <c:pt idx="1">
                  <c:v>0.11083899999999994</c:v>
                </c:pt>
                <c:pt idx="2">
                  <c:v>0.11070400000000002</c:v>
                </c:pt>
                <c:pt idx="3">
                  <c:v>0.10988099999999998</c:v>
                </c:pt>
                <c:pt idx="4">
                  <c:v>0.10763700000000002</c:v>
                </c:pt>
                <c:pt idx="5">
                  <c:v>0.10585699999999998</c:v>
                </c:pt>
                <c:pt idx="6">
                  <c:v>0.10357400000000004</c:v>
                </c:pt>
                <c:pt idx="7">
                  <c:v>0.10357000000000002</c:v>
                </c:pt>
                <c:pt idx="8">
                  <c:v>9.9346000000000045E-2</c:v>
                </c:pt>
                <c:pt idx="9">
                  <c:v>9.9151227203165923E-2</c:v>
                </c:pt>
                <c:pt idx="10">
                  <c:v>9.7533000000000022E-2</c:v>
                </c:pt>
                <c:pt idx="11">
                  <c:v>9.640300000000003E-2</c:v>
                </c:pt>
                <c:pt idx="12">
                  <c:v>9.5752000000000045E-2</c:v>
                </c:pt>
                <c:pt idx="13">
                  <c:v>9.3929000000000068E-2</c:v>
                </c:pt>
                <c:pt idx="14">
                  <c:v>9.0509000000000048E-2</c:v>
                </c:pt>
                <c:pt idx="15">
                  <c:v>8.9985000000000023E-2</c:v>
                </c:pt>
                <c:pt idx="16">
                  <c:v>8.8571000000000066E-2</c:v>
                </c:pt>
                <c:pt idx="17">
                  <c:v>8.7661000000000003E-2</c:v>
                </c:pt>
                <c:pt idx="18">
                  <c:v>8.357500000000008E-2</c:v>
                </c:pt>
                <c:pt idx="19">
                  <c:v>8.3301000000000028E-2</c:v>
                </c:pt>
                <c:pt idx="20">
                  <c:v>8.2041000000000031E-2</c:v>
                </c:pt>
                <c:pt idx="21">
                  <c:v>7.8000000000000014E-2</c:v>
                </c:pt>
                <c:pt idx="22">
                  <c:v>7.1667000000000008E-2</c:v>
                </c:pt>
                <c:pt idx="23">
                  <c:v>7.0401999999999992E-2</c:v>
                </c:pt>
                <c:pt idx="24">
                  <c:v>6.9904000000000022E-2</c:v>
                </c:pt>
                <c:pt idx="25">
                  <c:v>6.771600000000004E-2</c:v>
                </c:pt>
                <c:pt idx="26">
                  <c:v>6.6498000000000002E-2</c:v>
                </c:pt>
                <c:pt idx="27">
                  <c:v>6.4892000000000075E-2</c:v>
                </c:pt>
                <c:pt idx="28">
                  <c:v>6.3222E-2</c:v>
                </c:pt>
                <c:pt idx="29">
                  <c:v>6.3042000000000001E-2</c:v>
                </c:pt>
                <c:pt idx="30">
                  <c:v>5.5884000000000003E-2</c:v>
                </c:pt>
                <c:pt idx="31">
                  <c:v>5.0104000000000003E-2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313567744"/>
        <c:axId val="236539264"/>
      </c:barChart>
      <c:lineChart>
        <c:grouping val="standard"/>
        <c:varyColors val="0"/>
        <c:ser>
          <c:idx val="0"/>
          <c:order val="0"/>
          <c:tx>
            <c:strRef>
              <c:f>graf4.3!$B$3</c:f>
              <c:strCache>
                <c:ptCount val="1"/>
                <c:pt idx="0">
                  <c:v> 2005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7"/>
            <c:spPr>
              <a:solidFill>
                <a:srgbClr val="C00000"/>
              </a:solidFill>
              <a:ln>
                <a:solidFill>
                  <a:srgbClr val="C0504D">
                    <a:lumMod val="75000"/>
                  </a:srgbClr>
                </a:solidFill>
              </a:ln>
            </c:spPr>
          </c:marker>
          <c:cat>
            <c:strRef>
              <c:f>graf4.3!$A$4:$A$35</c:f>
              <c:strCache>
                <c:ptCount val="32"/>
                <c:pt idx="0">
                  <c:v>Švýcarsko</c:v>
                </c:pt>
                <c:pt idx="1">
                  <c:v>Německo</c:v>
                </c:pt>
                <c:pt idx="2">
                  <c:v>Švédsko</c:v>
                </c:pt>
                <c:pt idx="3">
                  <c:v>Francie*</c:v>
                </c:pt>
                <c:pt idx="4">
                  <c:v>Nizozemsko</c:v>
                </c:pt>
                <c:pt idx="5">
                  <c:v>Dánsko*</c:v>
                </c:pt>
                <c:pt idx="6">
                  <c:v>Belgie*</c:v>
                </c:pt>
                <c:pt idx="7">
                  <c:v>Rakousko*</c:v>
                </c:pt>
                <c:pt idx="8">
                  <c:v>Norsko</c:v>
                </c:pt>
                <c:pt idx="9">
                  <c:v>EU28</c:v>
                </c:pt>
                <c:pt idx="10">
                  <c:v>Velká Británie*</c:v>
                </c:pt>
                <c:pt idx="11">
                  <c:v>Finsko</c:v>
                </c:pt>
                <c:pt idx="12">
                  <c:v>Malta*</c:v>
                </c:pt>
                <c:pt idx="13">
                  <c:v>Irsko*</c:v>
                </c:pt>
                <c:pt idx="14">
                  <c:v>Itálie*</c:v>
                </c:pt>
                <c:pt idx="15">
                  <c:v>Španělsko*</c:v>
                </c:pt>
                <c:pt idx="16">
                  <c:v>Portugalsko</c:v>
                </c:pt>
                <c:pt idx="17">
                  <c:v>Island*</c:v>
                </c:pt>
                <c:pt idx="18">
                  <c:v>Slovinsko</c:v>
                </c:pt>
                <c:pt idx="19">
                  <c:v>Bulharsko*</c:v>
                </c:pt>
                <c:pt idx="20">
                  <c:v>Řecko*</c:v>
                </c:pt>
                <c:pt idx="21">
                  <c:v>Česko</c:v>
                </c:pt>
                <c:pt idx="22">
                  <c:v>Lucembursko</c:v>
                </c:pt>
                <c:pt idx="23">
                  <c:v>Maďarsko*</c:v>
                </c:pt>
                <c:pt idx="24">
                  <c:v>Slovensko*</c:v>
                </c:pt>
                <c:pt idx="25">
                  <c:v>Kypr*</c:v>
                </c:pt>
                <c:pt idx="26">
                  <c:v>Chorvatsko*</c:v>
                </c:pt>
                <c:pt idx="27">
                  <c:v>Litva*</c:v>
                </c:pt>
                <c:pt idx="28">
                  <c:v>Polsko*</c:v>
                </c:pt>
                <c:pt idx="29">
                  <c:v>Estonsko</c:v>
                </c:pt>
                <c:pt idx="30">
                  <c:v>Lotyšsko*</c:v>
                </c:pt>
                <c:pt idx="31">
                  <c:v>Rumunsko*</c:v>
                </c:pt>
              </c:strCache>
            </c:strRef>
          </c:cat>
          <c:val>
            <c:numRef>
              <c:f>graf4.3!$B$4:$B$35</c:f>
              <c:numCache>
                <c:formatCode>0.0%</c:formatCode>
                <c:ptCount val="32"/>
                <c:pt idx="0">
                  <c:v>0.10255499999999998</c:v>
                </c:pt>
                <c:pt idx="1">
                  <c:v>0.10244400000000002</c:v>
                </c:pt>
                <c:pt idx="2">
                  <c:v>8.2774000000000028E-2</c:v>
                </c:pt>
                <c:pt idx="3">
                  <c:v>0.10179800000000004</c:v>
                </c:pt>
                <c:pt idx="4">
                  <c:v>9.4110000000000041E-2</c:v>
                </c:pt>
                <c:pt idx="5">
                  <c:v>9.0874000000000066E-2</c:v>
                </c:pt>
                <c:pt idx="6">
                  <c:v>9.0362000000000026E-2</c:v>
                </c:pt>
                <c:pt idx="7">
                  <c:v>9.5819000000000015E-2</c:v>
                </c:pt>
                <c:pt idx="8">
                  <c:v>8.3328000000000027E-2</c:v>
                </c:pt>
                <c:pt idx="9">
                  <c:v>8.7473007398815195E-2</c:v>
                </c:pt>
                <c:pt idx="10">
                  <c:v>7.4179999999999996E-2</c:v>
                </c:pt>
                <c:pt idx="11">
                  <c:v>8.0192000000000041E-2</c:v>
                </c:pt>
                <c:pt idx="12">
                  <c:v>8.8336000000000067E-2</c:v>
                </c:pt>
                <c:pt idx="13">
                  <c:v>7.6572000000000001E-2</c:v>
                </c:pt>
                <c:pt idx="14">
                  <c:v>8.3612000000000006E-2</c:v>
                </c:pt>
                <c:pt idx="15">
                  <c:v>7.6764000000000013E-2</c:v>
                </c:pt>
                <c:pt idx="16">
                  <c:v>9.4334000000000057E-2</c:v>
                </c:pt>
                <c:pt idx="17">
                  <c:v>9.1817000000000024E-2</c:v>
                </c:pt>
                <c:pt idx="18">
                  <c:v>7.9649999999999999E-2</c:v>
                </c:pt>
                <c:pt idx="19">
                  <c:v>6.9011000000000031E-2</c:v>
                </c:pt>
                <c:pt idx="20">
                  <c:v>8.996600000000006E-2</c:v>
                </c:pt>
                <c:pt idx="21">
                  <c:v>6.3946000000000003E-2</c:v>
                </c:pt>
                <c:pt idx="22">
                  <c:v>7.2559999999999999E-2</c:v>
                </c:pt>
                <c:pt idx="23">
                  <c:v>8.0328000000000024E-2</c:v>
                </c:pt>
                <c:pt idx="24">
                  <c:v>6.6195000000000004E-2</c:v>
                </c:pt>
                <c:pt idx="25">
                  <c:v>5.4397000000000049E-2</c:v>
                </c:pt>
                <c:pt idx="26">
                  <c:v>6.8941000000000002E-2</c:v>
                </c:pt>
                <c:pt idx="27">
                  <c:v>5.6420000000000012E-2</c:v>
                </c:pt>
                <c:pt idx="28">
                  <c:v>5.8400000000000014E-2</c:v>
                </c:pt>
                <c:pt idx="29">
                  <c:v>4.9559000000000013E-2</c:v>
                </c:pt>
                <c:pt idx="30">
                  <c:v>5.8670999999999987E-2</c:v>
                </c:pt>
                <c:pt idx="31">
                  <c:v>5.4588000000000025E-2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graf4.3!$C$3</c:f>
              <c:strCache>
                <c:ptCount val="1"/>
                <c:pt idx="0">
                  <c:v> 2010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7"/>
            <c:spPr>
              <a:ln>
                <a:solidFill>
                  <a:srgbClr val="C0504D">
                    <a:lumMod val="75000"/>
                  </a:srgbClr>
                </a:solidFill>
              </a:ln>
            </c:spPr>
          </c:marker>
          <c:cat>
            <c:strRef>
              <c:f>graf4.3!$A$4:$A$35</c:f>
              <c:strCache>
                <c:ptCount val="32"/>
                <c:pt idx="0">
                  <c:v>Švýcarsko</c:v>
                </c:pt>
                <c:pt idx="1">
                  <c:v>Německo</c:v>
                </c:pt>
                <c:pt idx="2">
                  <c:v>Švédsko</c:v>
                </c:pt>
                <c:pt idx="3">
                  <c:v>Francie*</c:v>
                </c:pt>
                <c:pt idx="4">
                  <c:v>Nizozemsko</c:v>
                </c:pt>
                <c:pt idx="5">
                  <c:v>Dánsko*</c:v>
                </c:pt>
                <c:pt idx="6">
                  <c:v>Belgie*</c:v>
                </c:pt>
                <c:pt idx="7">
                  <c:v>Rakousko*</c:v>
                </c:pt>
                <c:pt idx="8">
                  <c:v>Norsko</c:v>
                </c:pt>
                <c:pt idx="9">
                  <c:v>EU28</c:v>
                </c:pt>
                <c:pt idx="10">
                  <c:v>Velká Británie*</c:v>
                </c:pt>
                <c:pt idx="11">
                  <c:v>Finsko</c:v>
                </c:pt>
                <c:pt idx="12">
                  <c:v>Malta*</c:v>
                </c:pt>
                <c:pt idx="13">
                  <c:v>Irsko*</c:v>
                </c:pt>
                <c:pt idx="14">
                  <c:v>Itálie*</c:v>
                </c:pt>
                <c:pt idx="15">
                  <c:v>Španělsko*</c:v>
                </c:pt>
                <c:pt idx="16">
                  <c:v>Portugalsko</c:v>
                </c:pt>
                <c:pt idx="17">
                  <c:v>Island*</c:v>
                </c:pt>
                <c:pt idx="18">
                  <c:v>Slovinsko</c:v>
                </c:pt>
                <c:pt idx="19">
                  <c:v>Bulharsko*</c:v>
                </c:pt>
                <c:pt idx="20">
                  <c:v>Řecko*</c:v>
                </c:pt>
                <c:pt idx="21">
                  <c:v>Česko</c:v>
                </c:pt>
                <c:pt idx="22">
                  <c:v>Lucembursko</c:v>
                </c:pt>
                <c:pt idx="23">
                  <c:v>Maďarsko*</c:v>
                </c:pt>
                <c:pt idx="24">
                  <c:v>Slovensko*</c:v>
                </c:pt>
                <c:pt idx="25">
                  <c:v>Kypr*</c:v>
                </c:pt>
                <c:pt idx="26">
                  <c:v>Chorvatsko*</c:v>
                </c:pt>
                <c:pt idx="27">
                  <c:v>Litva*</c:v>
                </c:pt>
                <c:pt idx="28">
                  <c:v>Polsko*</c:v>
                </c:pt>
                <c:pt idx="29">
                  <c:v>Estonsko</c:v>
                </c:pt>
                <c:pt idx="30">
                  <c:v>Lotyšsko*</c:v>
                </c:pt>
                <c:pt idx="31">
                  <c:v>Rumunsko*</c:v>
                </c:pt>
              </c:strCache>
            </c:strRef>
          </c:cat>
          <c:val>
            <c:numRef>
              <c:f>graf4.3!$C$4:$C$35</c:f>
              <c:numCache>
                <c:formatCode>0.0%</c:formatCode>
                <c:ptCount val="32"/>
                <c:pt idx="0">
                  <c:v>0.10459000000000004</c:v>
                </c:pt>
                <c:pt idx="1">
                  <c:v>0.10995600000000004</c:v>
                </c:pt>
                <c:pt idx="2">
                  <c:v>8.4864000000000064E-2</c:v>
                </c:pt>
                <c:pt idx="3">
                  <c:v>0.10718899999999998</c:v>
                </c:pt>
                <c:pt idx="4">
                  <c:v>0.10432400000000004</c:v>
                </c:pt>
                <c:pt idx="5">
                  <c:v>0.10446400000000004</c:v>
                </c:pt>
                <c:pt idx="6">
                  <c:v>9.9392000000000022E-2</c:v>
                </c:pt>
                <c:pt idx="7">
                  <c:v>0.10112299999999999</c:v>
                </c:pt>
                <c:pt idx="8">
                  <c:v>8.9103000000000016E-2</c:v>
                </c:pt>
                <c:pt idx="9">
                  <c:v>9.5591622459392192E-2</c:v>
                </c:pt>
                <c:pt idx="10">
                  <c:v>8.4620000000000084E-2</c:v>
                </c:pt>
                <c:pt idx="11">
                  <c:v>8.8801000000000047E-2</c:v>
                </c:pt>
                <c:pt idx="12">
                  <c:v>8.2992000000000024E-2</c:v>
                </c:pt>
                <c:pt idx="13">
                  <c:v>0.10602200000000007</c:v>
                </c:pt>
                <c:pt idx="14">
                  <c:v>8.9536000000000074E-2</c:v>
                </c:pt>
                <c:pt idx="15">
                  <c:v>9.0136000000000008E-2</c:v>
                </c:pt>
                <c:pt idx="16">
                  <c:v>9.8195000000000074E-2</c:v>
                </c:pt>
                <c:pt idx="17">
                  <c:v>8.8203000000000017E-2</c:v>
                </c:pt>
                <c:pt idx="18">
                  <c:v>8.5616000000000025E-2</c:v>
                </c:pt>
                <c:pt idx="19">
                  <c:v>7.2013000000000035E-2</c:v>
                </c:pt>
                <c:pt idx="20">
                  <c:v>9.852300000000011E-2</c:v>
                </c:pt>
                <c:pt idx="21">
                  <c:v>8.6000000000000021E-2</c:v>
                </c:pt>
                <c:pt idx="22">
                  <c:v>7.1467000000000003E-2</c:v>
                </c:pt>
                <c:pt idx="23">
                  <c:v>7.5678999999999996E-2</c:v>
                </c:pt>
                <c:pt idx="24">
                  <c:v>7.8230999999999995E-2</c:v>
                </c:pt>
                <c:pt idx="25">
                  <c:v>6.4219999999999999E-2</c:v>
                </c:pt>
                <c:pt idx="26">
                  <c:v>8.2479000000000011E-2</c:v>
                </c:pt>
                <c:pt idx="27">
                  <c:v>6.8160999999999999E-2</c:v>
                </c:pt>
                <c:pt idx="28">
                  <c:v>6.4200999999999994E-2</c:v>
                </c:pt>
                <c:pt idx="29">
                  <c:v>6.3191999999999998E-2</c:v>
                </c:pt>
                <c:pt idx="30">
                  <c:v>6.1540999999999985E-2</c:v>
                </c:pt>
                <c:pt idx="31">
                  <c:v>5.7081999999999994E-2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3566720"/>
        <c:axId val="236533952"/>
      </c:lineChart>
      <c:catAx>
        <c:axId val="31356672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3175">
            <a:solidFill>
              <a:sysClr val="window" lastClr="FFFFFF">
                <a:lumMod val="75000"/>
              </a:sysClr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236533952"/>
        <c:crosses val="autoZero"/>
        <c:auto val="1"/>
        <c:lblAlgn val="ctr"/>
        <c:lblOffset val="100"/>
        <c:noMultiLvlLbl val="0"/>
      </c:catAx>
      <c:valAx>
        <c:axId val="236533952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>
                  <a:lumMod val="75000"/>
                </a:sysClr>
              </a:solidFill>
              <a:prstDash val="sysDot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crossAx val="313566720"/>
        <c:crosses val="autoZero"/>
        <c:crossBetween val="between"/>
      </c:valAx>
      <c:valAx>
        <c:axId val="236539264"/>
        <c:scaling>
          <c:orientation val="minMax"/>
          <c:max val="0.12000000000000002"/>
          <c:min val="0"/>
        </c:scaling>
        <c:delete val="0"/>
        <c:axPos val="r"/>
        <c:numFmt formatCode="0.0%" sourceLinked="1"/>
        <c:majorTickMark val="none"/>
        <c:minorTickMark val="none"/>
        <c:tickLblPos val="none"/>
        <c:spPr>
          <a:ln w="3175">
            <a:noFill/>
          </a:ln>
        </c:spPr>
        <c:crossAx val="313567744"/>
        <c:crosses val="max"/>
        <c:crossBetween val="between"/>
      </c:valAx>
      <c:catAx>
        <c:axId val="313567744"/>
        <c:scaling>
          <c:orientation val="minMax"/>
        </c:scaling>
        <c:delete val="1"/>
        <c:axPos val="b"/>
        <c:majorTickMark val="out"/>
        <c:minorTickMark val="none"/>
        <c:tickLblPos val="none"/>
        <c:crossAx val="236539264"/>
        <c:crosses val="autoZero"/>
        <c:auto val="1"/>
        <c:lblAlgn val="ctr"/>
        <c:lblOffset val="100"/>
        <c:noMultiLvlLbl val="0"/>
      </c:catAx>
      <c:spPr>
        <a:ln w="3175">
          <a:noFill/>
        </a:ln>
      </c:spPr>
    </c:plotArea>
    <c:legend>
      <c:legendPos val="b"/>
      <c:layout>
        <c:manualLayout>
          <c:xMode val="edge"/>
          <c:yMode val="edge"/>
          <c:x val="0.39256820170206019"/>
          <c:y val="0.93833607247692152"/>
          <c:w val="0.20790026246719173"/>
          <c:h val="6.166392752307833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341471072096865E-2"/>
          <c:y val="4.9052396878483846E-2"/>
          <c:w val="0.93865852892790291"/>
          <c:h val="0.61858548617877662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graf4.4!$B$3</c:f>
              <c:strCache>
                <c:ptCount val="1"/>
                <c:pt idx="0">
                  <c:v> Vládní rozpočty</c:v>
                </c:pt>
              </c:strCache>
            </c:strRef>
          </c:tx>
          <c:spPr>
            <a:solidFill>
              <a:srgbClr val="D96D7F"/>
            </a:solidFill>
            <a:ln>
              <a:solidFill>
                <a:srgbClr val="C0504D">
                  <a:lumMod val="75000"/>
                </a:srgbClr>
              </a:solidFill>
            </a:ln>
          </c:spPr>
          <c:invertIfNegative val="0"/>
          <c:cat>
            <c:strRef>
              <c:f>graf4.4!$A$4:$A$35</c:f>
              <c:strCache>
                <c:ptCount val="32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Česko</c:v>
                </c:pt>
                <c:pt idx="4">
                  <c:v>Švédsko</c:v>
                </c:pt>
                <c:pt idx="5">
                  <c:v>Lucembursko</c:v>
                </c:pt>
                <c:pt idx="6">
                  <c:v>Island</c:v>
                </c:pt>
                <c:pt idx="7">
                  <c:v>Nizozemsko</c:v>
                </c:pt>
                <c:pt idx="8">
                  <c:v>Slovensko</c:v>
                </c:pt>
                <c:pt idx="9">
                  <c:v>Velká Británie</c:v>
                </c:pt>
                <c:pt idx="10">
                  <c:v>Rumunsko</c:v>
                </c:pt>
                <c:pt idx="11">
                  <c:v>EU28</c:v>
                </c:pt>
                <c:pt idx="12">
                  <c:v>Francie</c:v>
                </c:pt>
                <c:pt idx="13">
                  <c:v>Belgie</c:v>
                </c:pt>
                <c:pt idx="14">
                  <c:v>Rakousko</c:v>
                </c:pt>
                <c:pt idx="15">
                  <c:v>Itálie</c:v>
                </c:pt>
                <c:pt idx="16">
                  <c:v>Estonsko</c:v>
                </c:pt>
                <c:pt idx="17">
                  <c:v>Finsko</c:v>
                </c:pt>
                <c:pt idx="18">
                  <c:v>Chorvatsko</c:v>
                </c:pt>
                <c:pt idx="19">
                  <c:v>Polsko</c:v>
                </c:pt>
                <c:pt idx="20">
                  <c:v>Slovinsko</c:v>
                </c:pt>
                <c:pt idx="21">
                  <c:v>Španělsko</c:v>
                </c:pt>
                <c:pt idx="22">
                  <c:v>Irsko</c:v>
                </c:pt>
                <c:pt idx="23">
                  <c:v>Malta</c:v>
                </c:pt>
                <c:pt idx="24">
                  <c:v>Litva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Lotyšsko</c:v>
                </c:pt>
                <c:pt idx="29">
                  <c:v>Řecko</c:v>
                </c:pt>
                <c:pt idx="30">
                  <c:v>Bulharsko</c:v>
                </c:pt>
                <c:pt idx="31">
                  <c:v>Kypr</c:v>
                </c:pt>
              </c:strCache>
            </c:strRef>
          </c:cat>
          <c:val>
            <c:numRef>
              <c:f>graf4.4!$B$4:$B$35</c:f>
              <c:numCache>
                <c:formatCode>0%</c:formatCode>
                <c:ptCount val="32"/>
                <c:pt idx="0">
                  <c:v>0.74249300000000029</c:v>
                </c:pt>
                <c:pt idx="1">
                  <c:v>6.6402000000000003E-2</c:v>
                </c:pt>
                <c:pt idx="2">
                  <c:v>0.84187200000000029</c:v>
                </c:pt>
                <c:pt idx="3">
                  <c:v>0.18000000000000005</c:v>
                </c:pt>
                <c:pt idx="4">
                  <c:v>0.83373900000000023</c:v>
                </c:pt>
                <c:pt idx="5">
                  <c:v>8.4779000000000021E-2</c:v>
                </c:pt>
                <c:pt idx="6">
                  <c:v>0.52070099999999997</c:v>
                </c:pt>
                <c:pt idx="7">
                  <c:v>4.7931000000000001E-2</c:v>
                </c:pt>
                <c:pt idx="8">
                  <c:v>4.0004000000000012E-2</c:v>
                </c:pt>
                <c:pt idx="9">
                  <c:v>0.79480000000000028</c:v>
                </c:pt>
                <c:pt idx="10">
                  <c:v>0.14882099999999998</c:v>
                </c:pt>
                <c:pt idx="11">
                  <c:v>0.36632744990885896</c:v>
                </c:pt>
                <c:pt idx="12">
                  <c:v>4.1132000000000002E-2</c:v>
                </c:pt>
                <c:pt idx="13">
                  <c:v>0.11355</c:v>
                </c:pt>
                <c:pt idx="14">
                  <c:v>0.31147500000000011</c:v>
                </c:pt>
                <c:pt idx="15">
                  <c:v>0.75510099999999991</c:v>
                </c:pt>
                <c:pt idx="16">
                  <c:v>9.9490000000000023E-2</c:v>
                </c:pt>
                <c:pt idx="17">
                  <c:v>0.6223040000000003</c:v>
                </c:pt>
                <c:pt idx="18">
                  <c:v>2.5080000000000002E-2</c:v>
                </c:pt>
                <c:pt idx="19">
                  <c:v>9.0586000000000028E-2</c:v>
                </c:pt>
                <c:pt idx="20">
                  <c:v>3.39E-2</c:v>
                </c:pt>
                <c:pt idx="21">
                  <c:v>0.65000700000000022</c:v>
                </c:pt>
                <c:pt idx="22">
                  <c:v>0.69026199999999982</c:v>
                </c:pt>
                <c:pt idx="23">
                  <c:v>0.67281899999999994</c:v>
                </c:pt>
                <c:pt idx="24">
                  <c:v>0.10099999999999998</c:v>
                </c:pt>
                <c:pt idx="25">
                  <c:v>9.4097000000000056E-2</c:v>
                </c:pt>
                <c:pt idx="26">
                  <c:v>0.64946599999999999</c:v>
                </c:pt>
                <c:pt idx="27">
                  <c:v>0.18638800000000005</c:v>
                </c:pt>
                <c:pt idx="28">
                  <c:v>0.59860599999999997</c:v>
                </c:pt>
                <c:pt idx="29">
                  <c:v>0.28388500000000011</c:v>
                </c:pt>
                <c:pt idx="30">
                  <c:v>8.784500000000002E-2</c:v>
                </c:pt>
                <c:pt idx="31">
                  <c:v>0.43559500000000001</c:v>
                </c:pt>
              </c:numCache>
            </c:numRef>
          </c:val>
        </c:ser>
        <c:ser>
          <c:idx val="1"/>
          <c:order val="1"/>
          <c:tx>
            <c:strRef>
              <c:f>graf4.4!$C$3</c:f>
              <c:strCache>
                <c:ptCount val="1"/>
                <c:pt idx="0">
                  <c:v> Veřejné pojištění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4F81BD">
                  <a:lumMod val="75000"/>
                </a:srgbClr>
              </a:solidFill>
            </a:ln>
          </c:spPr>
          <c:invertIfNegative val="0"/>
          <c:cat>
            <c:strRef>
              <c:f>graf4.4!$A$4:$A$35</c:f>
              <c:strCache>
                <c:ptCount val="32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Česko</c:v>
                </c:pt>
                <c:pt idx="4">
                  <c:v>Švédsko</c:v>
                </c:pt>
                <c:pt idx="5">
                  <c:v>Lucembursko</c:v>
                </c:pt>
                <c:pt idx="6">
                  <c:v>Island</c:v>
                </c:pt>
                <c:pt idx="7">
                  <c:v>Nizozemsko</c:v>
                </c:pt>
                <c:pt idx="8">
                  <c:v>Slovensko</c:v>
                </c:pt>
                <c:pt idx="9">
                  <c:v>Velká Británie</c:v>
                </c:pt>
                <c:pt idx="10">
                  <c:v>Rumunsko</c:v>
                </c:pt>
                <c:pt idx="11">
                  <c:v>EU28</c:v>
                </c:pt>
                <c:pt idx="12">
                  <c:v>Francie</c:v>
                </c:pt>
                <c:pt idx="13">
                  <c:v>Belgie</c:v>
                </c:pt>
                <c:pt idx="14">
                  <c:v>Rakousko</c:v>
                </c:pt>
                <c:pt idx="15">
                  <c:v>Itálie</c:v>
                </c:pt>
                <c:pt idx="16">
                  <c:v>Estonsko</c:v>
                </c:pt>
                <c:pt idx="17">
                  <c:v>Finsko</c:v>
                </c:pt>
                <c:pt idx="18">
                  <c:v>Chorvatsko</c:v>
                </c:pt>
                <c:pt idx="19">
                  <c:v>Polsko</c:v>
                </c:pt>
                <c:pt idx="20">
                  <c:v>Slovinsko</c:v>
                </c:pt>
                <c:pt idx="21">
                  <c:v>Španělsko</c:v>
                </c:pt>
                <c:pt idx="22">
                  <c:v>Irsko</c:v>
                </c:pt>
                <c:pt idx="23">
                  <c:v>Malta</c:v>
                </c:pt>
                <c:pt idx="24">
                  <c:v>Litva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Lotyšsko</c:v>
                </c:pt>
                <c:pt idx="29">
                  <c:v>Řecko</c:v>
                </c:pt>
                <c:pt idx="30">
                  <c:v>Bulharsko</c:v>
                </c:pt>
                <c:pt idx="31">
                  <c:v>Kypr</c:v>
                </c:pt>
              </c:strCache>
            </c:strRef>
          </c:cat>
          <c:val>
            <c:numRef>
              <c:f>graf4.4!$C$4:$C$35</c:f>
              <c:numCache>
                <c:formatCode>0%</c:formatCode>
                <c:ptCount val="32"/>
                <c:pt idx="0">
                  <c:v>0.10872000000000004</c:v>
                </c:pt>
                <c:pt idx="1">
                  <c:v>0.77990799999999993</c:v>
                </c:pt>
                <c:pt idx="2">
                  <c:v>0</c:v>
                </c:pt>
                <c:pt idx="3">
                  <c:v>0.66000000000000025</c:v>
                </c:pt>
                <c:pt idx="4">
                  <c:v>0</c:v>
                </c:pt>
                <c:pt idx="5">
                  <c:v>0.73916300000000001</c:v>
                </c:pt>
                <c:pt idx="6">
                  <c:v>0.2897010000000001</c:v>
                </c:pt>
                <c:pt idx="7">
                  <c:v>0.75830399999999998</c:v>
                </c:pt>
                <c:pt idx="8">
                  <c:v>0.76226899999999997</c:v>
                </c:pt>
                <c:pt idx="9">
                  <c:v>1.0000000000000005E-3</c:v>
                </c:pt>
                <c:pt idx="10">
                  <c:v>0.64379900000000045</c:v>
                </c:pt>
                <c:pt idx="11">
                  <c:v>0.42107845366776342</c:v>
                </c:pt>
                <c:pt idx="12">
                  <c:v>0.74537300000000029</c:v>
                </c:pt>
                <c:pt idx="13">
                  <c:v>0.66226000000000018</c:v>
                </c:pt>
                <c:pt idx="14">
                  <c:v>0.44728000000000001</c:v>
                </c:pt>
                <c:pt idx="15">
                  <c:v>3.0420000000000013E-3</c:v>
                </c:pt>
                <c:pt idx="16">
                  <c:v>0.65638900000000033</c:v>
                </c:pt>
                <c:pt idx="17">
                  <c:v>0.13164199999999998</c:v>
                </c:pt>
                <c:pt idx="18">
                  <c:v>0.72696099999999997</c:v>
                </c:pt>
                <c:pt idx="19">
                  <c:v>0.62427500000000025</c:v>
                </c:pt>
                <c:pt idx="20">
                  <c:v>0.67625299999999999</c:v>
                </c:pt>
                <c:pt idx="21">
                  <c:v>4.7898000000000017E-2</c:v>
                </c:pt>
                <c:pt idx="22">
                  <c:v>2.749000000000001E-3</c:v>
                </c:pt>
                <c:pt idx="23">
                  <c:v>1.8820000000000007E-2</c:v>
                </c:pt>
                <c:pt idx="24">
                  <c:v>0.57470999999999994</c:v>
                </c:pt>
                <c:pt idx="25">
                  <c:v>0.57643099999999969</c:v>
                </c:pt>
                <c:pt idx="26">
                  <c:v>1.2895999999999998E-2</c:v>
                </c:pt>
                <c:pt idx="27">
                  <c:v>0.46536700000000014</c:v>
                </c:pt>
                <c:pt idx="28">
                  <c:v>0</c:v>
                </c:pt>
                <c:pt idx="29">
                  <c:v>0.31262100000000015</c:v>
                </c:pt>
                <c:pt idx="30">
                  <c:v>0.44240600000000002</c:v>
                </c:pt>
                <c:pt idx="31">
                  <c:v>6.4360000000000025E-3</c:v>
                </c:pt>
              </c:numCache>
            </c:numRef>
          </c:val>
        </c:ser>
        <c:ser>
          <c:idx val="2"/>
          <c:order val="2"/>
          <c:tx>
            <c:strRef>
              <c:f>graf4.4!$D$3</c:f>
              <c:strCache>
                <c:ptCount val="1"/>
                <c:pt idx="0">
                  <c:v> Domácnosti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BBB59">
                  <a:lumMod val="75000"/>
                </a:srgbClr>
              </a:solidFill>
            </a:ln>
          </c:spPr>
          <c:invertIfNegative val="0"/>
          <c:cat>
            <c:strRef>
              <c:f>graf4.4!$A$4:$A$35</c:f>
              <c:strCache>
                <c:ptCount val="32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Česko</c:v>
                </c:pt>
                <c:pt idx="4">
                  <c:v>Švédsko</c:v>
                </c:pt>
                <c:pt idx="5">
                  <c:v>Lucembursko</c:v>
                </c:pt>
                <c:pt idx="6">
                  <c:v>Island</c:v>
                </c:pt>
                <c:pt idx="7">
                  <c:v>Nizozemsko</c:v>
                </c:pt>
                <c:pt idx="8">
                  <c:v>Slovensko</c:v>
                </c:pt>
                <c:pt idx="9">
                  <c:v>Velká Británie</c:v>
                </c:pt>
                <c:pt idx="10">
                  <c:v>Rumunsko</c:v>
                </c:pt>
                <c:pt idx="11">
                  <c:v>EU28</c:v>
                </c:pt>
                <c:pt idx="12">
                  <c:v>Francie</c:v>
                </c:pt>
                <c:pt idx="13">
                  <c:v>Belgie</c:v>
                </c:pt>
                <c:pt idx="14">
                  <c:v>Rakousko</c:v>
                </c:pt>
                <c:pt idx="15">
                  <c:v>Itálie</c:v>
                </c:pt>
                <c:pt idx="16">
                  <c:v>Estonsko</c:v>
                </c:pt>
                <c:pt idx="17">
                  <c:v>Finsko</c:v>
                </c:pt>
                <c:pt idx="18">
                  <c:v>Chorvatsko</c:v>
                </c:pt>
                <c:pt idx="19">
                  <c:v>Polsko</c:v>
                </c:pt>
                <c:pt idx="20">
                  <c:v>Slovinsko</c:v>
                </c:pt>
                <c:pt idx="21">
                  <c:v>Španělsko</c:v>
                </c:pt>
                <c:pt idx="22">
                  <c:v>Irsko</c:v>
                </c:pt>
                <c:pt idx="23">
                  <c:v>Malta</c:v>
                </c:pt>
                <c:pt idx="24">
                  <c:v>Litva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Lotyšsko</c:v>
                </c:pt>
                <c:pt idx="29">
                  <c:v>Řecko</c:v>
                </c:pt>
                <c:pt idx="30">
                  <c:v>Bulharsko</c:v>
                </c:pt>
                <c:pt idx="31">
                  <c:v>Kypr</c:v>
                </c:pt>
              </c:strCache>
            </c:strRef>
          </c:cat>
          <c:val>
            <c:numRef>
              <c:f>graf4.4!$D$4:$D$35</c:f>
              <c:numCache>
                <c:formatCode>0%</c:formatCode>
                <c:ptCount val="32"/>
                <c:pt idx="0">
                  <c:v>0.14497900000000005</c:v>
                </c:pt>
                <c:pt idx="1">
                  <c:v>0.12967199999999995</c:v>
                </c:pt>
                <c:pt idx="2">
                  <c:v>0.13808600000000001</c:v>
                </c:pt>
                <c:pt idx="3">
                  <c:v>0.13219799999999998</c:v>
                </c:pt>
                <c:pt idx="4">
                  <c:v>0.15537900000000004</c:v>
                </c:pt>
                <c:pt idx="5">
                  <c:v>0.10695600000000002</c:v>
                </c:pt>
                <c:pt idx="6">
                  <c:v>0.17477399999999998</c:v>
                </c:pt>
                <c:pt idx="7">
                  <c:v>0.12302500000000004</c:v>
                </c:pt>
                <c:pt idx="8">
                  <c:v>0.18007899999999999</c:v>
                </c:pt>
                <c:pt idx="9">
                  <c:v>0.14750000000000005</c:v>
                </c:pt>
                <c:pt idx="10">
                  <c:v>0.19858699999999999</c:v>
                </c:pt>
                <c:pt idx="11">
                  <c:v>0.15344289299533506</c:v>
                </c:pt>
                <c:pt idx="12">
                  <c:v>6.9949999999999998E-2</c:v>
                </c:pt>
                <c:pt idx="13">
                  <c:v>0.17807000000000001</c:v>
                </c:pt>
                <c:pt idx="14">
                  <c:v>0.17733399999999999</c:v>
                </c:pt>
                <c:pt idx="15">
                  <c:v>0.22025099999999997</c:v>
                </c:pt>
                <c:pt idx="16">
                  <c:v>0.22740600000000005</c:v>
                </c:pt>
                <c:pt idx="17">
                  <c:v>0.19067099999999995</c:v>
                </c:pt>
                <c:pt idx="18">
                  <c:v>0.16711799999999999</c:v>
                </c:pt>
                <c:pt idx="19">
                  <c:v>0.22473600000000007</c:v>
                </c:pt>
                <c:pt idx="20">
                  <c:v>0.130277</c:v>
                </c:pt>
                <c:pt idx="21">
                  <c:v>0.24672200000000005</c:v>
                </c:pt>
                <c:pt idx="22">
                  <c:v>0.15410299999999999</c:v>
                </c:pt>
                <c:pt idx="23">
                  <c:v>0.28858100000000014</c:v>
                </c:pt>
                <c:pt idx="24">
                  <c:v>0.31482000000000027</c:v>
                </c:pt>
                <c:pt idx="25">
                  <c:v>0.28382700000000011</c:v>
                </c:pt>
                <c:pt idx="26">
                  <c:v>0.27515200000000001</c:v>
                </c:pt>
                <c:pt idx="27">
                  <c:v>0.26743300000000003</c:v>
                </c:pt>
                <c:pt idx="28">
                  <c:v>0.389235</c:v>
                </c:pt>
                <c:pt idx="29">
                  <c:v>0.35365200000000002</c:v>
                </c:pt>
                <c:pt idx="30">
                  <c:v>0.45812800000000015</c:v>
                </c:pt>
                <c:pt idx="31">
                  <c:v>0.49845300000000015</c:v>
                </c:pt>
              </c:numCache>
            </c:numRef>
          </c:val>
        </c:ser>
        <c:ser>
          <c:idx val="3"/>
          <c:order val="3"/>
          <c:tx>
            <c:strRef>
              <c:f>graf4.4!$E$3</c:f>
              <c:strCache>
                <c:ptCount val="1"/>
                <c:pt idx="0">
                  <c:v>  Soukromé pojištění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79646">
                  <a:lumMod val="75000"/>
                </a:srgbClr>
              </a:solidFill>
            </a:ln>
          </c:spPr>
          <c:invertIfNegative val="0"/>
          <c:cat>
            <c:strRef>
              <c:f>graf4.4!$A$4:$A$35</c:f>
              <c:strCache>
                <c:ptCount val="32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Česko</c:v>
                </c:pt>
                <c:pt idx="4">
                  <c:v>Švédsko</c:v>
                </c:pt>
                <c:pt idx="5">
                  <c:v>Lucembursko</c:v>
                </c:pt>
                <c:pt idx="6">
                  <c:v>Island</c:v>
                </c:pt>
                <c:pt idx="7">
                  <c:v>Nizozemsko</c:v>
                </c:pt>
                <c:pt idx="8">
                  <c:v>Slovensko</c:v>
                </c:pt>
                <c:pt idx="9">
                  <c:v>Velká Británie</c:v>
                </c:pt>
                <c:pt idx="10">
                  <c:v>Rumunsko</c:v>
                </c:pt>
                <c:pt idx="11">
                  <c:v>EU28</c:v>
                </c:pt>
                <c:pt idx="12">
                  <c:v>Francie</c:v>
                </c:pt>
                <c:pt idx="13">
                  <c:v>Belgie</c:v>
                </c:pt>
                <c:pt idx="14">
                  <c:v>Rakousko</c:v>
                </c:pt>
                <c:pt idx="15">
                  <c:v>Itálie</c:v>
                </c:pt>
                <c:pt idx="16">
                  <c:v>Estonsko</c:v>
                </c:pt>
                <c:pt idx="17">
                  <c:v>Finsko</c:v>
                </c:pt>
                <c:pt idx="18">
                  <c:v>Chorvatsko</c:v>
                </c:pt>
                <c:pt idx="19">
                  <c:v>Polsko</c:v>
                </c:pt>
                <c:pt idx="20">
                  <c:v>Slovinsko</c:v>
                </c:pt>
                <c:pt idx="21">
                  <c:v>Španělsko</c:v>
                </c:pt>
                <c:pt idx="22">
                  <c:v>Irsko</c:v>
                </c:pt>
                <c:pt idx="23">
                  <c:v>Malta</c:v>
                </c:pt>
                <c:pt idx="24">
                  <c:v>Litva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Lotyšsko</c:v>
                </c:pt>
                <c:pt idx="29">
                  <c:v>Řecko</c:v>
                </c:pt>
                <c:pt idx="30">
                  <c:v>Bulharsko</c:v>
                </c:pt>
                <c:pt idx="31">
                  <c:v>Kypr</c:v>
                </c:pt>
              </c:strCache>
            </c:strRef>
          </c:cat>
          <c:val>
            <c:numRef>
              <c:f>graf4.4!$E$4:$E$35</c:f>
              <c:numCache>
                <c:formatCode>0%</c:formatCode>
                <c:ptCount val="32"/>
                <c:pt idx="0">
                  <c:v>0</c:v>
                </c:pt>
                <c:pt idx="1">
                  <c:v>1.4799E-2</c:v>
                </c:pt>
                <c:pt idx="2">
                  <c:v>2.0025000000000001E-2</c:v>
                </c:pt>
                <c:pt idx="3">
                  <c:v>1.6470000000000005E-3</c:v>
                </c:pt>
                <c:pt idx="4">
                  <c:v>5.7610000000000022E-3</c:v>
                </c:pt>
                <c:pt idx="5">
                  <c:v>5.4777000000000013E-2</c:v>
                </c:pt>
                <c:pt idx="6">
                  <c:v>0</c:v>
                </c:pt>
                <c:pt idx="7">
                  <c:v>5.9215000000000004E-2</c:v>
                </c:pt>
                <c:pt idx="8">
                  <c:v>0</c:v>
                </c:pt>
                <c:pt idx="9">
                  <c:v>3.5630000000000016E-2</c:v>
                </c:pt>
                <c:pt idx="10">
                  <c:v>2.2800000000000012E-3</c:v>
                </c:pt>
                <c:pt idx="11">
                  <c:v>4.8455038493858064E-2</c:v>
                </c:pt>
                <c:pt idx="12">
                  <c:v>0.13697599999999999</c:v>
                </c:pt>
                <c:pt idx="13">
                  <c:v>4.4198000000000015E-2</c:v>
                </c:pt>
                <c:pt idx="14">
                  <c:v>4.8668999999999997E-2</c:v>
                </c:pt>
                <c:pt idx="15">
                  <c:v>1.4780000000000001E-2</c:v>
                </c:pt>
                <c:pt idx="16">
                  <c:v>2.0169999999999997E-3</c:v>
                </c:pt>
                <c:pt idx="17">
                  <c:v>2.5433000000000008E-2</c:v>
                </c:pt>
                <c:pt idx="18">
                  <c:v>8.0842000000000025E-2</c:v>
                </c:pt>
                <c:pt idx="19">
                  <c:v>4.4032000000000029E-2</c:v>
                </c:pt>
                <c:pt idx="20">
                  <c:v>0.14787900000000001</c:v>
                </c:pt>
                <c:pt idx="21">
                  <c:v>5.1765000000000012E-2</c:v>
                </c:pt>
                <c:pt idx="22">
                  <c:v>0.12687599999999993</c:v>
                </c:pt>
                <c:pt idx="23">
                  <c:v>1.7475000000000001E-2</c:v>
                </c:pt>
                <c:pt idx="24">
                  <c:v>8.293E-3</c:v>
                </c:pt>
                <c:pt idx="25">
                  <c:v>2.5645000000000005E-2</c:v>
                </c:pt>
                <c:pt idx="26">
                  <c:v>5.4016000000000036E-2</c:v>
                </c:pt>
                <c:pt idx="27">
                  <c:v>7.0463000000000026E-2</c:v>
                </c:pt>
                <c:pt idx="28">
                  <c:v>8.7820000000000051E-3</c:v>
                </c:pt>
                <c:pt idx="29">
                  <c:v>3.6364E-2</c:v>
                </c:pt>
                <c:pt idx="30">
                  <c:v>3.3630000000000005E-3</c:v>
                </c:pt>
                <c:pt idx="31">
                  <c:v>3.7871000000000016E-2</c:v>
                </c:pt>
              </c:numCache>
            </c:numRef>
          </c:val>
        </c:ser>
        <c:ser>
          <c:idx val="4"/>
          <c:order val="4"/>
          <c:tx>
            <c:strRef>
              <c:f>graf4.4!$F$3</c:f>
              <c:strCache>
                <c:ptCount val="1"/>
                <c:pt idx="0">
                  <c:v> Ostatní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8064A2">
                  <a:lumMod val="50000"/>
                </a:srgbClr>
              </a:solidFill>
            </a:ln>
          </c:spPr>
          <c:invertIfNegative val="0"/>
          <c:cat>
            <c:strRef>
              <c:f>graf4.4!$A$4:$A$35</c:f>
              <c:strCache>
                <c:ptCount val="32"/>
                <c:pt idx="0">
                  <c:v>Norsko</c:v>
                </c:pt>
                <c:pt idx="1">
                  <c:v>Německo</c:v>
                </c:pt>
                <c:pt idx="2">
                  <c:v>Dánsko</c:v>
                </c:pt>
                <c:pt idx="3">
                  <c:v>Česko</c:v>
                </c:pt>
                <c:pt idx="4">
                  <c:v>Švédsko</c:v>
                </c:pt>
                <c:pt idx="5">
                  <c:v>Lucembursko</c:v>
                </c:pt>
                <c:pt idx="6">
                  <c:v>Island</c:v>
                </c:pt>
                <c:pt idx="7">
                  <c:v>Nizozemsko</c:v>
                </c:pt>
                <c:pt idx="8">
                  <c:v>Slovensko</c:v>
                </c:pt>
                <c:pt idx="9">
                  <c:v>Velká Británie</c:v>
                </c:pt>
                <c:pt idx="10">
                  <c:v>Rumunsko</c:v>
                </c:pt>
                <c:pt idx="11">
                  <c:v>EU28</c:v>
                </c:pt>
                <c:pt idx="12">
                  <c:v>Francie</c:v>
                </c:pt>
                <c:pt idx="13">
                  <c:v>Belgie</c:v>
                </c:pt>
                <c:pt idx="14">
                  <c:v>Rakousko</c:v>
                </c:pt>
                <c:pt idx="15">
                  <c:v>Itálie</c:v>
                </c:pt>
                <c:pt idx="16">
                  <c:v>Estonsko</c:v>
                </c:pt>
                <c:pt idx="17">
                  <c:v>Finsko</c:v>
                </c:pt>
                <c:pt idx="18">
                  <c:v>Chorvatsko</c:v>
                </c:pt>
                <c:pt idx="19">
                  <c:v>Polsko</c:v>
                </c:pt>
                <c:pt idx="20">
                  <c:v>Slovinsko</c:v>
                </c:pt>
                <c:pt idx="21">
                  <c:v>Španělsko</c:v>
                </c:pt>
                <c:pt idx="22">
                  <c:v>Irsko</c:v>
                </c:pt>
                <c:pt idx="23">
                  <c:v>Malta</c:v>
                </c:pt>
                <c:pt idx="24">
                  <c:v>Litva</c:v>
                </c:pt>
                <c:pt idx="25">
                  <c:v>Maďarsko</c:v>
                </c:pt>
                <c:pt idx="26">
                  <c:v>Portugalsko</c:v>
                </c:pt>
                <c:pt idx="27">
                  <c:v>Švýcarsko</c:v>
                </c:pt>
                <c:pt idx="28">
                  <c:v>Lotyšsko</c:v>
                </c:pt>
                <c:pt idx="29">
                  <c:v>Řecko</c:v>
                </c:pt>
                <c:pt idx="30">
                  <c:v>Bulharsko</c:v>
                </c:pt>
                <c:pt idx="31">
                  <c:v>Kypr</c:v>
                </c:pt>
              </c:strCache>
            </c:strRef>
          </c:cat>
          <c:val>
            <c:numRef>
              <c:f>graf4.4!$F$4:$F$35</c:f>
              <c:numCache>
                <c:formatCode>0%</c:formatCode>
                <c:ptCount val="32"/>
                <c:pt idx="0">
                  <c:v>3.8090000000000012E-3</c:v>
                </c:pt>
                <c:pt idx="1">
                  <c:v>9.2160000000000002E-3</c:v>
                </c:pt>
                <c:pt idx="2">
                  <c:v>1.7000000000000007E-5</c:v>
                </c:pt>
                <c:pt idx="3">
                  <c:v>3.1072000000000009E-2</c:v>
                </c:pt>
                <c:pt idx="4">
                  <c:v>5.1219999999999998E-3</c:v>
                </c:pt>
                <c:pt idx="5">
                  <c:v>1.4325000000000001E-2</c:v>
                </c:pt>
                <c:pt idx="6">
                  <c:v>1.4823999999999999E-2</c:v>
                </c:pt>
                <c:pt idx="7">
                  <c:v>1.1524000000000005E-2</c:v>
                </c:pt>
                <c:pt idx="8">
                  <c:v>1.7648E-2</c:v>
                </c:pt>
                <c:pt idx="9">
                  <c:v>2.1070000000000009E-2</c:v>
                </c:pt>
                <c:pt idx="10">
                  <c:v>6.5129999999999997E-3</c:v>
                </c:pt>
                <c:pt idx="11">
                  <c:v>1.0696164934185171E-2</c:v>
                </c:pt>
                <c:pt idx="12">
                  <c:v>6.5689999999999993E-3</c:v>
                </c:pt>
                <c:pt idx="13">
                  <c:v>1.9210000000000008E-3</c:v>
                </c:pt>
                <c:pt idx="14">
                  <c:v>1.5242000000000004E-2</c:v>
                </c:pt>
                <c:pt idx="15">
                  <c:v>6.8239999999999993E-3</c:v>
                </c:pt>
                <c:pt idx="16">
                  <c:v>1.4697999999999998E-2</c:v>
                </c:pt>
                <c:pt idx="17">
                  <c:v>2.9949000000000007E-2</c:v>
                </c:pt>
                <c:pt idx="18">
                  <c:v>0</c:v>
                </c:pt>
                <c:pt idx="19">
                  <c:v>1.6369999999999999E-2</c:v>
                </c:pt>
                <c:pt idx="20">
                  <c:v>1.1692000000000001E-2</c:v>
                </c:pt>
                <c:pt idx="21">
                  <c:v>3.6070000000000021E-3</c:v>
                </c:pt>
                <c:pt idx="22">
                  <c:v>2.6010000000000002E-2</c:v>
                </c:pt>
                <c:pt idx="23">
                  <c:v>2.3050000000000002E-3</c:v>
                </c:pt>
                <c:pt idx="24">
                  <c:v>1.1770000000000005E-3</c:v>
                </c:pt>
                <c:pt idx="25">
                  <c:v>2.0000000000000007E-2</c:v>
                </c:pt>
                <c:pt idx="26">
                  <c:v>8.4710000000000028E-3</c:v>
                </c:pt>
                <c:pt idx="27">
                  <c:v>1.0348999999999999E-2</c:v>
                </c:pt>
                <c:pt idx="28">
                  <c:v>3.3769999999999998E-3</c:v>
                </c:pt>
                <c:pt idx="29">
                  <c:v>1.3477999999999999E-2</c:v>
                </c:pt>
                <c:pt idx="30">
                  <c:v>8.2590000000000042E-3</c:v>
                </c:pt>
                <c:pt idx="31">
                  <c:v>2.1645000000000015E-2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14738688"/>
        <c:axId val="236536960"/>
      </c:barChart>
      <c:catAx>
        <c:axId val="3147386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 rot="-5400000" vert="horz"/>
          <a:lstStyle/>
          <a:p>
            <a:pPr>
              <a:defRPr sz="800"/>
            </a:pPr>
            <a:endParaRPr lang="cs-CZ"/>
          </a:p>
        </c:txPr>
        <c:crossAx val="236536960"/>
        <c:crosses val="autoZero"/>
        <c:auto val="1"/>
        <c:lblAlgn val="ctr"/>
        <c:lblOffset val="100"/>
        <c:noMultiLvlLbl val="0"/>
      </c:catAx>
      <c:valAx>
        <c:axId val="236536960"/>
        <c:scaling>
          <c:orientation val="minMax"/>
        </c:scaling>
        <c:delete val="0"/>
        <c:axPos val="l"/>
        <c:majorGridlines>
          <c:spPr>
            <a:ln>
              <a:solidFill>
                <a:sysClr val="windowText" lastClr="000000">
                  <a:lumMod val="95000"/>
                  <a:lumOff val="5000"/>
                </a:sysClr>
              </a:solidFill>
              <a:prstDash val="sysDot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314738688"/>
        <c:crosses val="autoZero"/>
        <c:crossBetween val="between"/>
        <c:majorUnit val="0.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11105250599655907"/>
          <c:y val="0.93379892730799963"/>
          <c:w val="0.77789498800688228"/>
          <c:h val="6.6201072692000457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cs-CZ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1334782120978246E-2"/>
          <c:y val="1.9317144180506847E-2"/>
          <c:w val="0.93866521787902202"/>
          <c:h val="0.6601773307748296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graf4.5!$B$3</c:f>
              <c:strCache>
                <c:ptCount val="1"/>
                <c:pt idx="0">
                  <c:v> Lůžková péče*</c:v>
                </c:pt>
              </c:strCache>
            </c:strRef>
          </c:tx>
          <c:spPr>
            <a:solidFill>
              <a:srgbClr val="D96D7F"/>
            </a:solidFill>
            <a:ln>
              <a:solidFill>
                <a:srgbClr val="C0504D">
                  <a:lumMod val="75000"/>
                </a:srgbClr>
              </a:solidFill>
            </a:ln>
          </c:spPr>
          <c:invertIfNegative val="0"/>
          <c:cat>
            <c:strRef>
              <c:f>graf4.5!$A$4:$A$34</c:f>
              <c:strCache>
                <c:ptCount val="31"/>
                <c:pt idx="0">
                  <c:v>Nizozemsko</c:v>
                </c:pt>
                <c:pt idx="1">
                  <c:v>Velká Británie</c:v>
                </c:pt>
                <c:pt idx="2">
                  <c:v>Česko</c:v>
                </c:pt>
                <c:pt idx="3">
                  <c:v>Německo</c:v>
                </c:pt>
                <c:pt idx="4">
                  <c:v>Francie</c:v>
                </c:pt>
                <c:pt idx="5">
                  <c:v>EU28</c:v>
                </c:pt>
                <c:pt idx="6">
                  <c:v>Slovinsko</c:v>
                </c:pt>
                <c:pt idx="7">
                  <c:v>Irsko</c:v>
                </c:pt>
                <c:pt idx="8">
                  <c:v>Lucembursko</c:v>
                </c:pt>
                <c:pt idx="9">
                  <c:v>Chorvatsko</c:v>
                </c:pt>
                <c:pt idx="10">
                  <c:v>Švýcarsko</c:v>
                </c:pt>
                <c:pt idx="11">
                  <c:v>Slovensko</c:v>
                </c:pt>
                <c:pt idx="12">
                  <c:v>Itálie</c:v>
                </c:pt>
                <c:pt idx="13">
                  <c:v>Rakousko</c:v>
                </c:pt>
                <c:pt idx="14">
                  <c:v>Belgie</c:v>
                </c:pt>
                <c:pt idx="15">
                  <c:v>Polsko</c:v>
                </c:pt>
                <c:pt idx="16">
                  <c:v>Rumunsko</c:v>
                </c:pt>
                <c:pt idx="17">
                  <c:v>Švédsko</c:v>
                </c:pt>
                <c:pt idx="18">
                  <c:v>Estonsko</c:v>
                </c:pt>
                <c:pt idx="19">
                  <c:v>Finsko</c:v>
                </c:pt>
                <c:pt idx="20">
                  <c:v>Španělsko</c:v>
                </c:pt>
                <c:pt idx="21">
                  <c:v>Maďarsko</c:v>
                </c:pt>
                <c:pt idx="22">
                  <c:v>Řecko</c:v>
                </c:pt>
                <c:pt idx="23">
                  <c:v>Dánsko</c:v>
                </c:pt>
                <c:pt idx="24">
                  <c:v>Bulharsko</c:v>
                </c:pt>
                <c:pt idx="25">
                  <c:v>Litva</c:v>
                </c:pt>
                <c:pt idx="26">
                  <c:v>Portugalsko</c:v>
                </c:pt>
                <c:pt idx="27">
                  <c:v>Island</c:v>
                </c:pt>
                <c:pt idx="28">
                  <c:v>Lotyšsko</c:v>
                </c:pt>
                <c:pt idx="29">
                  <c:v>Norsko</c:v>
                </c:pt>
                <c:pt idx="30">
                  <c:v>Kypr</c:v>
                </c:pt>
              </c:strCache>
            </c:strRef>
          </c:cat>
          <c:val>
            <c:numRef>
              <c:f>graf4.5!$B$4:$B$34</c:f>
              <c:numCache>
                <c:formatCode>0%</c:formatCode>
                <c:ptCount val="31"/>
                <c:pt idx="0">
                  <c:v>0.28130100000000008</c:v>
                </c:pt>
                <c:pt idx="1">
                  <c:v>0.27977000000000002</c:v>
                </c:pt>
                <c:pt idx="2">
                  <c:v>0.19472799999999998</c:v>
                </c:pt>
                <c:pt idx="3">
                  <c:v>0.2868360000000002</c:v>
                </c:pt>
                <c:pt idx="4">
                  <c:v>0.33246900000000035</c:v>
                </c:pt>
                <c:pt idx="5">
                  <c:v>0.29718207083356352</c:v>
                </c:pt>
                <c:pt idx="6">
                  <c:v>0.30016600000000021</c:v>
                </c:pt>
                <c:pt idx="7">
                  <c:v>0.30485300000000021</c:v>
                </c:pt>
                <c:pt idx="8">
                  <c:v>0.28578900000000002</c:v>
                </c:pt>
                <c:pt idx="9">
                  <c:v>0.23223800000000008</c:v>
                </c:pt>
                <c:pt idx="10">
                  <c:v>0.27452000000000021</c:v>
                </c:pt>
                <c:pt idx="11">
                  <c:v>0.27881000000000017</c:v>
                </c:pt>
                <c:pt idx="12">
                  <c:v>0.33075700000000008</c:v>
                </c:pt>
                <c:pt idx="13">
                  <c:v>0.34349800000000008</c:v>
                </c:pt>
                <c:pt idx="14">
                  <c:v>0.29411800000000021</c:v>
                </c:pt>
                <c:pt idx="15">
                  <c:v>0.34970800000000002</c:v>
                </c:pt>
                <c:pt idx="16">
                  <c:v>0.38565400000000022</c:v>
                </c:pt>
                <c:pt idx="17">
                  <c:v>0.226604</c:v>
                </c:pt>
                <c:pt idx="18">
                  <c:v>0.2764270000000002</c:v>
                </c:pt>
                <c:pt idx="19">
                  <c:v>0.268405</c:v>
                </c:pt>
                <c:pt idx="20">
                  <c:v>0.26043300000000003</c:v>
                </c:pt>
                <c:pt idx="21">
                  <c:v>0.28909100000000004</c:v>
                </c:pt>
                <c:pt idx="22">
                  <c:v>0.40687200000000018</c:v>
                </c:pt>
                <c:pt idx="23">
                  <c:v>0.26811000000000001</c:v>
                </c:pt>
                <c:pt idx="24">
                  <c:v>0.3550520000000002</c:v>
                </c:pt>
                <c:pt idx="25">
                  <c:v>0.29177500000000001</c:v>
                </c:pt>
                <c:pt idx="26">
                  <c:v>0.26304700000000003</c:v>
                </c:pt>
                <c:pt idx="27">
                  <c:v>0.30588400000000038</c:v>
                </c:pt>
                <c:pt idx="28">
                  <c:v>0.27568100000000001</c:v>
                </c:pt>
                <c:pt idx="29">
                  <c:v>0.28946500000000008</c:v>
                </c:pt>
                <c:pt idx="30">
                  <c:v>0.32175900000000007</c:v>
                </c:pt>
              </c:numCache>
            </c:numRef>
          </c:val>
        </c:ser>
        <c:ser>
          <c:idx val="1"/>
          <c:order val="1"/>
          <c:tx>
            <c:strRef>
              <c:f>graf4.5!$C$3</c:f>
              <c:strCache>
                <c:ptCount val="1"/>
                <c:pt idx="0">
                  <c:v> Ambulantní péče**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4F81BD">
                  <a:lumMod val="75000"/>
                </a:srgbClr>
              </a:solidFill>
            </a:ln>
          </c:spPr>
          <c:invertIfNegative val="0"/>
          <c:cat>
            <c:strRef>
              <c:f>graf4.5!$A$4:$A$34</c:f>
              <c:strCache>
                <c:ptCount val="31"/>
                <c:pt idx="0">
                  <c:v>Nizozemsko</c:v>
                </c:pt>
                <c:pt idx="1">
                  <c:v>Velká Británie</c:v>
                </c:pt>
                <c:pt idx="2">
                  <c:v>Česko</c:v>
                </c:pt>
                <c:pt idx="3">
                  <c:v>Německo</c:v>
                </c:pt>
                <c:pt idx="4">
                  <c:v>Francie</c:v>
                </c:pt>
                <c:pt idx="5">
                  <c:v>EU28</c:v>
                </c:pt>
                <c:pt idx="6">
                  <c:v>Slovinsko</c:v>
                </c:pt>
                <c:pt idx="7">
                  <c:v>Irsko</c:v>
                </c:pt>
                <c:pt idx="8">
                  <c:v>Lucembursko</c:v>
                </c:pt>
                <c:pt idx="9">
                  <c:v>Chorvatsko</c:v>
                </c:pt>
                <c:pt idx="10">
                  <c:v>Švýcarsko</c:v>
                </c:pt>
                <c:pt idx="11">
                  <c:v>Slovensko</c:v>
                </c:pt>
                <c:pt idx="12">
                  <c:v>Itálie</c:v>
                </c:pt>
                <c:pt idx="13">
                  <c:v>Rakousko</c:v>
                </c:pt>
                <c:pt idx="14">
                  <c:v>Belgie</c:v>
                </c:pt>
                <c:pt idx="15">
                  <c:v>Polsko</c:v>
                </c:pt>
                <c:pt idx="16">
                  <c:v>Rumunsko</c:v>
                </c:pt>
                <c:pt idx="17">
                  <c:v>Švédsko</c:v>
                </c:pt>
                <c:pt idx="18">
                  <c:v>Estonsko</c:v>
                </c:pt>
                <c:pt idx="19">
                  <c:v>Finsko</c:v>
                </c:pt>
                <c:pt idx="20">
                  <c:v>Španělsko</c:v>
                </c:pt>
                <c:pt idx="21">
                  <c:v>Maďarsko</c:v>
                </c:pt>
                <c:pt idx="22">
                  <c:v>Řecko</c:v>
                </c:pt>
                <c:pt idx="23">
                  <c:v>Dánsko</c:v>
                </c:pt>
                <c:pt idx="24">
                  <c:v>Bulharsko</c:v>
                </c:pt>
                <c:pt idx="25">
                  <c:v>Litva</c:v>
                </c:pt>
                <c:pt idx="26">
                  <c:v>Portugalsko</c:v>
                </c:pt>
                <c:pt idx="27">
                  <c:v>Island</c:v>
                </c:pt>
                <c:pt idx="28">
                  <c:v>Lotyšsko</c:v>
                </c:pt>
                <c:pt idx="29">
                  <c:v>Norsko</c:v>
                </c:pt>
                <c:pt idx="30">
                  <c:v>Kypr</c:v>
                </c:pt>
              </c:strCache>
            </c:strRef>
          </c:cat>
          <c:val>
            <c:numRef>
              <c:f>graf4.5!$C$4:$C$34</c:f>
              <c:numCache>
                <c:formatCode>0%</c:formatCode>
                <c:ptCount val="31"/>
                <c:pt idx="0">
                  <c:v>0.23599500000000007</c:v>
                </c:pt>
                <c:pt idx="1">
                  <c:v>0.30430000000000024</c:v>
                </c:pt>
                <c:pt idx="2">
                  <c:v>0.39298500000000036</c:v>
                </c:pt>
                <c:pt idx="3">
                  <c:v>0.29419700000000004</c:v>
                </c:pt>
                <c:pt idx="4">
                  <c:v>0.26375200000000004</c:v>
                </c:pt>
                <c:pt idx="5">
                  <c:v>0.29857488938557136</c:v>
                </c:pt>
                <c:pt idx="6">
                  <c:v>0.29796400000000017</c:v>
                </c:pt>
                <c:pt idx="7">
                  <c:v>0.2570240000000002</c:v>
                </c:pt>
                <c:pt idx="8">
                  <c:v>0.30862400000000018</c:v>
                </c:pt>
                <c:pt idx="9">
                  <c:v>0.35522200000000015</c:v>
                </c:pt>
                <c:pt idx="10">
                  <c:v>0.33795400000000037</c:v>
                </c:pt>
                <c:pt idx="11">
                  <c:v>0.31130700000000017</c:v>
                </c:pt>
                <c:pt idx="12">
                  <c:v>0.31773800000000002</c:v>
                </c:pt>
                <c:pt idx="13">
                  <c:v>0.28009300000000004</c:v>
                </c:pt>
                <c:pt idx="14">
                  <c:v>0.24492600000000009</c:v>
                </c:pt>
                <c:pt idx="15">
                  <c:v>0.310253</c:v>
                </c:pt>
                <c:pt idx="16">
                  <c:v>0.1700090000000001</c:v>
                </c:pt>
                <c:pt idx="17">
                  <c:v>0.3394840000000004</c:v>
                </c:pt>
                <c:pt idx="18">
                  <c:v>0.40423399999999998</c:v>
                </c:pt>
                <c:pt idx="19">
                  <c:v>0.35882600000000031</c:v>
                </c:pt>
                <c:pt idx="20">
                  <c:v>0.37524300000000005</c:v>
                </c:pt>
                <c:pt idx="21">
                  <c:v>0.28888000000000036</c:v>
                </c:pt>
                <c:pt idx="22">
                  <c:v>0.22420299999999999</c:v>
                </c:pt>
                <c:pt idx="23">
                  <c:v>0.343725</c:v>
                </c:pt>
                <c:pt idx="24">
                  <c:v>0.17288900000000001</c:v>
                </c:pt>
                <c:pt idx="25">
                  <c:v>0.27030200000000021</c:v>
                </c:pt>
                <c:pt idx="26">
                  <c:v>0.4785290000000002</c:v>
                </c:pt>
                <c:pt idx="27">
                  <c:v>0.30381800000000037</c:v>
                </c:pt>
                <c:pt idx="28">
                  <c:v>0.32994100000000021</c:v>
                </c:pt>
                <c:pt idx="29">
                  <c:v>0.28307600000000022</c:v>
                </c:pt>
                <c:pt idx="30">
                  <c:v>0.43896600000000013</c:v>
                </c:pt>
              </c:numCache>
            </c:numRef>
          </c:val>
        </c:ser>
        <c:ser>
          <c:idx val="2"/>
          <c:order val="2"/>
          <c:tx>
            <c:strRef>
              <c:f>graf4.5!$D$3</c:f>
              <c:strCache>
                <c:ptCount val="1"/>
                <c:pt idx="0">
                  <c:v> Dlouhodobá péče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BBB59">
                  <a:lumMod val="75000"/>
                </a:srgbClr>
              </a:solidFill>
            </a:ln>
          </c:spPr>
          <c:invertIfNegative val="0"/>
          <c:cat>
            <c:strRef>
              <c:f>graf4.5!$A$4:$A$34</c:f>
              <c:strCache>
                <c:ptCount val="31"/>
                <c:pt idx="0">
                  <c:v>Nizozemsko</c:v>
                </c:pt>
                <c:pt idx="1">
                  <c:v>Velká Británie</c:v>
                </c:pt>
                <c:pt idx="2">
                  <c:v>Česko</c:v>
                </c:pt>
                <c:pt idx="3">
                  <c:v>Německo</c:v>
                </c:pt>
                <c:pt idx="4">
                  <c:v>Francie</c:v>
                </c:pt>
                <c:pt idx="5">
                  <c:v>EU28</c:v>
                </c:pt>
                <c:pt idx="6">
                  <c:v>Slovinsko</c:v>
                </c:pt>
                <c:pt idx="7">
                  <c:v>Irsko</c:v>
                </c:pt>
                <c:pt idx="8">
                  <c:v>Lucembursko</c:v>
                </c:pt>
                <c:pt idx="9">
                  <c:v>Chorvatsko</c:v>
                </c:pt>
                <c:pt idx="10">
                  <c:v>Švýcarsko</c:v>
                </c:pt>
                <c:pt idx="11">
                  <c:v>Slovensko</c:v>
                </c:pt>
                <c:pt idx="12">
                  <c:v>Itálie</c:v>
                </c:pt>
                <c:pt idx="13">
                  <c:v>Rakousko</c:v>
                </c:pt>
                <c:pt idx="14">
                  <c:v>Belgie</c:v>
                </c:pt>
                <c:pt idx="15">
                  <c:v>Polsko</c:v>
                </c:pt>
                <c:pt idx="16">
                  <c:v>Rumunsko</c:v>
                </c:pt>
                <c:pt idx="17">
                  <c:v>Švédsko</c:v>
                </c:pt>
                <c:pt idx="18">
                  <c:v>Estonsko</c:v>
                </c:pt>
                <c:pt idx="19">
                  <c:v>Finsko</c:v>
                </c:pt>
                <c:pt idx="20">
                  <c:v>Španělsko</c:v>
                </c:pt>
                <c:pt idx="21">
                  <c:v>Maďarsko</c:v>
                </c:pt>
                <c:pt idx="22">
                  <c:v>Řecko</c:v>
                </c:pt>
                <c:pt idx="23">
                  <c:v>Dánsko</c:v>
                </c:pt>
                <c:pt idx="24">
                  <c:v>Bulharsko</c:v>
                </c:pt>
                <c:pt idx="25">
                  <c:v>Litva</c:v>
                </c:pt>
                <c:pt idx="26">
                  <c:v>Portugalsko</c:v>
                </c:pt>
                <c:pt idx="27">
                  <c:v>Island</c:v>
                </c:pt>
                <c:pt idx="28">
                  <c:v>Lotyšsko</c:v>
                </c:pt>
                <c:pt idx="29">
                  <c:v>Norsko</c:v>
                </c:pt>
                <c:pt idx="30">
                  <c:v>Kypr</c:v>
                </c:pt>
              </c:strCache>
            </c:strRef>
          </c:cat>
          <c:val>
            <c:numRef>
              <c:f>graf4.5!$D$4:$D$34</c:f>
              <c:numCache>
                <c:formatCode>0%</c:formatCode>
                <c:ptCount val="31"/>
                <c:pt idx="0">
                  <c:v>0.27235700000000002</c:v>
                </c:pt>
                <c:pt idx="1">
                  <c:v>0.17967</c:v>
                </c:pt>
                <c:pt idx="2">
                  <c:v>0.12461300000000004</c:v>
                </c:pt>
                <c:pt idx="3">
                  <c:v>0.13836899999999999</c:v>
                </c:pt>
                <c:pt idx="4">
                  <c:v>0.12023300000000008</c:v>
                </c:pt>
                <c:pt idx="5">
                  <c:v>0.14593155009329634</c:v>
                </c:pt>
                <c:pt idx="6">
                  <c:v>0.102856</c:v>
                </c:pt>
                <c:pt idx="7">
                  <c:v>0.222634</c:v>
                </c:pt>
                <c:pt idx="8">
                  <c:v>0.23151500000000008</c:v>
                </c:pt>
                <c:pt idx="9">
                  <c:v>2.7114000000000006E-2</c:v>
                </c:pt>
                <c:pt idx="10">
                  <c:v>0.19238</c:v>
                </c:pt>
                <c:pt idx="11">
                  <c:v>3.3760000000000001E-3</c:v>
                </c:pt>
                <c:pt idx="12">
                  <c:v>9.4650000000000067E-2</c:v>
                </c:pt>
                <c:pt idx="13">
                  <c:v>0.15105099999999999</c:v>
                </c:pt>
                <c:pt idx="14">
                  <c:v>0.24504100000000009</c:v>
                </c:pt>
                <c:pt idx="15">
                  <c:v>5.5364000000000031E-2</c:v>
                </c:pt>
                <c:pt idx="16">
                  <c:v>1.8082000000000001E-2</c:v>
                </c:pt>
                <c:pt idx="17">
                  <c:v>0.26175800000000005</c:v>
                </c:pt>
                <c:pt idx="18">
                  <c:v>5.429700000000004E-2</c:v>
                </c:pt>
                <c:pt idx="19">
                  <c:v>0.17713000000000001</c:v>
                </c:pt>
                <c:pt idx="20">
                  <c:v>9.1798000000000046E-2</c:v>
                </c:pt>
                <c:pt idx="21">
                  <c:v>4.2854000000000003E-2</c:v>
                </c:pt>
                <c:pt idx="22">
                  <c:v>1.6410000000000001E-2</c:v>
                </c:pt>
                <c:pt idx="23">
                  <c:v>0.24361200000000008</c:v>
                </c:pt>
                <c:pt idx="24">
                  <c:v>9.8200000000000067E-4</c:v>
                </c:pt>
                <c:pt idx="25">
                  <c:v>8.7584000000000023E-2</c:v>
                </c:pt>
                <c:pt idx="26">
                  <c:v>2.3762999999999986E-2</c:v>
                </c:pt>
                <c:pt idx="27">
                  <c:v>0.20358000000000001</c:v>
                </c:pt>
                <c:pt idx="28">
                  <c:v>5.9283000000000023E-2</c:v>
                </c:pt>
                <c:pt idx="29">
                  <c:v>0.2835830000000002</c:v>
                </c:pt>
                <c:pt idx="30">
                  <c:v>2.9357000000000001E-2</c:v>
                </c:pt>
              </c:numCache>
            </c:numRef>
          </c:val>
        </c:ser>
        <c:ser>
          <c:idx val="3"/>
          <c:order val="3"/>
          <c:tx>
            <c:strRef>
              <c:f>graf4.5!$E$3</c:f>
              <c:strCache>
                <c:ptCount val="1"/>
                <c:pt idx="0">
                  <c:v> Léky a zdravotnické potřeby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79646">
                  <a:lumMod val="75000"/>
                </a:srgbClr>
              </a:solidFill>
            </a:ln>
          </c:spPr>
          <c:invertIfNegative val="0"/>
          <c:cat>
            <c:strRef>
              <c:f>graf4.5!$A$4:$A$34</c:f>
              <c:strCache>
                <c:ptCount val="31"/>
                <c:pt idx="0">
                  <c:v>Nizozemsko</c:v>
                </c:pt>
                <c:pt idx="1">
                  <c:v>Velká Británie</c:v>
                </c:pt>
                <c:pt idx="2">
                  <c:v>Česko</c:v>
                </c:pt>
                <c:pt idx="3">
                  <c:v>Německo</c:v>
                </c:pt>
                <c:pt idx="4">
                  <c:v>Francie</c:v>
                </c:pt>
                <c:pt idx="5">
                  <c:v>EU28</c:v>
                </c:pt>
                <c:pt idx="6">
                  <c:v>Slovinsko</c:v>
                </c:pt>
                <c:pt idx="7">
                  <c:v>Irsko</c:v>
                </c:pt>
                <c:pt idx="8">
                  <c:v>Lucembursko</c:v>
                </c:pt>
                <c:pt idx="9">
                  <c:v>Chorvatsko</c:v>
                </c:pt>
                <c:pt idx="10">
                  <c:v>Švýcarsko</c:v>
                </c:pt>
                <c:pt idx="11">
                  <c:v>Slovensko</c:v>
                </c:pt>
                <c:pt idx="12">
                  <c:v>Itálie</c:v>
                </c:pt>
                <c:pt idx="13">
                  <c:v>Rakousko</c:v>
                </c:pt>
                <c:pt idx="14">
                  <c:v>Belgie</c:v>
                </c:pt>
                <c:pt idx="15">
                  <c:v>Polsko</c:v>
                </c:pt>
                <c:pt idx="16">
                  <c:v>Rumunsko</c:v>
                </c:pt>
                <c:pt idx="17">
                  <c:v>Švédsko</c:v>
                </c:pt>
                <c:pt idx="18">
                  <c:v>Estonsko</c:v>
                </c:pt>
                <c:pt idx="19">
                  <c:v>Finsko</c:v>
                </c:pt>
                <c:pt idx="20">
                  <c:v>Španělsko</c:v>
                </c:pt>
                <c:pt idx="21">
                  <c:v>Maďarsko</c:v>
                </c:pt>
                <c:pt idx="22">
                  <c:v>Řecko</c:v>
                </c:pt>
                <c:pt idx="23">
                  <c:v>Dánsko</c:v>
                </c:pt>
                <c:pt idx="24">
                  <c:v>Bulharsko</c:v>
                </c:pt>
                <c:pt idx="25">
                  <c:v>Litva</c:v>
                </c:pt>
                <c:pt idx="26">
                  <c:v>Portugalsko</c:v>
                </c:pt>
                <c:pt idx="27">
                  <c:v>Island</c:v>
                </c:pt>
                <c:pt idx="28">
                  <c:v>Lotyšsko</c:v>
                </c:pt>
                <c:pt idx="29">
                  <c:v>Norsko</c:v>
                </c:pt>
                <c:pt idx="30">
                  <c:v>Kypr</c:v>
                </c:pt>
              </c:strCache>
            </c:strRef>
          </c:cat>
          <c:val>
            <c:numRef>
              <c:f>graf4.5!$E$4:$E$34</c:f>
              <c:numCache>
                <c:formatCode>0%</c:formatCode>
                <c:ptCount val="31"/>
                <c:pt idx="0">
                  <c:v>0.12011699999999999</c:v>
                </c:pt>
                <c:pt idx="1">
                  <c:v>0.14832999999999999</c:v>
                </c:pt>
                <c:pt idx="2">
                  <c:v>0.20010899999999998</c:v>
                </c:pt>
                <c:pt idx="3">
                  <c:v>0.20003099999999999</c:v>
                </c:pt>
                <c:pt idx="4">
                  <c:v>0.20354700000000009</c:v>
                </c:pt>
                <c:pt idx="5">
                  <c:v>0.18610771157509562</c:v>
                </c:pt>
                <c:pt idx="6">
                  <c:v>0.22700900000000004</c:v>
                </c:pt>
                <c:pt idx="7">
                  <c:v>0.14448800000000009</c:v>
                </c:pt>
                <c:pt idx="8">
                  <c:v>0.10680300000000002</c:v>
                </c:pt>
                <c:pt idx="9">
                  <c:v>0.32025300000000001</c:v>
                </c:pt>
                <c:pt idx="10">
                  <c:v>0.1314840000000001</c:v>
                </c:pt>
                <c:pt idx="11">
                  <c:v>0.34601900000000002</c:v>
                </c:pt>
                <c:pt idx="12">
                  <c:v>0.19766600000000001</c:v>
                </c:pt>
                <c:pt idx="13">
                  <c:v>0.167602</c:v>
                </c:pt>
                <c:pt idx="14">
                  <c:v>0.15965199999999999</c:v>
                </c:pt>
                <c:pt idx="15">
                  <c:v>0.23194400000000012</c:v>
                </c:pt>
                <c:pt idx="16">
                  <c:v>0.37392800000000037</c:v>
                </c:pt>
                <c:pt idx="17">
                  <c:v>0.12026999999999999</c:v>
                </c:pt>
                <c:pt idx="18">
                  <c:v>0.21429000000000006</c:v>
                </c:pt>
                <c:pt idx="19">
                  <c:v>0.14570600000000009</c:v>
                </c:pt>
                <c:pt idx="20">
                  <c:v>0.22292300000000001</c:v>
                </c:pt>
                <c:pt idx="21">
                  <c:v>0.33083600000000024</c:v>
                </c:pt>
                <c:pt idx="22">
                  <c:v>0.30641400000000024</c:v>
                </c:pt>
                <c:pt idx="23">
                  <c:v>9.9244000000000027E-2</c:v>
                </c:pt>
                <c:pt idx="24">
                  <c:v>0.426595</c:v>
                </c:pt>
                <c:pt idx="25">
                  <c:v>0.31047900000000017</c:v>
                </c:pt>
                <c:pt idx="26">
                  <c:v>0.19608</c:v>
                </c:pt>
                <c:pt idx="27">
                  <c:v>0.15003700000000009</c:v>
                </c:pt>
                <c:pt idx="28">
                  <c:v>0.29971600000000015</c:v>
                </c:pt>
                <c:pt idx="29">
                  <c:v>0.10864400000000005</c:v>
                </c:pt>
                <c:pt idx="30">
                  <c:v>0.18882499999999999</c:v>
                </c:pt>
              </c:numCache>
            </c:numRef>
          </c:val>
        </c:ser>
        <c:ser>
          <c:idx val="4"/>
          <c:order val="4"/>
          <c:tx>
            <c:strRef>
              <c:f>graf4.5!$F$3</c:f>
              <c:strCache>
                <c:ptCount val="1"/>
                <c:pt idx="0">
                  <c:v> Prevence a administrativa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8064A2">
                  <a:lumMod val="50000"/>
                </a:srgbClr>
              </a:solidFill>
            </a:ln>
          </c:spPr>
          <c:invertIfNegative val="0"/>
          <c:cat>
            <c:strRef>
              <c:f>graf4.5!$A$4:$A$34</c:f>
              <c:strCache>
                <c:ptCount val="31"/>
                <c:pt idx="0">
                  <c:v>Nizozemsko</c:v>
                </c:pt>
                <c:pt idx="1">
                  <c:v>Velká Británie</c:v>
                </c:pt>
                <c:pt idx="2">
                  <c:v>Česko</c:v>
                </c:pt>
                <c:pt idx="3">
                  <c:v>Německo</c:v>
                </c:pt>
                <c:pt idx="4">
                  <c:v>Francie</c:v>
                </c:pt>
                <c:pt idx="5">
                  <c:v>EU28</c:v>
                </c:pt>
                <c:pt idx="6">
                  <c:v>Slovinsko</c:v>
                </c:pt>
                <c:pt idx="7">
                  <c:v>Irsko</c:v>
                </c:pt>
                <c:pt idx="8">
                  <c:v>Lucembursko</c:v>
                </c:pt>
                <c:pt idx="9">
                  <c:v>Chorvatsko</c:v>
                </c:pt>
                <c:pt idx="10">
                  <c:v>Švýcarsko</c:v>
                </c:pt>
                <c:pt idx="11">
                  <c:v>Slovensko</c:v>
                </c:pt>
                <c:pt idx="12">
                  <c:v>Itálie</c:v>
                </c:pt>
                <c:pt idx="13">
                  <c:v>Rakousko</c:v>
                </c:pt>
                <c:pt idx="14">
                  <c:v>Belgie</c:v>
                </c:pt>
                <c:pt idx="15">
                  <c:v>Polsko</c:v>
                </c:pt>
                <c:pt idx="16">
                  <c:v>Rumunsko</c:v>
                </c:pt>
                <c:pt idx="17">
                  <c:v>Švédsko</c:v>
                </c:pt>
                <c:pt idx="18">
                  <c:v>Estonsko</c:v>
                </c:pt>
                <c:pt idx="19">
                  <c:v>Finsko</c:v>
                </c:pt>
                <c:pt idx="20">
                  <c:v>Španělsko</c:v>
                </c:pt>
                <c:pt idx="21">
                  <c:v>Maďarsko</c:v>
                </c:pt>
                <c:pt idx="22">
                  <c:v>Řecko</c:v>
                </c:pt>
                <c:pt idx="23">
                  <c:v>Dánsko</c:v>
                </c:pt>
                <c:pt idx="24">
                  <c:v>Bulharsko</c:v>
                </c:pt>
                <c:pt idx="25">
                  <c:v>Litva</c:v>
                </c:pt>
                <c:pt idx="26">
                  <c:v>Portugalsko</c:v>
                </c:pt>
                <c:pt idx="27">
                  <c:v>Island</c:v>
                </c:pt>
                <c:pt idx="28">
                  <c:v>Lotyšsko</c:v>
                </c:pt>
                <c:pt idx="29">
                  <c:v>Norsko</c:v>
                </c:pt>
                <c:pt idx="30">
                  <c:v>Kypr</c:v>
                </c:pt>
              </c:strCache>
            </c:strRef>
          </c:cat>
          <c:val>
            <c:numRef>
              <c:f>graf4.5!$F$4:$F$34</c:f>
              <c:numCache>
                <c:formatCode>0%</c:formatCode>
                <c:ptCount val="31"/>
                <c:pt idx="0">
                  <c:v>9.0229000000000004E-2</c:v>
                </c:pt>
                <c:pt idx="1">
                  <c:v>8.7920000000000026E-2</c:v>
                </c:pt>
                <c:pt idx="2">
                  <c:v>8.7566000000000047E-2</c:v>
                </c:pt>
                <c:pt idx="3">
                  <c:v>8.0570000000000044E-2</c:v>
                </c:pt>
                <c:pt idx="4">
                  <c:v>7.9999000000000042E-2</c:v>
                </c:pt>
                <c:pt idx="5">
                  <c:v>7.220377811247361E-2</c:v>
                </c:pt>
                <c:pt idx="6">
                  <c:v>7.2005000000000013E-2</c:v>
                </c:pt>
                <c:pt idx="7">
                  <c:v>7.0999999999999994E-2</c:v>
                </c:pt>
                <c:pt idx="8">
                  <c:v>6.7270999999999997E-2</c:v>
                </c:pt>
                <c:pt idx="9">
                  <c:v>6.5171000000000007E-2</c:v>
                </c:pt>
                <c:pt idx="10">
                  <c:v>6.3661000000000009E-2</c:v>
                </c:pt>
                <c:pt idx="11">
                  <c:v>6.0488000000000014E-2</c:v>
                </c:pt>
                <c:pt idx="12">
                  <c:v>5.9189999999999993E-2</c:v>
                </c:pt>
                <c:pt idx="13">
                  <c:v>5.7757000000000031E-2</c:v>
                </c:pt>
                <c:pt idx="14">
                  <c:v>5.6262000000000013E-2</c:v>
                </c:pt>
                <c:pt idx="15">
                  <c:v>5.2731000000000028E-2</c:v>
                </c:pt>
                <c:pt idx="16">
                  <c:v>5.2326000000000018E-2</c:v>
                </c:pt>
                <c:pt idx="17">
                  <c:v>5.1884E-2</c:v>
                </c:pt>
                <c:pt idx="18">
                  <c:v>5.0752000000000026E-2</c:v>
                </c:pt>
                <c:pt idx="19">
                  <c:v>4.9932000000000025E-2</c:v>
                </c:pt>
                <c:pt idx="20">
                  <c:v>4.9603000000000022E-2</c:v>
                </c:pt>
                <c:pt idx="21">
                  <c:v>4.8339000000000014E-2</c:v>
                </c:pt>
                <c:pt idx="22">
                  <c:v>4.6100999999999996E-2</c:v>
                </c:pt>
                <c:pt idx="23">
                  <c:v>4.5309000000000002E-2</c:v>
                </c:pt>
                <c:pt idx="24">
                  <c:v>4.4482000000000042E-2</c:v>
                </c:pt>
                <c:pt idx="25">
                  <c:v>3.986E-2</c:v>
                </c:pt>
                <c:pt idx="26">
                  <c:v>3.8581999999999998E-2</c:v>
                </c:pt>
                <c:pt idx="27">
                  <c:v>3.6680000000000011E-2</c:v>
                </c:pt>
                <c:pt idx="28">
                  <c:v>3.5378E-2</c:v>
                </c:pt>
                <c:pt idx="29">
                  <c:v>3.5232000000000006E-2</c:v>
                </c:pt>
                <c:pt idx="30">
                  <c:v>2.1095000000000017E-2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15547648"/>
        <c:axId val="236540416"/>
      </c:barChart>
      <c:catAx>
        <c:axId val="31554764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3175">
            <a:solidFill>
              <a:sysClr val="window" lastClr="FFFFFF">
                <a:lumMod val="75000"/>
              </a:sysClr>
            </a:solidFill>
          </a:ln>
        </c:spPr>
        <c:txPr>
          <a:bodyPr rot="-5400000" vert="horz"/>
          <a:lstStyle/>
          <a:p>
            <a:pPr>
              <a:defRPr sz="800"/>
            </a:pPr>
            <a:endParaRPr lang="cs-CZ"/>
          </a:p>
        </c:txPr>
        <c:crossAx val="236540416"/>
        <c:crosses val="autoZero"/>
        <c:auto val="1"/>
        <c:lblAlgn val="ctr"/>
        <c:lblOffset val="100"/>
        <c:noMultiLvlLbl val="0"/>
      </c:catAx>
      <c:valAx>
        <c:axId val="236540416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>
                  <a:lumMod val="75000"/>
                </a:sysClr>
              </a:solidFill>
              <a:prstDash val="sysDot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ysClr val="window" lastClr="FFFFFF">
                <a:lumMod val="75000"/>
              </a:sysClr>
            </a:solidFill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315547648"/>
        <c:crosses val="autoZero"/>
        <c:crossBetween val="between"/>
        <c:majorUnit val="0.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"/>
          <c:y val="0.90255806259511684"/>
          <c:w val="1"/>
          <c:h val="9.7441937404883175E-2"/>
        </c:manualLayout>
      </c:layout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cs-CZ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030191778174968E-2"/>
          <c:y val="5.0925925925925923E-2"/>
          <c:w val="0.93477819106967464"/>
          <c:h val="0.6768164748637192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graf4.6!$B$3</c:f>
              <c:strCache>
                <c:ptCount val="1"/>
                <c:pt idx="0">
                  <c:v> Veřejné výdaje</c:v>
                </c:pt>
              </c:strCache>
            </c:strRef>
          </c:tx>
          <c:spPr>
            <a:solidFill>
              <a:srgbClr val="D96D7F"/>
            </a:solidFill>
            <a:ln>
              <a:solidFill>
                <a:srgbClr val="C00000"/>
              </a:solidFill>
            </a:ln>
          </c:spPr>
          <c:invertIfNegative val="0"/>
          <c:cat>
            <c:strRef>
              <c:f>graf4.6!$A$4:$A$33</c:f>
              <c:strCache>
                <c:ptCount val="30"/>
                <c:pt idx="0">
                  <c:v>Německo</c:v>
                </c:pt>
                <c:pt idx="1">
                  <c:v>Irsko</c:v>
                </c:pt>
                <c:pt idx="2">
                  <c:v>Švýcarsko</c:v>
                </c:pt>
                <c:pt idx="3">
                  <c:v>Řecko</c:v>
                </c:pt>
                <c:pt idx="4">
                  <c:v>Francie</c:v>
                </c:pt>
                <c:pt idx="5">
                  <c:v>Belgie</c:v>
                </c:pt>
                <c:pt idx="6">
                  <c:v>Rakousko</c:v>
                </c:pt>
                <c:pt idx="7">
                  <c:v>Bulharsko</c:v>
                </c:pt>
                <c:pt idx="8">
                  <c:v>Itálie</c:v>
                </c:pt>
                <c:pt idx="9">
                  <c:v>Slovensko</c:v>
                </c:pt>
                <c:pt idx="10">
                  <c:v>Španělsko</c:v>
                </c:pt>
                <c:pt idx="11">
                  <c:v>Maďarsko</c:v>
                </c:pt>
                <c:pt idx="12">
                  <c:v>Lucembursko</c:v>
                </c:pt>
                <c:pt idx="13">
                  <c:v>Velká Británie</c:v>
                </c:pt>
                <c:pt idx="14">
                  <c:v>Litva</c:v>
                </c:pt>
                <c:pt idx="15">
                  <c:v>Slovinsko</c:v>
                </c:pt>
                <c:pt idx="16">
                  <c:v>Finsko</c:v>
                </c:pt>
                <c:pt idx="17">
                  <c:v>Švédsko</c:v>
                </c:pt>
                <c:pt idx="18">
                  <c:v>Nizozemsko</c:v>
                </c:pt>
                <c:pt idx="19">
                  <c:v>Portugalsko</c:v>
                </c:pt>
                <c:pt idx="20">
                  <c:v>Chorvatsko</c:v>
                </c:pt>
                <c:pt idx="21">
                  <c:v>Island</c:v>
                </c:pt>
                <c:pt idx="22">
                  <c:v>Česko</c:v>
                </c:pt>
                <c:pt idx="23">
                  <c:v>Norsko</c:v>
                </c:pt>
                <c:pt idx="24">
                  <c:v>Rumunsko</c:v>
                </c:pt>
                <c:pt idx="25">
                  <c:v>Kypr</c:v>
                </c:pt>
                <c:pt idx="26">
                  <c:v>Lotyšsko</c:v>
                </c:pt>
                <c:pt idx="27">
                  <c:v>Polsko</c:v>
                </c:pt>
                <c:pt idx="28">
                  <c:v>Estonsko</c:v>
                </c:pt>
                <c:pt idx="29">
                  <c:v>Dánsko</c:v>
                </c:pt>
              </c:strCache>
            </c:strRef>
          </c:cat>
          <c:val>
            <c:numRef>
              <c:f>graf4.6!$B$4:$B$33</c:f>
              <c:numCache>
                <c:formatCode>0</c:formatCode>
                <c:ptCount val="30"/>
                <c:pt idx="0">
                  <c:v>459.44829623173172</c:v>
                </c:pt>
                <c:pt idx="1">
                  <c:v>365.34612652344651</c:v>
                </c:pt>
                <c:pt idx="2">
                  <c:v>335.16312067887924</c:v>
                </c:pt>
                <c:pt idx="3">
                  <c:v>264.27617884782399</c:v>
                </c:pt>
                <c:pt idx="4">
                  <c:v>332.27895558176999</c:v>
                </c:pt>
                <c:pt idx="5">
                  <c:v>311.47135477122634</c:v>
                </c:pt>
                <c:pt idx="6">
                  <c:v>301.30841983929923</c:v>
                </c:pt>
                <c:pt idx="7">
                  <c:v>99.29761035529242</c:v>
                </c:pt>
                <c:pt idx="8">
                  <c:v>248.14115884860431</c:v>
                </c:pt>
                <c:pt idx="9">
                  <c:v>283.26813000523123</c:v>
                </c:pt>
                <c:pt idx="10">
                  <c:v>239.87144122959037</c:v>
                </c:pt>
                <c:pt idx="11">
                  <c:v>189.58603522136318</c:v>
                </c:pt>
                <c:pt idx="12">
                  <c:v>302.22882328565174</c:v>
                </c:pt>
                <c:pt idx="13">
                  <c:v>236.57507433260361</c:v>
                </c:pt>
                <c:pt idx="14">
                  <c:v>116.8702710172619</c:v>
                </c:pt>
                <c:pt idx="15">
                  <c:v>166.79070590208394</c:v>
                </c:pt>
                <c:pt idx="16">
                  <c:v>186.06890893142418</c:v>
                </c:pt>
                <c:pt idx="17">
                  <c:v>175.80337362645716</c:v>
                </c:pt>
                <c:pt idx="18">
                  <c:v>239.7732008317447</c:v>
                </c:pt>
                <c:pt idx="19">
                  <c:v>161.98570106820054</c:v>
                </c:pt>
                <c:pt idx="20">
                  <c:v>170.32568703313407</c:v>
                </c:pt>
                <c:pt idx="21">
                  <c:v>111.53020839229035</c:v>
                </c:pt>
                <c:pt idx="22">
                  <c:v>177.59690853076754</c:v>
                </c:pt>
                <c:pt idx="23">
                  <c:v>162.3154510401244</c:v>
                </c:pt>
                <c:pt idx="24">
                  <c:v>168.86954749784758</c:v>
                </c:pt>
                <c:pt idx="25">
                  <c:v>51.212205114050562</c:v>
                </c:pt>
                <c:pt idx="26">
                  <c:v>89.145012960468108</c:v>
                </c:pt>
                <c:pt idx="27">
                  <c:v>83.151997456421057</c:v>
                </c:pt>
                <c:pt idx="28">
                  <c:v>119.56383742436891</c:v>
                </c:pt>
                <c:pt idx="29">
                  <c:v>89.44671786807217</c:v>
                </c:pt>
              </c:numCache>
            </c:numRef>
          </c:val>
        </c:ser>
        <c:ser>
          <c:idx val="1"/>
          <c:order val="1"/>
          <c:tx>
            <c:strRef>
              <c:f>graf4.6!$C$3</c:f>
              <c:strCache>
                <c:ptCount val="1"/>
                <c:pt idx="0">
                  <c:v> Soukromé výdaje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4F81BD">
                  <a:lumMod val="50000"/>
                </a:srgbClr>
              </a:solidFill>
            </a:ln>
          </c:spPr>
          <c:invertIfNegative val="0"/>
          <c:cat>
            <c:strRef>
              <c:f>graf4.6!$A$4:$A$33</c:f>
              <c:strCache>
                <c:ptCount val="30"/>
                <c:pt idx="0">
                  <c:v>Německo</c:v>
                </c:pt>
                <c:pt idx="1">
                  <c:v>Irsko</c:v>
                </c:pt>
                <c:pt idx="2">
                  <c:v>Švýcarsko</c:v>
                </c:pt>
                <c:pt idx="3">
                  <c:v>Řecko</c:v>
                </c:pt>
                <c:pt idx="4">
                  <c:v>Francie</c:v>
                </c:pt>
                <c:pt idx="5">
                  <c:v>Belgie</c:v>
                </c:pt>
                <c:pt idx="6">
                  <c:v>Rakousko</c:v>
                </c:pt>
                <c:pt idx="7">
                  <c:v>Bulharsko</c:v>
                </c:pt>
                <c:pt idx="8">
                  <c:v>Itálie</c:v>
                </c:pt>
                <c:pt idx="9">
                  <c:v>Slovensko</c:v>
                </c:pt>
                <c:pt idx="10">
                  <c:v>Španělsko</c:v>
                </c:pt>
                <c:pt idx="11">
                  <c:v>Maďarsko</c:v>
                </c:pt>
                <c:pt idx="12">
                  <c:v>Lucembursko</c:v>
                </c:pt>
                <c:pt idx="13">
                  <c:v>Velká Británie</c:v>
                </c:pt>
                <c:pt idx="14">
                  <c:v>Litva</c:v>
                </c:pt>
                <c:pt idx="15">
                  <c:v>Slovinsko</c:v>
                </c:pt>
                <c:pt idx="16">
                  <c:v>Finsko</c:v>
                </c:pt>
                <c:pt idx="17">
                  <c:v>Švédsko</c:v>
                </c:pt>
                <c:pt idx="18">
                  <c:v>Nizozemsko</c:v>
                </c:pt>
                <c:pt idx="19">
                  <c:v>Portugalsko</c:v>
                </c:pt>
                <c:pt idx="20">
                  <c:v>Chorvatsko</c:v>
                </c:pt>
                <c:pt idx="21">
                  <c:v>Island</c:v>
                </c:pt>
                <c:pt idx="22">
                  <c:v>Česko</c:v>
                </c:pt>
                <c:pt idx="23">
                  <c:v>Norsko</c:v>
                </c:pt>
                <c:pt idx="24">
                  <c:v>Rumunsko</c:v>
                </c:pt>
                <c:pt idx="25">
                  <c:v>Kypr</c:v>
                </c:pt>
                <c:pt idx="26">
                  <c:v>Lotyšsko</c:v>
                </c:pt>
                <c:pt idx="27">
                  <c:v>Polsko</c:v>
                </c:pt>
                <c:pt idx="28">
                  <c:v>Estonsko</c:v>
                </c:pt>
                <c:pt idx="29">
                  <c:v>Dánsko</c:v>
                </c:pt>
              </c:strCache>
            </c:strRef>
          </c:cat>
          <c:val>
            <c:numRef>
              <c:f>graf4.6!$C$4:$C$33</c:f>
              <c:numCache>
                <c:formatCode>0</c:formatCode>
                <c:ptCount val="30"/>
                <c:pt idx="0">
                  <c:v>91.918072870108389</c:v>
                </c:pt>
                <c:pt idx="1">
                  <c:v>158.05663380535248</c:v>
                </c:pt>
                <c:pt idx="2">
                  <c:v>183.19000057911259</c:v>
                </c:pt>
                <c:pt idx="3">
                  <c:v>204.20628048978608</c:v>
                </c:pt>
                <c:pt idx="4">
                  <c:v>134.87102851564489</c:v>
                </c:pt>
                <c:pt idx="5">
                  <c:v>147.85220555204367</c:v>
                </c:pt>
                <c:pt idx="6">
                  <c:v>141.8484571691998</c:v>
                </c:pt>
                <c:pt idx="7">
                  <c:v>339.01101632346956</c:v>
                </c:pt>
                <c:pt idx="8">
                  <c:v>156.80506809159942</c:v>
                </c:pt>
                <c:pt idx="9">
                  <c:v>113.05635969197282</c:v>
                </c:pt>
                <c:pt idx="10">
                  <c:v>151.17172271117147</c:v>
                </c:pt>
                <c:pt idx="11">
                  <c:v>196.9287822192608</c:v>
                </c:pt>
                <c:pt idx="12">
                  <c:v>72.443967185220075</c:v>
                </c:pt>
                <c:pt idx="13">
                  <c:v>124.51339636478961</c:v>
                </c:pt>
                <c:pt idx="14">
                  <c:v>239.61737893458434</c:v>
                </c:pt>
                <c:pt idx="15">
                  <c:v>180.67220090380593</c:v>
                </c:pt>
                <c:pt idx="16">
                  <c:v>155.90481026194371</c:v>
                </c:pt>
                <c:pt idx="17">
                  <c:v>160.17746682463024</c:v>
                </c:pt>
                <c:pt idx="18">
                  <c:v>58.423128052027437</c:v>
                </c:pt>
                <c:pt idx="19">
                  <c:v>134.64209354258483</c:v>
                </c:pt>
                <c:pt idx="20">
                  <c:v>117.05941897411665</c:v>
                </c:pt>
                <c:pt idx="21">
                  <c:v>175.48138723948128</c:v>
                </c:pt>
                <c:pt idx="22">
                  <c:v>107.95066124607276</c:v>
                </c:pt>
                <c:pt idx="23">
                  <c:v>121.66545401868113</c:v>
                </c:pt>
                <c:pt idx="24">
                  <c:v>114.18735175078911</c:v>
                </c:pt>
                <c:pt idx="25">
                  <c:v>201.73312352666318</c:v>
                </c:pt>
                <c:pt idx="26">
                  <c:v>162.13442856538001</c:v>
                </c:pt>
                <c:pt idx="27">
                  <c:v>165.07726749089682</c:v>
                </c:pt>
                <c:pt idx="28">
                  <c:v>109.96116316164178</c:v>
                </c:pt>
                <c:pt idx="29">
                  <c:v>111.98900976983919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314739712"/>
        <c:axId val="236544576"/>
      </c:barChart>
      <c:catAx>
        <c:axId val="31473971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3175">
            <a:solidFill>
              <a:sysClr val="window" lastClr="FFFFFF">
                <a:lumMod val="75000"/>
              </a:sysClr>
            </a:solidFill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236544576"/>
        <c:crosses val="autoZero"/>
        <c:auto val="1"/>
        <c:lblAlgn val="ctr"/>
        <c:lblOffset val="100"/>
        <c:noMultiLvlLbl val="0"/>
      </c:catAx>
      <c:valAx>
        <c:axId val="236544576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>
                  <a:lumMod val="75000"/>
                </a:sysClr>
              </a:solidFill>
              <a:prstDash val="sysDot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ysClr val="window" lastClr="FFFFFF">
                <a:lumMod val="75000"/>
              </a:sysClr>
            </a:solidFill>
          </a:ln>
        </c:spPr>
        <c:txPr>
          <a:bodyPr/>
          <a:lstStyle/>
          <a:p>
            <a:pPr>
              <a:defRPr sz="800"/>
            </a:pPr>
            <a:endParaRPr lang="cs-CZ"/>
          </a:p>
        </c:txPr>
        <c:crossAx val="314739712"/>
        <c:crosses val="autoZero"/>
        <c:crossBetween val="between"/>
      </c:valAx>
      <c:spPr>
        <a:ln>
          <a:noFill/>
        </a:ln>
      </c:spPr>
    </c:plotArea>
    <c:legend>
      <c:legendPos val="b"/>
      <c:overlay val="0"/>
      <c:txPr>
        <a:bodyPr/>
        <a:lstStyle/>
        <a:p>
          <a:pPr>
            <a:defRPr sz="80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FD9F-6F88-4652-969B-2FADE4C9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2</TotalTime>
  <Pages>5</Pages>
  <Words>1662</Words>
  <Characters>9810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Mgr. Vladimíra Kalnická</cp:lastModifiedBy>
  <cp:revision>3</cp:revision>
  <cp:lastPrinted>2017-05-16T06:40:00Z</cp:lastPrinted>
  <dcterms:created xsi:type="dcterms:W3CDTF">2017-05-17T13:46:00Z</dcterms:created>
  <dcterms:modified xsi:type="dcterms:W3CDTF">2017-05-17T13:58:00Z</dcterms:modified>
</cp:coreProperties>
</file>