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6EAA" w14:textId="77777777" w:rsidR="006B4B37" w:rsidRDefault="006B4B37" w:rsidP="00A33966">
      <w:pPr>
        <w:pStyle w:val="Nadpis1"/>
      </w:pPr>
      <w:bookmarkStart w:id="0" w:name="_Toc444112495"/>
      <w:r w:rsidRPr="006B4B37">
        <w:t>Metodické vysvětlivky</w:t>
      </w:r>
    </w:p>
    <w:p w14:paraId="76BA2DB8" w14:textId="77777777" w:rsidR="006B4B37" w:rsidRPr="00A33966" w:rsidRDefault="006B4B37" w:rsidP="00A33966">
      <w:pPr>
        <w:pStyle w:val="Nadpis1"/>
        <w:rPr>
          <w:sz w:val="28"/>
        </w:rPr>
      </w:pPr>
      <w:bookmarkStart w:id="1" w:name="_Toc444112497"/>
      <w:bookmarkEnd w:id="0"/>
      <w:r w:rsidRPr="00A33966">
        <w:rPr>
          <w:sz w:val="28"/>
        </w:rPr>
        <w:t>Souhrnný zemědělský účet</w:t>
      </w:r>
    </w:p>
    <w:p w14:paraId="5F78F45D" w14:textId="77777777" w:rsidR="006B4B37" w:rsidRDefault="006B4B37" w:rsidP="00EF1357">
      <w:pPr>
        <w:pStyle w:val="Zkladntextodsazen"/>
        <w:spacing w:before="0" w:after="240" w:line="288" w:lineRule="auto"/>
        <w:ind w:firstLine="0"/>
      </w:pPr>
      <w:r>
        <w:rPr>
          <w:b/>
          <w:bCs/>
        </w:rPr>
        <w:t>Souhrnný zemědělský účet</w:t>
      </w:r>
      <w:r>
        <w:t xml:space="preserve"> </w:t>
      </w:r>
      <w:r w:rsidRPr="00EF1357">
        <w:rPr>
          <w:szCs w:val="24"/>
        </w:rPr>
        <w:t>(SZÚ) je základním metodologickým nástrojem pro měření ekonomické velikosti a výkonnosti odvětví zemědělství, resp. zemědělské prvovýroby, v rámci národního hospodářství.</w:t>
      </w:r>
    </w:p>
    <w:p w14:paraId="3E436BD4" w14:textId="77777777" w:rsidR="006B4B37" w:rsidRDefault="006B4B37" w:rsidP="00EF1357">
      <w:pPr>
        <w:jc w:val="both"/>
        <w:rPr>
          <w:b/>
          <w:bCs/>
        </w:rPr>
      </w:pPr>
      <w:r>
        <w:rPr>
          <w:b/>
          <w:bCs/>
        </w:rPr>
        <w:t>SZÚ obsahuje následující základní ukazatele:</w:t>
      </w:r>
    </w:p>
    <w:p w14:paraId="3B8C67E7" w14:textId="77777777" w:rsidR="006B4B37" w:rsidRDefault="006B4B37" w:rsidP="00EF1357">
      <w:pPr>
        <w:jc w:val="both"/>
      </w:pPr>
      <w:r>
        <w:rPr>
          <w:b/>
          <w:bCs/>
        </w:rPr>
        <w:t>1. Produkci zemědělského odvětví</w:t>
      </w:r>
      <w:r>
        <w:t xml:space="preserve"> v hodnotovém vyjádření, která reprezentuje celkovou finální produkci odvětví zemědělství, která toto odvětví opouští.</w:t>
      </w:r>
    </w:p>
    <w:p w14:paraId="147AD220" w14:textId="77777777" w:rsidR="006B4B37" w:rsidRPr="00BB67A4" w:rsidRDefault="006B4B37" w:rsidP="00EF1357">
      <w:r>
        <w:t>Struktura výrobní části zemědělského účtu je tvořena na jedné straně disponibilními zdroji sestávajícími z použitelné výroby a počátečního stavu zásob a na straně druhé z užití těchto zdrojů na vnitropodnikovou spotřebu, zpracování výrobci, vlastní spotřebu, prodeje do jiných zemědělských jednotek, do jiného hospodářského odvětví a do zahraničí, samovýrobu a na zásoby na konci roku.</w:t>
      </w:r>
    </w:p>
    <w:p w14:paraId="46DBDADC" w14:textId="77777777" w:rsidR="006B4B37" w:rsidRPr="00BB67A4" w:rsidRDefault="006B4B37" w:rsidP="00EF1357">
      <w:r>
        <w:t xml:space="preserve">Protože cílem SZÚ je změřit, popsat a analyzovat vznik důchodů ze zemědělské hospodářské činnosti, která je v zemích EU téměř výlučně činností určující trh, jsou podle dohody vyloučeny jednotky produkující pouze pro vlastní spotřebu, např. zahrádky a chov zvířat </w:t>
      </w:r>
      <w:proofErr w:type="spellStart"/>
      <w:r>
        <w:t>nerolníky</w:t>
      </w:r>
      <w:proofErr w:type="spellEnd"/>
      <w:r>
        <w:t>. Pomocí prahové hodnoty používané při šetření je možno tyto „malé“ jednotky určit. Je však nutno připomenout, že zemědělská produkce pro vlastní spotřebu rolníků, jejichž podnik překročí spodní prahovou hodnotu, se v SZÚ zaúčtuje.</w:t>
      </w:r>
    </w:p>
    <w:p w14:paraId="7B67FD77" w14:textId="5C47725D" w:rsidR="006B4B37" w:rsidRDefault="006B4B37" w:rsidP="00EF1357">
      <w:pPr>
        <w:jc w:val="both"/>
      </w:pPr>
      <w:r>
        <w:t>Produkce se podle revidované metodiky z roku 1997 oceňuje v základní ceně, tj. částkou, kterou výrobce obdrží od kupujícího za jednotku jím vyprodukovaného zboží a služeb, plus dotace na výrobek mínus odvedené daně na výrobek. Tímto způsobem bylo postupováno také p</w:t>
      </w:r>
      <w:r w:rsidR="00263EBC">
        <w:t>ři sestavování účtu za roky 202</w:t>
      </w:r>
      <w:r w:rsidR="00C519CE">
        <w:t>4</w:t>
      </w:r>
      <w:r w:rsidR="00263EBC">
        <w:t xml:space="preserve"> a 202</w:t>
      </w:r>
      <w:r w:rsidR="00C519CE">
        <w:t>5</w:t>
      </w:r>
      <w:r>
        <w:t>. Celý účet výroby je tedy sestaven v základních cenách. Obiloviny, technické a krmné plodiny jsou oceňovány průměrnými cenami za sklizňový rok, zatímco sezónní plodiny cenami za rok kalendářní.</w:t>
      </w:r>
    </w:p>
    <w:p w14:paraId="5F73AC60" w14:textId="31BE52DB" w:rsidR="006B4B37" w:rsidRDefault="006B4B37" w:rsidP="00EF1357">
      <w:pPr>
        <w:jc w:val="both"/>
      </w:pPr>
      <w:r>
        <w:t xml:space="preserve">Na základě rozhodnutí </w:t>
      </w:r>
      <w:proofErr w:type="spellStart"/>
      <w:r>
        <w:t>Eurostatu</w:t>
      </w:r>
      <w:proofErr w:type="spellEnd"/>
      <w:r>
        <w:t xml:space="preserve"> (pracovní jednání v listopadu 2004) nejsou údaje za poslední sledovaný rok odesílány jako konečné, ale jako </w:t>
      </w:r>
      <w:proofErr w:type="spellStart"/>
      <w:r>
        <w:t>semide</w:t>
      </w:r>
      <w:r w:rsidR="00263EBC">
        <w:t>finitivní</w:t>
      </w:r>
      <w:proofErr w:type="spellEnd"/>
      <w:r w:rsidR="00263EBC">
        <w:t>. Proto účet 202</w:t>
      </w:r>
      <w:r w:rsidR="00C519CE">
        <w:t>5</w:t>
      </w:r>
      <w:r>
        <w:t xml:space="preserve"> obsahuje </w:t>
      </w:r>
      <w:proofErr w:type="spellStart"/>
      <w:r>
        <w:t>semidefinitivní</w:t>
      </w:r>
      <w:proofErr w:type="spellEnd"/>
      <w:r>
        <w:t xml:space="preserve"> data.</w:t>
      </w:r>
    </w:p>
    <w:p w14:paraId="73A8B950" w14:textId="77777777" w:rsidR="006B4B37" w:rsidRDefault="006B4B37" w:rsidP="00EF1357">
      <w:pPr>
        <w:pStyle w:val="Zkladntext2"/>
        <w:spacing w:before="0" w:after="240" w:line="288" w:lineRule="auto"/>
      </w:pPr>
      <w:r>
        <w:t>Součástí SZÚ je položka 17 „Nezemědělské vedlejší činnosti“, která má 2 podpoložky 17.1 „Zpracování zemědělských produktů“ a 17.2 „Jiné neoddělitelné vedlejší činnosti (zboží a služby)“. Jedná se o činnosti zemědělského odvětví, které jsou úzce spjaté se zemědělskou výrobou, ale nejsou účetně sledovány samostatně; nelze je tedy oddělit od hlavní zemědělské činnosti.</w:t>
      </w:r>
    </w:p>
    <w:p w14:paraId="2ADA151F" w14:textId="77777777" w:rsidR="006B4B37" w:rsidRDefault="006B4B37" w:rsidP="00EF1357">
      <w:pPr>
        <w:jc w:val="both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Mezispotřebu</w:t>
      </w:r>
      <w:proofErr w:type="spellEnd"/>
      <w:r>
        <w:t>, tj. souhrn všech vstupů do zemědělských jednotek v hodnotovém vyjádření.</w:t>
      </w:r>
    </w:p>
    <w:p w14:paraId="0B68FED6" w14:textId="77777777" w:rsidR="006B4B37" w:rsidRPr="00BB67A4" w:rsidRDefault="006B4B37" w:rsidP="00EF1357">
      <w:pPr>
        <w:jc w:val="both"/>
      </w:pPr>
      <w:r>
        <w:t xml:space="preserve">Část účtu týkající se </w:t>
      </w:r>
      <w:proofErr w:type="spellStart"/>
      <w:r>
        <w:t>mezispotřeby</w:t>
      </w:r>
      <w:proofErr w:type="spellEnd"/>
      <w:r>
        <w:t xml:space="preserve"> je členěna na vnitropodnikovou spotřebu vlastních krmiv, nákupy </w:t>
      </w:r>
      <w:proofErr w:type="spellStart"/>
      <w:r>
        <w:t>mezispotřeby</w:t>
      </w:r>
      <w:proofErr w:type="spellEnd"/>
      <w:r>
        <w:t xml:space="preserve"> mimo hospodářské odvětví za položky osiva a sadba, energie a maziva, hnojiva a prostředky zlepšující půdu, prostředky na ochranu rostlin, krmiva, údržba a oprava strojů a zařízení, údržba a oprava budov, veterinární náklady a další.</w:t>
      </w:r>
    </w:p>
    <w:p w14:paraId="56051089" w14:textId="77777777" w:rsidR="006B4B37" w:rsidRDefault="006B4B37" w:rsidP="00EF1357">
      <w:pPr>
        <w:jc w:val="both"/>
      </w:pPr>
      <w:r>
        <w:t xml:space="preserve">Produkty použité jako </w:t>
      </w:r>
      <w:proofErr w:type="spellStart"/>
      <w:r>
        <w:t>mezispotřeba</w:t>
      </w:r>
      <w:proofErr w:type="spellEnd"/>
      <w:r>
        <w:t xml:space="preserve"> se ocení v pořizovacích (tržních) cenách za podobné zboží nebo služby, které jsou platné v okamžiku, kdy vstupují do výrobního procesu. Tato cena zahrnuje veškeré daně na výrobky mínus dotace na výrobky, ne však odpočitatelné daně jako DPH.</w:t>
      </w:r>
    </w:p>
    <w:p w14:paraId="1B584BD6" w14:textId="77777777" w:rsidR="006B4B37" w:rsidRDefault="006B4B37" w:rsidP="00EF1357">
      <w:pPr>
        <w:jc w:val="both"/>
      </w:pPr>
      <w:r>
        <w:t xml:space="preserve">Podle nařízení Komise evropského společenství č. 909/2006 ze dne 20. června 2006 je součástí </w:t>
      </w:r>
      <w:proofErr w:type="spellStart"/>
      <w:r>
        <w:t>mezispotřeby</w:t>
      </w:r>
      <w:proofErr w:type="spellEnd"/>
      <w:r>
        <w:t xml:space="preserve"> FISIM (finanční zprostředkovatelské služby nepřímo měřené). Tato položka se současně promítá i do výše nákladových a výnosových úroků, takže není ovlivněna výše podnikatelského důchodu. Položka „FISIM“ byla na základě tohoto nařízení začleněna do struktury SZÚ zpětně za celé období jeho sestavování.</w:t>
      </w:r>
    </w:p>
    <w:p w14:paraId="25621215" w14:textId="77777777" w:rsidR="006B4B37" w:rsidRDefault="006B4B37" w:rsidP="00EF1357">
      <w:pPr>
        <w:jc w:val="both"/>
      </w:pPr>
      <w:r>
        <w:rPr>
          <w:b/>
          <w:bCs/>
        </w:rPr>
        <w:lastRenderedPageBreak/>
        <w:t>3. Hrubou přidanou hodnotu</w:t>
      </w:r>
      <w:r>
        <w:t xml:space="preserve">, která reprezentuje výsledný efekt odvětví zemědělství měřený rozdílem konečné produkce zemědělského odvětví a </w:t>
      </w:r>
      <w:proofErr w:type="spellStart"/>
      <w:r>
        <w:t>mezispotřeby</w:t>
      </w:r>
      <w:proofErr w:type="spellEnd"/>
      <w:r>
        <w:t>. Hrubá přidaná hodnota se podle metodiky vyjadřuje v základních cenách.</w:t>
      </w:r>
    </w:p>
    <w:p w14:paraId="3E5C7217" w14:textId="77777777" w:rsidR="006B4B37" w:rsidRPr="00BB67A4" w:rsidRDefault="006B4B37" w:rsidP="00EF1357">
      <w:pPr>
        <w:jc w:val="both"/>
      </w:pPr>
      <w:r>
        <w:rPr>
          <w:b/>
          <w:bCs/>
        </w:rPr>
        <w:t>4. Čistou přidanou hodnotu</w:t>
      </w:r>
      <w:r>
        <w:t>, tj. hodnotu, která je vytvořena veškerými zemědělskými jednotkami po odečtení spotřeby fixního kapitálu.</w:t>
      </w:r>
    </w:p>
    <w:p w14:paraId="7B91BA9D" w14:textId="77777777" w:rsidR="006B4B37" w:rsidRDefault="006B4B37" w:rsidP="00EF1357">
      <w:pPr>
        <w:jc w:val="both"/>
      </w:pPr>
      <w:r>
        <w:rPr>
          <w:b/>
          <w:bCs/>
        </w:rPr>
        <w:t>5.</w:t>
      </w:r>
      <w:r>
        <w:t xml:space="preserve"> </w:t>
      </w:r>
      <w:r>
        <w:rPr>
          <w:b/>
          <w:bCs/>
        </w:rPr>
        <w:t>Ostatní daně / ostatní dotace</w:t>
      </w:r>
      <w:r>
        <w:t xml:space="preserve"> na výrobu se zaúčtují v rámci účtu tvorby důchodu.</w:t>
      </w:r>
    </w:p>
    <w:p w14:paraId="20B10635" w14:textId="77777777" w:rsidR="006B4B37" w:rsidRDefault="006B4B37" w:rsidP="00EF1357">
      <w:pPr>
        <w:jc w:val="both"/>
      </w:pPr>
      <w:r>
        <w:rPr>
          <w:b/>
          <w:bCs/>
        </w:rPr>
        <w:t>6. Důchod z faktorů</w:t>
      </w:r>
      <w:r>
        <w:t>, který představuje odměnu ze všech výrobních faktorů a představuje celkovou hodnotu, kterou jednotky svou výrobní činností vyprodukují.</w:t>
      </w:r>
    </w:p>
    <w:p w14:paraId="4247EBC2" w14:textId="77777777" w:rsidR="006B4B37" w:rsidRPr="00BB67A4" w:rsidRDefault="006B4B37" w:rsidP="00EF1357">
      <w:pPr>
        <w:jc w:val="both"/>
      </w:pPr>
      <w:r>
        <w:rPr>
          <w:b/>
          <w:bCs/>
        </w:rPr>
        <w:t>7. Čistý provozní přebytek / smíšený důchod</w:t>
      </w:r>
      <w:r>
        <w:t>, který měří výnos z půdy, kapitálu a neplacené práce. Je bilanční položkou účtu tvorby důchodu, ukazující rozdělení důchodu mezi výrobní faktory a sektor stát (vládní instituce).</w:t>
      </w:r>
    </w:p>
    <w:p w14:paraId="5C2C3669" w14:textId="77777777" w:rsidR="006B4B37" w:rsidRDefault="006B4B37" w:rsidP="00EF1357">
      <w:pPr>
        <w:jc w:val="both"/>
      </w:pPr>
      <w:r>
        <w:rPr>
          <w:b/>
          <w:bCs/>
        </w:rPr>
        <w:t>8. Podnikatelský důchod</w:t>
      </w:r>
      <w:r>
        <w:t>, který měří odměnu neplacené práce, výnos z půdy patřící jednotkám a výnos z užití kapitálu. Blíží se koncepci běžného zisku před rozdělením a zdaněním. Podnikatelský důchod se běžně pro hospodářská odvětví nepočítá, může být však všeobecně vytvořen pro zemědělské odvětví, neboť lze určit součásti nákladových a výnosových úroků a pachtovného, které jsou výlučně vázány na zemědělskou činnost.</w:t>
      </w:r>
    </w:p>
    <w:p w14:paraId="2730382E" w14:textId="77777777" w:rsidR="006B4B37" w:rsidRDefault="006B4B37" w:rsidP="00EF1357">
      <w:pPr>
        <w:jc w:val="both"/>
      </w:pPr>
      <w:r>
        <w:rPr>
          <w:b/>
          <w:bCs/>
        </w:rPr>
        <w:t>9.</w:t>
      </w:r>
      <w:r>
        <w:t xml:space="preserve"> Součásti kapitálového účtu zachycují</w:t>
      </w:r>
      <w:r>
        <w:rPr>
          <w:b/>
          <w:bCs/>
        </w:rPr>
        <w:t xml:space="preserve"> tvorbu hrubého fixního kapitálu</w:t>
      </w:r>
      <w:r>
        <w:t xml:space="preserve"> (THFK) podle jednotlivých druhů majetku. Na základě rozhodnutí </w:t>
      </w:r>
      <w:proofErr w:type="spellStart"/>
      <w:r>
        <w:t>Eurostatu</w:t>
      </w:r>
      <w:proofErr w:type="spellEnd"/>
      <w:r>
        <w:t xml:space="preserve"> (nařízení č. 138/2004 ze dne 5. prosince 2003) se nesledují jeho jednotlivé položky v tak podrobném členění jako v předchozích letech.</w:t>
      </w:r>
    </w:p>
    <w:p w14:paraId="7FE814F9" w14:textId="77777777" w:rsidR="006B4B37" w:rsidRDefault="006B4B37" w:rsidP="00EF1357">
      <w:pPr>
        <w:pStyle w:val="Nadpis4"/>
        <w:spacing w:after="240"/>
      </w:pPr>
    </w:p>
    <w:bookmarkEnd w:id="1"/>
    <w:p w14:paraId="0579939D" w14:textId="77777777" w:rsidR="00D55763" w:rsidRDefault="006B4B37" w:rsidP="00EF1357">
      <w:pPr>
        <w:rPr>
          <w:rFonts w:eastAsia="MS Gothic"/>
          <w:b/>
          <w:bCs/>
          <w:color w:val="009471"/>
          <w:sz w:val="28"/>
          <w:szCs w:val="26"/>
        </w:rPr>
      </w:pPr>
      <w:r w:rsidRPr="006B4B37">
        <w:rPr>
          <w:rFonts w:eastAsia="MS Gothic"/>
          <w:b/>
          <w:bCs/>
          <w:color w:val="009471"/>
          <w:sz w:val="28"/>
          <w:szCs w:val="26"/>
        </w:rPr>
        <w:t>Vstup pracovní síly do zemědělství</w:t>
      </w:r>
    </w:p>
    <w:p w14:paraId="2420AAF4" w14:textId="77777777" w:rsidR="006B4B37" w:rsidRDefault="006B4B37" w:rsidP="00EF1357">
      <w:r>
        <w:t>Údaje o vstupu pracovní síly do sektoru zemědělství (anglicky „</w:t>
      </w:r>
      <w:proofErr w:type="spellStart"/>
      <w:r>
        <w:t>Agricultural</w:t>
      </w:r>
      <w:proofErr w:type="spellEnd"/>
      <w:r>
        <w:t xml:space="preserve"> </w:t>
      </w:r>
      <w:proofErr w:type="spellStart"/>
      <w:r>
        <w:t>Labour</w:t>
      </w:r>
      <w:proofErr w:type="spellEnd"/>
      <w:r>
        <w:t xml:space="preserve"> Input“, používaná zkratka ALI) jsou nedílnou součástí výpočtu indikátorů důchodu. Výpočet ALI se provádí podle standardizované metodiky EU a vyjadřuje se v tzv. ročních pracovních jednotkách (anglicky „</w:t>
      </w:r>
      <w:proofErr w:type="spellStart"/>
      <w:r>
        <w:t>Annual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Unit“, používaná zkratka AWU). Jedna AWU zahrnuje takový počet hodin, který odpovídá počtu skutečně odpracovaných hodin v rámci plného pracovního úvazku v zemědělství (1 800 hodin). Nezahrnuje tedy státní svátky, placenou dovolenou na zotavenou, dny pracovní neschopnosti, přestávky na jídlo, apod. Údaje o vstupu pracovní síly do zemědělství se klasifikují na placené ALI, neplacené ALI a celkové ALI, které je součtem předchozích dvou kategorií.</w:t>
      </w:r>
    </w:p>
    <w:p w14:paraId="144B1FF8" w14:textId="77777777" w:rsidR="006B4B37" w:rsidRDefault="006B4B37" w:rsidP="00EF1357">
      <w:r>
        <w:t>Do kategorie placených pracovních sil se řadí osoby, které na základě smlouvy pracují pro jinou veřejnou nebo soukromou rezidentní jednotku a za tuto práci dostávají odměnu v hotovosti nebo v naturáliích (evidovanou v SZÚ jako náhrada zaměstnancům). Do kategorie neplacených pracovních sil naopak patří osoby, které jsou za svou práci odměňovány prostřednictvím podílů na příjmu, vytvořeném zemědělskou činností. Jedná se většinou o samostatně hospodařící vlastníky nebo spoluvlastníky samostatných hospodářství.</w:t>
      </w:r>
    </w:p>
    <w:p w14:paraId="211631F4" w14:textId="77777777" w:rsidR="006B4B37" w:rsidRDefault="006B4B37" w:rsidP="00EF1357">
      <w:r>
        <w:t>Účelem kalkulace ALI je poskytnout systematický a srovnatelný přehled o rozsahu pracovních sil v zemědělském odvětví a sledovat trendy zemědělských příjmů.</w:t>
      </w:r>
    </w:p>
    <w:p w14:paraId="6B8734B4" w14:textId="77777777" w:rsidR="006B4B37" w:rsidRDefault="006B4B37" w:rsidP="00EF1357">
      <w:pPr>
        <w:jc w:val="both"/>
      </w:pPr>
      <w:r>
        <w:t xml:space="preserve">Od roku 2000 jsou údaje revidovány podle výsledků </w:t>
      </w:r>
      <w:proofErr w:type="spellStart"/>
      <w:r>
        <w:t>Agrocenzu</w:t>
      </w:r>
      <w:proofErr w:type="spellEnd"/>
      <w:r>
        <w:t xml:space="preserve"> 2010.</w:t>
      </w:r>
    </w:p>
    <w:p w14:paraId="3CFDE024" w14:textId="77777777" w:rsidR="006B4B37" w:rsidRDefault="006B4B37" w:rsidP="00EF1357">
      <w:pPr>
        <w:jc w:val="both"/>
      </w:pPr>
    </w:p>
    <w:p w14:paraId="728C9D91" w14:textId="77777777" w:rsidR="006B4B37" w:rsidRDefault="006B4B37" w:rsidP="00EF1357">
      <w:pPr>
        <w:rPr>
          <w:rFonts w:eastAsia="MS Gothic"/>
          <w:b/>
          <w:bCs/>
          <w:color w:val="009471"/>
          <w:sz w:val="28"/>
          <w:szCs w:val="26"/>
        </w:rPr>
      </w:pPr>
      <w:r w:rsidRPr="006B4B37">
        <w:rPr>
          <w:rFonts w:eastAsia="MS Gothic"/>
          <w:b/>
          <w:bCs/>
          <w:color w:val="009471"/>
          <w:sz w:val="28"/>
          <w:szCs w:val="26"/>
        </w:rPr>
        <w:lastRenderedPageBreak/>
        <w:t>Indikátory důchodu zemědělského odvětví</w:t>
      </w:r>
    </w:p>
    <w:p w14:paraId="1785B160" w14:textId="77777777" w:rsidR="006B4B37" w:rsidRPr="000514EC" w:rsidRDefault="006B4B37" w:rsidP="00EF1357">
      <w:pPr>
        <w:pStyle w:val="Zkladntext3"/>
        <w:spacing w:after="240" w:line="288" w:lineRule="auto"/>
        <w:jc w:val="both"/>
        <w:rPr>
          <w:rFonts w:ascii="Arial" w:hAnsi="Arial" w:cs="Arial"/>
          <w:sz w:val="20"/>
          <w:szCs w:val="20"/>
        </w:rPr>
      </w:pPr>
      <w:r w:rsidRPr="000514EC">
        <w:rPr>
          <w:rFonts w:ascii="Arial" w:hAnsi="Arial" w:cs="Arial"/>
          <w:sz w:val="20"/>
          <w:szCs w:val="20"/>
        </w:rPr>
        <w:t>Měření zemědělského důchodu a jeho vývoje je jedním z hlavních cílů stanovených Souhrnným zemědělským účtem, z něhož jsou pro tento účel odvozeny tři indikátory důchodu. Popsány jsou následovně:</w:t>
      </w:r>
    </w:p>
    <w:p w14:paraId="7EF2605A" w14:textId="77777777" w:rsidR="006B4B37" w:rsidRPr="000514EC" w:rsidRDefault="006B4B37" w:rsidP="00EF1357">
      <w:pPr>
        <w:jc w:val="both"/>
        <w:rPr>
          <w:rFonts w:cs="Arial"/>
        </w:rPr>
      </w:pPr>
      <w:r w:rsidRPr="000514EC">
        <w:rPr>
          <w:rFonts w:cs="Arial"/>
          <w:b/>
          <w:bCs/>
          <w:i/>
          <w:iCs/>
        </w:rPr>
        <w:t>Indikátor A:</w:t>
      </w:r>
      <w:r w:rsidRPr="000514EC">
        <w:rPr>
          <w:rFonts w:cs="Arial"/>
        </w:rPr>
        <w:t xml:space="preserve"> </w:t>
      </w:r>
      <w:r w:rsidRPr="000514EC">
        <w:rPr>
          <w:rFonts w:cs="Arial"/>
          <w:b/>
          <w:bCs/>
        </w:rPr>
        <w:t>Index reálného důchodu z faktorů v zemědělství na 1</w:t>
      </w:r>
      <w:r>
        <w:rPr>
          <w:rFonts w:cs="Arial"/>
          <w:b/>
          <w:bCs/>
        </w:rPr>
        <w:t xml:space="preserve"> </w:t>
      </w:r>
      <w:r w:rsidRPr="000514EC">
        <w:rPr>
          <w:rFonts w:cs="Arial"/>
          <w:b/>
          <w:bCs/>
        </w:rPr>
        <w:t>AWU</w:t>
      </w:r>
    </w:p>
    <w:p w14:paraId="33674A8B" w14:textId="77777777" w:rsidR="006B4B37" w:rsidRPr="000514EC" w:rsidRDefault="006B4B37" w:rsidP="00EF1357">
      <w:pPr>
        <w:pStyle w:val="Zkladntextodsazen3"/>
        <w:spacing w:after="240" w:line="288" w:lineRule="auto"/>
        <w:ind w:left="0"/>
        <w:jc w:val="both"/>
        <w:rPr>
          <w:rFonts w:ascii="Arial" w:hAnsi="Arial" w:cs="Arial"/>
          <w:sz w:val="20"/>
          <w:szCs w:val="20"/>
        </w:rPr>
      </w:pPr>
      <w:r w:rsidRPr="000514EC">
        <w:rPr>
          <w:rFonts w:ascii="Arial" w:hAnsi="Arial" w:cs="Arial"/>
          <w:sz w:val="20"/>
          <w:szCs w:val="20"/>
        </w:rPr>
        <w:t>Tento indikátor odpovídá reálné (</w:t>
      </w:r>
      <w:proofErr w:type="spellStart"/>
      <w:r w:rsidRPr="000514EC">
        <w:rPr>
          <w:rFonts w:ascii="Arial" w:hAnsi="Arial" w:cs="Arial"/>
          <w:sz w:val="20"/>
          <w:szCs w:val="20"/>
        </w:rPr>
        <w:t>deflované</w:t>
      </w:r>
      <w:proofErr w:type="spellEnd"/>
      <w:r w:rsidRPr="000514EC">
        <w:rPr>
          <w:rFonts w:ascii="Arial" w:hAnsi="Arial" w:cs="Arial"/>
          <w:sz w:val="20"/>
          <w:szCs w:val="20"/>
        </w:rPr>
        <w:t xml:space="preserve">) čisté přidané hodnotě v nákladech výrobních faktorů zemědělství na celkovou 1 AWU. Čistá přidaná hodnota v nákladech výrobních faktorů je vypočítána odpočtem </w:t>
      </w:r>
      <w:proofErr w:type="spellStart"/>
      <w:r w:rsidRPr="000514EC">
        <w:rPr>
          <w:rFonts w:ascii="Arial" w:hAnsi="Arial" w:cs="Arial"/>
          <w:sz w:val="20"/>
          <w:szCs w:val="20"/>
        </w:rPr>
        <w:t>mezispotřeby</w:t>
      </w:r>
      <w:proofErr w:type="spellEnd"/>
      <w:r w:rsidRPr="000514EC">
        <w:rPr>
          <w:rFonts w:ascii="Arial" w:hAnsi="Arial" w:cs="Arial"/>
          <w:sz w:val="20"/>
          <w:szCs w:val="20"/>
        </w:rPr>
        <w:t>, odpisů a ostatních daní na výrobu v základn</w:t>
      </w:r>
      <w:r>
        <w:rPr>
          <w:rFonts w:ascii="Arial" w:hAnsi="Arial" w:cs="Arial"/>
          <w:sz w:val="20"/>
          <w:szCs w:val="20"/>
        </w:rPr>
        <w:t>ích cenách (např. včetně dotací na </w:t>
      </w:r>
      <w:r w:rsidRPr="000514EC">
        <w:rPr>
          <w:rFonts w:ascii="Arial" w:hAnsi="Arial" w:cs="Arial"/>
          <w:sz w:val="20"/>
          <w:szCs w:val="20"/>
        </w:rPr>
        <w:t>výrobky a odpočtem daní na výrobky) a přidáním hodnoty dalších výrobních dotací. Indikát</w:t>
      </w:r>
      <w:r>
        <w:rPr>
          <w:rFonts w:ascii="Arial" w:hAnsi="Arial" w:cs="Arial"/>
          <w:sz w:val="20"/>
          <w:szCs w:val="20"/>
        </w:rPr>
        <w:t xml:space="preserve">or A je získán </w:t>
      </w:r>
      <w:proofErr w:type="spellStart"/>
      <w:r>
        <w:rPr>
          <w:rFonts w:ascii="Arial" w:hAnsi="Arial" w:cs="Arial"/>
          <w:sz w:val="20"/>
          <w:szCs w:val="20"/>
        </w:rPr>
        <w:t>deflováním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0514EC">
        <w:rPr>
          <w:rFonts w:ascii="Arial" w:hAnsi="Arial" w:cs="Arial"/>
          <w:sz w:val="20"/>
          <w:szCs w:val="20"/>
        </w:rPr>
        <w:t>tohoto důchodu z faktorů implicitním cenovým indexem hrubého domácího produktu v tržních cenách a vydělením celkovým ALI (tj. celkovým vstupem</w:t>
      </w:r>
      <w:r>
        <w:rPr>
          <w:rFonts w:ascii="Arial" w:hAnsi="Arial" w:cs="Arial"/>
          <w:sz w:val="20"/>
          <w:szCs w:val="20"/>
        </w:rPr>
        <w:t xml:space="preserve"> pracovní síly do zemědělství).</w:t>
      </w:r>
    </w:p>
    <w:p w14:paraId="1CA37510" w14:textId="77777777" w:rsidR="006B4B37" w:rsidRPr="000514EC" w:rsidRDefault="006B4B37" w:rsidP="00EF1357">
      <w:pPr>
        <w:ind w:left="1260" w:hanging="1260"/>
        <w:jc w:val="both"/>
        <w:rPr>
          <w:rFonts w:cs="Arial"/>
        </w:rPr>
      </w:pPr>
      <w:r w:rsidRPr="000514EC">
        <w:rPr>
          <w:rFonts w:cs="Arial"/>
          <w:b/>
          <w:bCs/>
          <w:i/>
          <w:iCs/>
        </w:rPr>
        <w:t>Indikátor B</w:t>
      </w:r>
      <w:r w:rsidRPr="000514EC">
        <w:rPr>
          <w:rFonts w:cs="Arial"/>
          <w:i/>
          <w:iCs/>
        </w:rPr>
        <w:t>:</w:t>
      </w:r>
      <w:r w:rsidRPr="000514EC">
        <w:rPr>
          <w:rFonts w:cs="Arial"/>
        </w:rPr>
        <w:t xml:space="preserve"> </w:t>
      </w:r>
      <w:r w:rsidRPr="000514EC">
        <w:rPr>
          <w:rFonts w:cs="Arial"/>
          <w:b/>
          <w:bCs/>
        </w:rPr>
        <w:t>Index reálného čistého podnikatelského důchodu v</w:t>
      </w:r>
      <w:r>
        <w:rPr>
          <w:rFonts w:cs="Arial"/>
          <w:b/>
          <w:bCs/>
        </w:rPr>
        <w:t> </w:t>
      </w:r>
      <w:r w:rsidRPr="000514EC">
        <w:rPr>
          <w:rFonts w:cs="Arial"/>
          <w:b/>
          <w:bCs/>
        </w:rPr>
        <w:t>zem</w:t>
      </w:r>
      <w:r>
        <w:rPr>
          <w:rFonts w:cs="Arial"/>
          <w:b/>
          <w:bCs/>
        </w:rPr>
        <w:t>.</w:t>
      </w:r>
      <w:r w:rsidRPr="000514EC">
        <w:rPr>
          <w:rFonts w:cs="Arial"/>
          <w:b/>
          <w:bCs/>
        </w:rPr>
        <w:t xml:space="preserve"> na </w:t>
      </w:r>
      <w:r>
        <w:rPr>
          <w:rFonts w:cs="Arial"/>
          <w:b/>
          <w:bCs/>
        </w:rPr>
        <w:t xml:space="preserve">1 neplacenou </w:t>
      </w:r>
      <w:r w:rsidRPr="000514EC">
        <w:rPr>
          <w:rFonts w:cs="Arial"/>
          <w:b/>
          <w:bCs/>
        </w:rPr>
        <w:t>AWU</w:t>
      </w:r>
    </w:p>
    <w:p w14:paraId="45CEB3FD" w14:textId="77777777" w:rsidR="006B4B37" w:rsidRPr="000514EC" w:rsidRDefault="006B4B37" w:rsidP="00EF1357">
      <w:pPr>
        <w:pStyle w:val="Zkladntext"/>
        <w:spacing w:after="240" w:line="288" w:lineRule="auto"/>
        <w:jc w:val="both"/>
        <w:rPr>
          <w:rFonts w:ascii="Arial" w:hAnsi="Arial" w:cs="Arial"/>
          <w:b/>
          <w:bCs/>
          <w:i/>
          <w:iCs/>
        </w:rPr>
      </w:pPr>
      <w:r w:rsidRPr="000514EC">
        <w:rPr>
          <w:rFonts w:ascii="Arial" w:hAnsi="Arial" w:cs="Arial"/>
        </w:rPr>
        <w:t xml:space="preserve">Tento indikátor představuje změny v čistém podnikatelském důchodu během roku na </w:t>
      </w:r>
      <w:r>
        <w:rPr>
          <w:rFonts w:ascii="Arial" w:hAnsi="Arial" w:cs="Arial"/>
        </w:rPr>
        <w:t xml:space="preserve">jednu neplacenou </w:t>
      </w:r>
      <w:r w:rsidRPr="000514EC">
        <w:rPr>
          <w:rFonts w:ascii="Arial" w:hAnsi="Arial" w:cs="Arial"/>
        </w:rPr>
        <w:t xml:space="preserve">AWU. Čistý podnikatelský důchod je získán odečtením náhrad zaměstnancům, placeného nájemného a nákladových úroků z čisté přidané hodnoty na náklady faktorů a přičtením výnosových úroků. Výslednou hodnotu </w:t>
      </w:r>
      <w:proofErr w:type="spellStart"/>
      <w:r w:rsidRPr="000514EC">
        <w:rPr>
          <w:rFonts w:ascii="Arial" w:hAnsi="Arial" w:cs="Arial"/>
        </w:rPr>
        <w:t>deflujeme</w:t>
      </w:r>
      <w:proofErr w:type="spellEnd"/>
      <w:r w:rsidRPr="000514EC">
        <w:rPr>
          <w:rFonts w:ascii="Arial" w:hAnsi="Arial" w:cs="Arial"/>
        </w:rPr>
        <w:t xml:space="preserve"> daným cenovým indexem (j</w:t>
      </w:r>
      <w:r>
        <w:rPr>
          <w:rFonts w:ascii="Arial" w:hAnsi="Arial" w:cs="Arial"/>
        </w:rPr>
        <w:t>ak je popsáno u indikátoru A) a </w:t>
      </w:r>
      <w:r w:rsidRPr="000514EC">
        <w:rPr>
          <w:rFonts w:ascii="Arial" w:hAnsi="Arial" w:cs="Arial"/>
        </w:rPr>
        <w:t>vydělíme objemem neplaceného</w:t>
      </w:r>
      <w:r w:rsidRPr="000514EC">
        <w:rPr>
          <w:rFonts w:ascii="Arial" w:hAnsi="Arial" w:cs="Arial"/>
          <w:b/>
          <w:bCs/>
        </w:rPr>
        <w:t xml:space="preserve"> </w:t>
      </w:r>
      <w:r w:rsidRPr="000514EC">
        <w:rPr>
          <w:rFonts w:ascii="Arial" w:hAnsi="Arial" w:cs="Arial"/>
        </w:rPr>
        <w:t>ALI</w:t>
      </w:r>
      <w:r w:rsidRPr="000514EC">
        <w:rPr>
          <w:rFonts w:ascii="Arial" w:hAnsi="Arial" w:cs="Arial"/>
          <w:i/>
          <w:iCs/>
        </w:rPr>
        <w:t>.</w:t>
      </w:r>
    </w:p>
    <w:p w14:paraId="25DBCE33" w14:textId="77777777" w:rsidR="006B4B37" w:rsidRPr="000514EC" w:rsidRDefault="006B4B37" w:rsidP="00EF1357">
      <w:pPr>
        <w:jc w:val="both"/>
        <w:rPr>
          <w:rFonts w:cs="Arial"/>
        </w:rPr>
      </w:pPr>
      <w:r w:rsidRPr="000514EC">
        <w:rPr>
          <w:rFonts w:cs="Arial"/>
          <w:b/>
          <w:bCs/>
          <w:i/>
          <w:iCs/>
        </w:rPr>
        <w:t>Indikátor C:</w:t>
      </w:r>
      <w:r w:rsidRPr="000514EC">
        <w:rPr>
          <w:rFonts w:cs="Arial"/>
        </w:rPr>
        <w:t xml:space="preserve"> </w:t>
      </w:r>
      <w:r w:rsidRPr="000514EC">
        <w:rPr>
          <w:rFonts w:cs="Arial"/>
          <w:b/>
          <w:bCs/>
        </w:rPr>
        <w:t>Reálný čistý podnikatelský důchod ze zemědělství</w:t>
      </w:r>
    </w:p>
    <w:p w14:paraId="7C823378" w14:textId="77777777" w:rsidR="006B4B37" w:rsidRPr="000514EC" w:rsidRDefault="006B4B37" w:rsidP="00EF1357">
      <w:pPr>
        <w:pStyle w:val="Zkladntextodsazen2"/>
        <w:spacing w:before="0" w:after="240" w:line="288" w:lineRule="auto"/>
        <w:ind w:firstLine="0"/>
        <w:rPr>
          <w:rFonts w:cs="Arial"/>
          <w:szCs w:val="20"/>
        </w:rPr>
      </w:pPr>
      <w:r w:rsidRPr="000514EC">
        <w:rPr>
          <w:rFonts w:cs="Arial"/>
          <w:szCs w:val="20"/>
        </w:rPr>
        <w:t>Tento indikátor definuje změnu reálného (</w:t>
      </w:r>
      <w:proofErr w:type="spellStart"/>
      <w:r w:rsidRPr="000514EC">
        <w:rPr>
          <w:rFonts w:cs="Arial"/>
          <w:szCs w:val="20"/>
        </w:rPr>
        <w:t>deflovaného</w:t>
      </w:r>
      <w:proofErr w:type="spellEnd"/>
      <w:r w:rsidRPr="000514EC">
        <w:rPr>
          <w:rFonts w:cs="Arial"/>
          <w:szCs w:val="20"/>
        </w:rPr>
        <w:t>) čistého podnikatelského důchodu jako samostatnou hodnotu. V tom se liší od indikátoru B, který srovnává tuto změnu s vývojem neplaceného ALI. Můžeme říci, že indikátor</w:t>
      </w:r>
      <w:r>
        <w:rPr>
          <w:rFonts w:cs="Arial"/>
          <w:szCs w:val="20"/>
        </w:rPr>
        <w:t xml:space="preserve"> C je základem pro indikátor B.</w:t>
      </w:r>
    </w:p>
    <w:p w14:paraId="29FD8499" w14:textId="77777777" w:rsidR="006B4B37" w:rsidRPr="006B4B37" w:rsidRDefault="006B4B37" w:rsidP="00EF1357">
      <w:pPr>
        <w:jc w:val="both"/>
      </w:pPr>
      <w:r w:rsidRPr="000514EC">
        <w:rPr>
          <w:rFonts w:cs="Arial"/>
          <w:szCs w:val="20"/>
        </w:rPr>
        <w:t xml:space="preserve">Pro výpočet indikátorů B a C je potřeba více informací než pro výpočet indikátoru A, údaje musí obsahovat: </w:t>
      </w:r>
      <w:r w:rsidRPr="006B4B37">
        <w:t>náhrady zaměstnancům, placené nájemné, nákladové a výnosové úroky, placené a neplacené ALI.</w:t>
      </w:r>
    </w:p>
    <w:p w14:paraId="7DD49AC0" w14:textId="77777777" w:rsidR="006B4B37" w:rsidRPr="006B4B37" w:rsidRDefault="006B4B37" w:rsidP="00EF1357">
      <w:pPr>
        <w:jc w:val="both"/>
      </w:pPr>
    </w:p>
    <w:p w14:paraId="6041A84A" w14:textId="77777777" w:rsidR="006B4B37" w:rsidRDefault="006B4B37" w:rsidP="00EF1357">
      <w:pPr>
        <w:rPr>
          <w:rFonts w:eastAsia="MS Gothic"/>
          <w:b/>
          <w:bCs/>
          <w:color w:val="009471"/>
          <w:sz w:val="28"/>
          <w:szCs w:val="26"/>
        </w:rPr>
      </w:pPr>
      <w:r w:rsidRPr="006B4B37">
        <w:rPr>
          <w:rFonts w:eastAsia="MS Gothic"/>
          <w:b/>
          <w:bCs/>
          <w:color w:val="009471"/>
          <w:sz w:val="28"/>
          <w:szCs w:val="26"/>
        </w:rPr>
        <w:t>Použité značky v tabulkách publikace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8420"/>
      </w:tblGrid>
      <w:tr w:rsidR="006B4B37" w14:paraId="4887CCC5" w14:textId="77777777" w:rsidTr="00502065">
        <w:tc>
          <w:tcPr>
            <w:tcW w:w="790" w:type="dxa"/>
          </w:tcPr>
          <w:p w14:paraId="51E2187E" w14:textId="77777777" w:rsidR="006B4B37" w:rsidRPr="006B4B37" w:rsidRDefault="006B4B37" w:rsidP="00EF1357">
            <w:pPr>
              <w:pStyle w:val="Zpat"/>
              <w:spacing w:after="240" w:line="288" w:lineRule="auto"/>
              <w:rPr>
                <w:sz w:val="20"/>
              </w:rPr>
            </w:pPr>
            <w:r w:rsidRPr="006B4B37">
              <w:rPr>
                <w:sz w:val="20"/>
              </w:rPr>
              <w:t>-</w:t>
            </w:r>
          </w:p>
        </w:tc>
        <w:tc>
          <w:tcPr>
            <w:tcW w:w="8420" w:type="dxa"/>
          </w:tcPr>
          <w:p w14:paraId="69D26C0B" w14:textId="77777777" w:rsidR="006B4B37" w:rsidRPr="006B4B37" w:rsidRDefault="006B4B37" w:rsidP="00EF1357">
            <w:pPr>
              <w:pStyle w:val="Zpat"/>
              <w:spacing w:after="240" w:line="288" w:lineRule="auto"/>
              <w:rPr>
                <w:sz w:val="20"/>
              </w:rPr>
            </w:pPr>
            <w:r w:rsidRPr="006B4B37">
              <w:rPr>
                <w:sz w:val="20"/>
              </w:rPr>
              <w:t>Pomlčka (-) značí, že jev se nevyskytoval.</w:t>
            </w:r>
          </w:p>
        </w:tc>
      </w:tr>
      <w:tr w:rsidR="006B4B37" w14:paraId="0E53E49C" w14:textId="77777777" w:rsidTr="00502065">
        <w:tc>
          <w:tcPr>
            <w:tcW w:w="790" w:type="dxa"/>
          </w:tcPr>
          <w:p w14:paraId="1CC77530" w14:textId="77777777" w:rsidR="006B4B37" w:rsidRPr="006B4B37" w:rsidRDefault="006B4B37" w:rsidP="00EF1357">
            <w:pPr>
              <w:pStyle w:val="Zpat"/>
              <w:spacing w:after="240" w:line="288" w:lineRule="auto"/>
              <w:rPr>
                <w:sz w:val="20"/>
              </w:rPr>
            </w:pPr>
            <w:r w:rsidRPr="006B4B37">
              <w:rPr>
                <w:sz w:val="20"/>
              </w:rPr>
              <w:t>0</w:t>
            </w:r>
          </w:p>
        </w:tc>
        <w:tc>
          <w:tcPr>
            <w:tcW w:w="8420" w:type="dxa"/>
          </w:tcPr>
          <w:p w14:paraId="2AE78130" w14:textId="77777777" w:rsidR="006B4B37" w:rsidRPr="006B4B37" w:rsidRDefault="006B4B37" w:rsidP="00EF1357">
            <w:pPr>
              <w:pStyle w:val="Zpat"/>
              <w:spacing w:after="240" w:line="288" w:lineRule="auto"/>
              <w:rPr>
                <w:sz w:val="20"/>
              </w:rPr>
            </w:pPr>
            <w:r w:rsidRPr="006B4B37">
              <w:rPr>
                <w:sz w:val="20"/>
              </w:rPr>
              <w:t>Nula (0) značí, že jde o číselný údaj, ale jeho hodnota je menší než jedna polovina měřicí jednotky použité v tabulce.</w:t>
            </w:r>
          </w:p>
        </w:tc>
      </w:tr>
      <w:tr w:rsidR="006B4B37" w14:paraId="5031E30D" w14:textId="77777777" w:rsidTr="00502065">
        <w:tc>
          <w:tcPr>
            <w:tcW w:w="790" w:type="dxa"/>
          </w:tcPr>
          <w:p w14:paraId="4375E3CD" w14:textId="77777777" w:rsidR="006B4B37" w:rsidRPr="006B4B37" w:rsidRDefault="006B4B37" w:rsidP="00EF1357">
            <w:pPr>
              <w:pStyle w:val="Zpat"/>
              <w:spacing w:after="240" w:line="288" w:lineRule="auto"/>
              <w:rPr>
                <w:sz w:val="20"/>
              </w:rPr>
            </w:pPr>
            <w:r w:rsidRPr="006B4B37">
              <w:rPr>
                <w:sz w:val="20"/>
              </w:rPr>
              <w:t>x</w:t>
            </w:r>
          </w:p>
        </w:tc>
        <w:tc>
          <w:tcPr>
            <w:tcW w:w="8420" w:type="dxa"/>
          </w:tcPr>
          <w:p w14:paraId="1CB112FB" w14:textId="77777777" w:rsidR="006B4B37" w:rsidRPr="006B4B37" w:rsidRDefault="006B4B37" w:rsidP="00EF1357">
            <w:pPr>
              <w:pStyle w:val="Zpat"/>
              <w:spacing w:after="240" w:line="288" w:lineRule="auto"/>
              <w:rPr>
                <w:sz w:val="20"/>
              </w:rPr>
            </w:pPr>
            <w:r w:rsidRPr="006B4B37">
              <w:rPr>
                <w:sz w:val="20"/>
              </w:rPr>
              <w:t>Písmeno (x) je v tabulce tehdy, jde-li o údaj, jehož číselné naplnění není logicky možné.</w:t>
            </w:r>
          </w:p>
        </w:tc>
      </w:tr>
      <w:tr w:rsidR="006B4B37" w14:paraId="70A89F9C" w14:textId="77777777" w:rsidTr="00502065">
        <w:tc>
          <w:tcPr>
            <w:tcW w:w="790" w:type="dxa"/>
          </w:tcPr>
          <w:p w14:paraId="24E04895" w14:textId="77777777" w:rsidR="006B4B37" w:rsidRPr="006B4B37" w:rsidRDefault="006B4B37" w:rsidP="00EF1357">
            <w:pPr>
              <w:pStyle w:val="Zpat"/>
              <w:spacing w:after="240" w:line="288" w:lineRule="auto"/>
              <w:rPr>
                <w:sz w:val="20"/>
              </w:rPr>
            </w:pPr>
            <w:r w:rsidRPr="006B4B37">
              <w:rPr>
                <w:sz w:val="20"/>
              </w:rPr>
              <w:t>.</w:t>
            </w:r>
          </w:p>
        </w:tc>
        <w:tc>
          <w:tcPr>
            <w:tcW w:w="8420" w:type="dxa"/>
          </w:tcPr>
          <w:p w14:paraId="4B4D5452" w14:textId="77777777" w:rsidR="006B4B37" w:rsidRPr="006B4B37" w:rsidRDefault="006B4B37" w:rsidP="00EF1357">
            <w:pPr>
              <w:pStyle w:val="Zpat"/>
              <w:spacing w:after="240" w:line="288" w:lineRule="auto"/>
              <w:rPr>
                <w:sz w:val="20"/>
              </w:rPr>
            </w:pPr>
            <w:r w:rsidRPr="006B4B37">
              <w:rPr>
                <w:sz w:val="20"/>
              </w:rPr>
              <w:t>Tečka (.) znamená, že údaj není k dispozici nebo je nespolehlivý.</w:t>
            </w:r>
          </w:p>
        </w:tc>
      </w:tr>
    </w:tbl>
    <w:p w14:paraId="10000B00" w14:textId="77777777" w:rsidR="006B4B37" w:rsidRDefault="006B4B37" w:rsidP="00EF1357"/>
    <w:p w14:paraId="6CB2C50E" w14:textId="77777777" w:rsidR="006B4B37" w:rsidRDefault="006B4B37" w:rsidP="00EF1357"/>
    <w:sectPr w:rsidR="006B4B37" w:rsidSect="006F5416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134" w:right="1134" w:bottom="1418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D7D37" w14:textId="77777777" w:rsidR="00D0234A" w:rsidRDefault="00D0234A" w:rsidP="00E71A58">
      <w:r>
        <w:separator/>
      </w:r>
    </w:p>
  </w:endnote>
  <w:endnote w:type="continuationSeparator" w:id="0">
    <w:p w14:paraId="4DA12424" w14:textId="77777777" w:rsidR="00D0234A" w:rsidRDefault="00D0234A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17B1" w14:textId="4DA1B784" w:rsidR="007661E9" w:rsidRPr="00932443" w:rsidRDefault="0079585A" w:rsidP="00A418BC">
    <w:pPr>
      <w:pStyle w:val="Zpat"/>
      <w:rPr>
        <w:szCs w:val="16"/>
      </w:rPr>
    </w:pPr>
    <w:r>
      <w:rPr>
        <w:szCs w:val="16"/>
        <w:lang w:eastAsia="cs-CZ"/>
      </w:rPr>
      <w:drawing>
        <wp:anchor distT="0" distB="0" distL="114300" distR="114300" simplePos="0" relativeHeight="251658240" behindDoc="0" locked="0" layoutInCell="1" allowOverlap="1" wp14:anchorId="55FE2EF2" wp14:editId="55FE2EF3">
          <wp:simplePos x="0" y="0"/>
          <wp:positionH relativeFrom="column">
            <wp:align>right</wp:align>
          </wp:positionH>
          <wp:positionV relativeFrom="paragraph">
            <wp:posOffset>-64770</wp:posOffset>
          </wp:positionV>
          <wp:extent cx="428625" cy="201295"/>
          <wp:effectExtent l="0" t="0" r="3175" b="1905"/>
          <wp:wrapNone/>
          <wp:docPr id="11" name="Picture 11" descr="CSU RGB CZ log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SU RGB CZ log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20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7BF" w:rsidRPr="00932443">
      <w:rPr>
        <w:szCs w:val="16"/>
      </w:rPr>
      <w:fldChar w:fldCharType="begin"/>
    </w:r>
    <w:r w:rsidR="005647BF" w:rsidRPr="00932443">
      <w:rPr>
        <w:szCs w:val="16"/>
      </w:rPr>
      <w:instrText>PAGE   \* MERGEFORMAT</w:instrText>
    </w:r>
    <w:r w:rsidR="005647BF" w:rsidRPr="00932443">
      <w:rPr>
        <w:szCs w:val="16"/>
      </w:rPr>
      <w:fldChar w:fldCharType="separate"/>
    </w:r>
    <w:r w:rsidR="00D826AC">
      <w:rPr>
        <w:szCs w:val="16"/>
      </w:rPr>
      <w:t>2</w:t>
    </w:r>
    <w:r w:rsidR="005647BF" w:rsidRPr="00932443">
      <w:rPr>
        <w:szCs w:val="16"/>
      </w:rPr>
      <w:fldChar w:fldCharType="end"/>
    </w:r>
    <w:r w:rsidR="005647BF" w:rsidRPr="00932443">
      <w:rPr>
        <w:szCs w:val="16"/>
      </w:rPr>
      <w:tab/>
    </w:r>
    <w:r w:rsidR="00D826AC">
      <w:rPr>
        <w:szCs w:val="16"/>
      </w:rPr>
      <w:t>202</w:t>
    </w:r>
    <w:r w:rsidR="0052288C">
      <w:rPr>
        <w:szCs w:val="16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8E58D" w14:textId="405340BD" w:rsidR="00B80EC6" w:rsidRPr="00932443" w:rsidRDefault="0079585A" w:rsidP="00A418BC">
    <w:pPr>
      <w:pStyle w:val="Zpat"/>
      <w:rPr>
        <w:szCs w:val="16"/>
      </w:rPr>
    </w:pPr>
    <w:r>
      <w:rPr>
        <w:szCs w:val="16"/>
        <w:lang w:eastAsia="cs-CZ"/>
      </w:rPr>
      <w:drawing>
        <wp:anchor distT="0" distB="0" distL="114300" distR="114300" simplePos="0" relativeHeight="251657216" behindDoc="0" locked="0" layoutInCell="1" allowOverlap="1" wp14:anchorId="55FE2EF4" wp14:editId="55FE2EF5">
          <wp:simplePos x="0" y="0"/>
          <wp:positionH relativeFrom="column">
            <wp:align>left</wp:align>
          </wp:positionH>
          <wp:positionV relativeFrom="paragraph">
            <wp:posOffset>-122555</wp:posOffset>
          </wp:positionV>
          <wp:extent cx="510540" cy="272415"/>
          <wp:effectExtent l="0" t="0" r="0" b="6985"/>
          <wp:wrapNone/>
          <wp:docPr id="10" name="Picture 10" descr="CSU RGB CZ logo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SU RGB CZ logo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27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7BF" w:rsidRPr="00932443">
      <w:rPr>
        <w:szCs w:val="16"/>
      </w:rPr>
      <w:tab/>
    </w:r>
    <w:r w:rsidR="00D826AC">
      <w:rPr>
        <w:rStyle w:val="ZpatChar"/>
        <w:szCs w:val="16"/>
      </w:rPr>
      <w:t>202</w:t>
    </w:r>
    <w:r w:rsidR="0052288C">
      <w:rPr>
        <w:rStyle w:val="ZpatChar"/>
        <w:szCs w:val="16"/>
      </w:rPr>
      <w:t>6</w:t>
    </w:r>
    <w:r w:rsidR="005647BF" w:rsidRPr="00932443">
      <w:rPr>
        <w:szCs w:val="16"/>
      </w:rPr>
      <w:tab/>
    </w:r>
    <w:r w:rsidR="005647BF" w:rsidRPr="00932443">
      <w:rPr>
        <w:rStyle w:val="ZpatChar"/>
        <w:szCs w:val="16"/>
      </w:rPr>
      <w:fldChar w:fldCharType="begin"/>
    </w:r>
    <w:r w:rsidR="005647BF" w:rsidRPr="00932443">
      <w:rPr>
        <w:rStyle w:val="ZpatChar"/>
        <w:szCs w:val="16"/>
      </w:rPr>
      <w:instrText>PAGE   \* MERGEFORMAT</w:instrText>
    </w:r>
    <w:r w:rsidR="005647BF" w:rsidRPr="00932443">
      <w:rPr>
        <w:rStyle w:val="ZpatChar"/>
        <w:szCs w:val="16"/>
      </w:rPr>
      <w:fldChar w:fldCharType="separate"/>
    </w:r>
    <w:r w:rsidR="00D826AC">
      <w:rPr>
        <w:rStyle w:val="ZpatChar"/>
        <w:szCs w:val="16"/>
      </w:rPr>
      <w:t>3</w:t>
    </w:r>
    <w:r w:rsidR="005647BF" w:rsidRPr="00932443">
      <w:rPr>
        <w:rStyle w:val="ZpatChar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A28BE" w14:textId="77777777" w:rsidR="00D0234A" w:rsidRDefault="00D0234A" w:rsidP="00E71A58">
      <w:r>
        <w:separator/>
      </w:r>
    </w:p>
  </w:footnote>
  <w:footnote w:type="continuationSeparator" w:id="0">
    <w:p w14:paraId="5116517E" w14:textId="77777777" w:rsidR="00D0234A" w:rsidRDefault="00D0234A" w:rsidP="00E7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B22C" w14:textId="39D57779" w:rsidR="006B4B37" w:rsidRPr="002767A3" w:rsidRDefault="006B4B37" w:rsidP="006B4B37">
    <w:pPr>
      <w:pStyle w:val="Zhlav"/>
    </w:pPr>
    <w:r>
      <w:t xml:space="preserve">SOUHRNNÝ ZEMĚDĚLSKÝ ÚČET </w:t>
    </w:r>
    <w:r w:rsidR="00D826AC">
      <w:t>definitivní výsledky za rok 202</w:t>
    </w:r>
    <w:r w:rsidR="0052288C">
      <w:t>4</w:t>
    </w:r>
    <w:r>
      <w:t xml:space="preserve"> a </w:t>
    </w:r>
    <w:proofErr w:type="spellStart"/>
    <w:r>
      <w:t>se</w:t>
    </w:r>
    <w:r w:rsidR="00D826AC">
      <w:t>midefinitivní</w:t>
    </w:r>
    <w:proofErr w:type="spellEnd"/>
    <w:r w:rsidR="00D826AC">
      <w:t xml:space="preserve"> výsledky roku 202</w:t>
    </w:r>
    <w:r w:rsidR="0052288C">
      <w:t>5</w:t>
    </w:r>
  </w:p>
  <w:p w14:paraId="44FC3BE5" w14:textId="656B4AAB" w:rsidR="006B4B37" w:rsidRPr="00E3026B" w:rsidRDefault="006B4B37" w:rsidP="006B4B37">
    <w:pPr>
      <w:pStyle w:val="Zhlav"/>
      <w:rPr>
        <w:i/>
        <w:lang w:val="en-GB"/>
      </w:rPr>
    </w:pPr>
    <w:r w:rsidRPr="0011347B">
      <w:rPr>
        <w:i/>
      </w:rPr>
      <w:t xml:space="preserve">/ ECONOMIC ACCOUNTS </w:t>
    </w:r>
    <w:r w:rsidRPr="00E3026B">
      <w:rPr>
        <w:i/>
        <w:lang w:val="en-GB"/>
      </w:rPr>
      <w:t>FOR AGRICULTURE Definitive data 202</w:t>
    </w:r>
    <w:r w:rsidR="0052288C">
      <w:rPr>
        <w:i/>
        <w:lang w:val="en-GB"/>
      </w:rPr>
      <w:t>4</w:t>
    </w:r>
    <w:r w:rsidR="00D826AC">
      <w:rPr>
        <w:i/>
        <w:lang w:val="en-GB"/>
      </w:rPr>
      <w:t xml:space="preserve"> and Semi-definitive Data 202</w:t>
    </w:r>
    <w:r w:rsidR="0052288C">
      <w:rPr>
        <w:i/>
        <w:lang w:val="en-GB"/>
      </w:rPr>
      <w:t>5</w:t>
    </w:r>
  </w:p>
  <w:p w14:paraId="1B9287FA" w14:textId="77777777" w:rsidR="00515C74" w:rsidRPr="006B4B37" w:rsidRDefault="00515C74" w:rsidP="006B4B3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B581" w14:textId="2B169998" w:rsidR="00F9393D" w:rsidRPr="002767A3" w:rsidRDefault="00F9393D" w:rsidP="00F9393D">
    <w:pPr>
      <w:pStyle w:val="Zhlav"/>
    </w:pPr>
    <w:r>
      <w:t>SOUHRNNÝ ZEMĚDĚLSKÝ ÚČET definitivní výsledky za rok 202</w:t>
    </w:r>
    <w:r w:rsidR="0052288C">
      <w:t>4</w:t>
    </w:r>
    <w:r>
      <w:t xml:space="preserve"> a </w:t>
    </w:r>
    <w:proofErr w:type="spellStart"/>
    <w:r>
      <w:t>se</w:t>
    </w:r>
    <w:r w:rsidR="00D826AC">
      <w:t>midefinitivní</w:t>
    </w:r>
    <w:proofErr w:type="spellEnd"/>
    <w:r w:rsidR="00D826AC">
      <w:t xml:space="preserve"> výsledky roku 202</w:t>
    </w:r>
    <w:r w:rsidR="0052288C">
      <w:t>5</w:t>
    </w:r>
  </w:p>
  <w:p w14:paraId="2220FCE4" w14:textId="0B280368" w:rsidR="00F9393D" w:rsidRPr="0011347B" w:rsidRDefault="00F9393D" w:rsidP="00F9393D">
    <w:pPr>
      <w:pStyle w:val="Zhlav"/>
      <w:rPr>
        <w:i/>
      </w:rPr>
    </w:pPr>
    <w:r w:rsidRPr="0011347B">
      <w:rPr>
        <w:i/>
      </w:rPr>
      <w:t xml:space="preserve">/ ECONOMIC ACCOUNTS FOR AGRICULTURE </w:t>
    </w:r>
    <w:r w:rsidR="00D826AC">
      <w:rPr>
        <w:i/>
        <w:lang w:val="en-GB"/>
      </w:rPr>
      <w:t>Definitive data 202</w:t>
    </w:r>
    <w:r w:rsidR="0052288C">
      <w:rPr>
        <w:i/>
        <w:lang w:val="en-GB"/>
      </w:rPr>
      <w:t>4</w:t>
    </w:r>
    <w:r w:rsidRPr="00E3026B">
      <w:rPr>
        <w:i/>
        <w:lang w:val="en-GB"/>
      </w:rPr>
      <w:t xml:space="preserve"> and Semi-definitive</w:t>
    </w:r>
    <w:r w:rsidRPr="0011347B">
      <w:rPr>
        <w:i/>
      </w:rPr>
      <w:t xml:space="preserve"> Data 202</w:t>
    </w:r>
    <w:r w:rsidR="0052288C">
      <w:rPr>
        <w:i/>
      </w:rPr>
      <w:t>5</w:t>
    </w:r>
  </w:p>
  <w:p w14:paraId="66928760" w14:textId="77777777" w:rsidR="00B5752E" w:rsidRPr="00F9393D" w:rsidRDefault="00B5752E" w:rsidP="00F939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75452">
    <w:abstractNumId w:val="11"/>
  </w:num>
  <w:num w:numId="2" w16cid:durableId="1380664729">
    <w:abstractNumId w:val="8"/>
  </w:num>
  <w:num w:numId="3" w16cid:durableId="931014530">
    <w:abstractNumId w:val="3"/>
  </w:num>
  <w:num w:numId="4" w16cid:durableId="1295529219">
    <w:abstractNumId w:val="2"/>
  </w:num>
  <w:num w:numId="5" w16cid:durableId="1504514712">
    <w:abstractNumId w:val="1"/>
  </w:num>
  <w:num w:numId="6" w16cid:durableId="1743478569">
    <w:abstractNumId w:val="0"/>
  </w:num>
  <w:num w:numId="7" w16cid:durableId="1206605952">
    <w:abstractNumId w:val="9"/>
  </w:num>
  <w:num w:numId="8" w16cid:durableId="1738165049">
    <w:abstractNumId w:val="7"/>
  </w:num>
  <w:num w:numId="9" w16cid:durableId="1939831993">
    <w:abstractNumId w:val="6"/>
  </w:num>
  <w:num w:numId="10" w16cid:durableId="1622611814">
    <w:abstractNumId w:val="5"/>
  </w:num>
  <w:num w:numId="11" w16cid:durableId="307322956">
    <w:abstractNumId w:val="4"/>
  </w:num>
  <w:num w:numId="12" w16cid:durableId="190842871">
    <w:abstractNumId w:val="10"/>
  </w:num>
  <w:num w:numId="13" w16cid:durableId="7713237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63"/>
    <w:rsid w:val="0000209D"/>
    <w:rsid w:val="00004D5A"/>
    <w:rsid w:val="000056D5"/>
    <w:rsid w:val="0000767A"/>
    <w:rsid w:val="00010702"/>
    <w:rsid w:val="000234D6"/>
    <w:rsid w:val="00023D29"/>
    <w:rsid w:val="00026389"/>
    <w:rsid w:val="00031AE0"/>
    <w:rsid w:val="000322EF"/>
    <w:rsid w:val="00033FCD"/>
    <w:rsid w:val="00041CEC"/>
    <w:rsid w:val="0004694F"/>
    <w:rsid w:val="000522E4"/>
    <w:rsid w:val="000610E1"/>
    <w:rsid w:val="00062EC5"/>
    <w:rsid w:val="00062F22"/>
    <w:rsid w:val="000712B3"/>
    <w:rsid w:val="0008263E"/>
    <w:rsid w:val="00082C19"/>
    <w:rsid w:val="00085395"/>
    <w:rsid w:val="00087634"/>
    <w:rsid w:val="00087F2B"/>
    <w:rsid w:val="000974D1"/>
    <w:rsid w:val="0009799E"/>
    <w:rsid w:val="000A1183"/>
    <w:rsid w:val="000A256D"/>
    <w:rsid w:val="000A3A2C"/>
    <w:rsid w:val="000C3408"/>
    <w:rsid w:val="000C6AFD"/>
    <w:rsid w:val="000D5637"/>
    <w:rsid w:val="000E6FBD"/>
    <w:rsid w:val="00100F5C"/>
    <w:rsid w:val="00104C4C"/>
    <w:rsid w:val="0011347B"/>
    <w:rsid w:val="0012192F"/>
    <w:rsid w:val="00125D69"/>
    <w:rsid w:val="001405FA"/>
    <w:rsid w:val="001425C3"/>
    <w:rsid w:val="0016256B"/>
    <w:rsid w:val="00163793"/>
    <w:rsid w:val="001706D6"/>
    <w:rsid w:val="001714F2"/>
    <w:rsid w:val="00184B08"/>
    <w:rsid w:val="00185010"/>
    <w:rsid w:val="001A552F"/>
    <w:rsid w:val="001B2CA9"/>
    <w:rsid w:val="001B3110"/>
    <w:rsid w:val="001B4729"/>
    <w:rsid w:val="001B6C09"/>
    <w:rsid w:val="001C05CD"/>
    <w:rsid w:val="001C400A"/>
    <w:rsid w:val="001D68B2"/>
    <w:rsid w:val="001F4597"/>
    <w:rsid w:val="002118B9"/>
    <w:rsid w:val="00217C5B"/>
    <w:rsid w:val="0022139E"/>
    <w:rsid w:val="002252E0"/>
    <w:rsid w:val="002255F6"/>
    <w:rsid w:val="00227850"/>
    <w:rsid w:val="00227A53"/>
    <w:rsid w:val="00230C6E"/>
    <w:rsid w:val="00236443"/>
    <w:rsid w:val="002436BA"/>
    <w:rsid w:val="00244A15"/>
    <w:rsid w:val="00247319"/>
    <w:rsid w:val="0024799E"/>
    <w:rsid w:val="00253C0F"/>
    <w:rsid w:val="00263EBC"/>
    <w:rsid w:val="00271465"/>
    <w:rsid w:val="00285412"/>
    <w:rsid w:val="002A16D4"/>
    <w:rsid w:val="002A230C"/>
    <w:rsid w:val="002C43BD"/>
    <w:rsid w:val="002C624A"/>
    <w:rsid w:val="002D0E59"/>
    <w:rsid w:val="002D73B4"/>
    <w:rsid w:val="002E02A1"/>
    <w:rsid w:val="002E4E4C"/>
    <w:rsid w:val="00304771"/>
    <w:rsid w:val="003052D4"/>
    <w:rsid w:val="00306C5B"/>
    <w:rsid w:val="00314D9F"/>
    <w:rsid w:val="003209D6"/>
    <w:rsid w:val="00321924"/>
    <w:rsid w:val="0032656E"/>
    <w:rsid w:val="003306DF"/>
    <w:rsid w:val="00332190"/>
    <w:rsid w:val="003350AC"/>
    <w:rsid w:val="00344668"/>
    <w:rsid w:val="003462D9"/>
    <w:rsid w:val="003469F5"/>
    <w:rsid w:val="00360C86"/>
    <w:rsid w:val="003657F3"/>
    <w:rsid w:val="003818DC"/>
    <w:rsid w:val="00384327"/>
    <w:rsid w:val="00385D98"/>
    <w:rsid w:val="003A2B4D"/>
    <w:rsid w:val="003A478C"/>
    <w:rsid w:val="003A5525"/>
    <w:rsid w:val="003A6B38"/>
    <w:rsid w:val="003B5A32"/>
    <w:rsid w:val="003C3490"/>
    <w:rsid w:val="003D6920"/>
    <w:rsid w:val="003E4C91"/>
    <w:rsid w:val="003F313C"/>
    <w:rsid w:val="003F4B2C"/>
    <w:rsid w:val="003F551C"/>
    <w:rsid w:val="003F7D23"/>
    <w:rsid w:val="00407C13"/>
    <w:rsid w:val="00410638"/>
    <w:rsid w:val="00416F0B"/>
    <w:rsid w:val="00432A58"/>
    <w:rsid w:val="00434617"/>
    <w:rsid w:val="00440900"/>
    <w:rsid w:val="004441A0"/>
    <w:rsid w:val="00454A3F"/>
    <w:rsid w:val="00460FB3"/>
    <w:rsid w:val="00476240"/>
    <w:rsid w:val="00476439"/>
    <w:rsid w:val="0047735C"/>
    <w:rsid w:val="004776BC"/>
    <w:rsid w:val="0048139F"/>
    <w:rsid w:val="00481E40"/>
    <w:rsid w:val="00484ECE"/>
    <w:rsid w:val="004915CB"/>
    <w:rsid w:val="004924DC"/>
    <w:rsid w:val="004A14E4"/>
    <w:rsid w:val="004A3212"/>
    <w:rsid w:val="004A61C5"/>
    <w:rsid w:val="004A77DF"/>
    <w:rsid w:val="004B1417"/>
    <w:rsid w:val="004B55B7"/>
    <w:rsid w:val="004B6468"/>
    <w:rsid w:val="004C384C"/>
    <w:rsid w:val="004C3867"/>
    <w:rsid w:val="004C4CD0"/>
    <w:rsid w:val="004C70DC"/>
    <w:rsid w:val="004D0211"/>
    <w:rsid w:val="004D0794"/>
    <w:rsid w:val="004F06F5"/>
    <w:rsid w:val="004F33A0"/>
    <w:rsid w:val="005108C0"/>
    <w:rsid w:val="00511873"/>
    <w:rsid w:val="00512A2F"/>
    <w:rsid w:val="00513B7E"/>
    <w:rsid w:val="00515C74"/>
    <w:rsid w:val="0052007E"/>
    <w:rsid w:val="0052288C"/>
    <w:rsid w:val="0052337A"/>
    <w:rsid w:val="00525137"/>
    <w:rsid w:val="005251DD"/>
    <w:rsid w:val="00532CE7"/>
    <w:rsid w:val="0053324C"/>
    <w:rsid w:val="00534A28"/>
    <w:rsid w:val="00541508"/>
    <w:rsid w:val="0055599F"/>
    <w:rsid w:val="00556D68"/>
    <w:rsid w:val="005647BF"/>
    <w:rsid w:val="0057364B"/>
    <w:rsid w:val="00574773"/>
    <w:rsid w:val="00583FFD"/>
    <w:rsid w:val="005911BE"/>
    <w:rsid w:val="00593152"/>
    <w:rsid w:val="005A10F2"/>
    <w:rsid w:val="005A21E0"/>
    <w:rsid w:val="005A28FF"/>
    <w:rsid w:val="005A3DF8"/>
    <w:rsid w:val="005A5549"/>
    <w:rsid w:val="005B121D"/>
    <w:rsid w:val="005C06ED"/>
    <w:rsid w:val="005D5802"/>
    <w:rsid w:val="005D7890"/>
    <w:rsid w:val="005E7C78"/>
    <w:rsid w:val="005F3EB1"/>
    <w:rsid w:val="005F5469"/>
    <w:rsid w:val="00604307"/>
    <w:rsid w:val="0060487F"/>
    <w:rsid w:val="00604EAD"/>
    <w:rsid w:val="006104FB"/>
    <w:rsid w:val="00612A2F"/>
    <w:rsid w:val="00616E05"/>
    <w:rsid w:val="00624093"/>
    <w:rsid w:val="006404A7"/>
    <w:rsid w:val="006451E4"/>
    <w:rsid w:val="00645B33"/>
    <w:rsid w:val="006516CB"/>
    <w:rsid w:val="00657E87"/>
    <w:rsid w:val="006634CE"/>
    <w:rsid w:val="00664803"/>
    <w:rsid w:val="00665BA4"/>
    <w:rsid w:val="00667AF2"/>
    <w:rsid w:val="006710C9"/>
    <w:rsid w:val="00674D89"/>
    <w:rsid w:val="00675E37"/>
    <w:rsid w:val="0068174E"/>
    <w:rsid w:val="00681DCE"/>
    <w:rsid w:val="0068260E"/>
    <w:rsid w:val="00695BEF"/>
    <w:rsid w:val="006977F6"/>
    <w:rsid w:val="00697A13"/>
    <w:rsid w:val="006A109C"/>
    <w:rsid w:val="006B344A"/>
    <w:rsid w:val="006B4B37"/>
    <w:rsid w:val="006B78D8"/>
    <w:rsid w:val="006C113F"/>
    <w:rsid w:val="006C123E"/>
    <w:rsid w:val="006C56D4"/>
    <w:rsid w:val="006C6924"/>
    <w:rsid w:val="006C7CA6"/>
    <w:rsid w:val="006D3E8A"/>
    <w:rsid w:val="006D61F6"/>
    <w:rsid w:val="006E279A"/>
    <w:rsid w:val="006E313B"/>
    <w:rsid w:val="006F5416"/>
    <w:rsid w:val="006F6B1A"/>
    <w:rsid w:val="00706AD4"/>
    <w:rsid w:val="007140BE"/>
    <w:rsid w:val="007202BA"/>
    <w:rsid w:val="007211F5"/>
    <w:rsid w:val="00725BB5"/>
    <w:rsid w:val="00730AE8"/>
    <w:rsid w:val="00734624"/>
    <w:rsid w:val="00741493"/>
    <w:rsid w:val="00752180"/>
    <w:rsid w:val="00755202"/>
    <w:rsid w:val="00755D3A"/>
    <w:rsid w:val="007578D3"/>
    <w:rsid w:val="007609C6"/>
    <w:rsid w:val="0076175D"/>
    <w:rsid w:val="0076521E"/>
    <w:rsid w:val="007661E9"/>
    <w:rsid w:val="00776169"/>
    <w:rsid w:val="00776527"/>
    <w:rsid w:val="00780EF1"/>
    <w:rsid w:val="00790764"/>
    <w:rsid w:val="0079453C"/>
    <w:rsid w:val="00794677"/>
    <w:rsid w:val="0079585A"/>
    <w:rsid w:val="007B6689"/>
    <w:rsid w:val="007D40DF"/>
    <w:rsid w:val="007E7E61"/>
    <w:rsid w:val="007F0845"/>
    <w:rsid w:val="00807C82"/>
    <w:rsid w:val="00816905"/>
    <w:rsid w:val="00821FF6"/>
    <w:rsid w:val="00825C4D"/>
    <w:rsid w:val="0083143E"/>
    <w:rsid w:val="00831CDE"/>
    <w:rsid w:val="00834304"/>
    <w:rsid w:val="00834FAA"/>
    <w:rsid w:val="00836086"/>
    <w:rsid w:val="0084708F"/>
    <w:rsid w:val="008477C8"/>
    <w:rsid w:val="0085114D"/>
    <w:rsid w:val="00852217"/>
    <w:rsid w:val="00855408"/>
    <w:rsid w:val="00856D65"/>
    <w:rsid w:val="00861B41"/>
    <w:rsid w:val="00863434"/>
    <w:rsid w:val="00865E4C"/>
    <w:rsid w:val="0086642C"/>
    <w:rsid w:val="008701E4"/>
    <w:rsid w:val="00875A32"/>
    <w:rsid w:val="00876086"/>
    <w:rsid w:val="008767E4"/>
    <w:rsid w:val="008873D4"/>
    <w:rsid w:val="00893E85"/>
    <w:rsid w:val="00894031"/>
    <w:rsid w:val="008B7C02"/>
    <w:rsid w:val="008B7D2B"/>
    <w:rsid w:val="008C0049"/>
    <w:rsid w:val="008C0E88"/>
    <w:rsid w:val="008D02E1"/>
    <w:rsid w:val="008D1E6A"/>
    <w:rsid w:val="008D2A16"/>
    <w:rsid w:val="008E2C57"/>
    <w:rsid w:val="008E31FF"/>
    <w:rsid w:val="008E6F06"/>
    <w:rsid w:val="008F029B"/>
    <w:rsid w:val="008F3FC9"/>
    <w:rsid w:val="008F4536"/>
    <w:rsid w:val="008F585B"/>
    <w:rsid w:val="009003A8"/>
    <w:rsid w:val="00902500"/>
    <w:rsid w:val="00902EFF"/>
    <w:rsid w:val="00906401"/>
    <w:rsid w:val="0091155E"/>
    <w:rsid w:val="00912A92"/>
    <w:rsid w:val="0091728D"/>
    <w:rsid w:val="0092180B"/>
    <w:rsid w:val="00921F14"/>
    <w:rsid w:val="00924AC8"/>
    <w:rsid w:val="0092597A"/>
    <w:rsid w:val="00932443"/>
    <w:rsid w:val="00937AE2"/>
    <w:rsid w:val="0094427A"/>
    <w:rsid w:val="00973A2C"/>
    <w:rsid w:val="00974923"/>
    <w:rsid w:val="00980D3D"/>
    <w:rsid w:val="00987A30"/>
    <w:rsid w:val="00992CF3"/>
    <w:rsid w:val="00993BB8"/>
    <w:rsid w:val="00995A66"/>
    <w:rsid w:val="009968D6"/>
    <w:rsid w:val="009A1CAB"/>
    <w:rsid w:val="009A60D1"/>
    <w:rsid w:val="009B10A8"/>
    <w:rsid w:val="009B6FD3"/>
    <w:rsid w:val="009C1750"/>
    <w:rsid w:val="009C2E29"/>
    <w:rsid w:val="009C554B"/>
    <w:rsid w:val="009C719E"/>
    <w:rsid w:val="009D3ACD"/>
    <w:rsid w:val="009E5273"/>
    <w:rsid w:val="009E5DDB"/>
    <w:rsid w:val="009F4CA7"/>
    <w:rsid w:val="009F7A0A"/>
    <w:rsid w:val="00A10D66"/>
    <w:rsid w:val="00A14114"/>
    <w:rsid w:val="00A16413"/>
    <w:rsid w:val="00A23E43"/>
    <w:rsid w:val="00A30F65"/>
    <w:rsid w:val="00A33966"/>
    <w:rsid w:val="00A418BC"/>
    <w:rsid w:val="00A46DE0"/>
    <w:rsid w:val="00A50D73"/>
    <w:rsid w:val="00A52CAD"/>
    <w:rsid w:val="00A53FC7"/>
    <w:rsid w:val="00A62CE1"/>
    <w:rsid w:val="00A6741E"/>
    <w:rsid w:val="00A75E40"/>
    <w:rsid w:val="00A77D1D"/>
    <w:rsid w:val="00A857C0"/>
    <w:rsid w:val="00AA2996"/>
    <w:rsid w:val="00AA52BF"/>
    <w:rsid w:val="00AA559A"/>
    <w:rsid w:val="00AB2AF1"/>
    <w:rsid w:val="00AD306C"/>
    <w:rsid w:val="00AE09B3"/>
    <w:rsid w:val="00AE1A83"/>
    <w:rsid w:val="00AF46DC"/>
    <w:rsid w:val="00B00913"/>
    <w:rsid w:val="00B01593"/>
    <w:rsid w:val="00B10A4D"/>
    <w:rsid w:val="00B17E71"/>
    <w:rsid w:val="00B17FDE"/>
    <w:rsid w:val="00B2379C"/>
    <w:rsid w:val="00B2687D"/>
    <w:rsid w:val="00B32DDB"/>
    <w:rsid w:val="00B34528"/>
    <w:rsid w:val="00B35250"/>
    <w:rsid w:val="00B3611A"/>
    <w:rsid w:val="00B402FC"/>
    <w:rsid w:val="00B46604"/>
    <w:rsid w:val="00B530CD"/>
    <w:rsid w:val="00B55F5E"/>
    <w:rsid w:val="00B572E3"/>
    <w:rsid w:val="00B5752E"/>
    <w:rsid w:val="00B63A11"/>
    <w:rsid w:val="00B64C24"/>
    <w:rsid w:val="00B6608F"/>
    <w:rsid w:val="00B679FB"/>
    <w:rsid w:val="00B76D1E"/>
    <w:rsid w:val="00B80EC6"/>
    <w:rsid w:val="00B86681"/>
    <w:rsid w:val="00B92D1D"/>
    <w:rsid w:val="00B938C5"/>
    <w:rsid w:val="00B95940"/>
    <w:rsid w:val="00BB46F3"/>
    <w:rsid w:val="00BB4CB1"/>
    <w:rsid w:val="00BB4F98"/>
    <w:rsid w:val="00BC7154"/>
    <w:rsid w:val="00BD366B"/>
    <w:rsid w:val="00BD6D50"/>
    <w:rsid w:val="00BE18B9"/>
    <w:rsid w:val="00BE2495"/>
    <w:rsid w:val="00BF1578"/>
    <w:rsid w:val="00C21F94"/>
    <w:rsid w:val="00C27913"/>
    <w:rsid w:val="00C33B68"/>
    <w:rsid w:val="00C36A79"/>
    <w:rsid w:val="00C405D4"/>
    <w:rsid w:val="00C4513B"/>
    <w:rsid w:val="00C519CE"/>
    <w:rsid w:val="00C54697"/>
    <w:rsid w:val="00C56BB4"/>
    <w:rsid w:val="00C631AB"/>
    <w:rsid w:val="00C73885"/>
    <w:rsid w:val="00C747B1"/>
    <w:rsid w:val="00C82191"/>
    <w:rsid w:val="00C90CF4"/>
    <w:rsid w:val="00C92EB6"/>
    <w:rsid w:val="00C93389"/>
    <w:rsid w:val="00CB4930"/>
    <w:rsid w:val="00CC2E7D"/>
    <w:rsid w:val="00CD10A5"/>
    <w:rsid w:val="00CD2076"/>
    <w:rsid w:val="00CD77D4"/>
    <w:rsid w:val="00CE670B"/>
    <w:rsid w:val="00CF51EC"/>
    <w:rsid w:val="00CF73AE"/>
    <w:rsid w:val="00D0234A"/>
    <w:rsid w:val="00D040DD"/>
    <w:rsid w:val="00D07BA7"/>
    <w:rsid w:val="00D13986"/>
    <w:rsid w:val="00D235B7"/>
    <w:rsid w:val="00D25F28"/>
    <w:rsid w:val="00D27973"/>
    <w:rsid w:val="00D43AEA"/>
    <w:rsid w:val="00D50F46"/>
    <w:rsid w:val="00D55763"/>
    <w:rsid w:val="00D66223"/>
    <w:rsid w:val="00D8084C"/>
    <w:rsid w:val="00D826AC"/>
    <w:rsid w:val="00DA7C0C"/>
    <w:rsid w:val="00DB2EC8"/>
    <w:rsid w:val="00DB55DD"/>
    <w:rsid w:val="00DC5B3B"/>
    <w:rsid w:val="00DD129F"/>
    <w:rsid w:val="00DF42FF"/>
    <w:rsid w:val="00E01C0E"/>
    <w:rsid w:val="00E03F9A"/>
    <w:rsid w:val="00E04694"/>
    <w:rsid w:val="00E12B1E"/>
    <w:rsid w:val="00E17262"/>
    <w:rsid w:val="00E253A2"/>
    <w:rsid w:val="00E3026B"/>
    <w:rsid w:val="00E3309D"/>
    <w:rsid w:val="00E50156"/>
    <w:rsid w:val="00E53470"/>
    <w:rsid w:val="00E539F6"/>
    <w:rsid w:val="00E6519D"/>
    <w:rsid w:val="00E67696"/>
    <w:rsid w:val="00E71A58"/>
    <w:rsid w:val="00E72A7A"/>
    <w:rsid w:val="00E75C94"/>
    <w:rsid w:val="00E93820"/>
    <w:rsid w:val="00EA0C68"/>
    <w:rsid w:val="00EA32BC"/>
    <w:rsid w:val="00EB3701"/>
    <w:rsid w:val="00EB4511"/>
    <w:rsid w:val="00EC03D7"/>
    <w:rsid w:val="00ED62C6"/>
    <w:rsid w:val="00ED64C1"/>
    <w:rsid w:val="00EE3446"/>
    <w:rsid w:val="00EE3E78"/>
    <w:rsid w:val="00EE4B1B"/>
    <w:rsid w:val="00EF1357"/>
    <w:rsid w:val="00EF150D"/>
    <w:rsid w:val="00EF1F5A"/>
    <w:rsid w:val="00EF47BF"/>
    <w:rsid w:val="00F04811"/>
    <w:rsid w:val="00F0488C"/>
    <w:rsid w:val="00F10F11"/>
    <w:rsid w:val="00F15AAA"/>
    <w:rsid w:val="00F15BEF"/>
    <w:rsid w:val="00F24407"/>
    <w:rsid w:val="00F24FAA"/>
    <w:rsid w:val="00F3364D"/>
    <w:rsid w:val="00F437CC"/>
    <w:rsid w:val="00F47067"/>
    <w:rsid w:val="00F525EB"/>
    <w:rsid w:val="00F63DDE"/>
    <w:rsid w:val="00F63FB7"/>
    <w:rsid w:val="00F649D2"/>
    <w:rsid w:val="00F6602B"/>
    <w:rsid w:val="00F73A0C"/>
    <w:rsid w:val="00F756DB"/>
    <w:rsid w:val="00F85066"/>
    <w:rsid w:val="00F9393D"/>
    <w:rsid w:val="00FA5D4D"/>
    <w:rsid w:val="00FB0EE2"/>
    <w:rsid w:val="00FB542E"/>
    <w:rsid w:val="00FC0E5F"/>
    <w:rsid w:val="00FC1A95"/>
    <w:rsid w:val="00FC56DE"/>
    <w:rsid w:val="00FC684B"/>
    <w:rsid w:val="00FD3265"/>
    <w:rsid w:val="00FE2F78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0DFD50FB"/>
  <w15:docId w15:val="{6634BF6A-D44E-482A-9B54-0320D83F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7202BA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color w:val="009471"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7202BA"/>
    <w:pPr>
      <w:keepNext/>
      <w:keepLines/>
      <w:spacing w:line="288" w:lineRule="auto"/>
      <w:outlineLvl w:val="1"/>
    </w:pPr>
    <w:rPr>
      <w:rFonts w:ascii="Arial" w:eastAsia="MS Gothic" w:hAnsi="Arial"/>
      <w:b/>
      <w:bCs/>
      <w:color w:val="009471"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7202BA"/>
    <w:pPr>
      <w:keepNext/>
      <w:keepLines/>
      <w:spacing w:line="288" w:lineRule="auto"/>
      <w:outlineLvl w:val="2"/>
    </w:pPr>
    <w:rPr>
      <w:rFonts w:ascii="Arial" w:eastAsia="MS Gothic" w:hAnsi="Arial"/>
      <w:b/>
      <w:bCs/>
      <w:color w:val="009471"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7202BA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color w:val="009471"/>
      <w:szCs w:val="24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7202BA"/>
    <w:rPr>
      <w:rFonts w:ascii="Arial" w:eastAsia="MS Gothic" w:hAnsi="Arial"/>
      <w:b/>
      <w:bCs/>
      <w:color w:val="009471"/>
      <w:sz w:val="32"/>
      <w:szCs w:val="28"/>
      <w:lang w:eastAsia="cs-CZ"/>
    </w:rPr>
  </w:style>
  <w:style w:type="character" w:customStyle="1" w:styleId="Nadpis2Char">
    <w:name w:val="Nadpis 2 Char"/>
    <w:link w:val="Nadpis2"/>
    <w:uiPriority w:val="9"/>
    <w:rsid w:val="007202BA"/>
    <w:rPr>
      <w:rFonts w:ascii="Arial" w:eastAsia="MS Gothic" w:hAnsi="Arial"/>
      <w:b/>
      <w:bCs/>
      <w:color w:val="009471"/>
      <w:sz w:val="28"/>
      <w:szCs w:val="26"/>
      <w:lang w:eastAsia="cs-CZ"/>
    </w:rPr>
  </w:style>
  <w:style w:type="character" w:customStyle="1" w:styleId="Nadpis3Char">
    <w:name w:val="Nadpis 3 Char"/>
    <w:link w:val="Nadpis3"/>
    <w:uiPriority w:val="9"/>
    <w:rsid w:val="007202BA"/>
    <w:rPr>
      <w:rFonts w:ascii="Arial" w:eastAsia="MS Gothic" w:hAnsi="Arial"/>
      <w:b/>
      <w:bCs/>
      <w:color w:val="009471"/>
      <w:sz w:val="24"/>
      <w:szCs w:val="24"/>
      <w:lang w:eastAsia="cs-CZ"/>
    </w:rPr>
  </w:style>
  <w:style w:type="character" w:customStyle="1" w:styleId="Nadpis4Char">
    <w:name w:val="Nadpis 4 Char"/>
    <w:link w:val="Nadpis4"/>
    <w:uiPriority w:val="9"/>
    <w:rsid w:val="007202BA"/>
    <w:rPr>
      <w:rFonts w:ascii="Arial" w:eastAsia="MS Gothic" w:hAnsi="Arial"/>
      <w:b/>
      <w:bCs/>
      <w:iCs/>
      <w:color w:val="009471"/>
      <w:szCs w:val="24"/>
      <w:lang w:eastAsia="cs-CZ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B3611A"/>
    <w:pPr>
      <w:spacing w:after="80" w:line="288" w:lineRule="auto"/>
    </w:pPr>
    <w:rPr>
      <w:rFonts w:ascii="Arial" w:eastAsia="Times New Roman" w:hAnsi="Arial"/>
      <w:b/>
      <w:color w:val="009471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416F0B"/>
    <w:pPr>
      <w:shd w:val="clear" w:color="auto" w:fill="E3F1EC"/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customStyle="1" w:styleId="Box2">
    <w:name w:val="Box 2"/>
    <w:qFormat/>
    <w:rsid w:val="007202BA"/>
    <w:pPr>
      <w:spacing w:before="240" w:after="240" w:line="288" w:lineRule="auto"/>
      <w:ind w:left="709"/>
      <w:contextualSpacing/>
    </w:pPr>
    <w:rPr>
      <w:rFonts w:ascii="Arial" w:hAnsi="Arial" w:cs="Arial"/>
      <w:color w:val="009471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B3611A"/>
    <w:pPr>
      <w:spacing w:after="40"/>
      <w:contextualSpacing/>
    </w:pPr>
    <w:rPr>
      <w:b/>
      <w:caps/>
      <w:color w:val="000000" w:themeColor="text1"/>
      <w:sz w:val="24"/>
    </w:rPr>
  </w:style>
  <w:style w:type="paragraph" w:customStyle="1" w:styleId="TLKontakty">
    <w:name w:val="TL Kontakty"/>
    <w:qFormat/>
    <w:rsid w:val="00B3611A"/>
    <w:pPr>
      <w:spacing w:after="160" w:line="259" w:lineRule="auto"/>
      <w:contextualSpacing/>
    </w:pPr>
    <w:rPr>
      <w:rFonts w:ascii="Arial" w:eastAsia="Times New Roman" w:hAnsi="Arial"/>
      <w:b/>
      <w:color w:val="009471"/>
      <w:lang w:eastAsia="cs-CZ"/>
    </w:rPr>
  </w:style>
  <w:style w:type="paragraph" w:styleId="Nzev">
    <w:name w:val="Title"/>
    <w:link w:val="NzevChar"/>
    <w:uiPriority w:val="10"/>
    <w:qFormat/>
    <w:rsid w:val="00B3611A"/>
    <w:pPr>
      <w:spacing w:line="288" w:lineRule="auto"/>
    </w:pPr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character" w:customStyle="1" w:styleId="NzevChar">
    <w:name w:val="Název Char"/>
    <w:link w:val="Nzev"/>
    <w:uiPriority w:val="10"/>
    <w:rsid w:val="00B3611A"/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paragraph" w:styleId="Podnadpis">
    <w:name w:val="Subtitle"/>
    <w:link w:val="PodnadpisChar"/>
    <w:uiPriority w:val="11"/>
    <w:qFormat/>
    <w:rsid w:val="00B3611A"/>
    <w:pPr>
      <w:spacing w:line="288" w:lineRule="auto"/>
    </w:pPr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character" w:customStyle="1" w:styleId="PodnadpisChar">
    <w:name w:val="Podnadpis Char"/>
    <w:link w:val="Podnadpis"/>
    <w:uiPriority w:val="11"/>
    <w:rsid w:val="00B3611A"/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paragraph" w:styleId="Obsah2">
    <w:name w:val="toc 2"/>
    <w:basedOn w:val="Obsahpoloky"/>
    <w:next w:val="Obsahpoloky"/>
    <w:autoRedefine/>
    <w:uiPriority w:val="39"/>
    <w:unhideWhenUsed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styleId="Odkazintenzivn">
    <w:name w:val="Intense Reference"/>
    <w:basedOn w:val="Standardnpsmoodstavce"/>
    <w:uiPriority w:val="32"/>
    <w:qFormat/>
    <w:rsid w:val="00B3611A"/>
    <w:rPr>
      <w:b/>
      <w:bCs/>
      <w:smallCaps/>
      <w:color w:val="000000" w:themeColor="text1"/>
      <w:spacing w:val="5"/>
    </w:rPr>
  </w:style>
  <w:style w:type="character" w:styleId="Zdraznnintenzivn">
    <w:name w:val="Intense Emphasis"/>
    <w:basedOn w:val="Standardnpsmoodstavce"/>
    <w:uiPriority w:val="21"/>
    <w:qFormat/>
    <w:rsid w:val="00B3611A"/>
    <w:rPr>
      <w:i/>
      <w:iCs/>
      <w:color w:val="000000" w:themeColor="text1"/>
    </w:rPr>
  </w:style>
  <w:style w:type="paragraph" w:styleId="Zkladntextodsazen">
    <w:name w:val="Body Text Indent"/>
    <w:basedOn w:val="Normln"/>
    <w:link w:val="ZkladntextodsazenChar"/>
    <w:semiHidden/>
    <w:rsid w:val="006B4B37"/>
    <w:pPr>
      <w:overflowPunct w:val="0"/>
      <w:autoSpaceDE w:val="0"/>
      <w:autoSpaceDN w:val="0"/>
      <w:adjustRightInd w:val="0"/>
      <w:spacing w:before="120" w:after="120" w:line="240" w:lineRule="auto"/>
      <w:ind w:firstLine="426"/>
      <w:jc w:val="both"/>
      <w:textAlignment w:val="baseline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B4B37"/>
    <w:rPr>
      <w:rFonts w:ascii="Arial" w:eastAsia="Times New Roman" w:hAnsi="Arial"/>
      <w:lang w:eastAsia="cs-CZ"/>
    </w:rPr>
  </w:style>
  <w:style w:type="paragraph" w:styleId="Zkladntextodsazen2">
    <w:name w:val="Body Text Indent 2"/>
    <w:basedOn w:val="Normln"/>
    <w:link w:val="Zkladntextodsazen2Char"/>
    <w:semiHidden/>
    <w:rsid w:val="006B4B37"/>
    <w:pPr>
      <w:spacing w:before="120" w:after="120" w:line="240" w:lineRule="auto"/>
      <w:ind w:firstLine="284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B4B37"/>
    <w:rPr>
      <w:rFonts w:ascii="Arial" w:eastAsia="Times New Roman" w:hAnsi="Arial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6B4B37"/>
    <w:pPr>
      <w:spacing w:before="120" w:after="120" w:line="240" w:lineRule="auto"/>
      <w:jc w:val="both"/>
    </w:pPr>
  </w:style>
  <w:style w:type="character" w:customStyle="1" w:styleId="Zkladntext2Char">
    <w:name w:val="Základní text 2 Char"/>
    <w:basedOn w:val="Standardnpsmoodstavce"/>
    <w:link w:val="Zkladntext2"/>
    <w:semiHidden/>
    <w:rsid w:val="006B4B37"/>
    <w:rPr>
      <w:rFonts w:ascii="Arial" w:eastAsia="Times New Roman" w:hAnsi="Arial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B4B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hAnsi="Times New Roman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B4B37"/>
    <w:rPr>
      <w:rFonts w:ascii="Times New Roman" w:eastAsia="Times New Roman" w:hAnsi="Times New Roman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6B4B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hAnsi="Times New Roman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B4B37"/>
    <w:rPr>
      <w:rFonts w:ascii="Times New Roman" w:eastAsia="Times New Roman" w:hAnsi="Times New Roman"/>
      <w:sz w:val="16"/>
      <w:szCs w:val="16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6B4B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hAnsi="Times New Roman"/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6B4B37"/>
    <w:rPr>
      <w:rFonts w:ascii="Times New Roman" w:eastAsia="Times New Roman" w:hAnsi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38" ma:contentTypeDescription="Vytvoří nový dokument" ma:contentTypeScope="" ma:versionID="49235dd285db149611ba0ad3ef70ad08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a93907e7ddce75859c6ca4616d139022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storieverze xmlns="8675fb2b-b414-4bad-b4c4-d9349268b5a1" xsi:nil="true"/>
    <Verzeform xmlns="8675fb2b-b414-4bad-b4c4-d9349268b5a1">v1.0</Verzeform>
    <Forma xmlns="8675fb2b-b414-4bad-b4c4-d9349268b5a1">
      <Value>Elektronická</Value>
    </Forma>
    <Vazbanaproces xmlns="8675fb2b-b414-4bad-b4c4-d9349268b5a1" xsi:nil="true"/>
    <Gestor xmlns="8675fb2b-b414-4bad-b4c4-d9349268b5a1">
      <UserInfo>
        <DisplayName>Novotný Michal</DisplayName>
        <AccountId>24</AccountId>
        <AccountType/>
      </UserInfo>
    </Gestor>
    <Form_c xmlns="8675fb2b-b414-4bad-b4c4-d9349268b5a1">443</Form_c>
    <NazevForm xmlns="8675fb2b-b414-4bad-b4c4-d9349268b5a1">Publikace CZ barevná - hospodářská odvětví</NazevForm>
    <UcinnostOdForm xmlns="8675fb2b-b414-4bad-b4c4-d9349268b5a1">2024-06-18T22:00:00+00:00</UcinnostOdForm>
    <DomenaForm xmlns="8675fb2b-b414-4bad-b4c4-d9349268b5a1">
      <Value>P4 Komunikace a propagace</Value>
    </DomenaForm>
    <PredpisForm xmlns="8675fb2b-b414-4bad-b4c4-d9349268b5a1">Manuál značky a jednotného vizuálního stylu Českého statistického úřadu (č.2/2024)</PredpisForm>
    <UstanoveniForm xmlns="8675fb2b-b414-4bad-b4c4-d9349268b5a1" xsi:nil="true"/>
    <PoznForm xmlns="8675fb2b-b414-4bad-b4c4-d9349268b5a1" xsi:nil="true"/>
    <Oznaceni xmlns="8675fb2b-b414-4bad-b4c4-d9349268b5a1" xsi:nil="true"/>
    <UcinnostDoForm xmlns="8675fb2b-b414-4bad-b4c4-d9349268b5a1" xsi:nil="true"/>
    <Platnost xmlns="8675fb2b-b414-4bad-b4c4-d9349268b5a1">true</Platnost>
    <Odkaz xmlns="8675fb2b-b414-4bad-b4c4-d9349268b5a1">
      <Url xsi:nil="true"/>
      <Description xsi:nil="true"/>
    </Odkaz>
    <TaxCatchAll xmlns="406a38fe-c53c-4047-b0f8-c641386931ae" xsi:nil="true"/>
    <lcf76f155ced4ddcb4097134ff3c332f xmlns="8675fb2b-b414-4bad-b4c4-d9349268b5a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139D5E-AFB6-4B68-A8C2-3C8FF5CC8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317C02-2A1C-4865-B445-BEE36455B994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3.xml><?xml version="1.0" encoding="utf-8"?>
<ds:datastoreItem xmlns:ds="http://schemas.openxmlformats.org/officeDocument/2006/customXml" ds:itemID="{C11E18D8-9B47-466B-8DC2-29648F9CDF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422A55-CEA9-480C-B27B-21CB6A48CE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1277</Words>
  <Characters>7535</Characters>
  <Application>Microsoft Office Word</Application>
  <DocSecurity>0</DocSecurity>
  <Lines>62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/>
      <vt:lpstr/>
      <vt:lpstr>Styl: Nadpis 1</vt:lpstr>
      <vt:lpstr>    Styl: Nadpis 2</vt:lpstr>
      <vt:lpstr>        Styl: Nadpis 3</vt:lpstr>
      <vt:lpstr>        Styl: Nadpis 3</vt:lpstr>
      <vt:lpstr>    Styl: Nadpis 2</vt:lpstr>
      <vt:lpstr>        Styl: Nadpis 3</vt:lpstr>
      <vt:lpstr>    Styl: Nadpis 2</vt:lpstr>
      <vt:lpstr>        Styl: Nadpis 3</vt:lpstr>
    </vt:vector>
  </TitlesOfParts>
  <Manager/>
  <Company>CSU</Company>
  <LinksUpToDate>false</LinksUpToDate>
  <CharactersWithSpaces>8795</CharactersWithSpaces>
  <SharedDoc>false</SharedDoc>
  <HyperlinkBase/>
  <HLinks>
    <vt:vector size="18" baseType="variant">
      <vt:variant>
        <vt:i4>7602181</vt:i4>
      </vt:variant>
      <vt:variant>
        <vt:i4>11092</vt:i4>
      </vt:variant>
      <vt:variant>
        <vt:i4>1025</vt:i4>
      </vt:variant>
      <vt:variant>
        <vt:i4>1</vt:i4>
      </vt:variant>
      <vt:variant>
        <vt:lpwstr>msoFAAF</vt:lpwstr>
      </vt:variant>
      <vt:variant>
        <vt:lpwstr/>
      </vt:variant>
      <vt:variant>
        <vt:i4>7995509</vt:i4>
      </vt:variant>
      <vt:variant>
        <vt:i4>-1</vt:i4>
      </vt:variant>
      <vt:variant>
        <vt:i4>2058</vt:i4>
      </vt:variant>
      <vt:variant>
        <vt:i4>1</vt:i4>
      </vt:variant>
      <vt:variant>
        <vt:lpwstr>CSU RGB CZ logo-02</vt:lpwstr>
      </vt:variant>
      <vt:variant>
        <vt:lpwstr/>
      </vt:variant>
      <vt:variant>
        <vt:i4>7929973</vt:i4>
      </vt:variant>
      <vt:variant>
        <vt:i4>-1</vt:i4>
      </vt:variant>
      <vt:variant>
        <vt:i4>2059</vt:i4>
      </vt:variant>
      <vt:variant>
        <vt:i4>1</vt:i4>
      </vt:variant>
      <vt:variant>
        <vt:lpwstr>CSU RGB CZ logo-01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Romana</dc:creator>
  <cp:keywords/>
  <dc:description/>
  <cp:lastModifiedBy>Málková Helena</cp:lastModifiedBy>
  <cp:revision>11</cp:revision>
  <cp:lastPrinted>2014-07-17T14:07:00Z</cp:lastPrinted>
  <dcterms:created xsi:type="dcterms:W3CDTF">2024-09-19T07:54:00Z</dcterms:created>
  <dcterms:modified xsi:type="dcterms:W3CDTF">2026-09-14T08:26:00Z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Názevformuláře">
    <vt:lpwstr>Publikace CZ barevné - ekonomika
</vt:lpwstr>
  </property>
  <property fmtid="{D5CDD505-2E9C-101B-9397-08002B2CF9AE}" pid="4" name="Vazbanaprocesnídoménu">
    <vt:lpwstr>;#4. Komunikace a propagace;#</vt:lpwstr>
  </property>
  <property fmtid="{D5CDD505-2E9C-101B-9397-08002B2CF9AE}" pid="5" name="Vazbanadefiničnípředpis">
    <vt:lpwstr>Manuál ke zveřejňování produktů ČSÚ
</vt:lpwstr>
  </property>
  <property fmtid="{D5CDD505-2E9C-101B-9397-08002B2CF9AE}" pid="6" name="Ustanovení">
    <vt:lpwstr>část první čl. 2, odst. 3b,c; část pátá; příloha 1
</vt:lpwstr>
  </property>
  <property fmtid="{D5CDD505-2E9C-101B-9397-08002B2CF9AE}" pid="7" name="Účinnostod">
    <vt:filetime>2017-08-14T07:00:00Z</vt:filetime>
  </property>
  <property fmtid="{D5CDD505-2E9C-101B-9397-08002B2CF9AE}" pid="8" name="Označení">
    <vt:lpwstr>Form_c438</vt:lpwstr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MediaServiceImageTags">
    <vt:lpwstr/>
  </property>
</Properties>
</file>